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19,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ind w:left="940" w:right="200" w:hanging="1278"/>
        <w:spacing w:after="0" w:line="278"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5.02.</w:t>
        <w:tab/>
        <w:t>Departures of Directors or Certain Officers; Election of Directors; Appointment of Certain Officers; Compensatory Arrangements of Certain Officers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Executive Officer</w:t>
      </w:r>
    </w:p>
    <w:p>
      <w:pPr>
        <w:spacing w:after="0" w:line="195" w:lineRule="exact"/>
        <w:rPr>
          <w:sz w:val="20"/>
          <w:szCs w:val="20"/>
          <w:color w:val="auto"/>
        </w:rPr>
      </w:pPr>
    </w:p>
    <w:p>
      <w:pPr>
        <w:ind w:right="620"/>
        <w:spacing w:after="0" w:line="276" w:lineRule="auto"/>
        <w:rPr>
          <w:sz w:val="20"/>
          <w:szCs w:val="20"/>
          <w:color w:val="auto"/>
        </w:rPr>
      </w:pPr>
      <w:r>
        <w:rPr>
          <w:rFonts w:ascii="Times New Roman" w:cs="Times New Roman" w:eastAsia="Times New Roman" w:hAnsi="Times New Roman"/>
          <w:sz w:val="18"/>
          <w:szCs w:val="18"/>
          <w:color w:val="auto"/>
        </w:rPr>
        <w:t>On November 25, 2024, California Resources Corporation (the “Company”) announced that Clio C. Crespy will join the Company as Executive Vice President and Chief Financial Officer, effective January 1, 2025.</w:t>
      </w:r>
    </w:p>
    <w:p>
      <w:pPr>
        <w:spacing w:after="0" w:line="1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Ms. Crespy, age 39, most recently was Senior Managing Director, Investment Banking, Global Energy &amp; Power at Guggenheim Securities, where she also led the sustainability practice. Previously, Ms. Crespy advised upstream energy companies and power producers on strategic and financial transactions at Evercore as Managing Director, and prior to that at BNP Paribas. Ms. Crespy began her career at the World Bank and holds a Master’s degree in Finance and Strategy from Sciences Po, Paris.</w:t>
      </w:r>
    </w:p>
    <w:p>
      <w:pPr>
        <w:spacing w:after="0" w:line="14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7"/>
          <w:szCs w:val="17"/>
          <w:color w:val="auto"/>
        </w:rPr>
        <w:t>There are no arrangements or understandings between Ms. Crespy and any other persons pursuant to which she was selected to serve as the Company’s Executive Vice President and Chief Financial Officer. There are no family relationships between Ms. Crespy and any director or executive officer of the Company, and Ms. Crespy has no direct or indirect material interest in any transaction required to be disclosed pursuant to Item 404(a) of Regulation S-K.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Employment Agreement</w:t>
      </w:r>
    </w:p>
    <w:p>
      <w:pPr>
        <w:spacing w:after="0" w:line="18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In connection with the appointment described above, the Company entered into an employment agreement with Ms. Crespy (the “Employment Agreement”), to become effective January 1, 2025 (the “Effective Date”).</w:t>
      </w:r>
    </w:p>
    <w:p>
      <w:pPr>
        <w:spacing w:after="0" w:line="12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Employment Agreement provides for an initial two-year term beginning on the Effective Date and will automatically renew for an additional one-year term on each anniversary of the Effective Date unless the Company or Ms. Crespy provides 90 days’ written notice to the other that no such automatic renewal shall occur.</w:t>
      </w:r>
    </w:p>
    <w:p>
      <w:pPr>
        <w:spacing w:after="0" w:line="1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the Employment Agreement, Ms. Crespy will receive an annual base salary of $615,000. She will also be eligible to receive: (i) an annual cash bonus with a target value equal to 100% of her annual base salary; (ii) participation in those benefit plans and programs of the Company available to similarly situated executives; and (iii) annual long-term incentive awards (expected to be comprised 60% of performance stock units and 40% of restricted stock units) under the Company’s 2021 Long Term Incentive Plan (as amended, the “LTIP”) with a target grant value of 400% of Ms. Crespy’s base salary as in effect on the applicable grant date. For the 2025 calendar year, she will also receive an initial grant of restricted stock units pursuant to the LTIP equal to grant date target value of $1,350,000 (the “Initial RSUs”). The performance stock unit awards are expected to vest over a three-year cliff vesting period beginning on the date of grant, and the restricted stock units (including the Initial RSUs) are expected to vest in three equal installments over a three-year vesting period beginning on the date of grant.</w:t>
      </w:r>
    </w:p>
    <w:p>
      <w:pPr>
        <w:spacing w:after="0" w:line="1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Employment Agreement also provides for certain severance payments and benefits to be provided to Ms. Crespy upon her termination of employment by the Company without “Cause” (including a termination of employment at the expiration of the term because the Company elected not to renew the Employment Agreement) or her resignation for “Good Reason,” death or “Disability” (each quoted term as defined in the Employment Agreement). Upon Ms. Crespy’s termination of employment for any reason, her Employment Agreement provides that the Company shall pay her all unpaid base salary, any unreimbursed business expenses incurred prior to the date on which the employment terminates (as applicable, the “Termination Date”) and all benefits to which she is entitled under the terms of any applicable benefit plan.</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Ms. Crespy’s termination of employment by the Company without Cause (including a termination of employment at the expiration of the term because the Company elected not to renew the Employment Agreement), or by her for Good Reason, she will receive payment of any earned but unpaid annual bonus for the calendar year preceding the calendar year in which the Termination Date occurs and, so long as Ms. Crespy executes a release of claims in favor of the Company and its affiliates and abides by the restrictive covenants within the Employment Agreement, she shall receive severance payments, generally payable in monthly installments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2" w:name="page3"/>
    <w:bookmarkEnd w:id="2"/>
    <w:p>
      <w:pPr>
        <w:spacing w:after="0" w:line="13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Termination Date consisting of: (i) cash payments equal to a predetermined multiple of annual base salary plus target annual bonus awards for the year in which the termination occurs (the multiple being one and one-half (1.5) times for Ms. Crespy, increased to two (2) times for her if such termination of employment occurs within the one (1)-year period following a qualifying Change in Control (such term as defined in the Employment Agreement)); (ii) a pro-rata annual bonus for the calendar year in which the Termination Date occurs, based on actual performance levels earned for the applicable calendar year and payable at the time such bonuses are paid to similarly situated executives of the Company; (iii) reimbursement for the difference between the amount Ms. Crespy pays to effect continued coverage (including coverage for her spouse and eligible dependents) under the Company’s group health plans pursuant to the Consolidated Omnibus Budget Reconciliation Act of 1985, as amended, and her contribution amount that similarly situated executives of the Company pay for the same or similar coverage under such group health plans, during the portion, if any, of the 18-month period for Ms. Crespy following the Termination Date (or 24-month period in the event of a termination during the one (1)-year period following a qualifying Change in Control for Ms. Crespy) that she elects to continue coverage; and (iv) if applicable, the full vesting of the Initial RSUs.</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Ms. Crespy’s employment is terminated due to death or Disability, then she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14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The foregoing description of the Employment Agreement is qualified in its entirety by reference to the full and complete text of the Employment Agreement, which is filed herewith as Exhibit 10.1 and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Indemnification Agreement</w:t>
      </w:r>
    </w:p>
    <w:p>
      <w:pPr>
        <w:spacing w:after="0" w:line="19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connection with the appointment of Ms. Crespy as Executive Vice President and Chief Financial Officer, the Company will enter into an Indemnification Agreement (the “Indemnification Agreement”) with Ms. Crespy, pursuant to which the Company agrees to indemnify Ms. Crespy to the fullest extent permitted under Delaware law against liability that may arise by reason of her service to the Company and to advance her expenses incurred as a result of any proceeding against her to which she could be indemnified.</w:t>
      </w:r>
    </w:p>
    <w:p>
      <w:pPr>
        <w:spacing w:after="0" w:line="140"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qualified in its entirety by reference to the full and complete text of the Indemnification Agreement, a form of which is filed herewith as Exhibit 10.2 and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Executive Officer</w:t>
      </w:r>
    </w:p>
    <w:p>
      <w:pPr>
        <w:spacing w:after="0" w:line="19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Also on November 25, 2024, the Company announced that Ms. Manuela (Nelly) Molina, the Company’s current Executive Vice President and Chief Financial Officer, will be leaving her position with the Company effective December 31, 2024. Ms. Molina’s departure from the Company did not result from any disagreement or difference of opinion with the Company with respect to its internal controls, financial statements, audit scope limitations, audit reports, management representations or otherwise connected in any way with its financial controls or audit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3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82"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On November 25, 2024, the Company issued a press release announcing Ms. Molina’s departure from, and Ms. Crespy’s appointment as, the Company’s Executive Vice President and Chief Financial Officer. A copy of the press release is furnished as Exhibit 99.1 hereto.</w:t>
      </w:r>
    </w:p>
    <w:p>
      <w:pPr>
        <w:spacing w:after="0" w:line="137" w:lineRule="exact"/>
        <w:rPr>
          <w:sz w:val="20"/>
          <w:szCs w:val="20"/>
          <w:color w:val="auto"/>
        </w:rPr>
      </w:pPr>
    </w:p>
    <w:p>
      <w:pPr>
        <w:jc w:val="both"/>
        <w:ind w:right="340"/>
        <w:spacing w:after="0" w:line="284" w:lineRule="auto"/>
        <w:rPr>
          <w:sz w:val="20"/>
          <w:szCs w:val="20"/>
          <w:color w:val="auto"/>
        </w:rPr>
      </w:pPr>
      <w:r>
        <w:rPr>
          <w:rFonts w:ascii="Times New Roman" w:cs="Times New Roman" w:eastAsia="Times New Roman" w:hAnsi="Times New Roman"/>
          <w:sz w:val="17"/>
          <w:szCs w:val="17"/>
          <w:color w:val="auto"/>
        </w:rPr>
        <w:t>The information furnished with this report, including Exhibit 99.1, shall not be deemed to be “filed” for purposes of Section 18 of the Securities Exchange Act of 1934, as amended (the “Exchange Act”), or otherwise subject to the liabilities of that section, nor shall it be deemed to be incorporated by reference into any other filing under the Securities Act of 1933, as amended or the Exchange Act, except as expressly set forth by specific reference in such a filing.</w:t>
      </w:r>
    </w:p>
    <w:p>
      <w:pPr>
        <w:spacing w:after="0" w:line="3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0"/>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Employment Agreement by and between Clio Catherine Crespy and California Resources Corporation, effective January 1,</w:t>
            </w:r>
          </w:p>
        </w:tc>
      </w:tr>
      <w:tr>
        <w:trPr>
          <w:trHeight w:val="193"/>
        </w:trPr>
        <w:tc>
          <w:tcPr>
            <w:tcW w:w="2440" w:type="dxa"/>
            <w:vAlign w:val="bottom"/>
          </w:tcPr>
          <w:p>
            <w:pPr>
              <w:spacing w:after="0"/>
              <w:rPr>
                <w:sz w:val="16"/>
                <w:szCs w:val="16"/>
                <w:color w:val="auto"/>
              </w:rPr>
            </w:pPr>
          </w:p>
        </w:tc>
        <w:tc>
          <w:tcPr>
            <w:tcW w:w="2900" w:type="dxa"/>
            <w:vAlign w:val="bottom"/>
            <w:tcBorders>
              <w:top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2025</w:t>
            </w:r>
            <w:r>
              <w:rPr>
                <w:rFonts w:ascii="Times New Roman" w:cs="Times New Roman" w:eastAsia="Times New Roman" w:hAnsi="Times New Roman"/>
                <w:sz w:val="18"/>
                <w:szCs w:val="18"/>
                <w:color w:val="000000"/>
              </w:rPr>
              <w:t>*</w:t>
            </w:r>
          </w:p>
        </w:tc>
        <w:tc>
          <w:tcPr>
            <w:tcW w:w="4640" w:type="dxa"/>
            <w:vAlign w:val="bottom"/>
            <w:tcBorders>
              <w:top w:val="single" w:sz="8" w:color="0000FF"/>
            </w:tcBorders>
          </w:tcPr>
          <w:p>
            <w:pPr>
              <w:spacing w:after="0"/>
              <w:rPr>
                <w:sz w:val="16"/>
                <w:szCs w:val="16"/>
                <w:color w:val="auto"/>
              </w:rPr>
            </w:pPr>
          </w:p>
        </w:tc>
        <w:tc>
          <w:tcPr>
            <w:tcW w:w="122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2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4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8900" w:type="dxa"/>
            <w:vAlign w:val="bottom"/>
            <w:tcBorders>
              <w:bottom w:val="single" w:sz="8" w:color="661DE8"/>
            </w:tcBorders>
            <w:gridSpan w:val="5"/>
          </w:tcPr>
          <w:p>
            <w:pPr>
              <w:spacing w:after="0"/>
              <w:rPr>
                <w:rFonts w:ascii="Times New Roman" w:cs="Times New Roman" w:eastAsia="Times New Roman" w:hAnsi="Times New Roman"/>
                <w:sz w:val="18"/>
                <w:szCs w:val="18"/>
                <w:color w:val="661DE8"/>
                <w:w w:val="98"/>
              </w:rPr>
            </w:pPr>
            <w:hyperlink r:id="rId15">
              <w:r>
                <w:rPr>
                  <w:rFonts w:ascii="Times New Roman" w:cs="Times New Roman" w:eastAsia="Times New Roman" w:hAnsi="Times New Roman"/>
                  <w:sz w:val="18"/>
                  <w:szCs w:val="18"/>
                  <w:color w:val="661DE8"/>
                  <w:w w:val="98"/>
                </w:rPr>
                <w:t>Form of Indemnification Agreement between the Company and its directors and executive officers (filed as Exhibit 10.1 to th</w:t>
              </w:r>
            </w:hyperlink>
          </w:p>
        </w:tc>
      </w:tr>
      <w:tr>
        <w:trPr>
          <w:trHeight w:val="193"/>
        </w:trPr>
        <w:tc>
          <w:tcPr>
            <w:tcW w:w="2440" w:type="dxa"/>
            <w:vAlign w:val="bottom"/>
          </w:tcPr>
          <w:p>
            <w:pPr>
              <w:spacing w:after="0"/>
              <w:rPr>
                <w:sz w:val="16"/>
                <w:szCs w:val="16"/>
                <w:color w:val="auto"/>
              </w:rPr>
            </w:pPr>
          </w:p>
        </w:tc>
        <w:tc>
          <w:tcPr>
            <w:tcW w:w="7540" w:type="dxa"/>
            <w:vAlign w:val="bottom"/>
            <w:tcBorders>
              <w:bottom w:val="single" w:sz="8" w:color="661DE8"/>
            </w:tcBorders>
            <w:gridSpan w:val="3"/>
          </w:tcPr>
          <w:p>
            <w:pPr>
              <w:spacing w:after="0" w:line="194" w:lineRule="exact"/>
              <w:rPr>
                <w:rFonts w:ascii="Times New Roman" w:cs="Times New Roman" w:eastAsia="Times New Roman" w:hAnsi="Times New Roman"/>
                <w:sz w:val="18"/>
                <w:szCs w:val="18"/>
                <w:color w:val="661DE8"/>
                <w:w w:val="98"/>
              </w:rPr>
            </w:pPr>
            <w:hyperlink r:id="rId15">
              <w:r>
                <w:rPr>
                  <w:rFonts w:ascii="Times New Roman" w:cs="Times New Roman" w:eastAsia="Times New Roman" w:hAnsi="Times New Roman"/>
                  <w:sz w:val="18"/>
                  <w:szCs w:val="18"/>
                  <w:color w:val="661DE8"/>
                  <w:w w:val="98"/>
                </w:rPr>
                <w:t>Company’s Current Report on Form 8-K filed on October 27, 2020 and incorporated herein by reference).</w:t>
              </w:r>
            </w:hyperlink>
          </w:p>
        </w:tc>
        <w:tc>
          <w:tcPr>
            <w:tcW w:w="1360" w:type="dxa"/>
            <w:vAlign w:val="bottom"/>
            <w:gridSpan w:val="2"/>
          </w:tcPr>
          <w:p>
            <w:pPr>
              <w:spacing w:after="0"/>
              <w:rPr>
                <w:sz w:val="16"/>
                <w:szCs w:val="16"/>
                <w:color w:val="auto"/>
              </w:rPr>
            </w:pPr>
          </w:p>
        </w:tc>
      </w:tr>
      <w:tr>
        <w:trPr>
          <w:trHeight w:val="24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Press Release dated November 25, 2024.</w:t>
            </w:r>
          </w:p>
        </w:tc>
      </w:tr>
      <w:tr>
        <w:trPr>
          <w:trHeight w:val="20"/>
        </w:trPr>
        <w:tc>
          <w:tcPr>
            <w:tcW w:w="2440" w:type="dxa"/>
            <w:vAlign w:val="bottom"/>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6000" w:type="dxa"/>
            <w:vAlign w:val="bottom"/>
            <w:gridSpan w:val="3"/>
          </w:tcPr>
          <w:p>
            <w:pPr>
              <w:spacing w:after="0" w:line="20" w:lineRule="exact"/>
              <w:rPr>
                <w:sz w:val="1"/>
                <w:szCs w:val="1"/>
                <w:color w:val="auto"/>
              </w:rPr>
            </w:pPr>
          </w:p>
        </w:tc>
      </w:tr>
      <w:tr>
        <w:trPr>
          <w:trHeight w:val="28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6" w:lineRule="exact"/>
        <w:rPr>
          <w:sz w:val="20"/>
          <w:szCs w:val="20"/>
          <w:color w:val="auto"/>
        </w:rPr>
      </w:pPr>
    </w:p>
    <w:p>
      <w:pPr>
        <w:ind w:right="2320" w:firstLine="7"/>
        <w:spacing w:after="0" w:line="338"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Item 601(b)(10) of Regulation S-K. **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25, 2024</w:t>
      </w:r>
    </w:p>
    <w:p>
      <w:pPr>
        <w:sectPr>
          <w:pgSz w:w="11900" w:h="16838" w:orient="portrait"/>
          <w:cols w:equalWidth="0" w:num="1">
            <w:col w:w="11240"/>
          </w:cols>
          <w:pgMar w:left="320" w:top="139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10.1</w:t>
      </w:r>
    </w:p>
    <w:p>
      <w:pPr>
        <w:spacing w:after="0" w:line="9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1"/>
          <w:szCs w:val="21"/>
          <w:b w:val="1"/>
          <w:bCs w:val="1"/>
          <w:color w:val="auto"/>
        </w:rPr>
        <w:t>Certain portions of this exhibit (indicated by “[*****]”)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185" w:lineRule="exact"/>
        <w:rPr>
          <w:sz w:val="20"/>
          <w:szCs w:val="20"/>
          <w:color w:val="auto"/>
        </w:rPr>
      </w:pPr>
    </w:p>
    <w:p>
      <w:pPr>
        <w:jc w:val="both"/>
        <w:ind w:firstLine="640"/>
        <w:spacing w:after="0" w:line="245" w:lineRule="auto"/>
        <w:rPr>
          <w:sz w:val="20"/>
          <w:szCs w:val="20"/>
          <w:color w:val="auto"/>
        </w:rPr>
      </w:pPr>
      <w:r>
        <w:rPr>
          <w:rFonts w:ascii="Times New Roman" w:cs="Times New Roman" w:eastAsia="Times New Roman" w:hAnsi="Times New Roman"/>
          <w:sz w:val="21"/>
          <w:szCs w:val="21"/>
          <w:color w:val="auto"/>
        </w:rPr>
        <w:t>This Employment Agreement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is made and entered into by and between California Resources Corporation,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and Clio Catherine Crespy (“</w:t>
      </w:r>
      <w:r>
        <w:rPr>
          <w:rFonts w:ascii="Times New Roman" w:cs="Times New Roman" w:eastAsia="Times New Roman" w:hAnsi="Times New Roman"/>
          <w:sz w:val="21"/>
          <w:szCs w:val="21"/>
          <w:b w:val="1"/>
          <w:bCs w:val="1"/>
          <w:u w:val="single" w:color="auto"/>
          <w:color w:val="auto"/>
        </w:rPr>
        <w:t>Employee</w:t>
      </w:r>
      <w:r>
        <w:rPr>
          <w:rFonts w:ascii="Times New Roman" w:cs="Times New Roman" w:eastAsia="Times New Roman" w:hAnsi="Times New Roman"/>
          <w:sz w:val="21"/>
          <w:szCs w:val="21"/>
          <w:color w:val="auto"/>
        </w:rPr>
        <w:t>”) effective as of January 1, 2025 (the “</w:t>
      </w:r>
      <w:r>
        <w:rPr>
          <w:rFonts w:ascii="Times New Roman" w:cs="Times New Roman" w:eastAsia="Times New Roman" w:hAnsi="Times New Roman"/>
          <w:sz w:val="21"/>
          <w:szCs w:val="21"/>
          <w:b w:val="1"/>
          <w:bCs w:val="1"/>
          <w:u w:val="single" w:color="auto"/>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Date</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jc w:val="both"/>
        <w:ind w:firstLine="646"/>
        <w:spacing w:after="0" w:line="236" w:lineRule="auto"/>
        <w:tabs>
          <w:tab w:leader="none" w:pos="127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w:t>
      </w:r>
      <w:r>
        <w:rPr>
          <w:rFonts w:ascii="Times New Roman" w:cs="Times New Roman" w:eastAsia="Times New Roman" w:hAnsi="Times New Roman"/>
          <w:sz w:val="21"/>
          <w:szCs w:val="21"/>
          <w:color w:val="auto"/>
        </w:rPr>
        <w:t>. Subject to Employee first satisfying or passing, as applicable, each of the Company’s reasonable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customary background screening procedures, during the Employment Period (as defined below), the Company shall employ Employee, and Employee shall serve, as Executive Vice President and Chief Financial Officer of the Company and in such other position or positions as may be assigned from time to time by the board of directors of the Company (the “</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color w:val="auto"/>
        </w:rPr>
        <w:t>”) or the Chief Executive Officer of the Company (the “</w:t>
      </w:r>
      <w:r>
        <w:rPr>
          <w:rFonts w:ascii="Times New Roman" w:cs="Times New Roman" w:eastAsia="Times New Roman" w:hAnsi="Times New Roman"/>
          <w:sz w:val="21"/>
          <w:szCs w:val="21"/>
          <w:b w:val="1"/>
          <w:bCs w:val="1"/>
          <w:u w:val="single" w:color="auto"/>
          <w:color w:val="auto"/>
        </w:rPr>
        <w:t>CEO</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color w:val="auto"/>
        </w:rPr>
      </w:pPr>
    </w:p>
    <w:p>
      <w:pPr>
        <w:ind w:left="1280" w:hanging="634"/>
        <w:spacing w:after="0"/>
        <w:tabs>
          <w:tab w:leader="none" w:pos="1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Duties and Responsibilities of Employee</w:t>
      </w:r>
      <w:r>
        <w:rPr>
          <w:rFonts w:ascii="Times New Roman" w:cs="Times New Roman" w:eastAsia="Times New Roman" w:hAnsi="Times New Roman"/>
          <w:sz w:val="21"/>
          <w:szCs w:val="21"/>
          <w:b w:val="1"/>
          <w:bCs w:val="1"/>
          <w:i w:val="1"/>
          <w:iCs w:val="1"/>
          <w:u w:val="single" w:color="auto"/>
          <w:color w:val="auto"/>
        </w:rPr>
        <w:t>.</w:t>
      </w:r>
    </w:p>
    <w:p>
      <w:pPr>
        <w:spacing w:after="0" w:line="204" w:lineRule="exact"/>
        <w:rPr>
          <w:rFonts w:ascii="Times New Roman" w:cs="Times New Roman" w:eastAsia="Times New Roman" w:hAnsi="Times New Roman"/>
          <w:sz w:val="21"/>
          <w:szCs w:val="21"/>
          <w:color w:val="auto"/>
        </w:rPr>
      </w:pPr>
    </w:p>
    <w:p>
      <w:pPr>
        <w:jc w:val="both"/>
        <w:ind w:firstLine="1286"/>
        <w:spacing w:after="0" w:line="225" w:lineRule="auto"/>
        <w:tabs>
          <w:tab w:leader="none" w:pos="191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1"/>
          <w:szCs w:val="21"/>
          <w:b w:val="1"/>
          <w:bCs w:val="1"/>
          <w:u w:val="single" w:color="auto"/>
          <w:color w:val="auto"/>
        </w:rPr>
        <w:t>Company Group</w:t>
      </w:r>
      <w:r>
        <w:rPr>
          <w:rFonts w:ascii="Times New Roman" w:cs="Times New Roman" w:eastAsia="Times New Roman" w:hAnsi="Times New Roman"/>
          <w:sz w:val="21"/>
          <w:szCs w:val="21"/>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The Company and Employee agree that as a condition to Employee’s employment with the Company, Employee’s primary physical work location shall originally be in Houston, Texas, but that Employee shall relocate to Southern California not later than September 30, 2025, after which the Employee’s primary work location shall be Santa Clarita, California. Employee’s duties and responsibilities shall include those normally incidental to the position(s) identified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(i) as a passive investment, own publicly traded securities in such form or manner as will not require any services by Employee in the operation of the entities in which such securities are owned; (ii) engage in charitable and civic activities, including, without limitation, serving on the board of directors of Awty International School; (iii) with the prior written consent of the Board, engage in other personal and passive investment activities; and (iv) with the prior written consent of the Board, serve on the board of directors for up to one for profit corporations (collectively, the “</w:t>
      </w:r>
      <w:r>
        <w:rPr>
          <w:rFonts w:ascii="Times New Roman" w:cs="Times New Roman" w:eastAsia="Times New Roman" w:hAnsi="Times New Roman"/>
          <w:sz w:val="21"/>
          <w:szCs w:val="21"/>
          <w:b w:val="1"/>
          <w:bCs w:val="1"/>
          <w:u w:val="single" w:color="auto"/>
          <w:color w:val="auto"/>
        </w:rPr>
        <w:t>Permitted Activities</w:t>
      </w:r>
      <w:r>
        <w:rPr>
          <w:rFonts w:ascii="Times New Roman" w:cs="Times New Roman" w:eastAsia="Times New Roman" w:hAnsi="Times New Roman"/>
          <w:sz w:val="21"/>
          <w:szCs w:val="21"/>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76" w:lineRule="exact"/>
        <w:rPr>
          <w:rFonts w:ascii="Times New Roman" w:cs="Times New Roman" w:eastAsia="Times New Roman" w:hAnsi="Times New Roman"/>
          <w:sz w:val="21"/>
          <w:szCs w:val="21"/>
          <w:color w:val="auto"/>
        </w:rPr>
      </w:pPr>
    </w:p>
    <w:p>
      <w:pPr>
        <w:jc w:val="both"/>
        <w:ind w:firstLine="1286"/>
        <w:spacing w:after="0" w:line="231" w:lineRule="auto"/>
        <w:tabs>
          <w:tab w:leader="none" w:pos="1915"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w:t>
      </w:r>
    </w:p>
    <w:p>
      <w:pPr>
        <w:sectPr>
          <w:pgSz w:w="11900" w:h="16838" w:orient="portrait"/>
          <w:cols w:equalWidth="0" w:num="1">
            <w:col w:w="11240"/>
          </w:cols>
          <w:pgMar w:left="320" w:top="119" w:right="339" w:bottom="1440" w:gutter="0" w:footer="0" w:header="0"/>
        </w:sectPr>
      </w:pPr>
    </w:p>
    <w:bookmarkStart w:id="6" w:name="page7"/>
    <w:bookmarkEnd w:id="6"/>
    <w:p>
      <w:pPr>
        <w:spacing w:after="0" w:line="237" w:lineRule="auto"/>
        <w:rPr>
          <w:sz w:val="20"/>
          <w:szCs w:val="20"/>
          <w:color w:val="auto"/>
        </w:rPr>
      </w:pPr>
      <w:r>
        <w:rPr>
          <w:rFonts w:ascii="Times New Roman" w:cs="Times New Roman" w:eastAsia="Times New Roman" w:hAnsi="Times New Roman"/>
          <w:sz w:val="21"/>
          <w:szCs w:val="21"/>
          <w:color w:val="auto"/>
        </w:rPr>
        <w:t>any confidential information belonging to any prior employer in the course of performing services for any member of the Company Group, and Employee promises that Employee shall not do so. Employee shall not introduce documents or other materials</w:t>
      </w:r>
    </w:p>
    <w:p>
      <w:pPr>
        <w:spacing w:after="0" w:line="232" w:lineRule="auto"/>
        <w:rPr>
          <w:sz w:val="20"/>
          <w:szCs w:val="20"/>
          <w:color w:val="auto"/>
        </w:rPr>
      </w:pPr>
      <w:r>
        <w:rPr>
          <w:rFonts w:ascii="Times New Roman" w:cs="Times New Roman" w:eastAsia="Times New Roman" w:hAnsi="Times New Roman"/>
          <w:sz w:val="21"/>
          <w:szCs w:val="21"/>
          <w:color w:val="auto"/>
        </w:rPr>
        <w:t>containing confidential information of any prior employer to the premises or property (including computers and computer systems) of any member of the Company Group.</w:t>
      </w:r>
    </w:p>
    <w:p>
      <w:pPr>
        <w:spacing w:after="0" w:line="162" w:lineRule="exact"/>
        <w:rPr>
          <w:sz w:val="20"/>
          <w:szCs w:val="20"/>
          <w:color w:val="auto"/>
        </w:rPr>
      </w:pPr>
    </w:p>
    <w:p>
      <w:pPr>
        <w:jc w:val="both"/>
        <w:ind w:firstLine="1286"/>
        <w:spacing w:after="0" w:line="237" w:lineRule="auto"/>
        <w:tabs>
          <w:tab w:leader="none" w:pos="1916"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48" w:lineRule="exact"/>
        <w:rPr>
          <w:rFonts w:ascii="Times New Roman" w:cs="Times New Roman" w:eastAsia="Times New Roman" w:hAnsi="Times New Roman"/>
          <w:sz w:val="21"/>
          <w:szCs w:val="21"/>
          <w:color w:val="auto"/>
        </w:rPr>
      </w:pPr>
    </w:p>
    <w:p>
      <w:pPr>
        <w:ind w:left="1280" w:hanging="634"/>
        <w:spacing w:after="0"/>
        <w:tabs>
          <w:tab w:leader="none" w:pos="12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jc w:val="both"/>
        <w:ind w:firstLine="1286"/>
        <w:spacing w:after="0" w:line="231" w:lineRule="auto"/>
        <w:tabs>
          <w:tab w:leader="none" w:pos="191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Employment Period, the Company shall pay to Employee an annualized base salary of $615,000 (the “</w:t>
      </w: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1"/>
          <w:szCs w:val="21"/>
          <w:b w:val="1"/>
          <w:bCs w:val="1"/>
          <w:u w:val="single" w:color="auto"/>
          <w:color w:val="auto"/>
        </w:rPr>
        <w:t>Compensation Committee</w:t>
      </w:r>
      <w:r>
        <w:rPr>
          <w:rFonts w:ascii="Times New Roman" w:cs="Times New Roman" w:eastAsia="Times New Roman" w:hAnsi="Times New Roman"/>
          <w:sz w:val="21"/>
          <w:szCs w:val="21"/>
          <w:color w:val="auto"/>
        </w:rPr>
        <w:t>”) and may be increased, but not decreased, at the discretion of the Compensation Committee following consultation with the other independent members of the Board.</w:t>
      </w:r>
    </w:p>
    <w:p>
      <w:pPr>
        <w:spacing w:after="0" w:line="164" w:lineRule="exact"/>
        <w:rPr>
          <w:rFonts w:ascii="Times New Roman" w:cs="Times New Roman" w:eastAsia="Times New Roman" w:hAnsi="Times New Roman"/>
          <w:sz w:val="21"/>
          <w:szCs w:val="21"/>
          <w:color w:val="auto"/>
        </w:rPr>
      </w:pPr>
    </w:p>
    <w:p>
      <w:pPr>
        <w:jc w:val="both"/>
        <w:ind w:firstLine="1286"/>
        <w:spacing w:after="0" w:line="227" w:lineRule="auto"/>
        <w:tabs>
          <w:tab w:leader="none" w:pos="1915"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Employee shall be eligible for bonus compensation for calendar year 2025 and each subsequent complete calendar year that Employee is employed by the Company hereunder (the “</w:t>
      </w:r>
      <w:r>
        <w:rPr>
          <w:rFonts w:ascii="Times New Roman" w:cs="Times New Roman" w:eastAsia="Times New Roman" w:hAnsi="Times New Roman"/>
          <w:sz w:val="21"/>
          <w:szCs w:val="21"/>
          <w:b w:val="1"/>
          <w:bCs w:val="1"/>
          <w:u w:val="single" w:color="auto"/>
          <w:color w:val="auto"/>
        </w:rPr>
        <w:t>Annual Bonus</w:t>
      </w:r>
      <w:r>
        <w:rPr>
          <w:rFonts w:ascii="Times New Roman" w:cs="Times New Roman" w:eastAsia="Times New Roman" w:hAnsi="Times New Roman"/>
          <w:sz w:val="21"/>
          <w:szCs w:val="21"/>
          <w:color w:val="auto"/>
        </w:rPr>
        <w:t>”). The target Annual Bonus for each such calendar year (the “</w:t>
      </w:r>
      <w:r>
        <w:rPr>
          <w:rFonts w:ascii="Times New Roman" w:cs="Times New Roman" w:eastAsia="Times New Roman" w:hAnsi="Times New Roman"/>
          <w:sz w:val="21"/>
          <w:szCs w:val="21"/>
          <w:b w:val="1"/>
          <w:bCs w:val="1"/>
          <w:u w:val="single" w:color="auto"/>
          <w:color w:val="auto"/>
        </w:rPr>
        <w:t>Bonus Year</w:t>
      </w:r>
      <w:r>
        <w:rPr>
          <w:rFonts w:ascii="Times New Roman" w:cs="Times New Roman" w:eastAsia="Times New Roman" w:hAnsi="Times New Roman"/>
          <w:sz w:val="21"/>
          <w:szCs w:val="21"/>
          <w:color w:val="auto"/>
        </w:rPr>
        <w:t xml:space="preserve">”) shall be 100% of Employee’s Base Salary in effect as of the first day of the Bonus Year,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to the contrary, but subject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49" w:lineRule="exact"/>
        <w:rPr>
          <w:rFonts w:ascii="Times New Roman" w:cs="Times New Roman" w:eastAsia="Times New Roman" w:hAnsi="Times New Roman"/>
          <w:sz w:val="21"/>
          <w:szCs w:val="21"/>
          <w:color w:val="auto"/>
        </w:rPr>
      </w:pPr>
    </w:p>
    <w:p>
      <w:pPr>
        <w:jc w:val="both"/>
        <w:ind w:firstLine="1286"/>
        <w:spacing w:after="0" w:line="237" w:lineRule="auto"/>
        <w:tabs>
          <w:tab w:leader="none" w:pos="191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Incentive Awards</w:t>
      </w:r>
      <w:r>
        <w:rPr>
          <w:rFonts w:ascii="Times New Roman" w:cs="Times New Roman" w:eastAsia="Times New Roman" w:hAnsi="Times New Roman"/>
          <w:sz w:val="21"/>
          <w:szCs w:val="21"/>
          <w:color w:val="auto"/>
        </w:rPr>
        <w:t>. As soon as practicable, but no later than (30) days following the Effective Date (the “</w:t>
      </w:r>
      <w:r>
        <w:rPr>
          <w:rFonts w:ascii="Times New Roman" w:cs="Times New Roman" w:eastAsia="Times New Roman" w:hAnsi="Times New Roman"/>
          <w:sz w:val="21"/>
          <w:szCs w:val="21"/>
          <w:b w:val="1"/>
          <w:bCs w:val="1"/>
          <w:u w:val="single" w:color="auto"/>
          <w:color w:val="auto"/>
        </w:rPr>
        <w:t>Date of Grant</w:t>
      </w:r>
      <w:r>
        <w:rPr>
          <w:rFonts w:ascii="Times New Roman" w:cs="Times New Roman" w:eastAsia="Times New Roman" w:hAnsi="Times New Roman"/>
          <w:sz w:val="21"/>
          <w:szCs w:val="21"/>
          <w:color w:val="auto"/>
        </w:rPr>
        <w:t>”), the Board or Compensation Committee shall grant to Employee under the Company’s 2021 Long Term Incentive Plan (such plan, or any successor plan, the “</w:t>
      </w:r>
      <w:r>
        <w:rPr>
          <w:rFonts w:ascii="Times New Roman" w:cs="Times New Roman" w:eastAsia="Times New Roman" w:hAnsi="Times New Roman"/>
          <w:sz w:val="21"/>
          <w:szCs w:val="21"/>
          <w:b w:val="1"/>
          <w:bCs w:val="1"/>
          <w:u w:val="single" w:color="auto"/>
          <w:color w:val="auto"/>
        </w:rPr>
        <w:t>LTIP</w:t>
      </w:r>
      <w:r>
        <w:rPr>
          <w:rFonts w:ascii="Times New Roman" w:cs="Times New Roman" w:eastAsia="Times New Roman" w:hAnsi="Times New Roman"/>
          <w:sz w:val="21"/>
          <w:szCs w:val="21"/>
          <w:color w:val="auto"/>
        </w:rPr>
        <w:t>”) (i) an award of restricted stock units (the “</w:t>
      </w:r>
      <w:r>
        <w:rPr>
          <w:rFonts w:ascii="Times New Roman" w:cs="Times New Roman" w:eastAsia="Times New Roman" w:hAnsi="Times New Roman"/>
          <w:sz w:val="21"/>
          <w:szCs w:val="21"/>
          <w:b w:val="1"/>
          <w:bCs w:val="1"/>
          <w:u w:val="single" w:color="auto"/>
          <w:color w:val="auto"/>
        </w:rPr>
        <w:t>Initial RSUs</w:t>
      </w:r>
      <w:r>
        <w:rPr>
          <w:rFonts w:ascii="Times New Roman" w:cs="Times New Roman" w:eastAsia="Times New Roman" w:hAnsi="Times New Roman"/>
          <w:sz w:val="21"/>
          <w:szCs w:val="21"/>
          <w:color w:val="auto"/>
        </w:rPr>
        <w:t>”) with a grant date target value not less than $1,350,000 which, subject to continued employment, shall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8" w:right="339" w:bottom="1440" w:gutter="0" w:footer="0" w:header="0"/>
        </w:sectPr>
      </w:pPr>
    </w:p>
    <w:bookmarkStart w:id="7" w:name="page8"/>
    <w:bookmarkEnd w:id="7"/>
    <w:p>
      <w:pPr>
        <w:jc w:val="both"/>
        <w:spacing w:after="0" w:line="216" w:lineRule="auto"/>
        <w:rPr>
          <w:sz w:val="20"/>
          <w:szCs w:val="20"/>
          <w:color w:val="auto"/>
        </w:rPr>
      </w:pPr>
      <w:r>
        <w:rPr>
          <w:rFonts w:ascii="Times New Roman" w:cs="Times New Roman" w:eastAsia="Times New Roman" w:hAnsi="Times New Roman"/>
          <w:sz w:val="21"/>
          <w:szCs w:val="21"/>
          <w:color w:val="auto"/>
        </w:rPr>
        <w:t>vest one-third on each of the first three anniversaries of the Date of Grant. Additional terms and conditions of the Initial RSUs, including acceleration or forfeiture provisions, will be set forth in an individual award agreement to be provided separately from this Agreement. Provided that Employee is employed by the Company on the applicable date of grant, Employee shall be eligible to receive annual long-term incentive awards under the LTIP commencing in calendar year 2025 with a grant date target value not less than 400%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Unless specifically addressed within this Agreement, all awards granted to Employee under the LTIP shall be subject to and governed by the terms and provisions of the LTIP as in effect from time to time and the award agreements evidencing such awards.</w:t>
      </w:r>
    </w:p>
    <w:p>
      <w:pPr>
        <w:spacing w:after="0" w:line="156" w:lineRule="exact"/>
        <w:rPr>
          <w:sz w:val="20"/>
          <w:szCs w:val="20"/>
          <w:color w:val="auto"/>
        </w:rPr>
      </w:pPr>
    </w:p>
    <w:p>
      <w:pPr>
        <w:jc w:val="both"/>
        <w:ind w:firstLine="646"/>
        <w:spacing w:after="0" w:line="227" w:lineRule="auto"/>
        <w:tabs>
          <w:tab w:leader="none" w:pos="127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 of Employment</w:t>
      </w:r>
      <w:r>
        <w:rPr>
          <w:rFonts w:ascii="Times New Roman" w:cs="Times New Roman" w:eastAsia="Times New Roman" w:hAnsi="Times New Roman"/>
          <w:sz w:val="21"/>
          <w:szCs w:val="21"/>
          <w:color w:val="auto"/>
        </w:rPr>
        <w:t>. The term of Employee’s employment under this Agreement shall be for the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beginning on the Effective Date and ending on the second (2nd) anniversary of the Effective Date (the “</w:t>
      </w:r>
      <w:r>
        <w:rPr>
          <w:rFonts w:ascii="Times New Roman" w:cs="Times New Roman" w:eastAsia="Times New Roman" w:hAnsi="Times New Roman"/>
          <w:sz w:val="21"/>
          <w:szCs w:val="21"/>
          <w:b w:val="1"/>
          <w:bCs w:val="1"/>
          <w:u w:val="single" w:color="auto"/>
          <w:color w:val="auto"/>
        </w:rPr>
        <w:t>Initial Expiration Date</w:t>
      </w:r>
      <w:r>
        <w:rPr>
          <w:rFonts w:ascii="Times New Roman" w:cs="Times New Roman" w:eastAsia="Times New Roman" w:hAnsi="Times New Roman"/>
          <w:sz w:val="21"/>
          <w:szCs w:val="21"/>
          <w:color w:val="auto"/>
        </w:rPr>
        <w:t xml:space="preserve">”); provided, however, that beginning on the Initial Expiration Date, and on each anniversary of the Initial Expiration Date thereafter, if Employee’s employment under this Agreement has not been terminated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1"/>
          <w:szCs w:val="21"/>
          <w:b w:val="1"/>
          <w:bCs w:val="1"/>
          <w:u w:val="single" w:color="auto"/>
          <w:color w:val="auto"/>
        </w:rPr>
        <w:t>Employment Period</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jc w:val="both"/>
        <w:ind w:firstLine="646"/>
        <w:spacing w:after="0" w:line="231" w:lineRule="auto"/>
        <w:tabs>
          <w:tab w:leader="none" w:pos="127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Business Expenses</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5" w:lineRule="exact"/>
        <w:rPr>
          <w:rFonts w:ascii="Times New Roman" w:cs="Times New Roman" w:eastAsia="Times New Roman" w:hAnsi="Times New Roman"/>
          <w:sz w:val="21"/>
          <w:szCs w:val="21"/>
          <w:color w:val="auto"/>
        </w:rPr>
      </w:pPr>
    </w:p>
    <w:p>
      <w:pPr>
        <w:ind w:left="1280" w:hanging="634"/>
        <w:spacing w:after="0"/>
        <w:tabs>
          <w:tab w:leader="none" w:pos="12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Benefits</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ind w:left="1920" w:hanging="634"/>
        <w:spacing w:after="0"/>
        <w:tabs>
          <w:tab w:leader="none" w:pos="19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Employment Period, Employee shall be eligible to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8" w:right="339" w:bottom="1440" w:gutter="0" w:footer="0" w:header="0"/>
        </w:sectPr>
      </w:pPr>
    </w:p>
    <w:bookmarkStart w:id="8" w:name="page9"/>
    <w:bookmarkEnd w:id="8"/>
    <w:p>
      <w:pPr>
        <w:jc w:val="both"/>
        <w:spacing w:after="0" w:line="228" w:lineRule="auto"/>
        <w:rPr>
          <w:sz w:val="20"/>
          <w:szCs w:val="20"/>
          <w:color w:val="auto"/>
        </w:rPr>
      </w:pPr>
      <w:r>
        <w:rPr>
          <w:rFonts w:ascii="Times New Roman" w:cs="Times New Roman" w:eastAsia="Times New Roman" w:hAnsi="Times New Roman"/>
          <w:sz w:val="21"/>
          <w:szCs w:val="21"/>
          <w:color w:val="auto"/>
        </w:rPr>
        <w:t xml:space="preserve">the same benefit plans and programs in which other similarly situated Company employees are eligible to participate, subject to the terms and conditions of the applicable plans and programs in effect from time to time. The Company shall not, however, by reason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be obligated to institute, maintain, or refrain from changing, amending, or discontinuing, any such plan or policy, so long as such changes are similarly applicable to similarly situated Company employees generally.</w:t>
      </w:r>
    </w:p>
    <w:p>
      <w:pPr>
        <w:spacing w:after="0" w:line="149" w:lineRule="exact"/>
        <w:rPr>
          <w:sz w:val="20"/>
          <w:szCs w:val="20"/>
          <w:color w:val="auto"/>
        </w:rPr>
      </w:pPr>
    </w:p>
    <w:p>
      <w:pPr>
        <w:jc w:val="both"/>
        <w:ind w:firstLine="1286"/>
        <w:spacing w:after="0" w:line="230" w:lineRule="auto"/>
        <w:tabs>
          <w:tab w:leader="none" w:pos="1915"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Employee satisfies her obligation to relocate from Houston, Texas to Southern California by September 30, 2025, the Company shall reimburse Employee or provide for, as applicable, her reasonable and customary, documented relocation expenses in accordance with the terms of California Resources Corporation Domestic Relocation Program (the “</w:t>
      </w:r>
      <w:r>
        <w:rPr>
          <w:rFonts w:ascii="Times New Roman" w:cs="Times New Roman" w:eastAsia="Times New Roman" w:hAnsi="Times New Roman"/>
          <w:sz w:val="21"/>
          <w:szCs w:val="21"/>
          <w:b w:val="1"/>
          <w:bCs w:val="1"/>
          <w:color w:val="auto"/>
        </w:rPr>
        <w:t>Relocation Program</w:t>
      </w:r>
      <w:r>
        <w:rPr>
          <w:rFonts w:ascii="Times New Roman" w:cs="Times New Roman" w:eastAsia="Times New Roman" w:hAnsi="Times New Roman"/>
          <w:sz w:val="21"/>
          <w:szCs w:val="21"/>
          <w:color w:val="auto"/>
        </w:rPr>
        <w:t>”) or as otherwise mutually agreed to by the Company and Employee. Employee shall submit all documentation for such relocation assistance in accordance with the requirements of the Relocation Program, as in effect from time to time. Subject to Section 21, any reimbursement to Employee of expenses or fees pursuant to this paragraph shall be made in accordance with the terms of the Relocation Program.</w:t>
      </w:r>
    </w:p>
    <w:p>
      <w:pPr>
        <w:spacing w:after="0" w:line="165" w:lineRule="exact"/>
        <w:rPr>
          <w:rFonts w:ascii="Times New Roman" w:cs="Times New Roman" w:eastAsia="Times New Roman" w:hAnsi="Times New Roman"/>
          <w:sz w:val="21"/>
          <w:szCs w:val="21"/>
          <w:color w:val="auto"/>
        </w:rPr>
      </w:pPr>
    </w:p>
    <w:p>
      <w:pPr>
        <w:jc w:val="both"/>
        <w:ind w:firstLine="1286"/>
        <w:spacing w:after="0" w:line="237" w:lineRule="auto"/>
        <w:tabs>
          <w:tab w:leader="none" w:pos="191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reimburse Employee up to $10,000 for legal fees incurred in connection with the review of this Agreement, provided that, any such reimbursement payment(s) shall be made on or before March 15 of the calendar year immediately following the Effective Date.</w:t>
      </w:r>
    </w:p>
    <w:p>
      <w:pPr>
        <w:spacing w:after="0" w:line="164" w:lineRule="exact"/>
        <w:rPr>
          <w:rFonts w:ascii="Times New Roman" w:cs="Times New Roman" w:eastAsia="Times New Roman" w:hAnsi="Times New Roman"/>
          <w:sz w:val="21"/>
          <w:szCs w:val="21"/>
          <w:color w:val="auto"/>
        </w:rPr>
      </w:pPr>
    </w:p>
    <w:p>
      <w:pPr>
        <w:jc w:val="both"/>
        <w:ind w:firstLine="1286"/>
        <w:spacing w:after="0" w:line="243" w:lineRule="auto"/>
        <w:tabs>
          <w:tab w:leader="none" w:pos="1915"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42" w:lineRule="exact"/>
        <w:rPr>
          <w:rFonts w:ascii="Times New Roman" w:cs="Times New Roman" w:eastAsia="Times New Roman" w:hAnsi="Times New Roman"/>
          <w:sz w:val="21"/>
          <w:szCs w:val="21"/>
          <w:color w:val="auto"/>
        </w:rPr>
      </w:pPr>
    </w:p>
    <w:p>
      <w:pPr>
        <w:ind w:left="1280" w:hanging="634"/>
        <w:spacing w:after="0"/>
        <w:tabs>
          <w:tab w:leader="none" w:pos="12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w:t>
      </w:r>
    </w:p>
    <w:p>
      <w:pPr>
        <w:spacing w:after="0" w:line="202" w:lineRule="exact"/>
        <w:rPr>
          <w:rFonts w:ascii="Times New Roman" w:cs="Times New Roman" w:eastAsia="Times New Roman" w:hAnsi="Times New Roman"/>
          <w:sz w:val="21"/>
          <w:szCs w:val="21"/>
          <w:color w:val="auto"/>
        </w:rPr>
      </w:pPr>
    </w:p>
    <w:p>
      <w:pPr>
        <w:jc w:val="both"/>
        <w:ind w:firstLine="1286"/>
        <w:spacing w:after="0" w:line="237" w:lineRule="auto"/>
        <w:tabs>
          <w:tab w:leader="none" w:pos="184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Right to Terminate Employee’s Employment for Cause</w:t>
      </w:r>
      <w:r>
        <w:rPr>
          <w:rFonts w:ascii="Times New Roman" w:cs="Times New Roman" w:eastAsia="Times New Roman" w:hAnsi="Times New Roman"/>
          <w:sz w:val="21"/>
          <w:szCs w:val="21"/>
          <w:color w:val="auto"/>
        </w:rPr>
        <w:t>. The Company shall have the right to terminate Employee’s employment hereunder at any time for Cause. For purposes of this Agreement,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shall mean Employee’s commission of an act or omission, or Employee causing the Company or any other member of the Company Group to commit an act or omission, that constitutes:</w:t>
      </w:r>
    </w:p>
    <w:p>
      <w:pPr>
        <w:spacing w:after="0" w:line="152" w:lineRule="exact"/>
        <w:rPr>
          <w:rFonts w:ascii="Times New Roman" w:cs="Times New Roman" w:eastAsia="Times New Roman" w:hAnsi="Times New Roman"/>
          <w:sz w:val="21"/>
          <w:szCs w:val="21"/>
          <w:color w:val="auto"/>
        </w:rPr>
      </w:pPr>
    </w:p>
    <w:p>
      <w:pPr>
        <w:ind w:left="2660" w:hanging="414"/>
        <w:spacing w:after="0"/>
        <w:tabs>
          <w:tab w:leader="none" w:pos="2660"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fraud or misconduct;</w:t>
      </w:r>
    </w:p>
    <w:p>
      <w:pPr>
        <w:spacing w:after="0" w:line="198" w:lineRule="exact"/>
        <w:rPr>
          <w:rFonts w:ascii="Times New Roman" w:cs="Times New Roman" w:eastAsia="Times New Roman" w:hAnsi="Times New Roman"/>
          <w:sz w:val="21"/>
          <w:szCs w:val="21"/>
          <w:color w:val="auto"/>
        </w:rPr>
      </w:pPr>
    </w:p>
    <w:p>
      <w:pPr>
        <w:jc w:val="both"/>
        <w:ind w:left="640" w:firstLine="1606"/>
        <w:spacing w:after="0" w:line="243" w:lineRule="auto"/>
        <w:tabs>
          <w:tab w:leader="none" w:pos="2716"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59" w:lineRule="exact"/>
        <w:rPr>
          <w:rFonts w:ascii="Times New Roman" w:cs="Times New Roman" w:eastAsia="Times New Roman" w:hAnsi="Times New Roman"/>
          <w:sz w:val="21"/>
          <w:szCs w:val="21"/>
          <w:color w:val="auto"/>
        </w:rPr>
      </w:pPr>
    </w:p>
    <w:p>
      <w:pPr>
        <w:jc w:val="both"/>
        <w:ind w:left="640" w:firstLine="1606"/>
        <w:spacing w:after="0" w:line="237" w:lineRule="auto"/>
        <w:tabs>
          <w:tab w:leader="none" w:pos="2802"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8" w:right="339" w:bottom="1440" w:gutter="0" w:footer="0" w:header="0"/>
        </w:sectPr>
      </w:pPr>
    </w:p>
    <w:bookmarkStart w:id="9" w:name="page10"/>
    <w:bookmarkEnd w:id="9"/>
    <w:p>
      <w:pPr>
        <w:jc w:val="both"/>
        <w:ind w:left="640" w:firstLine="1606"/>
        <w:spacing w:after="0" w:line="243" w:lineRule="auto"/>
        <w:tabs>
          <w:tab w:leader="none" w:pos="27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46" w:lineRule="exact"/>
        <w:rPr>
          <w:rFonts w:ascii="Times New Roman" w:cs="Times New Roman" w:eastAsia="Times New Roman" w:hAnsi="Times New Roman"/>
          <w:sz w:val="21"/>
          <w:szCs w:val="21"/>
          <w:color w:val="auto"/>
        </w:rPr>
      </w:pPr>
    </w:p>
    <w:p>
      <w:pPr>
        <w:jc w:val="both"/>
        <w:ind w:left="640" w:firstLine="1606"/>
        <w:spacing w:after="0" w:line="243" w:lineRule="auto"/>
        <w:tabs>
          <w:tab w:leader="none" w:pos="282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Notwithstanding the foregoing, no determination of “Cause” may be made pursuant to </w:t>
      </w:r>
      <w:r>
        <w:rPr>
          <w:rFonts w:ascii="Times New Roman" w:cs="Times New Roman" w:eastAsia="Times New Roman" w:hAnsi="Times New Roman"/>
          <w:sz w:val="21"/>
          <w:szCs w:val="21"/>
          <w:u w:val="single" w:color="auto"/>
          <w:color w:val="auto"/>
        </w:rPr>
        <w:t>Sections 7(a)(ii)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unless (1) within</w:t>
      </w:r>
    </w:p>
    <w:p>
      <w:pPr>
        <w:spacing w:after="0" w:line="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thirty (30) days of the Board obtaining actual knowledge of such action(s) or omissions Employee has been given written notice by the Board describing the specific alleged action(s) or omission(s) that may be subject to the possibility of cure that constitute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 xml:space="preserve">“Cause,” and (2) Employee has failed to cure any such acts or omissions within thirty (30) days of such notice from the Board. Upon the termination of Employee’s employment pursuant to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and (C)</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benefits to which Employee is entitled under the terms of any applicable benefit plan or program described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b w:val="1"/>
          <w:bCs w:val="1"/>
          <w:u w:val="single" w:color="auto"/>
          <w:color w:val="auto"/>
        </w:rPr>
        <w:t>Accrued Benefits</w:t>
      </w:r>
      <w:r>
        <w:rPr>
          <w:rFonts w:ascii="Times New Roman" w:cs="Times New Roman" w:eastAsia="Times New Roman" w:hAnsi="Times New Roman"/>
          <w:sz w:val="21"/>
          <w:szCs w:val="21"/>
          <w:color w:val="auto"/>
        </w:rPr>
        <w:t xml:space="preserve">”). In addition, subject to any limitation under applicable law, previously paid compensation pursuant to </w:t>
      </w:r>
      <w:r>
        <w:rPr>
          <w:rFonts w:ascii="Times New Roman" w:cs="Times New Roman" w:eastAsia="Times New Roman" w:hAnsi="Times New Roman"/>
          <w:sz w:val="21"/>
          <w:szCs w:val="21"/>
          <w:u w:val="single" w:color="auto"/>
          <w:color w:val="auto"/>
        </w:rPr>
        <w:t>Sections 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3(c)</w:t>
      </w:r>
      <w:r>
        <w:rPr>
          <w:rFonts w:ascii="Times New Roman" w:cs="Times New Roman" w:eastAsia="Times New Roman" w:hAnsi="Times New Roman"/>
          <w:sz w:val="21"/>
          <w:szCs w:val="21"/>
          <w:color w:val="auto"/>
        </w:rPr>
        <w:t xml:space="preserve"> (including pursuant to the Initial RSUs) shall be subject to clawback or forfeiture and cancellation at the discretion of the Compensation Committee in the event of a termination of Employee’s employment for Cause.</w:t>
      </w:r>
    </w:p>
    <w:p>
      <w:pPr>
        <w:spacing w:after="0" w:line="166" w:lineRule="exact"/>
        <w:rPr>
          <w:sz w:val="20"/>
          <w:szCs w:val="20"/>
          <w:color w:val="auto"/>
        </w:rPr>
      </w:pPr>
    </w:p>
    <w:p>
      <w:pPr>
        <w:jc w:val="both"/>
        <w:ind w:firstLine="1286"/>
        <w:spacing w:after="0" w:line="237" w:lineRule="auto"/>
        <w:tabs>
          <w:tab w:leader="none" w:pos="179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Right to Terminate for Convenience</w:t>
      </w:r>
      <w:r>
        <w:rPr>
          <w:rFonts w:ascii="Times New Roman" w:cs="Times New Roman" w:eastAsia="Times New Roman" w:hAnsi="Times New Roman"/>
          <w:sz w:val="21"/>
          <w:szCs w:val="21"/>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jc w:val="both"/>
        <w:ind w:firstLine="1286"/>
        <w:spacing w:after="0" w:line="234" w:lineRule="auto"/>
        <w:tabs>
          <w:tab w:leader="none" w:pos="183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Employee’s Right to Terminate for Good Reason</w:t>
      </w:r>
      <w:r>
        <w:rPr>
          <w:rFonts w:ascii="Times New Roman" w:cs="Times New Roman" w:eastAsia="Times New Roman" w:hAnsi="Times New Roman"/>
          <w:sz w:val="21"/>
          <w:szCs w:val="21"/>
          <w:color w:val="auto"/>
        </w:rPr>
        <w:t xml:space="preserve">. Employee shall have the right to terminate Employee’s employment with the Company at any time for Good Reason,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color w:val="auto"/>
        </w:rPr>
        <w:t>” shall mean any of the following occurring without Employee’s consent:</w:t>
      </w:r>
    </w:p>
    <w:p>
      <w:pPr>
        <w:spacing w:after="0" w:line="164" w:lineRule="exact"/>
        <w:rPr>
          <w:rFonts w:ascii="Times New Roman" w:cs="Times New Roman" w:eastAsia="Times New Roman" w:hAnsi="Times New Roman"/>
          <w:sz w:val="21"/>
          <w:szCs w:val="21"/>
          <w:color w:val="auto"/>
        </w:rPr>
      </w:pPr>
    </w:p>
    <w:p>
      <w:pPr>
        <w:ind w:left="2860" w:hanging="614"/>
        <w:spacing w:after="0"/>
        <w:tabs>
          <w:tab w:leader="none" w:pos="286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change in Employee’s title, duties or responsibilities (including reporting</w:t>
      </w:r>
    </w:p>
    <w:p>
      <w:pPr>
        <w:spacing w:after="0" w:line="9" w:lineRule="exact"/>
        <w:rPr>
          <w:rFonts w:ascii="Times New Roman" w:cs="Times New Roman" w:eastAsia="Times New Roman" w:hAnsi="Times New Roman"/>
          <w:sz w:val="21"/>
          <w:szCs w:val="21"/>
          <w:color w:val="auto"/>
        </w:rPr>
      </w:pP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responsibilities);</w:t>
      </w:r>
    </w:p>
    <w:p>
      <w:pPr>
        <w:spacing w:after="0" w:line="174" w:lineRule="exact"/>
        <w:rPr>
          <w:rFonts w:ascii="Times New Roman" w:cs="Times New Roman" w:eastAsia="Times New Roman" w:hAnsi="Times New Roman"/>
          <w:sz w:val="21"/>
          <w:szCs w:val="21"/>
          <w:color w:val="auto"/>
        </w:rPr>
      </w:pPr>
    </w:p>
    <w:p>
      <w:pPr>
        <w:ind w:left="2720" w:hanging="474"/>
        <w:spacing w:after="0"/>
        <w:tabs>
          <w:tab w:leader="none" w:pos="272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Employee’s Base Salary;</w:t>
      </w:r>
    </w:p>
    <w:p>
      <w:pPr>
        <w:spacing w:after="0" w:line="198" w:lineRule="exact"/>
        <w:rPr>
          <w:rFonts w:ascii="Times New Roman" w:cs="Times New Roman" w:eastAsia="Times New Roman" w:hAnsi="Times New Roman"/>
          <w:sz w:val="21"/>
          <w:szCs w:val="21"/>
          <w:color w:val="auto"/>
        </w:rPr>
      </w:pPr>
    </w:p>
    <w:p>
      <w:pPr>
        <w:jc w:val="both"/>
        <w:ind w:left="640" w:firstLine="1606"/>
        <w:spacing w:after="0" w:line="234" w:lineRule="auto"/>
        <w:tabs>
          <w:tab w:leader="none" w:pos="286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Employee’s primary work location to a distance of more than 50 miles from its location as of immediately prior to such change (for this purpose, Employee’s primary work location as of the Effective Date shall be Houston, Texas through the earlier of September 30, 2025 or the date Employee relocates to Southern California; provided, however, that notwithstanding anything herein to the contrary,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8" w:right="339" w:bottom="1440" w:gutter="0" w:footer="0" w:header="0"/>
        </w:sectPr>
      </w:pPr>
    </w:p>
    <w:bookmarkStart w:id="10" w:name="page11"/>
    <w:bookmarkEnd w:id="10"/>
    <w:p>
      <w:pPr>
        <w:jc w:val="both"/>
        <w:ind w:left="640"/>
        <w:spacing w:after="0" w:line="237" w:lineRule="auto"/>
        <w:rPr>
          <w:sz w:val="20"/>
          <w:szCs w:val="20"/>
          <w:color w:val="auto"/>
        </w:rPr>
      </w:pPr>
      <w:r>
        <w:rPr>
          <w:rFonts w:ascii="Times New Roman" w:cs="Times New Roman" w:eastAsia="Times New Roman" w:hAnsi="Times New Roman"/>
          <w:sz w:val="21"/>
          <w:szCs w:val="21"/>
          <w:color w:val="auto"/>
        </w:rPr>
        <w:t>Employee’s provision of services at the Company’s headquarters in Los Angeles county, California, as reasonably required by Company, and the agreed change in Employee’s primary work location to Santa Clarita, California after September 30,</w:t>
      </w:r>
    </w:p>
    <w:p>
      <w:pPr>
        <w:ind w:left="640"/>
        <w:spacing w:after="0" w:line="232" w:lineRule="auto"/>
        <w:rPr>
          <w:sz w:val="20"/>
          <w:szCs w:val="20"/>
          <w:color w:val="auto"/>
        </w:rPr>
      </w:pPr>
      <w:r>
        <w:rPr>
          <w:rFonts w:ascii="Times New Roman" w:cs="Times New Roman" w:eastAsia="Times New Roman" w:hAnsi="Times New Roman"/>
          <w:sz w:val="21"/>
          <w:szCs w:val="21"/>
          <w:color w:val="auto"/>
        </w:rPr>
        <w:t>2025 (or, if early, the date Employee relocates to Southern California) shall not constitute a change or relocation of Employee’s primary work location for purposes of this definition); or</w:t>
      </w:r>
    </w:p>
    <w:p>
      <w:pPr>
        <w:spacing w:after="0" w:line="162" w:lineRule="exact"/>
        <w:rPr>
          <w:sz w:val="20"/>
          <w:szCs w:val="20"/>
          <w:color w:val="auto"/>
        </w:rPr>
      </w:pPr>
    </w:p>
    <w:p>
      <w:pPr>
        <w:jc w:val="center"/>
        <w:ind w:right="-99"/>
        <w:spacing w:after="0"/>
        <w:tabs>
          <w:tab w:leader="none" w:pos="180" w:val="left"/>
        </w:tabs>
        <w:rPr>
          <w:sz w:val="20"/>
          <w:szCs w:val="20"/>
          <w:color w:val="auto"/>
        </w:rPr>
      </w:pPr>
      <w:r>
        <w:rPr>
          <w:rFonts w:ascii="Times New Roman" w:cs="Times New Roman" w:eastAsia="Times New Roman" w:hAnsi="Times New Roman"/>
          <w:sz w:val="21"/>
          <w:szCs w:val="21"/>
          <w:color w:val="auto"/>
        </w:rPr>
        <w:t>(iv)</w:t>
        <w:tab/>
        <w:t>a material breach by the Company of any of its obligations under this Agreement.</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The Company and Employee agree that Good Reason shall not exist unless and until Employee provides the Company with written notice of the acts alleged to constitute Good Reason within 90 days of Employee’s knowledge of the occurrence of such event, and</w:t>
      </w:r>
    </w:p>
    <w:p>
      <w:pPr>
        <w:spacing w:after="0" w:line="232" w:lineRule="auto"/>
        <w:rPr>
          <w:sz w:val="20"/>
          <w:szCs w:val="20"/>
          <w:color w:val="auto"/>
        </w:rPr>
      </w:pPr>
      <w:r>
        <w:rPr>
          <w:rFonts w:ascii="Times New Roman" w:cs="Times New Roman" w:eastAsia="Times New Roman" w:hAnsi="Times New Roman"/>
          <w:sz w:val="21"/>
          <w:szCs w:val="21"/>
          <w:color w:val="auto"/>
        </w:rPr>
        <w:t>Company fails to cure such acts within 30 days of receipt of such notice. Employee must terminate employment within 60 days following the expiration of such cure period for the termination to be on account of Good Reason.</w:t>
      </w:r>
    </w:p>
    <w:p>
      <w:pPr>
        <w:spacing w:after="0" w:line="162" w:lineRule="exact"/>
        <w:rPr>
          <w:sz w:val="20"/>
          <w:szCs w:val="20"/>
          <w:color w:val="auto"/>
        </w:rPr>
      </w:pPr>
    </w:p>
    <w:p>
      <w:pPr>
        <w:jc w:val="both"/>
        <w:ind w:firstLine="1286"/>
        <w:spacing w:after="0" w:line="225" w:lineRule="auto"/>
        <w:tabs>
          <w:tab w:leader="none" w:pos="180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75" w:lineRule="exact"/>
        <w:rPr>
          <w:rFonts w:ascii="Times New Roman" w:cs="Times New Roman" w:eastAsia="Times New Roman" w:hAnsi="Times New Roman"/>
          <w:sz w:val="21"/>
          <w:szCs w:val="21"/>
          <w:color w:val="auto"/>
        </w:rPr>
      </w:pPr>
    </w:p>
    <w:p>
      <w:pPr>
        <w:jc w:val="both"/>
        <w:ind w:firstLine="1286"/>
        <w:spacing w:after="0" w:line="229" w:lineRule="auto"/>
        <w:tabs>
          <w:tab w:leader="none" w:pos="1836"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Employee’s Right to Terminate for Convenience</w:t>
      </w:r>
      <w:r>
        <w:rPr>
          <w:rFonts w:ascii="Times New Roman" w:cs="Times New Roman" w:eastAsia="Times New Roman" w:hAnsi="Times New Roman"/>
          <w:sz w:val="21"/>
          <w:szCs w:val="21"/>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Upon the termination of Employee’s employment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8" w:right="3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21"/>
          <w:szCs w:val="21"/>
          <w:color w:val="auto"/>
        </w:rPr>
        <w:t xml:space="preserve">to this </w:t>
      </w:r>
      <w:r>
        <w:rPr>
          <w:rFonts w:ascii="Times New Roman" w:cs="Times New Roman" w:eastAsia="Times New Roman" w:hAnsi="Times New Roman"/>
          <w:sz w:val="21"/>
          <w:szCs w:val="21"/>
          <w:u w:val="single" w:color="auto"/>
          <w:color w:val="auto"/>
        </w:rPr>
        <w:t>Section 7(e)</w:t>
      </w:r>
      <w:r>
        <w:rPr>
          <w:rFonts w:ascii="Times New Roman" w:cs="Times New Roman" w:eastAsia="Times New Roman" w:hAnsi="Times New Roman"/>
          <w:sz w:val="21"/>
          <w:szCs w:val="21"/>
          <w:color w:val="auto"/>
        </w:rPr>
        <w:t xml:space="preserve"> or at the expiration of the term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because Employee provided written notice of non-renewal to the Company, then the Company shall pay to Employee the Accrued Benefits.</w:t>
      </w:r>
    </w:p>
    <w:p>
      <w:pPr>
        <w:spacing w:after="0" w:line="141" w:lineRule="exact"/>
        <w:rPr>
          <w:sz w:val="20"/>
          <w:szCs w:val="20"/>
          <w:color w:val="auto"/>
        </w:rPr>
      </w:pPr>
    </w:p>
    <w:p>
      <w:pPr>
        <w:ind w:left="1720" w:hanging="434"/>
        <w:spacing w:after="0"/>
        <w:tabs>
          <w:tab w:leader="none" w:pos="17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 of Employment without Cause, for Good Reason or for Non-Renewal by the Company</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1606"/>
        <w:spacing w:after="0" w:line="226" w:lineRule="auto"/>
        <w:tabs>
          <w:tab w:leader="none" w:pos="2666"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Employee’s employment is terminated at the expiration of the term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because the Company provided written notice of non-renewal to Employee, or prior to the expiration of such term by the Company without Cause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then:</w:t>
      </w:r>
    </w:p>
    <w:p>
      <w:pPr>
        <w:spacing w:after="0" w:line="160" w:lineRule="exact"/>
        <w:rPr>
          <w:rFonts w:ascii="Times New Roman" w:cs="Times New Roman" w:eastAsia="Times New Roman" w:hAnsi="Times New Roman"/>
          <w:sz w:val="21"/>
          <w:szCs w:val="21"/>
          <w:color w:val="auto"/>
        </w:rPr>
      </w:pPr>
    </w:p>
    <w:p>
      <w:pPr>
        <w:jc w:val="both"/>
        <w:ind w:left="1280" w:firstLine="1605"/>
        <w:spacing w:after="0" w:line="226" w:lineRule="auto"/>
        <w:tabs>
          <w:tab w:leader="none" w:pos="3471"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make severance payments to Employee in a total amount equal to a multiplier of one and one-half (1.5) (or if such termination occurs upon or within the one (1)-year period following a Change in Control (as defined below) (“</w:t>
      </w:r>
      <w:r>
        <w:rPr>
          <w:rFonts w:ascii="Times New Roman" w:cs="Times New Roman" w:eastAsia="Times New Roman" w:hAnsi="Times New Roman"/>
          <w:sz w:val="21"/>
          <w:szCs w:val="21"/>
          <w:b w:val="1"/>
          <w:bCs w:val="1"/>
          <w:u w:val="single" w:color="auto"/>
          <w:color w:val="auto"/>
        </w:rPr>
        <w:t>a CIC Termination</w:t>
      </w:r>
      <w:r>
        <w:rPr>
          <w:rFonts w:ascii="Times New Roman" w:cs="Times New Roman" w:eastAsia="Times New Roman" w:hAnsi="Times New Roman"/>
          <w:sz w:val="21"/>
          <w:szCs w:val="21"/>
          <w:color w:val="auto"/>
        </w:rPr>
        <w:t>”), a multiple of two (2)) times the sum of the Employee’s Base Salary as of the date on which the Employee’s employment terminates (the “</w:t>
      </w:r>
      <w:r>
        <w:rPr>
          <w:rFonts w:ascii="Times New Roman" w:cs="Times New Roman" w:eastAsia="Times New Roman" w:hAnsi="Times New Roman"/>
          <w:sz w:val="21"/>
          <w:szCs w:val="21"/>
          <w:b w:val="1"/>
          <w:bCs w:val="1"/>
          <w:u w:val="single" w:color="auto"/>
          <w:color w:val="auto"/>
        </w:rPr>
        <w:t>Termination Date</w:t>
      </w:r>
      <w:r>
        <w:rPr>
          <w:rFonts w:ascii="Times New Roman" w:cs="Times New Roman" w:eastAsia="Times New Roman" w:hAnsi="Times New Roman"/>
          <w:sz w:val="21"/>
          <w:szCs w:val="21"/>
          <w:color w:val="auto"/>
        </w:rPr>
        <w:t>”) plus the Employee’s target Annual Bonus for the year in which the Termination Date occurs (such total severance payments being referred to as the “</w:t>
      </w:r>
      <w:r>
        <w:rPr>
          <w:rFonts w:ascii="Times New Roman" w:cs="Times New Roman" w:eastAsia="Times New Roman" w:hAnsi="Times New Roman"/>
          <w:sz w:val="21"/>
          <w:szCs w:val="21"/>
          <w:b w:val="1"/>
          <w:bCs w:val="1"/>
          <w:u w:val="single" w:color="auto"/>
          <w:color w:val="auto"/>
        </w:rPr>
        <w:t>Severance Payment</w:t>
      </w:r>
      <w:r>
        <w:rPr>
          <w:rFonts w:ascii="Times New Roman" w:cs="Times New Roman" w:eastAsia="Times New Roman" w:hAnsi="Times New Roman"/>
          <w:sz w:val="21"/>
          <w:szCs w:val="21"/>
          <w:color w:val="auto"/>
        </w:rPr>
        <w:t>”). The Severance Payment will be divided into substantially equal installments paid over the eighteen (18)-month period following the Termination Date (or, in the event of a CIC Termination, over the twenty-four (24) 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1"/>
          <w:szCs w:val="21"/>
          <w:b w:val="1"/>
          <w:bCs w:val="1"/>
          <w:u w:val="single" w:color="auto"/>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Payment Date</w:t>
      </w:r>
      <w:r>
        <w:rPr>
          <w:rFonts w:ascii="Times New Roman" w:cs="Times New Roman" w:eastAsia="Times New Roman" w:hAnsi="Times New Roman"/>
          <w:sz w:val="21"/>
          <w:szCs w:val="21"/>
          <w:color w:val="auto"/>
        </w:rPr>
        <w:t>”), the Company shall pay to Employee, without interest, a number of such installments equal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78" w:right="339" w:bottom="1440" w:gutter="0" w:footer="0" w:header="0"/>
        </w:sectPr>
      </w:pPr>
    </w:p>
    <w:bookmarkStart w:id="12" w:name="page13"/>
    <w:bookmarkEnd w:id="12"/>
    <w:p>
      <w:pPr>
        <w:jc w:val="both"/>
        <w:ind w:left="160"/>
        <w:spacing w:after="0" w:line="239" w:lineRule="auto"/>
        <w:rPr>
          <w:sz w:val="20"/>
          <w:szCs w:val="20"/>
          <w:color w:val="auto"/>
        </w:rPr>
      </w:pPr>
      <w:r>
        <w:rPr>
          <w:rFonts w:ascii="Times New Roman" w:cs="Times New Roman" w:eastAsia="Times New Roman" w:hAnsi="Times New Roman"/>
          <w:sz w:val="21"/>
          <w:szCs w:val="21"/>
          <w:color w:val="auto"/>
        </w:rPr>
        <w:t xml:space="preserve">the remainder of the eighteen (18)-month or twenty-four (24)-month period,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to the extent, if any, that the aggregate amount of the installments of the Severance Payment that would otherwise be</w:t>
      </w:r>
    </w:p>
    <w:p>
      <w:pPr>
        <w:jc w:val="both"/>
        <w:ind w:left="160"/>
        <w:spacing w:after="0" w:line="218" w:lineRule="auto"/>
        <w:rPr>
          <w:sz w:val="20"/>
          <w:szCs w:val="20"/>
          <w:color w:val="auto"/>
        </w:rPr>
      </w:pPr>
      <w:r>
        <w:rPr>
          <w:rFonts w:ascii="Times New Roman" w:cs="Times New Roman" w:eastAsia="Times New Roman" w:hAnsi="Times New Roman"/>
          <w:sz w:val="21"/>
          <w:szCs w:val="21"/>
          <w:color w:val="auto"/>
        </w:rPr>
        <w:t xml:space="preserve">paid pursuant to the preceding provisions of this </w:t>
      </w:r>
      <w:r>
        <w:rPr>
          <w:rFonts w:ascii="Times New Roman" w:cs="Times New Roman" w:eastAsia="Times New Roman" w:hAnsi="Times New Roman"/>
          <w:sz w:val="21"/>
          <w:szCs w:val="21"/>
          <w:u w:val="single" w:color="auto"/>
          <w:color w:val="auto"/>
        </w:rPr>
        <w:t>Section 7(f)(i)</w:t>
      </w:r>
      <w:r>
        <w:rPr>
          <w:rFonts w:ascii="Times New Roman" w:cs="Times New Roman" w:eastAsia="Times New Roman" w:hAnsi="Times New Roman"/>
          <w:sz w:val="21"/>
          <w:szCs w:val="21"/>
          <w:color w:val="auto"/>
        </w:rPr>
        <w:t xml:space="preserve"> after March 15 of the calendar year following the calendar year in which the Termination Date occurs (the “</w:t>
      </w:r>
      <w:r>
        <w:rPr>
          <w:rFonts w:ascii="Times New Roman" w:cs="Times New Roman" w:eastAsia="Times New Roman" w:hAnsi="Times New Roman"/>
          <w:sz w:val="21"/>
          <w:szCs w:val="21"/>
          <w:b w:val="1"/>
          <w:bCs w:val="1"/>
          <w:u w:val="single" w:color="auto"/>
          <w:color w:val="auto"/>
        </w:rPr>
        <w:t>Applicable March 15</w:t>
      </w:r>
      <w:r>
        <w:rPr>
          <w:rFonts w:ascii="Times New Roman" w:cs="Times New Roman" w:eastAsia="Times New Roman" w:hAnsi="Times New Roman"/>
          <w:sz w:val="21"/>
          <w:szCs w:val="21"/>
          <w:color w:val="auto"/>
        </w:rPr>
        <w:t>”) exceeds the maximum exemption</w:t>
      </w:r>
    </w:p>
    <w:p>
      <w:pPr>
        <w:spacing w:after="0" w:line="1" w:lineRule="exact"/>
        <w:rPr>
          <w:sz w:val="20"/>
          <w:szCs w:val="20"/>
          <w:color w:val="auto"/>
        </w:rPr>
      </w:pPr>
    </w:p>
    <w:p>
      <w:pPr>
        <w:jc w:val="both"/>
        <w:ind w:left="160"/>
        <w:spacing w:after="0" w:line="225" w:lineRule="auto"/>
        <w:rPr>
          <w:sz w:val="20"/>
          <w:szCs w:val="20"/>
          <w:color w:val="auto"/>
        </w:rPr>
      </w:pPr>
      <w:r>
        <w:rPr>
          <w:rFonts w:ascii="Times New Roman" w:cs="Times New Roman" w:eastAsia="Times New Roman" w:hAnsi="Times New Roman"/>
          <w:sz w:val="21"/>
          <w:szCs w:val="21"/>
          <w:color w:val="auto"/>
        </w:rPr>
        <w:t>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w:t>
      </w:r>
    </w:p>
    <w:p>
      <w:pPr>
        <w:spacing w:after="0" w:line="1" w:lineRule="exact"/>
        <w:rPr>
          <w:sz w:val="20"/>
          <w:szCs w:val="20"/>
          <w:color w:val="auto"/>
        </w:rPr>
      </w:pPr>
    </w:p>
    <w:p>
      <w:pPr>
        <w:jc w:val="both"/>
        <w:ind w:left="160"/>
        <w:spacing w:after="0" w:line="218" w:lineRule="auto"/>
        <w:rPr>
          <w:sz w:val="20"/>
          <w:szCs w:val="20"/>
          <w:color w:val="auto"/>
        </w:rPr>
      </w:pPr>
      <w:r>
        <w:rPr>
          <w:rFonts w:ascii="Times New Roman" w:cs="Times New Roman" w:eastAsia="Times New Roman" w:hAnsi="Times New Roman"/>
          <w:sz w:val="21"/>
          <w:szCs w:val="21"/>
          <w:color w:val="auto"/>
        </w:rPr>
        <w:t>after the Applicable March 15 shall be reduced by such excess (beginning with the installment first payable after the Applicable March 15 and continuing with the next succeeding installment until the aggregate reduction equals such</w:t>
      </w:r>
    </w:p>
    <w:p>
      <w:pPr>
        <w:spacing w:after="0" w:line="1" w:lineRule="exact"/>
        <w:rPr>
          <w:sz w:val="20"/>
          <w:szCs w:val="20"/>
          <w:color w:val="auto"/>
        </w:rPr>
      </w:pPr>
    </w:p>
    <w:p>
      <w:pPr>
        <w:jc w:val="both"/>
        <w:ind w:left="160"/>
        <w:spacing w:after="0" w:line="234" w:lineRule="auto"/>
        <w:rPr>
          <w:sz w:val="20"/>
          <w:szCs w:val="20"/>
          <w:color w:val="auto"/>
        </w:rPr>
      </w:pPr>
      <w:r>
        <w:rPr>
          <w:rFonts w:ascii="Times New Roman" w:cs="Times New Roman" w:eastAsia="Times New Roman" w:hAnsi="Times New Roman"/>
          <w:sz w:val="21"/>
          <w:szCs w:val="21"/>
          <w:color w:val="auto"/>
        </w:rPr>
        <w:t>excess). “</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xml:space="preserve">” shall mean any day except a Saturday, Sunday or other day on which commercial banks in San Francisco, California, are authorized or required by law to be closed. Solely for purposes of this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be defined as such term is defined in the LTIP.</w:t>
      </w:r>
    </w:p>
    <w:p>
      <w:pPr>
        <w:spacing w:after="0" w:line="163" w:lineRule="exact"/>
        <w:rPr>
          <w:sz w:val="20"/>
          <w:szCs w:val="20"/>
          <w:color w:val="auto"/>
        </w:rPr>
      </w:pPr>
    </w:p>
    <w:p>
      <w:pPr>
        <w:jc w:val="both"/>
        <w:ind w:left="160" w:firstLine="1605"/>
        <w:spacing w:after="0" w:line="228" w:lineRule="auto"/>
        <w:tabs>
          <w:tab w:leader="none" w:pos="2389"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w:t>
      </w:r>
    </w:p>
    <w:p>
      <w:pPr>
        <w:spacing w:after="0" w:line="166" w:lineRule="exact"/>
        <w:rPr>
          <w:rFonts w:ascii="Times New Roman" w:cs="Times New Roman" w:eastAsia="Times New Roman" w:hAnsi="Times New Roman"/>
          <w:sz w:val="21"/>
          <w:szCs w:val="21"/>
          <w:color w:val="auto"/>
        </w:rPr>
      </w:pPr>
    </w:p>
    <w:p>
      <w:pPr>
        <w:jc w:val="both"/>
        <w:ind w:left="160" w:firstLine="1605"/>
        <w:spacing w:after="0" w:line="225" w:lineRule="auto"/>
        <w:tabs>
          <w:tab w:leader="none" w:pos="249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portion, if any, of the initial eighteen (18)-month period following the Termination Date (or in the event of a CIC Termination, a twenty-four (24)-month period) (the “</w:t>
      </w:r>
      <w:r>
        <w:rPr>
          <w:rFonts w:ascii="Times New Roman" w:cs="Times New Roman" w:eastAsia="Times New Roman" w:hAnsi="Times New Roman"/>
          <w:sz w:val="21"/>
          <w:szCs w:val="21"/>
          <w:b w:val="1"/>
          <w:bCs w:val="1"/>
          <w:u w:val="single" w:color="auto"/>
          <w:color w:val="auto"/>
        </w:rPr>
        <w:t>Reimbursement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Period</w:t>
      </w:r>
      <w:r>
        <w:rPr>
          <w:rFonts w:ascii="Times New Roman" w:cs="Times New Roman" w:eastAsia="Times New Roman" w:hAnsi="Times New Roman"/>
          <w:sz w:val="21"/>
          <w:szCs w:val="21"/>
          <w:color w:val="auto"/>
        </w:rPr>
        <w:t>”) that Employee elects to continue coverage for Employee and Employee’s spouse and eligible dependents,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any, under the Company’s group health plans pursuant to the Consolidated Omnibus Budget Reconciliation Act of 1985, as amended (“</w:t>
      </w:r>
      <w:r>
        <w:rPr>
          <w:rFonts w:ascii="Times New Roman" w:cs="Times New Roman" w:eastAsia="Times New Roman" w:hAnsi="Times New Roman"/>
          <w:sz w:val="21"/>
          <w:szCs w:val="21"/>
          <w:b w:val="1"/>
          <w:bCs w:val="1"/>
          <w:u w:val="single" w:color="auto"/>
          <w:color w:val="auto"/>
        </w:rPr>
        <w:t>COBRA</w:t>
      </w:r>
      <w:r>
        <w:rPr>
          <w:rFonts w:ascii="Times New Roman" w:cs="Times New Roman" w:eastAsia="Times New Roman" w:hAnsi="Times New Roman"/>
          <w:sz w:val="21"/>
          <w:szCs w:val="21"/>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Times New Roman" w:cs="Times New Roman" w:eastAsia="Times New Roman" w:hAnsi="Times New Roman"/>
          <w:sz w:val="21"/>
          <w:szCs w:val="21"/>
          <w:b w:val="1"/>
          <w:bCs w:val="1"/>
          <w:u w:val="single" w:color="auto"/>
          <w:color w:val="auto"/>
        </w:rPr>
        <w:t>COBRA Benefit</w:t>
      </w:r>
      <w:r>
        <w:rPr>
          <w:rFonts w:ascii="Times New Roman" w:cs="Times New Roman" w:eastAsia="Times New Roman" w:hAnsi="Times New Roman"/>
          <w:sz w:val="21"/>
          <w:szCs w:val="21"/>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120"/>
          </w:cols>
          <w:pgMar w:left="1440" w:top="1374" w:right="339" w:bottom="1440" w:gutter="0" w:footer="0" w:header="0"/>
        </w:sectPr>
      </w:pPr>
    </w:p>
    <w:bookmarkStart w:id="13" w:name="page14"/>
    <w:bookmarkEnd w:id="13"/>
    <w:p>
      <w:pPr>
        <w:jc w:val="both"/>
        <w:ind w:left="1280"/>
        <w:spacing w:after="0" w:line="237" w:lineRule="auto"/>
        <w:rPr>
          <w:sz w:val="20"/>
          <w:szCs w:val="20"/>
          <w:color w:val="auto"/>
        </w:rPr>
      </w:pPr>
      <w:r>
        <w:rPr>
          <w:rFonts w:ascii="Times New Roman" w:cs="Times New Roman" w:eastAsia="Times New Roman" w:hAnsi="Times New Roman"/>
          <w:sz w:val="21"/>
          <w:szCs w:val="21"/>
          <w:color w:val="auto"/>
        </w:rPr>
        <w:t>coverage under a group health plan sponsored by another employer (and any such eligibility shall be promptly reported to the Company by Employee); provided, however, that the election of COBRA continuation coverage and</w:t>
      </w:r>
    </w:p>
    <w:p>
      <w:pPr>
        <w:jc w:val="both"/>
        <w:ind w:left="1280"/>
        <w:spacing w:after="0" w:line="218" w:lineRule="auto"/>
        <w:rPr>
          <w:sz w:val="20"/>
          <w:szCs w:val="20"/>
          <w:color w:val="auto"/>
        </w:rPr>
      </w:pPr>
      <w:r>
        <w:rPr>
          <w:rFonts w:ascii="Times New Roman" w:cs="Times New Roman" w:eastAsia="Times New Roman" w:hAnsi="Times New Roman"/>
          <w:sz w:val="21"/>
          <w:szCs w:val="21"/>
          <w:color w:val="auto"/>
        </w:rPr>
        <w:t>the payment of any premiums due with respect to such COBRA continuation coverage shall remain Employee’s sole responsibility, and the Company shall not assume any obligation for payment of any such premiums relating to such</w:t>
      </w:r>
    </w:p>
    <w:p>
      <w:pPr>
        <w:spacing w:after="0" w:line="1" w:lineRule="exact"/>
        <w:rPr>
          <w:sz w:val="20"/>
          <w:szCs w:val="20"/>
          <w:color w:val="auto"/>
        </w:rPr>
      </w:pPr>
    </w:p>
    <w:p>
      <w:pPr>
        <w:jc w:val="both"/>
        <w:ind w:left="1280"/>
        <w:spacing w:after="0" w:line="225" w:lineRule="auto"/>
        <w:rPr>
          <w:sz w:val="20"/>
          <w:szCs w:val="20"/>
          <w:color w:val="auto"/>
        </w:rPr>
      </w:pPr>
      <w:r>
        <w:rPr>
          <w:rFonts w:ascii="Times New Roman" w:cs="Times New Roman" w:eastAsia="Times New Roman" w:hAnsi="Times New Roman"/>
          <w:sz w:val="21"/>
          <w:szCs w:val="21"/>
          <w:color w:val="auto"/>
        </w:rPr>
        <w:t>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w:t>
      </w:r>
    </w:p>
    <w:p>
      <w:pPr>
        <w:spacing w:after="0" w:line="1" w:lineRule="exact"/>
        <w:rPr>
          <w:sz w:val="20"/>
          <w:szCs w:val="20"/>
          <w:color w:val="auto"/>
        </w:rPr>
      </w:pPr>
    </w:p>
    <w:p>
      <w:pPr>
        <w:jc w:val="both"/>
        <w:ind w:left="1280"/>
        <w:spacing w:after="0" w:line="232" w:lineRule="auto"/>
        <w:rPr>
          <w:sz w:val="20"/>
          <w:szCs w:val="20"/>
          <w:color w:val="auto"/>
        </w:rPr>
      </w:pPr>
      <w:r>
        <w:rPr>
          <w:rFonts w:ascii="Times New Roman" w:cs="Times New Roman" w:eastAsia="Times New Roman" w:hAnsi="Times New Roman"/>
          <w:sz w:val="21"/>
          <w:szCs w:val="21"/>
          <w:color w:val="auto"/>
        </w:rPr>
        <w:t>faith to determine an alternative manner in which the Company may provide substantially equivalent benefits to Employee without such adverse impact on the Company or such other member of the Company Group.</w:t>
      </w:r>
    </w:p>
    <w:p>
      <w:pPr>
        <w:spacing w:after="0" w:line="162" w:lineRule="exact"/>
        <w:rPr>
          <w:sz w:val="20"/>
          <w:szCs w:val="20"/>
          <w:color w:val="auto"/>
        </w:rPr>
      </w:pPr>
    </w:p>
    <w:p>
      <w:pPr>
        <w:ind w:left="2560"/>
        <w:spacing w:after="0"/>
        <w:tabs>
          <w:tab w:leader="none" w:pos="3060" w:val="left"/>
        </w:tabs>
        <w:rPr>
          <w:sz w:val="20"/>
          <w:szCs w:val="20"/>
          <w:color w:val="auto"/>
        </w:rPr>
      </w:pPr>
      <w:r>
        <w:rPr>
          <w:rFonts w:ascii="Times New Roman" w:cs="Times New Roman" w:eastAsia="Times New Roman" w:hAnsi="Times New Roman"/>
          <w:sz w:val="21"/>
          <w:szCs w:val="21"/>
          <w:color w:val="auto"/>
        </w:rPr>
        <w:t>(D)</w:t>
        <w:tab/>
        <w:t>One hundred percent (100%) of the Initial RSUs shall immediately become nonforfeitable.</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payments and benefits described in clauses (A), (B), (C) and (D) above are collectively referred to herein as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Termination Benefits</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left="640" w:firstLine="1606"/>
        <w:spacing w:after="0" w:line="228" w:lineRule="auto"/>
        <w:tabs>
          <w:tab w:leader="none" w:pos="279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 w:cs="Times New Roman" w:eastAsia="Times New Roman" w:hAnsi="Times New Roman"/>
          <w:sz w:val="21"/>
          <w:szCs w:val="21"/>
          <w:b w:val="1"/>
          <w:bCs w:val="1"/>
          <w:u w:val="single" w:color="auto"/>
          <w:color w:val="auto"/>
        </w:rPr>
        <w:t>Release Expiration Date</w:t>
      </w:r>
      <w:r>
        <w:rPr>
          <w:rFonts w:ascii="Times New Roman" w:cs="Times New Roman" w:eastAsia="Times New Roman" w:hAnsi="Times New Roman"/>
          <w:sz w:val="21"/>
          <w:szCs w:val="21"/>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66" w:lineRule="exact"/>
        <w:rPr>
          <w:rFonts w:ascii="Times New Roman" w:cs="Times New Roman" w:eastAsia="Times New Roman" w:hAnsi="Times New Roman"/>
          <w:sz w:val="21"/>
          <w:szCs w:val="21"/>
          <w:color w:val="auto"/>
        </w:rPr>
      </w:pPr>
    </w:p>
    <w:p>
      <w:pPr>
        <w:jc w:val="both"/>
        <w:ind w:firstLine="1286"/>
        <w:spacing w:after="0" w:line="227" w:lineRule="auto"/>
        <w:tabs>
          <w:tab w:leader="none" w:pos="1781"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After-Acquired Evidence</w:t>
      </w:r>
      <w:r>
        <w:rPr>
          <w:rFonts w:ascii="Times New Roman" w:cs="Times New Roman" w:eastAsia="Times New Roman" w:hAnsi="Times New Roman"/>
          <w:sz w:val="21"/>
          <w:szCs w:val="21"/>
          <w:color w:val="auto"/>
        </w:rPr>
        <w:t xml:space="preserve">. Notwithstanding any provision of this Agreement to the contrary, in the event that the Company determines, in good faith, that Employee is eligible to receive the Termination Benefits pursuant to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1"/>
          <w:szCs w:val="21"/>
          <w:u w:val="single" w:color="auto"/>
          <w:color w:val="auto"/>
        </w:rPr>
        <w:t>Section 7(g)</w:t>
      </w:r>
      <w:r>
        <w:rPr>
          <w:rFonts w:ascii="Times New Roman" w:cs="Times New Roman" w:eastAsia="Times New Roman" w:hAnsi="Times New Roman"/>
          <w:sz w:val="21"/>
          <w:szCs w:val="21"/>
          <w:color w:val="auto"/>
        </w:rPr>
        <w:t xml:space="preserve"> have been satisfied. In addition, the provisions of the last sentence of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shall apply, and, subject to any limitation under applicable law, previously paid compensation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3(c)</w:t>
      </w:r>
      <w:r>
        <w:rPr>
          <w:rFonts w:ascii="Times New Roman" w:cs="Times New Roman" w:eastAsia="Times New Roman" w:hAnsi="Times New Roman"/>
          <w:sz w:val="21"/>
          <w:szCs w:val="21"/>
          <w:color w:val="auto"/>
        </w:rPr>
        <w:t xml:space="preserve"> (including pursuant to the Initial RSUs)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8" w:right="339" w:bottom="1440" w:gutter="0" w:footer="0" w:header="0"/>
        </w:sectPr>
      </w:pPr>
    </w:p>
    <w:bookmarkStart w:id="14" w:name="page15"/>
    <w:bookmarkEnd w:id="14"/>
    <w:p>
      <w:pPr>
        <w:jc w:val="both"/>
        <w:ind w:firstLine="646"/>
        <w:spacing w:after="0" w:line="232" w:lineRule="auto"/>
        <w:tabs>
          <w:tab w:leader="none" w:pos="106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Disclosures</w:t>
      </w:r>
      <w:r>
        <w:rPr>
          <w:rFonts w:ascii="Times New Roman" w:cs="Times New Roman" w:eastAsia="Times New Roman" w:hAnsi="Times New Roman"/>
          <w:sz w:val="21"/>
          <w:szCs w:val="21"/>
          <w:color w:val="auto"/>
        </w:rPr>
        <w:t>. Promptly (and in any event, within three (3) Business Days) upon becoming aware of (a) any actual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1"/>
          <w:szCs w:val="21"/>
          <w:b w:val="1"/>
          <w:bCs w:val="1"/>
          <w:u w:val="single" w:color="auto"/>
          <w:color w:val="auto"/>
        </w:rPr>
        <w:t>Conflict of Interest</w:t>
      </w:r>
      <w:r>
        <w:rPr>
          <w:rFonts w:ascii="Times New Roman" w:cs="Times New Roman" w:eastAsia="Times New Roman" w:hAnsi="Times New Roman"/>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58" w:lineRule="exact"/>
        <w:rPr>
          <w:rFonts w:ascii="Times New Roman" w:cs="Times New Roman" w:eastAsia="Times New Roman" w:hAnsi="Times New Roman"/>
          <w:sz w:val="21"/>
          <w:szCs w:val="21"/>
          <w:color w:val="auto"/>
        </w:rPr>
      </w:pPr>
    </w:p>
    <w:p>
      <w:pPr>
        <w:jc w:val="both"/>
        <w:ind w:firstLine="646"/>
        <w:spacing w:after="0" w:line="233" w:lineRule="auto"/>
        <w:tabs>
          <w:tab w:leader="none" w:pos="111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 In the course of Employee’s employment with the Company and the performance of Employee’s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jc w:val="both"/>
        <w:ind w:firstLine="1286"/>
        <w:spacing w:after="0" w:line="230" w:lineRule="auto"/>
        <w:tabs>
          <w:tab w:leader="none" w:pos="1819"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52" w:lineRule="exact"/>
        <w:rPr>
          <w:rFonts w:ascii="Times New Roman" w:cs="Times New Roman" w:eastAsia="Times New Roman" w:hAnsi="Times New Roman"/>
          <w:sz w:val="21"/>
          <w:szCs w:val="21"/>
          <w:color w:val="auto"/>
        </w:rPr>
      </w:pPr>
    </w:p>
    <w:p>
      <w:pPr>
        <w:ind w:right="20" w:firstLine="1286"/>
        <w:spacing w:after="0" w:line="261" w:lineRule="auto"/>
        <w:tabs>
          <w:tab w:leader="none" w:pos="1768"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of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to the contrary, Employee may make the following disclosures and uses of Confidential Information:</w:t>
      </w:r>
    </w:p>
    <w:p>
      <w:pPr>
        <w:spacing w:after="0" w:line="141" w:lineRule="exact"/>
        <w:rPr>
          <w:rFonts w:ascii="Times New Roman" w:cs="Times New Roman" w:eastAsia="Times New Roman" w:hAnsi="Times New Roman"/>
          <w:sz w:val="21"/>
          <w:szCs w:val="21"/>
          <w:color w:val="auto"/>
        </w:rPr>
      </w:pPr>
    </w:p>
    <w:p>
      <w:pPr>
        <w:ind w:left="640" w:firstLine="1286"/>
        <w:spacing w:after="0" w:line="261" w:lineRule="auto"/>
        <w:tabs>
          <w:tab w:leader="none" w:pos="2443"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to other employees of a member of the Company Group who have a need to know the information in connection with the businesses of the Company Group;</w:t>
      </w:r>
    </w:p>
    <w:p>
      <w:pPr>
        <w:spacing w:after="0" w:line="141" w:lineRule="exact"/>
        <w:rPr>
          <w:rFonts w:ascii="Times New Roman" w:cs="Times New Roman" w:eastAsia="Times New Roman" w:hAnsi="Times New Roman"/>
          <w:sz w:val="21"/>
          <w:szCs w:val="21"/>
          <w:color w:val="auto"/>
        </w:rPr>
      </w:pPr>
    </w:p>
    <w:p>
      <w:pPr>
        <w:jc w:val="both"/>
        <w:ind w:left="640" w:firstLine="1286"/>
        <w:spacing w:after="0" w:line="237" w:lineRule="auto"/>
        <w:tabs>
          <w:tab w:leader="none" w:pos="2421"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64" w:lineRule="exact"/>
        <w:rPr>
          <w:rFonts w:ascii="Times New Roman" w:cs="Times New Roman" w:eastAsia="Times New Roman" w:hAnsi="Times New Roman"/>
          <w:sz w:val="21"/>
          <w:szCs w:val="21"/>
          <w:color w:val="auto"/>
        </w:rPr>
      </w:pPr>
    </w:p>
    <w:p>
      <w:pPr>
        <w:ind w:left="2460" w:hanging="534"/>
        <w:spacing w:after="0"/>
        <w:tabs>
          <w:tab w:leader="none" w:pos="2460"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and uses that are approved in writing by the Board; or</w:t>
      </w:r>
    </w:p>
    <w:p>
      <w:pPr>
        <w:spacing w:after="0" w:line="198" w:lineRule="exact"/>
        <w:rPr>
          <w:rFonts w:ascii="Times New Roman" w:cs="Times New Roman" w:eastAsia="Times New Roman" w:hAnsi="Times New Roman"/>
          <w:sz w:val="21"/>
          <w:szCs w:val="21"/>
          <w:color w:val="auto"/>
        </w:rPr>
      </w:pPr>
    </w:p>
    <w:p>
      <w:pPr>
        <w:jc w:val="both"/>
        <w:ind w:left="640" w:firstLine="1286"/>
        <w:spacing w:after="0" w:line="237" w:lineRule="auto"/>
        <w:tabs>
          <w:tab w:leader="none" w:pos="2525"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64" w:lineRule="exact"/>
        <w:rPr>
          <w:rFonts w:ascii="Times New Roman" w:cs="Times New Roman" w:eastAsia="Times New Roman" w:hAnsi="Times New Roman"/>
          <w:sz w:val="21"/>
          <w:szCs w:val="21"/>
          <w:color w:val="auto"/>
        </w:rPr>
      </w:pPr>
    </w:p>
    <w:p>
      <w:pPr>
        <w:jc w:val="both"/>
        <w:ind w:firstLine="1286"/>
        <w:spacing w:after="0" w:line="243" w:lineRule="auto"/>
        <w:tabs>
          <w:tab w:leader="none" w:pos="1737"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4" w:right="339" w:bottom="1440" w:gutter="0" w:footer="0" w:header="0"/>
        </w:sectPr>
      </w:pPr>
    </w:p>
    <w:bookmarkStart w:id="15" w:name="page16"/>
    <w:bookmarkEnd w:id="15"/>
    <w:p>
      <w:pPr>
        <w:spacing w:after="0" w:line="15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materials of any nature containing or pertaining to all Confidential Information and any other Company Group property (including any Company Group-issued computer, mobile device or other equipment) in Employee’s possession, custody or control and</w:t>
      </w:r>
    </w:p>
    <w:p>
      <w:pPr>
        <w:spacing w:after="0" w:line="218" w:lineRule="auto"/>
        <w:rPr>
          <w:sz w:val="20"/>
          <w:szCs w:val="20"/>
          <w:color w:val="auto"/>
        </w:rPr>
      </w:pPr>
      <w:r>
        <w:rPr>
          <w:rFonts w:ascii="Times New Roman" w:cs="Times New Roman" w:eastAsia="Times New Roman" w:hAnsi="Times New Roman"/>
          <w:sz w:val="21"/>
          <w:szCs w:val="21"/>
          <w:color w:val="auto"/>
        </w:rPr>
        <w:t>Employee shall not retain any such documents or other materials or property of the Company Group. Within five (5) days of any such request, Employee shall certify to the Company in writing that all such documents, materials and property have been returned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Company.</w:t>
      </w:r>
    </w:p>
    <w:p>
      <w:pPr>
        <w:spacing w:after="0" w:line="174" w:lineRule="exact"/>
        <w:rPr>
          <w:sz w:val="20"/>
          <w:szCs w:val="20"/>
          <w:color w:val="auto"/>
        </w:rPr>
      </w:pPr>
    </w:p>
    <w:p>
      <w:pPr>
        <w:jc w:val="both"/>
        <w:ind w:firstLine="1286"/>
        <w:spacing w:after="0" w:line="235" w:lineRule="auto"/>
        <w:tabs>
          <w:tab w:leader="none" w:pos="187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1"/>
          <w:szCs w:val="21"/>
          <w:b w:val="1"/>
          <w:bCs w:val="1"/>
          <w:u w:val="single" w:color="auto"/>
          <w:color w:val="auto"/>
        </w:rPr>
        <w:t>Confidential Information</w:t>
      </w:r>
      <w:r>
        <w:rPr>
          <w:rFonts w:ascii="Times New Roman" w:cs="Times New Roman" w:eastAsia="Times New Roman" w:hAnsi="Times New Roman"/>
          <w:sz w:val="21"/>
          <w:szCs w:val="21"/>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of the Company Group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(iii) that a worker otherwise has the right to disclose as legally protected conduct; or (iv) becomes available to Employee on a non-confidential basis from a source other than a member of the Company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source is not bound by a confidentiality agreement with, or other obligation with respect to confidentiality to, a member of the Company Group.</w:t>
      </w:r>
    </w:p>
    <w:p>
      <w:pPr>
        <w:spacing w:after="0" w:line="178" w:lineRule="exact"/>
        <w:rPr>
          <w:rFonts w:ascii="Times New Roman" w:cs="Times New Roman" w:eastAsia="Times New Roman" w:hAnsi="Times New Roman"/>
          <w:sz w:val="21"/>
          <w:szCs w:val="21"/>
          <w:color w:val="auto"/>
        </w:rPr>
      </w:pPr>
    </w:p>
    <w:p>
      <w:pPr>
        <w:jc w:val="both"/>
        <w:ind w:firstLine="1286"/>
        <w:spacing w:after="0" w:line="228" w:lineRule="auto"/>
        <w:tabs>
          <w:tab w:leader="none" w:pos="173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(including, for the avoidance of doubt, the Securities and Exchange Commission)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jc w:val="both"/>
        <w:spacing w:after="0" w:line="222" w:lineRule="auto"/>
        <w:rPr>
          <w:sz w:val="20"/>
          <w:szCs w:val="20"/>
          <w:color w:val="auto"/>
        </w:rPr>
      </w:pPr>
      <w:r>
        <w:rPr>
          <w:rFonts w:ascii="Times New Roman" w:cs="Times New Roman" w:eastAsia="Times New Roman" w:hAnsi="Times New Roman"/>
          <w:sz w:val="21"/>
          <w:szCs w:val="21"/>
          <w:color w:val="auto"/>
        </w:rPr>
        <w:t>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46" w:lineRule="exact"/>
        <w:rPr>
          <w:sz w:val="20"/>
          <w:szCs w:val="20"/>
          <w:color w:val="auto"/>
        </w:rPr>
      </w:pPr>
    </w:p>
    <w:p>
      <w:pPr>
        <w:ind w:left="1120" w:hanging="474"/>
        <w:spacing w:after="0"/>
        <w:tabs>
          <w:tab w:leader="none" w:pos="11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Ownership of Intellectual Property</w:t>
      </w:r>
      <w:r>
        <w:rPr>
          <w:rFonts w:ascii="Times New Roman" w:cs="Times New Roman" w:eastAsia="Times New Roman" w:hAnsi="Times New Roman"/>
          <w:sz w:val="21"/>
          <w:szCs w:val="21"/>
          <w:b w:val="1"/>
          <w:bCs w:val="1"/>
          <w:i w:val="1"/>
          <w:iCs w:val="1"/>
          <w:color w:val="auto"/>
        </w:rPr>
        <w:t>.</w:t>
      </w:r>
    </w:p>
    <w:p>
      <w:pPr>
        <w:spacing w:after="0" w:line="204" w:lineRule="exact"/>
        <w:rPr>
          <w:rFonts w:ascii="Times New Roman" w:cs="Times New Roman" w:eastAsia="Times New Roman" w:hAnsi="Times New Roman"/>
          <w:sz w:val="21"/>
          <w:szCs w:val="21"/>
          <w:color w:val="auto"/>
        </w:rPr>
      </w:pPr>
    </w:p>
    <w:p>
      <w:pPr>
        <w:jc w:val="both"/>
        <w:ind w:firstLine="1286"/>
        <w:spacing w:after="0" w:line="225" w:lineRule="auto"/>
        <w:tabs>
          <w:tab w:leader="none" w:pos="1739"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b w:val="1"/>
          <w:bCs w:val="1"/>
          <w:u w:val="single" w:color="auto"/>
          <w:color w:val="auto"/>
        </w:rPr>
        <w:t>Company Intellectual Property</w:t>
      </w:r>
      <w:r>
        <w:rPr>
          <w:rFonts w:ascii="Times New Roman" w:cs="Times New Roman" w:eastAsia="Times New Roman" w:hAnsi="Times New Roman"/>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76" w:lineRule="exact"/>
        <w:rPr>
          <w:rFonts w:ascii="Times New Roman" w:cs="Times New Roman" w:eastAsia="Times New Roman" w:hAnsi="Times New Roman"/>
          <w:sz w:val="21"/>
          <w:szCs w:val="21"/>
          <w:color w:val="auto"/>
        </w:rPr>
      </w:pPr>
    </w:p>
    <w:p>
      <w:pPr>
        <w:jc w:val="both"/>
        <w:ind w:firstLine="1286"/>
        <w:spacing w:after="0" w:line="228" w:lineRule="auto"/>
        <w:tabs>
          <w:tab w:leader="none" w:pos="1735"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66" w:lineRule="exact"/>
        <w:rPr>
          <w:rFonts w:ascii="Times New Roman" w:cs="Times New Roman" w:eastAsia="Times New Roman" w:hAnsi="Times New Roman"/>
          <w:sz w:val="21"/>
          <w:szCs w:val="21"/>
          <w:color w:val="auto"/>
        </w:rPr>
      </w:pPr>
    </w:p>
    <w:p>
      <w:pPr>
        <w:ind w:firstLine="1286"/>
        <w:spacing w:after="0" w:line="261" w:lineRule="auto"/>
        <w:tabs>
          <w:tab w:leader="none" w:pos="1872"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recognizes that this Agreement will not be deemed to require assignment of any invention or intellectual property that Employee developed entirely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78" w:right="339" w:bottom="1440" w:gutter="0" w:footer="0" w:header="0"/>
        </w:sectPr>
      </w:pPr>
    </w:p>
    <w:bookmarkStart w:id="17" w:name="page18"/>
    <w:bookmarkEnd w:id="17"/>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46" w:lineRule="exact"/>
        <w:rPr>
          <w:sz w:val="20"/>
          <w:szCs w:val="20"/>
          <w:color w:val="auto"/>
        </w:rPr>
      </w:pPr>
    </w:p>
    <w:p>
      <w:pPr>
        <w:jc w:val="both"/>
        <w:ind w:firstLine="1286"/>
        <w:spacing w:after="0" w:line="231" w:lineRule="auto"/>
        <w:tabs>
          <w:tab w:leader="none" w:pos="178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 w:cs="Times New Roman" w:eastAsia="Times New Roman" w:hAnsi="Times New Roman"/>
          <w:sz w:val="21"/>
          <w:szCs w:val="21"/>
          <w:b w:val="1"/>
          <w:bCs w:val="1"/>
          <w:u w:val="single" w:color="auto"/>
          <w:color w:val="auto"/>
        </w:rPr>
        <w:t>Moral Rights</w:t>
      </w:r>
      <w:r>
        <w:rPr>
          <w:rFonts w:ascii="Times New Roman" w:cs="Times New Roman" w:eastAsia="Times New Roman" w:hAnsi="Times New Roman"/>
          <w:sz w:val="21"/>
          <w:szCs w:val="21"/>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64" w:lineRule="exact"/>
        <w:rPr>
          <w:rFonts w:ascii="Times New Roman" w:cs="Times New Roman" w:eastAsia="Times New Roman" w:hAnsi="Times New Roman"/>
          <w:sz w:val="21"/>
          <w:szCs w:val="21"/>
          <w:color w:val="auto"/>
        </w:rPr>
      </w:pPr>
    </w:p>
    <w:p>
      <w:pPr>
        <w:jc w:val="both"/>
        <w:ind w:firstLine="1286"/>
        <w:spacing w:after="0" w:line="227" w:lineRule="auto"/>
        <w:tabs>
          <w:tab w:leader="none" w:pos="182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1"/>
          <w:szCs w:val="21"/>
          <w:b w:val="1"/>
          <w:bCs w:val="1"/>
          <w:u w:val="single" w:color="auto"/>
          <w:color w:val="auto"/>
        </w:rPr>
        <w:t>Prior Inventions</w:t>
      </w:r>
      <w:r>
        <w:rPr>
          <w:rFonts w:ascii="Times New Roman" w:cs="Times New Roman" w:eastAsia="Times New Roman" w:hAnsi="Times New Roman"/>
          <w:sz w:val="21"/>
          <w:szCs w:val="21"/>
          <w:color w:val="auto"/>
        </w:rPr>
        <w:t xml:space="preserve">”) are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Employee represents that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62" w:lineRule="exact"/>
        <w:rPr>
          <w:rFonts w:ascii="Times New Roman" w:cs="Times New Roman" w:eastAsia="Times New Roman" w:hAnsi="Times New Roman"/>
          <w:sz w:val="21"/>
          <w:szCs w:val="21"/>
          <w:color w:val="auto"/>
        </w:rPr>
      </w:pPr>
    </w:p>
    <w:p>
      <w:pPr>
        <w:jc w:val="both"/>
        <w:ind w:firstLine="1286"/>
        <w:spacing w:after="0"/>
        <w:tabs>
          <w:tab w:leader="none" w:pos="185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293" w:lineRule="exact"/>
        <w:rPr>
          <w:rFonts w:ascii="Times New Roman" w:cs="Times New Roman" w:eastAsia="Times New Roman" w:hAnsi="Times New Roman"/>
          <w:sz w:val="21"/>
          <w:szCs w:val="21"/>
          <w:color w:val="auto"/>
        </w:rPr>
      </w:pPr>
    </w:p>
    <w:p>
      <w:pPr>
        <w:jc w:val="both"/>
        <w:ind w:firstLine="1286"/>
        <w:spacing w:after="0" w:line="237" w:lineRule="auto"/>
        <w:tabs>
          <w:tab w:leader="none" w:pos="174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37" w:lineRule="auto"/>
        <w:rPr>
          <w:sz w:val="20"/>
          <w:szCs w:val="20"/>
          <w:color w:val="auto"/>
        </w:rPr>
      </w:pPr>
      <w:r>
        <w:rPr>
          <w:rFonts w:ascii="Times New Roman" w:cs="Times New Roman" w:eastAsia="Times New Roman" w:hAnsi="Times New Roman"/>
          <w:sz w:val="21"/>
          <w:szCs w:val="21"/>
          <w:color w:val="auto"/>
        </w:rPr>
        <w:t>applications or to enforce any patent, copyright, mask work, moral right, trade secret or other proprietary right under any Confidential Information or Company Intellectual Property (including derivative works, improvements, renewals, extensions,</w:t>
      </w:r>
    </w:p>
    <w:p>
      <w:pPr>
        <w:jc w:val="both"/>
        <w:spacing w:after="0" w:line="218" w:lineRule="auto"/>
        <w:rPr>
          <w:sz w:val="20"/>
          <w:szCs w:val="20"/>
          <w:color w:val="auto"/>
        </w:rPr>
      </w:pPr>
      <w:r>
        <w:rPr>
          <w:rFonts w:ascii="Times New Roman" w:cs="Times New Roman" w:eastAsia="Times New Roman" w:hAnsi="Times New Roman"/>
          <w:sz w:val="21"/>
          <w:szCs w:val="21"/>
          <w:color w:val="auto"/>
        </w:rPr>
        <w:t>continuations, divisionals, continuations in part, continuing patent applications, reissues, and reexaminations of such Company Intellectual Property), Employee hereby irrevocably designates and appoints the Company and each of the Company’s duly</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registration, memorialization of assignment, issuance, and enforcement of patents, copyrights, mask works, moral rights, trade secrets or other rights under the Confidential Information or Company Intellectual Property, all with the same legal force and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if executed by Employee.</w:t>
      </w:r>
    </w:p>
    <w:p>
      <w:pPr>
        <w:spacing w:after="0" w:line="174" w:lineRule="exact"/>
        <w:rPr>
          <w:sz w:val="20"/>
          <w:szCs w:val="20"/>
          <w:color w:val="auto"/>
        </w:rPr>
      </w:pPr>
    </w:p>
    <w:p>
      <w:pPr>
        <w:jc w:val="both"/>
        <w:ind w:firstLine="1286"/>
        <w:spacing w:after="0" w:line="227" w:lineRule="auto"/>
        <w:tabs>
          <w:tab w:leader="none" w:pos="1831"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68" w:lineRule="exact"/>
        <w:rPr>
          <w:rFonts w:ascii="Times New Roman" w:cs="Times New Roman" w:eastAsia="Times New Roman" w:hAnsi="Times New Roman"/>
          <w:sz w:val="21"/>
          <w:szCs w:val="21"/>
          <w:color w:val="auto"/>
        </w:rPr>
      </w:pPr>
    </w:p>
    <w:p>
      <w:pPr>
        <w:jc w:val="both"/>
        <w:ind w:firstLine="1286"/>
        <w:spacing w:after="0" w:line="225" w:lineRule="auto"/>
        <w:tabs>
          <w:tab w:leader="none" w:pos="175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Times New Roman" w:cs="Times New Roman" w:eastAsia="Times New Roman" w:hAnsi="Times New Roman"/>
          <w:sz w:val="21"/>
          <w:szCs w:val="21"/>
          <w:b w:val="1"/>
          <w:bCs w:val="1"/>
          <w:u w:val="single" w:color="auto"/>
          <w:color w:val="auto"/>
        </w:rPr>
        <w:t>Other Invention</w:t>
      </w:r>
      <w:r>
        <w:rPr>
          <w:rFonts w:ascii="Times New Roman" w:cs="Times New Roman" w:eastAsia="Times New Roman" w:hAnsi="Times New Roman"/>
          <w:sz w:val="21"/>
          <w:szCs w:val="21"/>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78" w:right="339" w:bottom="1440" w:gutter="0" w:footer="0" w:header="0"/>
        </w:sectPr>
      </w:pPr>
    </w:p>
    <w:bookmarkStart w:id="19" w:name="page20"/>
    <w:bookmarkEnd w:id="19"/>
    <w:p>
      <w:pPr>
        <w:jc w:val="both"/>
        <w:ind w:firstLine="646"/>
        <w:spacing w:after="0" w:line="245" w:lineRule="auto"/>
        <w:tabs>
          <w:tab w:leader="none" w:pos="115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thereafter, upon request from the Company, Employee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the Company Group in the defense of any claims or actions that may be made by or against any member of the Company Group that relate to Employee’s actual or prior areas of responsibility.</w:t>
      </w:r>
    </w:p>
    <w:p>
      <w:pPr>
        <w:spacing w:after="0" w:line="140" w:lineRule="exact"/>
        <w:rPr>
          <w:rFonts w:ascii="Times New Roman" w:cs="Times New Roman" w:eastAsia="Times New Roman" w:hAnsi="Times New Roman"/>
          <w:sz w:val="21"/>
          <w:szCs w:val="21"/>
          <w:color w:val="auto"/>
        </w:rPr>
      </w:pPr>
    </w:p>
    <w:p>
      <w:pPr>
        <w:jc w:val="both"/>
        <w:ind w:firstLine="646"/>
        <w:spacing w:after="0" w:line="245" w:lineRule="auto"/>
        <w:tabs>
          <w:tab w:leader="none" w:pos="114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Withholdings; Deductions</w:t>
      </w:r>
      <w:r>
        <w:rPr>
          <w:rFonts w:ascii="Times New Roman" w:cs="Times New Roman" w:eastAsia="Times New Roman" w:hAnsi="Times New Roman"/>
          <w:sz w:val="21"/>
          <w:szCs w:val="21"/>
          <w:color w:val="auto"/>
        </w:rPr>
        <w:t>. The Company may withhold and deduct from any benefits and payments made or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pursuant to this Agreement (a) all federal, state, local and other taxes as may be required pursuant to any law or governmental regulation or ruling and (b) any deductions consented to in writing by Employee.</w:t>
      </w:r>
    </w:p>
    <w:p>
      <w:pPr>
        <w:spacing w:after="0" w:line="153" w:lineRule="exact"/>
        <w:rPr>
          <w:rFonts w:ascii="Times New Roman" w:cs="Times New Roman" w:eastAsia="Times New Roman" w:hAnsi="Times New Roman"/>
          <w:sz w:val="21"/>
          <w:szCs w:val="21"/>
          <w:color w:val="auto"/>
        </w:rPr>
      </w:pPr>
    </w:p>
    <w:p>
      <w:pPr>
        <w:jc w:val="both"/>
        <w:ind w:firstLine="646"/>
        <w:spacing w:after="0" w:line="226" w:lineRule="auto"/>
        <w:tabs>
          <w:tab w:leader="none" w:pos="114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Title and Headings; Construction</w:t>
      </w:r>
      <w:r>
        <w:rPr>
          <w:rFonts w:ascii="Times New Roman" w:cs="Times New Roman" w:eastAsia="Times New Roman" w:hAnsi="Times New Roman"/>
          <w:sz w:val="21"/>
          <w:szCs w:val="21"/>
          <w:color w:val="auto"/>
        </w:rPr>
        <w:t>. Titles and headings to Sections hereof are for the purpose of reference only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61" w:lineRule="exact"/>
        <w:rPr>
          <w:rFonts w:ascii="Times New Roman" w:cs="Times New Roman" w:eastAsia="Times New Roman" w:hAnsi="Times New Roman"/>
          <w:sz w:val="21"/>
          <w:szCs w:val="21"/>
          <w:color w:val="auto"/>
        </w:rPr>
      </w:pPr>
    </w:p>
    <w:p>
      <w:pPr>
        <w:jc w:val="both"/>
        <w:ind w:firstLine="646"/>
        <w:spacing w:after="0" w:line="235" w:lineRule="auto"/>
        <w:tabs>
          <w:tab w:leader="none" w:pos="117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Applicable Law</w:t>
      </w:r>
      <w:r>
        <w:rPr>
          <w:rFonts w:ascii="Times New Roman" w:cs="Times New Roman" w:eastAsia="Times New Roman" w:hAnsi="Times New Roman"/>
          <w:sz w:val="21"/>
          <w:szCs w:val="21"/>
          <w:color w:val="auto"/>
        </w:rPr>
        <w:t>. This Agreement shall in all respects be construed according to the laws of the State of California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60" w:lineRule="exact"/>
        <w:rPr>
          <w:rFonts w:ascii="Times New Roman" w:cs="Times New Roman" w:eastAsia="Times New Roman" w:hAnsi="Times New Roman"/>
          <w:sz w:val="21"/>
          <w:szCs w:val="21"/>
          <w:color w:val="auto"/>
        </w:rPr>
      </w:pPr>
    </w:p>
    <w:p>
      <w:pPr>
        <w:jc w:val="both"/>
        <w:ind w:firstLine="646"/>
        <w:spacing w:after="0" w:line="233" w:lineRule="auto"/>
        <w:tabs>
          <w:tab w:leader="none" w:pos="113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and Amendment</w:t>
      </w:r>
      <w:r>
        <w:rPr>
          <w:rFonts w:ascii="Times New Roman" w:cs="Times New Roman" w:eastAsia="Times New Roman" w:hAnsi="Times New Roman"/>
          <w:sz w:val="21"/>
          <w:szCs w:val="21"/>
          <w:color w:val="auto"/>
        </w:rPr>
        <w:t>. This Agreement contains the entire agreement of the parties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0" w:lineRule="exact"/>
        <w:rPr>
          <w:rFonts w:ascii="Times New Roman" w:cs="Times New Roman" w:eastAsia="Times New Roman" w:hAnsi="Times New Roman"/>
          <w:sz w:val="21"/>
          <w:szCs w:val="21"/>
          <w:color w:val="auto"/>
        </w:rPr>
      </w:pPr>
    </w:p>
    <w:p>
      <w:pPr>
        <w:jc w:val="both"/>
        <w:ind w:firstLine="646"/>
        <w:spacing w:after="0" w:line="238" w:lineRule="auto"/>
        <w:tabs>
          <w:tab w:leader="none" w:pos="118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of Breach</w:t>
      </w:r>
      <w:r>
        <w:rPr>
          <w:rFonts w:ascii="Times New Roman" w:cs="Times New Roman" w:eastAsia="Times New Roman" w:hAnsi="Times New Roman"/>
          <w:sz w:val="21"/>
          <w:szCs w:val="21"/>
          <w:color w:val="auto"/>
        </w:rPr>
        <w:t>. Any waiver of this Agreement must be executed by the party to be bound by such waiver.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74" w:right="339" w:bottom="1440" w:gutter="0" w:footer="0" w:header="0"/>
        </w:sectPr>
      </w:pPr>
    </w:p>
    <w:bookmarkStart w:id="20" w:name="page21"/>
    <w:bookmarkEnd w:id="20"/>
    <w:p>
      <w:pPr>
        <w:spacing w:after="0" w:line="248" w:lineRule="auto"/>
        <w:rPr>
          <w:sz w:val="20"/>
          <w:szCs w:val="20"/>
          <w:color w:val="auto"/>
        </w:rPr>
      </w:pPr>
      <w:r>
        <w:rPr>
          <w:rFonts w:ascii="Times New Roman" w:cs="Times New Roman" w:eastAsia="Times New Roman" w:hAnsi="Times New Roman"/>
          <w:sz w:val="21"/>
          <w:szCs w:val="21"/>
          <w:color w:val="auto"/>
        </w:rPr>
        <w:t>subsequent time. The failure of either party hereto to take any action by reason of any breach will not deprive such party of the right to take action at any time.</w:t>
      </w:r>
    </w:p>
    <w:p>
      <w:pPr>
        <w:spacing w:after="0" w:line="137" w:lineRule="exact"/>
        <w:rPr>
          <w:sz w:val="20"/>
          <w:szCs w:val="20"/>
          <w:color w:val="auto"/>
        </w:rPr>
      </w:pPr>
    </w:p>
    <w:p>
      <w:pPr>
        <w:jc w:val="both"/>
        <w:ind w:firstLine="646"/>
        <w:spacing w:after="0" w:line="235" w:lineRule="auto"/>
        <w:tabs>
          <w:tab w:leader="none" w:pos="1226"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Employee,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0" w:lineRule="exact"/>
        <w:rPr>
          <w:rFonts w:ascii="Times New Roman" w:cs="Times New Roman" w:eastAsia="Times New Roman" w:hAnsi="Times New Roman"/>
          <w:sz w:val="21"/>
          <w:szCs w:val="21"/>
          <w:color w:val="auto"/>
        </w:rPr>
      </w:pPr>
    </w:p>
    <w:p>
      <w:pPr>
        <w:ind w:left="1160" w:hanging="514"/>
        <w:spacing w:after="0"/>
        <w:tabs>
          <w:tab w:leader="none" w:pos="116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13" w:lineRule="exact"/>
        <w:rPr>
          <w:rFonts w:ascii="Times New Roman" w:cs="Times New Roman" w:eastAsia="Times New Roman" w:hAnsi="Times New Roman"/>
          <w:sz w:val="21"/>
          <w:szCs w:val="21"/>
          <w:color w:val="auto"/>
        </w:rPr>
      </w:pPr>
    </w:p>
    <w:p>
      <w:pPr>
        <w:jc w:val="both"/>
        <w:ind w:firstLine="7"/>
        <w:spacing w:after="0" w:line="234" w:lineRule="auto"/>
        <w:tabs>
          <w:tab w:leader="none" w:pos="29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If to the Company, addressed to:</w:t>
      </w:r>
    </w:p>
    <w:p>
      <w:pPr>
        <w:spacing w:after="0" w:line="2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California Resources Corporation</w:t>
      </w:r>
    </w:p>
    <w:p>
      <w:pPr>
        <w:ind w:left="1920"/>
        <w:spacing w:after="0" w:line="234" w:lineRule="auto"/>
        <w:rPr>
          <w:sz w:val="20"/>
          <w:szCs w:val="20"/>
          <w:color w:val="auto"/>
        </w:rPr>
      </w:pPr>
      <w:r>
        <w:rPr>
          <w:rFonts w:ascii="Times New Roman" w:cs="Times New Roman" w:eastAsia="Times New Roman" w:hAnsi="Times New Roman"/>
          <w:sz w:val="21"/>
          <w:szCs w:val="21"/>
          <w:color w:val="auto"/>
        </w:rPr>
        <w:t>1 World Trade Center</w:t>
      </w:r>
    </w:p>
    <w:p>
      <w:pPr>
        <w:ind w:left="1920"/>
        <w:spacing w:after="0" w:line="225" w:lineRule="auto"/>
        <w:rPr>
          <w:sz w:val="20"/>
          <w:szCs w:val="20"/>
          <w:color w:val="auto"/>
        </w:rPr>
      </w:pPr>
      <w:r>
        <w:rPr>
          <w:rFonts w:ascii="Times New Roman" w:cs="Times New Roman" w:eastAsia="Times New Roman" w:hAnsi="Times New Roman"/>
          <w:sz w:val="21"/>
          <w:szCs w:val="21"/>
          <w:color w:val="auto"/>
        </w:rPr>
        <w:t>Suite 1500</w:t>
      </w:r>
    </w:p>
    <w:p>
      <w:pPr>
        <w:ind w:left="1920"/>
        <w:spacing w:after="0"/>
        <w:rPr>
          <w:sz w:val="20"/>
          <w:szCs w:val="20"/>
          <w:color w:val="auto"/>
        </w:rPr>
      </w:pPr>
      <w:r>
        <w:rPr>
          <w:rFonts w:ascii="Times New Roman" w:cs="Times New Roman" w:eastAsia="Times New Roman" w:hAnsi="Times New Roman"/>
          <w:sz w:val="21"/>
          <w:szCs w:val="21"/>
          <w:color w:val="auto"/>
        </w:rPr>
        <w:t>Long Beach, California 90831</w:t>
      </w:r>
    </w:p>
    <w:p>
      <w:pPr>
        <w:spacing w:after="0" w:line="16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If to Employee, addressed to:</w:t>
      </w:r>
    </w:p>
    <w:p>
      <w:pPr>
        <w:spacing w:after="0" w:line="20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Clio Catherine Crespy</w:t>
      </w:r>
    </w:p>
    <w:p>
      <w:pPr>
        <w:ind w:left="1920"/>
        <w:spacing w:after="0" w:line="234" w:lineRule="auto"/>
        <w:rPr>
          <w:sz w:val="20"/>
          <w:szCs w:val="20"/>
          <w:color w:val="auto"/>
        </w:rPr>
      </w:pPr>
      <w:r>
        <w:rPr>
          <w:rFonts w:ascii="Times New Roman" w:cs="Times New Roman" w:eastAsia="Times New Roman" w:hAnsi="Times New Roman"/>
          <w:sz w:val="21"/>
          <w:szCs w:val="21"/>
          <w:color w:val="auto"/>
        </w:rPr>
        <w:t>[*****]</w:t>
      </w:r>
    </w:p>
    <w:p>
      <w:pPr>
        <w:ind w:left="1920"/>
        <w:spacing w:after="0"/>
        <w:rPr>
          <w:sz w:val="20"/>
          <w:szCs w:val="20"/>
          <w:color w:val="auto"/>
        </w:rPr>
      </w:pPr>
      <w:r>
        <w:rPr>
          <w:rFonts w:ascii="Times New Roman" w:cs="Times New Roman" w:eastAsia="Times New Roman" w:hAnsi="Times New Roman"/>
          <w:sz w:val="21"/>
          <w:szCs w:val="21"/>
          <w:color w:val="auto"/>
        </w:rPr>
        <w:t>[*****]</w:t>
      </w:r>
    </w:p>
    <w:p>
      <w:pPr>
        <w:spacing w:after="0" w:line="15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Or, if different, the latest address on file with the Company</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646"/>
        <w:spacing w:after="0" w:line="238" w:lineRule="auto"/>
        <w:tabs>
          <w:tab w:leader="none" w:pos="122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including by electronic mail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48" w:lineRule="exact"/>
        <w:rPr>
          <w:rFonts w:ascii="Times New Roman" w:cs="Times New Roman" w:eastAsia="Times New Roman" w:hAnsi="Times New Roman"/>
          <w:sz w:val="21"/>
          <w:szCs w:val="21"/>
          <w:color w:val="auto"/>
        </w:rPr>
      </w:pPr>
    </w:p>
    <w:p>
      <w:pPr>
        <w:jc w:val="both"/>
        <w:ind w:firstLine="646"/>
        <w:spacing w:after="0" w:line="231" w:lineRule="auto"/>
        <w:tabs>
          <w:tab w:leader="none" w:pos="127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Deemed Resignations</w:t>
      </w:r>
      <w:r>
        <w:rPr>
          <w:rFonts w:ascii="Times New Roman" w:cs="Times New Roman" w:eastAsia="Times New Roman" w:hAnsi="Times New Roman"/>
          <w:sz w:val="21"/>
          <w:szCs w:val="21"/>
          <w:color w:val="auto"/>
        </w:rPr>
        <w:t>. Except as otherwise determined by the Board or as otherwise agreed to in writing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78" w:right="33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21"/>
          <w:szCs w:val="21"/>
          <w:color w:val="auto"/>
        </w:rPr>
        <w:t>to which board of directors or board of managers (or similar governing body) Employee serves as such Company Group member’s designee or other representative.</w:t>
      </w:r>
    </w:p>
    <w:p>
      <w:pPr>
        <w:spacing w:after="0" w:line="137" w:lineRule="exact"/>
        <w:rPr>
          <w:sz w:val="20"/>
          <w:szCs w:val="20"/>
          <w:color w:val="auto"/>
        </w:rPr>
      </w:pPr>
    </w:p>
    <w:p>
      <w:pPr>
        <w:ind w:left="1120" w:hanging="474"/>
        <w:spacing w:after="0"/>
        <w:tabs>
          <w:tab w:leader="none" w:pos="11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b w:val="1"/>
          <w:bCs w:val="1"/>
          <w:color w:val="auto"/>
        </w:rPr>
        <w:t>.</w:t>
      </w:r>
    </w:p>
    <w:p>
      <w:pPr>
        <w:spacing w:after="0" w:line="188" w:lineRule="exact"/>
        <w:rPr>
          <w:rFonts w:ascii="Times New Roman" w:cs="Times New Roman" w:eastAsia="Times New Roman" w:hAnsi="Times New Roman"/>
          <w:sz w:val="21"/>
          <w:szCs w:val="21"/>
          <w:color w:val="auto"/>
        </w:rPr>
      </w:pPr>
    </w:p>
    <w:p>
      <w:pPr>
        <w:jc w:val="both"/>
        <w:ind w:firstLine="1286"/>
        <w:spacing w:after="0"/>
        <w:tabs>
          <w:tab w:leader="none" w:pos="1735"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all provisions of this Agreement are intended to comply with Section 409A of the Internal Revenue Code of 1986, as amended (the “</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and the applicable Treasury regulations and administrative guidance issued thereunder (collectively, “</w:t>
      </w: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307" w:lineRule="exact"/>
        <w:rPr>
          <w:rFonts w:ascii="Times New Roman" w:cs="Times New Roman" w:eastAsia="Times New Roman" w:hAnsi="Times New Roman"/>
          <w:sz w:val="21"/>
          <w:szCs w:val="21"/>
          <w:color w:val="auto"/>
        </w:rPr>
      </w:pPr>
    </w:p>
    <w:p>
      <w:pPr>
        <w:jc w:val="both"/>
        <w:ind w:firstLine="1286"/>
        <w:spacing w:after="0" w:line="227" w:lineRule="auto"/>
        <w:tabs>
          <w:tab w:leader="none" w:pos="188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70" w:lineRule="exact"/>
        <w:rPr>
          <w:rFonts w:ascii="Times New Roman" w:cs="Times New Roman" w:eastAsia="Times New Roman" w:hAnsi="Times New Roman"/>
          <w:sz w:val="21"/>
          <w:szCs w:val="21"/>
          <w:color w:val="auto"/>
        </w:rPr>
      </w:pPr>
    </w:p>
    <w:p>
      <w:pPr>
        <w:jc w:val="both"/>
        <w:ind w:firstLine="1286"/>
        <w:spacing w:after="0" w:line="228" w:lineRule="auto"/>
        <w:tabs>
          <w:tab w:leader="none" w:pos="1735"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(i) the date of Employee’s death or (ii) the date that is six (6) months after the Termination Date (such date, the “</w:t>
      </w:r>
      <w:r>
        <w:rPr>
          <w:rFonts w:ascii="Times New Roman" w:cs="Times New Roman" w:eastAsia="Times New Roman" w:hAnsi="Times New Roman"/>
          <w:sz w:val="21"/>
          <w:szCs w:val="21"/>
          <w:b w:val="1"/>
          <w:bCs w:val="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9" w:lineRule="exact"/>
        <w:rPr>
          <w:rFonts w:ascii="Times New Roman" w:cs="Times New Roman" w:eastAsia="Times New Roman" w:hAnsi="Times New Roman"/>
          <w:sz w:val="21"/>
          <w:szCs w:val="21"/>
          <w:color w:val="auto"/>
        </w:rPr>
      </w:pPr>
    </w:p>
    <w:p>
      <w:pPr>
        <w:jc w:val="both"/>
        <w:ind w:firstLine="646"/>
        <w:spacing w:after="0" w:line="245" w:lineRule="auto"/>
        <w:tabs>
          <w:tab w:leader="none" w:pos="114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7(a)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those provisions necessary to interpret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 them, shall survive any termination of this Agreement and any termination of the employment relationship between Employee and the Company.</w:t>
      </w:r>
    </w:p>
    <w:p>
      <w:pPr>
        <w:spacing w:after="0" w:line="153" w:lineRule="exact"/>
        <w:rPr>
          <w:rFonts w:ascii="Times New Roman" w:cs="Times New Roman" w:eastAsia="Times New Roman" w:hAnsi="Times New Roman"/>
          <w:sz w:val="21"/>
          <w:szCs w:val="21"/>
          <w:color w:val="auto"/>
        </w:rPr>
      </w:pPr>
    </w:p>
    <w:p>
      <w:pPr>
        <w:jc w:val="both"/>
        <w:ind w:firstLine="646"/>
        <w:spacing w:after="0" w:line="239" w:lineRule="auto"/>
        <w:tabs>
          <w:tab w:leader="none" w:pos="113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Third-Party Beneficiaries</w:t>
      </w:r>
      <w:r>
        <w:rPr>
          <w:rFonts w:ascii="Times New Roman" w:cs="Times New Roman" w:eastAsia="Times New Roman" w:hAnsi="Times New Roman"/>
          <w:sz w:val="21"/>
          <w:szCs w:val="21"/>
          <w:color w:val="auto"/>
        </w:rPr>
        <w:t>. Each member of the Company Group that is not a signatory to this Agreement shall be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third-party beneficiary of Employee’s obligations under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w:t>
      </w:r>
      <w:r>
        <w:rPr>
          <w:rFonts w:ascii="Times New Roman" w:cs="Times New Roman" w:eastAsia="Times New Roman" w:hAnsi="Times New Roman"/>
          <w:sz w:val="21"/>
          <w:szCs w:val="21"/>
          <w:color w:val="auto"/>
        </w:rPr>
        <w:t xml:space="preserve"> and shall be entitled to enforce such obligations as if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78" w:right="339" w:bottom="1440" w:gutter="0" w:footer="0" w:header="0"/>
        </w:sectPr>
      </w:pPr>
    </w:p>
    <w:bookmarkStart w:id="22" w:name="page23"/>
    <w:bookmarkEnd w:id="22"/>
    <w:p>
      <w:pPr>
        <w:jc w:val="both"/>
        <w:ind w:firstLine="646"/>
        <w:spacing w:after="0" w:line="226" w:lineRule="auto"/>
        <w:tabs>
          <w:tab w:leader="none" w:pos="118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Certain Excise Taxes</w:t>
      </w:r>
      <w:r>
        <w:rPr>
          <w:rFonts w:ascii="Times New Roman" w:cs="Times New Roman" w:eastAsia="Times New Roman" w:hAnsi="Times New Roman"/>
          <w:sz w:val="21"/>
          <w:szCs w:val="21"/>
          <w:color w:val="auto"/>
        </w:rPr>
        <w:t>. Notwithstanding anything to the contrary in this Agreement, if Employee is a “disqualified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require the Company to be responsible for, or have any liability or obligation with respect to, Employee’s excise tax liabilities under Section 4999 of the Code.</w:t>
      </w:r>
    </w:p>
    <w:p>
      <w:pPr>
        <w:spacing w:after="0" w:line="159" w:lineRule="exact"/>
        <w:rPr>
          <w:rFonts w:ascii="Times New Roman" w:cs="Times New Roman" w:eastAsia="Times New Roman" w:hAnsi="Times New Roman"/>
          <w:sz w:val="21"/>
          <w:szCs w:val="21"/>
          <w:color w:val="auto"/>
        </w:rPr>
      </w:pPr>
    </w:p>
    <w:p>
      <w:pPr>
        <w:jc w:val="both"/>
        <w:ind w:firstLine="646"/>
        <w:spacing w:after="0" w:line="233" w:lineRule="auto"/>
        <w:tabs>
          <w:tab w:leader="none" w:pos="122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Clawback</w:t>
      </w:r>
      <w:r>
        <w:rPr>
          <w:rFonts w:ascii="Times New Roman" w:cs="Times New Roman" w:eastAsia="Times New Roman" w:hAnsi="Times New Roman"/>
          <w:sz w:val="21"/>
          <w:szCs w:val="21"/>
          <w:color w:val="auto"/>
        </w:rPr>
        <w:t>. Notwithstanding any other provisions in this Agreement to the contrary, any incentive-based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paid to the Employee under this Agreement or any other agreement or arrangement with the Company which is subject to recovery under any Company policy, law, government regulation, or stock exchange listing requirement will be subject to such deductions and clawback as may be required to be made pursuant to such Company policy (whether in existence as of the Effective Date or later adopted), law, government regulation, or stock exchange listing requirement.</w:t>
      </w:r>
    </w:p>
    <w:p>
      <w:pPr>
        <w:spacing w:after="0" w:line="160" w:lineRule="exact"/>
        <w:rPr>
          <w:rFonts w:ascii="Times New Roman" w:cs="Times New Roman" w:eastAsia="Times New Roman" w:hAnsi="Times New Roman"/>
          <w:sz w:val="21"/>
          <w:szCs w:val="21"/>
          <w:color w:val="auto"/>
        </w:rPr>
      </w:pPr>
    </w:p>
    <w:p>
      <w:pPr>
        <w:jc w:val="both"/>
        <w:ind w:firstLine="646"/>
        <w:spacing w:after="0" w:line="235" w:lineRule="auto"/>
        <w:tabs>
          <w:tab w:leader="none" w:pos="117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an arbitrator or court of competent jurisdiction determines that any provision of this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Blank;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74" w:right="339" w:bottom="1440" w:gutter="0" w:footer="0" w:header="0"/>
        </w:sectPr>
      </w:pPr>
    </w:p>
    <w:bookmarkStart w:id="23" w:name="page24"/>
    <w:bookmarkEnd w:id="23"/>
    <w:p>
      <w:pPr>
        <w:ind w:firstLine="640"/>
        <w:spacing w:after="0" w:line="291"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Employee and the Company each have caused this Agreement to be executed and effective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Effective Date.</w:t>
      </w:r>
    </w:p>
    <w:p>
      <w:pPr>
        <w:spacing w:after="0" w:line="13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/s/ Clio Catherine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-8255</wp:posOffset>
            </wp:positionV>
            <wp:extent cx="1778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778635" cy="8255"/>
                    </a:xfrm>
                    <a:prstGeom prst="rect">
                      <a:avLst/>
                    </a:prstGeom>
                    <a:noFill/>
                  </pic:spPr>
                </pic:pic>
              </a:graphicData>
            </a:graphic>
          </wp:anchor>
        </w:drawing>
      </w:r>
    </w:p>
    <w:p>
      <w:pPr>
        <w:spacing w:after="0" w:line="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b w:val="1"/>
          <w:bCs w:val="1"/>
          <w:color w:val="auto"/>
        </w:rPr>
        <w:t>Clio Catherine Crespy</w:t>
      </w:r>
    </w:p>
    <w:p>
      <w:pPr>
        <w:spacing w:after="0" w:line="200" w:lineRule="exact"/>
        <w:rPr>
          <w:sz w:val="20"/>
          <w:szCs w:val="20"/>
          <w:color w:val="auto"/>
        </w:rPr>
      </w:pPr>
    </w:p>
    <w:p>
      <w:pPr>
        <w:spacing w:after="0" w:line="21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Daniel S.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-8255</wp:posOffset>
            </wp:positionV>
            <wp:extent cx="1275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4"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1"/>
          <w:szCs w:val="21"/>
          <w:color w:val="auto"/>
        </w:rPr>
        <w:t>Name:</w:t>
        <w:tab/>
        <w:t>Daniel S. Watts</w:t>
      </w:r>
    </w:p>
    <w:p>
      <w:pPr>
        <w:ind w:left="4320"/>
        <w:spacing w:after="0"/>
        <w:tabs>
          <w:tab w:leader="none" w:pos="4960" w:val="left"/>
        </w:tabs>
        <w:rPr>
          <w:sz w:val="20"/>
          <w:szCs w:val="20"/>
          <w:color w:val="auto"/>
        </w:rPr>
      </w:pPr>
      <w:r>
        <w:rPr>
          <w:rFonts w:ascii="Times New Roman" w:cs="Times New Roman" w:eastAsia="Times New Roman" w:hAnsi="Times New Roman"/>
          <w:sz w:val="21"/>
          <w:szCs w:val="21"/>
          <w:color w:val="auto"/>
        </w:rPr>
        <w:t>Title:</w:t>
        <w:tab/>
        <w:t>Vice President -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17"/>
          <w:szCs w:val="17"/>
          <w:color w:val="auto"/>
        </w:rPr>
        <w:t>IGNATURE</w:t>
      </w:r>
      <w:r>
        <w:rPr>
          <w:rFonts w:ascii="Times New Roman" w:cs="Times New Roman" w:eastAsia="Times New Roman" w:hAnsi="Times New Roman"/>
          <w:sz w:val="21"/>
          <w:szCs w:val="21"/>
          <w:color w:val="auto"/>
        </w:rPr>
        <w:t xml:space="preserve"> P</w:t>
      </w:r>
      <w:r>
        <w:rPr>
          <w:rFonts w:ascii="Times New Roman" w:cs="Times New Roman" w:eastAsia="Times New Roman" w:hAnsi="Times New Roman"/>
          <w:sz w:val="17"/>
          <w:szCs w:val="17"/>
          <w:color w:val="auto"/>
        </w:rPr>
        <w:t>AGE</w:t>
      </w:r>
    </w:p>
    <w:p>
      <w:pPr>
        <w:jc w:val="center"/>
        <w:ind w:right="-19"/>
        <w:spacing w:after="0" w:line="226" w:lineRule="auto"/>
        <w:rPr>
          <w:sz w:val="20"/>
          <w:szCs w:val="20"/>
          <w:color w:val="auto"/>
        </w:rPr>
      </w:pPr>
      <w:r>
        <w:rPr>
          <w:rFonts w:ascii="Times New Roman" w:cs="Times New Roman" w:eastAsia="Times New Roman" w:hAnsi="Times New Roman"/>
          <w:sz w:val="18"/>
          <w:szCs w:val="18"/>
          <w:color w:val="auto"/>
        </w:rPr>
        <w:t>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7"/>
          <w:szCs w:val="17"/>
          <w:color w:val="auto"/>
        </w:rPr>
        <w:t>MPLOYMENT</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7"/>
          <w:szCs w:val="17"/>
          <w:color w:val="auto"/>
        </w:rPr>
        <w:t>GREEMENT</w:t>
      </w:r>
    </w:p>
    <w:p>
      <w:pPr>
        <w:sectPr>
          <w:pgSz w:w="11900" w:h="16838" w:orient="portrait"/>
          <w:cols w:equalWidth="0" w:num="1">
            <w:col w:w="11240"/>
          </w:cols>
          <w:pgMar w:left="320" w:top="140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PRIOR INVENTIONS</w:t>
      </w:r>
    </w:p>
    <w:p>
      <w:pPr>
        <w:spacing w:after="0" w:line="309" w:lineRule="exact"/>
        <w:rPr>
          <w:sz w:val="20"/>
          <w:szCs w:val="20"/>
          <w:color w:val="auto"/>
        </w:rPr>
      </w:pPr>
    </w:p>
    <w:p>
      <w:pPr>
        <w:jc w:val="both"/>
        <w:ind w:firstLine="646"/>
        <w:spacing w:after="0" w:line="269" w:lineRule="auto"/>
        <w:tabs>
          <w:tab w:leader="none" w:pos="102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appropriate space(s):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None.</w:t>
      </w:r>
    </w:p>
    <w:p>
      <w:pPr>
        <w:spacing w:after="0" w:line="23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151765</wp:posOffset>
            </wp:positionV>
            <wp:extent cx="135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312420</wp:posOffset>
            </wp:positionV>
            <wp:extent cx="135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473075</wp:posOffset>
            </wp:positionV>
            <wp:extent cx="135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right="220" w:hanging="425"/>
        <w:spacing w:after="0" w:line="301" w:lineRule="auto"/>
        <w:rPr>
          <w:sz w:val="20"/>
          <w:szCs w:val="20"/>
          <w:color w:val="auto"/>
        </w:rPr>
      </w:pPr>
      <w:r>
        <w:rPr>
          <w:rFonts w:ascii="Times New Roman" w:cs="Times New Roman" w:eastAsia="Times New Roman" w:hAnsi="Times New Roman"/>
          <w:sz w:val="21"/>
          <w:szCs w:val="21"/>
          <w:color w:val="auto"/>
        </w:rPr>
        <w:t>Due to confidentiality agreements with a prior employer, Employee cannot disclose certain Prior Inventions that would otherwise be included on the above-described list.</w:t>
      </w:r>
    </w:p>
    <w:p>
      <w:pPr>
        <w:spacing w:after="0" w:line="1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Additional sheets attached.</w:t>
      </w:r>
    </w:p>
    <w:p>
      <w:pPr>
        <w:spacing w:after="0" w:line="225" w:lineRule="exact"/>
        <w:rPr>
          <w:sz w:val="20"/>
          <w:szCs w:val="20"/>
          <w:color w:val="auto"/>
        </w:rPr>
      </w:pPr>
    </w:p>
    <w:p>
      <w:pPr>
        <w:jc w:val="both"/>
        <w:ind w:firstLine="646"/>
        <w:spacing w:after="0" w:line="268" w:lineRule="auto"/>
        <w:tabs>
          <w:tab w:leader="none" w:pos="106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appropriate space(s):</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None.</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151765</wp:posOffset>
            </wp:positionV>
            <wp:extent cx="135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312420</wp:posOffset>
            </wp:positionV>
            <wp:extent cx="135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7"/>
          <w:szCs w:val="17"/>
          <w:color w:val="auto"/>
        </w:rPr>
        <w:t>XHIBIT</w:t>
      </w:r>
      <w:r>
        <w:rPr>
          <w:rFonts w:ascii="Times New Roman" w:cs="Times New Roman" w:eastAsia="Times New Roman" w:hAnsi="Times New Roman"/>
          <w:sz w:val="21"/>
          <w:szCs w:val="21"/>
          <w:color w:val="auto"/>
        </w:rPr>
        <w:t xml:space="preserve"> A</w:t>
      </w:r>
    </w:p>
    <w:p>
      <w:pPr>
        <w:sectPr>
          <w:pgSz w:w="11900" w:h="16838" w:orient="portrait"/>
          <w:cols w:equalWidth="0" w:num="1">
            <w:col w:w="11240"/>
          </w:cols>
          <w:pgMar w:left="320" w:top="1401" w:right="339" w:bottom="1440" w:gutter="0" w:footer="0" w:header="0"/>
        </w:sectPr>
      </w:pPr>
    </w:p>
    <w:bookmarkStart w:id="25" w:name="page26"/>
    <w:bookmarkEnd w:id="25"/>
    <w:p>
      <w:pPr>
        <w:jc w:val="center"/>
        <w:ind w:right="-72"/>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25"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1"/>
          <w:szCs w:val="21"/>
          <w:b w:val="1"/>
          <w:bCs w:val="1"/>
          <w:color w:val="auto"/>
        </w:rPr>
        <w:t>CALIFORNIA LABOR CODE SECTION 2870</w:t>
      </w:r>
    </w:p>
    <w:p>
      <w:pPr>
        <w:spacing w:after="0" w:line="229" w:lineRule="exact"/>
        <w:rPr>
          <w:sz w:val="20"/>
          <w:szCs w:val="20"/>
          <w:color w:val="auto"/>
        </w:rPr>
      </w:pPr>
    </w:p>
    <w:p>
      <w:pPr>
        <w:ind w:left="633" w:hanging="633"/>
        <w:spacing w:after="0" w:line="268" w:lineRule="auto"/>
        <w:tabs>
          <w:tab w:leader="none" w:pos="43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60" w:lineRule="exact"/>
        <w:rPr>
          <w:rFonts w:ascii="Times New Roman" w:cs="Times New Roman" w:eastAsia="Times New Roman" w:hAnsi="Times New Roman"/>
          <w:sz w:val="21"/>
          <w:szCs w:val="21"/>
          <w:color w:val="auto"/>
        </w:rPr>
      </w:pPr>
    </w:p>
    <w:p>
      <w:pPr>
        <w:ind w:left="1273" w:right="520" w:hanging="634"/>
        <w:spacing w:after="0" w:line="287" w:lineRule="auto"/>
        <w:tabs>
          <w:tab w:leader="none" w:pos="109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or reduction to practice of the invention to the employer’s business, or actual or demonstrably anticipated research or development of the employer; or</w:t>
      </w:r>
    </w:p>
    <w:p>
      <w:pPr>
        <w:spacing w:after="0" w:line="155" w:lineRule="exact"/>
        <w:rPr>
          <w:rFonts w:ascii="Times New Roman" w:cs="Times New Roman" w:eastAsia="Times New Roman" w:hAnsi="Times New Roman"/>
          <w:sz w:val="21"/>
          <w:szCs w:val="21"/>
          <w:color w:val="auto"/>
        </w:rPr>
      </w:pPr>
    </w:p>
    <w:p>
      <w:pPr>
        <w:ind w:left="1093" w:hanging="454"/>
        <w:spacing w:after="0"/>
        <w:tabs>
          <w:tab w:leader="none" w:pos="109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from any work performed by the employee for the employer.</w:t>
      </w:r>
    </w:p>
    <w:p>
      <w:pPr>
        <w:spacing w:after="0" w:line="224" w:lineRule="exact"/>
        <w:rPr>
          <w:rFonts w:ascii="Times New Roman" w:cs="Times New Roman" w:eastAsia="Times New Roman" w:hAnsi="Times New Roman"/>
          <w:sz w:val="21"/>
          <w:szCs w:val="21"/>
          <w:color w:val="auto"/>
        </w:rPr>
      </w:pPr>
    </w:p>
    <w:p>
      <w:pPr>
        <w:ind w:left="633" w:right="280" w:hanging="633"/>
        <w:spacing w:after="0" w:line="269" w:lineRule="auto"/>
        <w:tabs>
          <w:tab w:leader="none" w:pos="45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7"/>
          <w:szCs w:val="17"/>
          <w:color w:val="auto"/>
        </w:rPr>
        <w:t>XHIBIT</w:t>
      </w:r>
      <w:r>
        <w:rPr>
          <w:rFonts w:ascii="Times New Roman" w:cs="Times New Roman" w:eastAsia="Times New Roman" w:hAnsi="Times New Roman"/>
          <w:sz w:val="21"/>
          <w:szCs w:val="21"/>
          <w:color w:val="auto"/>
        </w:rPr>
        <w:t xml:space="preserve"> B</w:t>
      </w:r>
    </w:p>
    <w:p>
      <w:pPr>
        <w:sectPr>
          <w:pgSz w:w="11900" w:h="16838" w:orient="portrait"/>
          <w:cols w:equalWidth="0" w:num="1">
            <w:col w:w="11173"/>
          </w:cols>
          <w:pgMar w:left="327" w:top="1401" w:right="3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356870</wp:posOffset>
            </wp:positionV>
            <wp:extent cx="1624965" cy="473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34" w:lineRule="exact"/>
        <w:rPr>
          <w:sz w:val="20"/>
          <w:szCs w:val="20"/>
          <w:color w:val="auto"/>
        </w:rPr>
      </w:pPr>
    </w:p>
    <w:p>
      <w:pPr>
        <w:ind w:left="1600"/>
        <w:spacing w:after="0"/>
        <w:rPr>
          <w:sz w:val="20"/>
          <w:szCs w:val="20"/>
          <w:color w:val="auto"/>
        </w:rPr>
      </w:pPr>
      <w:r>
        <w:rPr>
          <w:rFonts w:ascii="Arial" w:cs="Arial" w:eastAsia="Arial" w:hAnsi="Arial"/>
          <w:sz w:val="21"/>
          <w:szCs w:val="21"/>
          <w:b w:val="1"/>
          <w:bCs w:val="1"/>
          <w:u w:val="single" w:color="auto"/>
          <w:color w:val="auto"/>
        </w:rPr>
        <w:t>California Resources Corporation Names Clio Crespy as Chief Financial Officer</w:t>
      </w:r>
    </w:p>
    <w:p>
      <w:pPr>
        <w:spacing w:after="0" w:line="245"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Long Beach, November 25, 2024 - California Resources Corporation (NYSE: CRC), an independent energy and carbon management company committed to energy transition, today announced that Clio C. Crespy will join the Company as Executive Vice President and Chief Financial Officer, effective January 1, 2025. CRC’s current CFO Nelly Molina will be stepping down at the end of the year.</w:t>
      </w:r>
    </w:p>
    <w:p>
      <w:pPr>
        <w:spacing w:after="0" w:line="190"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21"/>
          <w:szCs w:val="21"/>
          <w:color w:val="auto"/>
        </w:rPr>
        <w:t>Ms. Crespy brings to CRC an extensive background as an investment banker in energy, power, carbon management and sustainability. She most recently was Senior Managing Director, Investment Banking, Global Energy</w:t>
      </w:r>
    </w:p>
    <w:p>
      <w:pPr>
        <w:jc w:val="both"/>
        <w:ind w:firstLine="7"/>
        <w:spacing w:after="0" w:line="258" w:lineRule="auto"/>
        <w:tabs>
          <w:tab w:leader="none" w:pos="234" w:val="left"/>
        </w:tabs>
        <w:numPr>
          <w:ilvl w:val="0"/>
          <w:numId w:val="30"/>
        </w:numPr>
        <w:rPr>
          <w:rFonts w:ascii="Arial" w:cs="Arial" w:eastAsia="Arial" w:hAnsi="Arial"/>
          <w:sz w:val="21"/>
          <w:szCs w:val="21"/>
          <w:color w:val="auto"/>
        </w:rPr>
      </w:pPr>
      <w:r>
        <w:rPr>
          <w:rFonts w:ascii="Arial" w:cs="Arial" w:eastAsia="Arial" w:hAnsi="Arial"/>
          <w:sz w:val="21"/>
          <w:szCs w:val="21"/>
          <w:color w:val="auto"/>
        </w:rPr>
        <w:t>Power at Guggenheim Securities, where she also led the sustainability practice. Previously, Ms. Crespy advised upstream energy companies and power producers on strategic and financial transactions at Evercore as Managing Director, and prior to that at BNP Paribas. She began her career at the World Bank and holds a Master’s degree in Finance and Strategy from Sciences Po, Paris.</w:t>
      </w:r>
    </w:p>
    <w:p>
      <w:pPr>
        <w:spacing w:after="0" w:line="208"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21"/>
          <w:szCs w:val="21"/>
          <w:color w:val="auto"/>
        </w:rPr>
        <w:t>“I have worked closely with Clio on some of our most significant initiatives over the last couple of years, including our Carbon TerraVault JV with Brookfield and DAC hub at Elk Hills, and am thrilled that she is joining our team,” said Francisco Leon, President and Chief Executive Officer of CRC. “She is a seasoned veteran at the center of both the oil and gas industry and the emerging carbon management business. With her deep and varied experience in M&amp;A, capital markets, corporate finance and project finance, she will play a major role in setting our path and driving us forward. I also want to thank Nelly Molina for her contributions to the Company as we have bolstered our balance sheet and navigated the Aera merger.”</w:t>
      </w:r>
    </w:p>
    <w:p>
      <w:pPr>
        <w:spacing w:after="0" w:line="194"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21"/>
          <w:szCs w:val="21"/>
          <w:color w:val="auto"/>
        </w:rPr>
        <w:t>Ms. Crespy said, “Having worked closely with the CRC team, I am very excited about the value creating catalysts that the Company is pursuing and I look forward to helping create that value for CRC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34" w:lineRule="exact"/>
        <w:rPr>
          <w:sz w:val="20"/>
          <w:szCs w:val="20"/>
          <w:color w:val="auto"/>
        </w:rPr>
      </w:pPr>
    </w:p>
    <w:p>
      <w:pPr>
        <w:ind w:right="340"/>
        <w:spacing w:after="0" w:line="259" w:lineRule="auto"/>
        <w:rPr>
          <w:sz w:val="20"/>
          <w:szCs w:val="20"/>
          <w:color w:val="auto"/>
        </w:rPr>
      </w:pPr>
      <w:r>
        <w:rPr>
          <w:rFonts w:ascii="Arial" w:cs="Arial" w:eastAsia="Arial" w:hAnsi="Arial"/>
          <w:sz w:val="21"/>
          <w:szCs w:val="21"/>
          <w:color w:val="auto"/>
        </w:rPr>
        <w:t xml:space="preserve">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carbon capture and storage (CCS) and other emissions-reducing projects. For more information about CRC, please visit </w:t>
      </w:r>
      <w:r>
        <w:rPr>
          <w:rFonts w:ascii="Arial" w:cs="Arial" w:eastAsia="Arial" w:hAnsi="Arial"/>
          <w:sz w:val="21"/>
          <w:szCs w:val="21"/>
          <w:u w:val="single" w:color="auto"/>
          <w:color w:val="421BFF"/>
        </w:rPr>
        <w:t>www.crc.com</w:t>
      </w:r>
      <w:r>
        <w:rPr>
          <w:rFonts w:ascii="Arial" w:cs="Arial" w:eastAsia="Arial" w:hAnsi="Arial"/>
          <w:sz w:val="21"/>
          <w:szCs w:val="21"/>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40" w:type="dxa"/>
            <w:vAlign w:val="bottom"/>
          </w:tcPr>
          <w:p>
            <w:pPr>
              <w:spacing w:after="0"/>
              <w:rPr>
                <w:sz w:val="20"/>
                <w:szCs w:val="20"/>
                <w:color w:val="auto"/>
              </w:rPr>
            </w:pPr>
            <w:r>
              <w:rPr>
                <w:rFonts w:ascii="Arial" w:cs="Arial" w:eastAsia="Arial" w:hAnsi="Arial"/>
                <w:sz w:val="21"/>
                <w:szCs w:val="21"/>
                <w:color w:val="auto"/>
              </w:rPr>
              <w:t>Richard Venn (Media)</w:t>
            </w:r>
          </w:p>
        </w:tc>
        <w:tc>
          <w:tcPr>
            <w:tcW w:w="0" w:type="dxa"/>
            <w:vAlign w:val="bottom"/>
          </w:tcPr>
          <w:p>
            <w:pPr>
              <w:spacing w:after="0"/>
              <w:rPr>
                <w:sz w:val="1"/>
                <w:szCs w:val="1"/>
                <w:color w:val="auto"/>
              </w:rPr>
            </w:pPr>
          </w:p>
        </w:tc>
      </w:tr>
      <w:tr>
        <w:trPr>
          <w:trHeight w:val="240"/>
        </w:trPr>
        <w:tc>
          <w:tcPr>
            <w:tcW w:w="21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818-661-3731</w:t>
            </w:r>
          </w:p>
        </w:tc>
        <w:tc>
          <w:tcPr>
            <w:tcW w:w="3400" w:type="dxa"/>
            <w:vAlign w:val="bottom"/>
          </w:tcPr>
          <w:p>
            <w:pPr>
              <w:spacing w:after="0"/>
              <w:rPr>
                <w:sz w:val="20"/>
                <w:szCs w:val="20"/>
                <w:color w:val="auto"/>
              </w:rPr>
            </w:pPr>
          </w:p>
        </w:tc>
        <w:tc>
          <w:tcPr>
            <w:tcW w:w="2240" w:type="dxa"/>
            <w:vAlign w:val="bottom"/>
          </w:tcPr>
          <w:p>
            <w:pPr>
              <w:spacing w:after="0" w:line="240" w:lineRule="exact"/>
              <w:rPr>
                <w:sz w:val="20"/>
                <w:szCs w:val="20"/>
                <w:color w:val="auto"/>
              </w:rPr>
            </w:pPr>
            <w:r>
              <w:rPr>
                <w:rFonts w:ascii="Arial" w:cs="Arial" w:eastAsia="Arial" w:hAnsi="Arial"/>
                <w:sz w:val="21"/>
                <w:szCs w:val="21"/>
                <w:color w:val="auto"/>
              </w:rPr>
              <w:t>818-661-6014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60" w:type="dxa"/>
            <w:vAlign w:val="bottom"/>
            <w:tcBorders>
              <w:bottom w:val="single" w:sz="8" w:color="3051F2"/>
            </w:tcBorders>
            <w:gridSpan w:val="2"/>
          </w:tcPr>
          <w:p>
            <w:pPr>
              <w:spacing w:after="0" w:line="180" w:lineRule="exact"/>
              <w:rPr>
                <w:sz w:val="20"/>
                <w:szCs w:val="20"/>
                <w:color w:val="auto"/>
              </w:rPr>
            </w:pPr>
            <w:r>
              <w:rPr>
                <w:rFonts w:ascii="Arial" w:cs="Arial" w:eastAsia="Arial" w:hAnsi="Arial"/>
                <w:sz w:val="20"/>
                <w:szCs w:val="20"/>
                <w:color w:val="3051F2"/>
              </w:rPr>
              <w:t>Joanna.Park@crc.com</w:t>
            </w:r>
          </w:p>
        </w:tc>
        <w:tc>
          <w:tcPr>
            <w:tcW w:w="3400" w:type="dxa"/>
            <w:vAlign w:val="bottom"/>
            <w:vMerge w:val="restart"/>
          </w:tcPr>
          <w:p>
            <w:pPr>
              <w:spacing w:after="0"/>
              <w:rPr>
                <w:sz w:val="17"/>
                <w:szCs w:val="17"/>
                <w:color w:val="auto"/>
              </w:rPr>
            </w:pPr>
          </w:p>
        </w:tc>
        <w:tc>
          <w:tcPr>
            <w:tcW w:w="2240" w:type="dxa"/>
            <w:vAlign w:val="bottom"/>
            <w:vMerge w:val="restart"/>
          </w:tcPr>
          <w:p>
            <w:pPr>
              <w:spacing w:after="0"/>
              <w:rPr>
                <w:sz w:val="20"/>
                <w:szCs w:val="20"/>
                <w:color w:val="auto"/>
              </w:rPr>
            </w:pPr>
            <w:r>
              <w:rPr>
                <w:rFonts w:ascii="Arial" w:cs="Arial" w:eastAsia="Arial" w:hAnsi="Arial"/>
                <w:sz w:val="21"/>
                <w:szCs w:val="21"/>
                <w:color w:val="421BFF"/>
                <w:w w:val="99"/>
              </w:rPr>
              <w:t>Richard.Venn@crc.com</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400" w:type="dxa"/>
            <w:vAlign w:val="bottom"/>
            <w:vMerge w:val="continue"/>
          </w:tcPr>
          <w:p>
            <w:pPr>
              <w:spacing w:after="0"/>
              <w:rPr>
                <w:sz w:val="4"/>
                <w:szCs w:val="4"/>
                <w:color w:val="auto"/>
              </w:rPr>
            </w:pPr>
          </w:p>
        </w:tc>
        <w:tc>
          <w:tcPr>
            <w:tcW w:w="2240" w:type="dxa"/>
            <w:vAlign w:val="bottom"/>
            <w:tcBorders>
              <w:bottom w:val="single" w:sz="8" w:color="421BFF"/>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decimal"/>
      <w:start w:val="1"/>
    </w:lvl>
    <w:lvl w:ilvl="1">
      <w:lvlJc w:val="left"/>
      <w:lvlText w:val="(%2)"/>
      <w:numFmt w:val="lowerLetter"/>
      <w:start w:val="3"/>
    </w:lvl>
  </w:abstractNum>
  <w:abstractNum w:abstractNumId="4">
    <w:nsid w:val="519B500D"/>
    <w:multiLevelType w:val="hybridMultilevel"/>
    <w:lvl w:ilvl="0">
      <w:lvlJc w:val="left"/>
      <w:lvlText w:val="%1."/>
      <w:numFmt w:val="decimal"/>
      <w:start w:val="3"/>
    </w:lvl>
    <w:lvl w:ilvl="1">
      <w:lvlJc w:val="left"/>
      <w:lvlText w:val="(%2)"/>
      <w:numFmt w:val="lowerLetter"/>
      <w:start w:val="1"/>
    </w:lvl>
  </w:abstractNum>
  <w:abstractNum w:abstractNumId="5">
    <w:nsid w:val="431BD7B7"/>
    <w:multiLevelType w:val="hybridMultilevel"/>
    <w:lvl w:ilvl="0">
      <w:lvlJc w:val="left"/>
      <w:lvlText w:val="%1."/>
      <w:numFmt w:val="decimal"/>
      <w:start w:val="4"/>
    </w:lvl>
    <w:lvl w:ilvl="1">
      <w:lvlJc w:val="left"/>
      <w:lvlText w:val="(%2)"/>
      <w:numFmt w:val="lowerLetter"/>
      <w:start w:val="1"/>
    </w:lvl>
  </w:abstractNum>
  <w:abstractNum w:abstractNumId="6">
    <w:nsid w:val="3F2DBA3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
    <w:nsid w:val="7C83E45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
    <w:nsid w:val="257130A3"/>
    <w:multiLevelType w:val="hybridMultilevel"/>
    <w:lvl w:ilvl="0">
      <w:lvlJc w:val="left"/>
      <w:lvlText w:val="(%1)"/>
      <w:numFmt w:val="lowerRoman"/>
      <w:start w:val="4"/>
    </w:lvl>
  </w:abstractNum>
  <w:abstractNum w:abstractNumId="9">
    <w:nsid w:val="62BBD95A"/>
    <w:multiLevelType w:val="hybridMultilevel"/>
    <w:lvl w:ilvl="0">
      <w:lvlJc w:val="left"/>
      <w:lvlText w:val="(%1)"/>
      <w:numFmt w:val="lowerLetter"/>
      <w:start w:val="2"/>
    </w:lvl>
    <w:lvl w:ilvl="1">
      <w:lvlJc w:val="left"/>
      <w:lvlText w:val="(%2)"/>
      <w:numFmt w:val="lowerRoman"/>
      <w:start w:val="1"/>
    </w:lvl>
  </w:abstractNum>
  <w:abstractNum w:abstractNumId="10">
    <w:nsid w:val="436C6125"/>
    <w:multiLevelType w:val="hybridMultilevel"/>
    <w:lvl w:ilvl="0">
      <w:lvlJc w:val="left"/>
      <w:lvlText w:val="(%1)"/>
      <w:numFmt w:val="lowerLetter"/>
      <w:start w:val="4"/>
    </w:lvl>
  </w:abstractNum>
  <w:abstractNum w:abstractNumId="11">
    <w:nsid w:val="628C895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2">
    <w:nsid w:val="333AB105"/>
    <w:multiLevelType w:val="hybridMultilevel"/>
    <w:lvl w:ilvl="0">
      <w:lvlJc w:val="left"/>
      <w:lvlText w:val="(%1)"/>
      <w:numFmt w:val="upperLetter"/>
      <w:start w:val="2"/>
    </w:lvl>
  </w:abstractNum>
  <w:abstractNum w:abstractNumId="13">
    <w:nsid w:val="721DA317"/>
    <w:multiLevelType w:val="hybridMultilevel"/>
    <w:lvl w:ilvl="0">
      <w:lvlJc w:val="left"/>
      <w:lvlText w:val="%1"/>
      <w:numFmt w:val="lowerLetter"/>
      <w:start w:val="1"/>
    </w:lvl>
    <w:lvl w:ilvl="1">
      <w:lvlJc w:val="left"/>
      <w:lvlText w:val="(%2)"/>
      <w:numFmt w:val="lowerLetter"/>
      <w:start w:val="35"/>
    </w:lvl>
  </w:abstractNum>
  <w:abstractNum w:abstractNumId="14">
    <w:nsid w:val="2443A858"/>
    <w:multiLevelType w:val="hybridMultilevel"/>
    <w:lvl w:ilvl="0">
      <w:lvlJc w:val="left"/>
      <w:lvlText w:val="(%1)"/>
      <w:numFmt w:val="lowerLetter"/>
      <w:start w:val="7"/>
    </w:lvl>
    <w:lvl w:ilvl="1">
      <w:lvlJc w:val="left"/>
      <w:lvlText w:val="%2"/>
      <w:numFmt w:val="lowerLetter"/>
      <w:start w:val="1"/>
    </w:lvl>
  </w:abstractNum>
  <w:abstractNum w:abstractNumId="15">
    <w:nsid w:val="2D1D5A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
    <w:nsid w:val="6763845E"/>
    <w:multiLevelType w:val="hybridMultilevel"/>
    <w:lvl w:ilvl="0">
      <w:lvlJc w:val="left"/>
      <w:lvlText w:val="(%1)"/>
      <w:numFmt w:val="lowerLetter"/>
      <w:start w:val="4"/>
    </w:lvl>
  </w:abstractNum>
  <w:abstractNum w:abstractNumId="17">
    <w:nsid w:val="75A2A8D4"/>
    <w:multiLevelType w:val="hybridMultilevel"/>
    <w:lvl w:ilvl="0">
      <w:lvlJc w:val="left"/>
      <w:lvlText w:val="%1."/>
      <w:numFmt w:val="decimal"/>
      <w:start w:val="10"/>
    </w:lvl>
    <w:lvl w:ilvl="1">
      <w:lvlJc w:val="left"/>
      <w:lvlText w:val="(%2)"/>
      <w:numFmt w:val="lowerLetter"/>
      <w:start w:val="1"/>
    </w:lvl>
  </w:abstractNum>
  <w:abstractNum w:abstractNumId="18">
    <w:nsid w:val="8EDBDAB"/>
    <w:multiLevelType w:val="hybridMultilevel"/>
    <w:lvl w:ilvl="0">
      <w:lvlJc w:val="left"/>
      <w:lvlText w:val="(%1)"/>
      <w:numFmt w:val="lowerLetter"/>
      <w:start w:val="4"/>
    </w:lvl>
  </w:abstractNum>
  <w:abstractNum w:abstractNumId="19">
    <w:nsid w:val="79838CB2"/>
    <w:multiLevelType w:val="hybridMultilevel"/>
    <w:lvl w:ilvl="0">
      <w:lvlJc w:val="left"/>
      <w:lvlText w:val="(%1)"/>
      <w:numFmt w:val="lowerLetter"/>
      <w:start w:val="8"/>
    </w:lvl>
  </w:abstractNum>
  <w:abstractNum w:abstractNumId="20">
    <w:nsid w:val="4353D0CD"/>
    <w:multiLevelType w:val="hybridMultilevel"/>
    <w:lvl w:ilvl="0">
      <w:lvlJc w:val="left"/>
      <w:lvlText w:val="%1."/>
      <w:numFmt w:val="decimal"/>
      <w:start w:val="11"/>
    </w:lvl>
  </w:abstractNum>
  <w:abstractNum w:abstractNumId="21">
    <w:nsid w:val="B03E0C6"/>
    <w:multiLevelType w:val="hybridMultilevel"/>
    <w:lvl w:ilvl="0">
      <w:lvlJc w:val="left"/>
      <w:lvlText w:val="%1"/>
      <w:numFmt w:val="lowerLetter"/>
      <w:start w:val="1"/>
    </w:lvl>
    <w:lvl w:ilvl="1">
      <w:lvlJc w:val="left"/>
      <w:lvlText w:val="%2."/>
      <w:numFmt w:val="decimal"/>
      <w:start w:val="17"/>
    </w:lvl>
  </w:abstractNum>
  <w:abstractNum w:abstractNumId="22">
    <w:nsid w:val="189A769B"/>
    <w:multiLevelType w:val="hybridMultilevel"/>
    <w:lvl w:ilvl="0">
      <w:lvlJc w:val="left"/>
      <w:lvlText w:val="(%1)"/>
      <w:numFmt w:val="lowerLetter"/>
      <w:start w:val="1"/>
    </w:lvl>
    <w:lvl w:ilvl="1">
      <w:lvlJc w:val="left"/>
      <w:lvlText w:val="%2"/>
      <w:numFmt w:val="decimal"/>
      <w:start w:val="1"/>
    </w:lvl>
  </w:abstractNum>
  <w:abstractNum w:abstractNumId="23">
    <w:nsid w:val="54E49EB4"/>
    <w:multiLevelType w:val="hybridMultilevel"/>
    <w:lvl w:ilvl="0">
      <w:lvlJc w:val="left"/>
      <w:lvlText w:val="%1."/>
      <w:numFmt w:val="decimal"/>
      <w:start w:val="19"/>
    </w:lvl>
  </w:abstractNum>
  <w:abstractNum w:abstractNumId="24">
    <w:nsid w:val="71F32454"/>
    <w:multiLevelType w:val="hybridMultilevel"/>
    <w:lvl w:ilvl="0">
      <w:lvlJc w:val="left"/>
      <w:lvlText w:val="%1."/>
      <w:numFmt w:val="decimal"/>
      <w:start w:val="21"/>
    </w:lvl>
    <w:lvl w:ilvl="1">
      <w:lvlJc w:val="left"/>
      <w:lvlText w:val="(%2)"/>
      <w:numFmt w:val="lowerLetter"/>
      <w:start w:val="1"/>
    </w:lvl>
  </w:abstractNum>
  <w:abstractNum w:abstractNumId="25">
    <w:nsid w:val="2CA88611"/>
    <w:multiLevelType w:val="hybridMultilevel"/>
    <w:lvl w:ilvl="0">
      <w:lvlJc w:val="left"/>
      <w:lvlText w:val="%1."/>
      <w:numFmt w:val="decimal"/>
      <w:start w:val="24"/>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lowerLetter"/>
      <w:start w:val="1"/>
    </w:lvl>
    <w:lvl w:ilvl="1">
      <w:lvlJc w:val="left"/>
      <w:lvlText w:val="(%2)"/>
      <w:numFmt w:val="decimal"/>
      <w:start w:val="1"/>
    </w:lvl>
  </w:abstractNum>
  <w:abstractNum w:abstractNumId="29">
    <w:nsid w:val="8138641"/>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15" Type="http://schemas.openxmlformats.org/officeDocument/2006/relationships/hyperlink" Target="https://www.sec.gov/Archives/edgar/data/1609253/000160925320000141/a20201022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2024-11-25T08:08:20Z</dcterms:created>
  <dcterms:modified xsi:type="dcterms:W3CDTF">2024-11-25T08:08:20Z</dcterms:modified>
</cp:coreProperties>
</file>