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September 19,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California Resources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04"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404"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Contrary to recent erroneous reporting, we are not considering restructuring or hiring advisors for this purpose. We regularly meet with investment banks and advisors on ideas to help us achieve our long-term goal of strengthening our balance sheet and reducing the absolute levels of our debt. As discussed on our earnings calls, we are actively looking at asset sales, royalty monetizations and other transactions similar to those we have done in the past to help us delever.</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information contained in Item 7.01 of this report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September 19, 2019</w:t>
      </w:r>
    </w:p>
    <w:sectPr>
      <w:pgSz w:w="11900" w:h="16838" w:orient="portrait"/>
      <w:cols w:equalWidth="0" w:num="1">
        <w:col w:w="10940"/>
      </w:cols>
      <w:pgMar w:left="240" w:top="58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2019-12-15T18:53:38Z</dcterms:created>
  <dcterms:modified xsi:type="dcterms:W3CDTF">2019-12-15T18:53:38Z</dcterms:modified>
</cp:coreProperties>
</file>