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Neeman Brady Nicole Elana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 WORLD TRADE CENTER, SUITE 1500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California Resources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CRC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04/28/2023</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94"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1"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LONG BEACH 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90831</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9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04/28/2023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5,029</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14,572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restricted stock units ("RSUs"). Each RSU represents a contingent right to receive one share of Common Stock. These RSUs will vest on April 28, 2024 and, subject to certain exceptions, will be settled in shares of Common Stock on the date that is six months and one day following the Reporting Person's separation from service.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Ulrik Damborg,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871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8714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in-Fact for Nicole Elana</w:t>
      </w:r>
      <w:r>
        <w:rPr>
          <w:sz w:val="20"/>
          <w:szCs w:val="20"/>
          <w:color w:val="auto"/>
        </w:rPr>
        <w:tab/>
      </w:r>
      <w:r>
        <w:rPr>
          <w:rFonts w:ascii="Times New Roman" w:cs="Times New Roman" w:eastAsia="Times New Roman" w:hAnsi="Times New Roman"/>
          <w:sz w:val="17"/>
          <w:szCs w:val="17"/>
          <w:color w:val="0000FF"/>
        </w:rPr>
        <w:t>05/02/2023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Neeman Brady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6629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6294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40954" TargetMode="External"/><Relationship Id="rId13"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2023-05-02T16:11:17Z</dcterms:created>
  <dcterms:modified xsi:type="dcterms:W3CDTF">2023-05-02T16:11:17Z</dcterms:modified>
</cp:coreProperties>
</file>