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21, 2020</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0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1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27200 Tourney Road</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2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Santa Clarita</w:t>
      </w:r>
    </w:p>
    <w:p>
      <w:pPr>
        <w:spacing w:after="0" w:line="2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91355</w:t>
      </w:r>
    </w:p>
    <w:p>
      <w:pPr>
        <w:spacing w:after="0" w:line="31" w:lineRule="exact"/>
        <w:rPr>
          <w:sz w:val="24"/>
          <w:szCs w:val="24"/>
          <w:color w:val="auto"/>
        </w:rPr>
      </w:pPr>
    </w:p>
    <w:p>
      <w:pPr>
        <w:sectPr>
          <w:pgSz w:w="11900" w:h="16838" w:orient="portrait"/>
          <w:cols w:equalWidth="0" w:num="2">
            <w:col w:w="7460" w:space="720"/>
            <w:col w:w="2920"/>
          </w:cols>
          <w:pgMar w:left="320" w:top="1440" w:right="47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20"/>
          <w:szCs w:val="20"/>
          <w:color w:val="auto"/>
        </w:rPr>
      </w:pPr>
    </w:p>
    <w:p>
      <w:pPr>
        <w:ind w:right="2700" w:firstLine="8"/>
        <w:spacing w:after="0" w:line="416" w:lineRule="auto"/>
        <w:tabs>
          <w:tab w:leader="none" w:pos="35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09"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ind w:left="1300" w:right="260" w:hanging="1295"/>
        <w:spacing w:after="0" w:line="255"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Todd A. Stevens, President and Chief Executive Officer of California Resources Corporation (the “Company”), will be leaving the Company and the Company’s Board of Directors as of December 31, 2020. Mr. Stevens’ departure did not result from any dispute or disagreement with the Company on any matter relating to the Company’s operations, financial statements, internal controls, policies or practices.</w:t>
      </w:r>
    </w:p>
    <w:p>
      <w:pPr>
        <w:spacing w:after="0" w:line="19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The Board of Directors has appointed Mark A. McFarland, the Company’s Executive Chairman, to act as Interim Chief Executive Officer upon Mr. Stevens departure and is initiating a search process for the company’s next Chief Executive Officer. Mr. McFarland entered into a letter agreement in connection with his appointment as Interim Chief Executive Officer that provides that the Company will pay him a monthly fee of $175,000 while he is serving as Interim Chief Executive Officer.</w:t>
      </w:r>
    </w:p>
    <w:p>
      <w:pPr>
        <w:spacing w:after="0" w:line="21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Mr. McFarland, 51, has been the Executive Chairman of GenOn Energy, Inc. since December 2018. From April 2017 to December 2018, he was the President and Chief Executive Officer of GenOn and served on its Board of Managers. From 2013 to 2016, he served as Chief Executive Officer of Luminant Holding Company LLC, a subsidiary of Energy Future Holdings Corporation.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from 2005 to 2008 and Vice President, Exelon Generation from 2003 to 2005. He served on the Board of Managers of Bruin E&amp;P Partners, LLC from March 2020 to August 2020. He served on the Board of Directors of TerraForm Power, Inc. from October 2017 to July 2020. He served on the Board of Directors of Chaparral Energy, Inc. from December 2019 to October 2020.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spacing w:after="0" w:line="2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Board of Directors has also appointed James N. Chapman to serve as Lead Independent Director while Mr. McFarland serves in the interim Chief Executive Officer role. Mr. Chapman serves as Chairman of the Company's Compensation Committee and as a member of the Company's Nominating and Governance Committee. Mr. Chapman also serves on the Boards of Directors of Arch Resources, Inc. and Denbury, Inc.</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December 21, 2020, the Company issued a press release announcing the management changes described in this Item 5.02. A copy of the press release is attached hereto as Exhibit 99.1 and is incorporated by reference herein.</w:t>
      </w:r>
    </w:p>
    <w:p>
      <w:pPr>
        <w:spacing w:after="0" w:line="200" w:lineRule="exact"/>
        <w:rPr>
          <w:sz w:val="20"/>
          <w:szCs w:val="20"/>
          <w:color w:val="auto"/>
        </w:rPr>
      </w:pPr>
    </w:p>
    <w:p>
      <w:pPr>
        <w:spacing w:after="0" w:line="2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40" w:type="dxa"/>
            <w:vAlign w:val="bottom"/>
          </w:tcPr>
          <w:p>
            <w:pPr>
              <w:spacing w:after="0"/>
              <w:rPr>
                <w:sz w:val="20"/>
                <w:szCs w:val="20"/>
                <w:color w:val="auto"/>
              </w:rPr>
            </w:pPr>
          </w:p>
        </w:tc>
      </w:tr>
      <w:tr>
        <w:trPr>
          <w:trHeight w:val="378"/>
        </w:trPr>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4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0"/>
        </w:trPr>
        <w:tc>
          <w:tcPr>
            <w:tcW w:w="1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99.1</w:t>
            </w:r>
          </w:p>
        </w:tc>
        <w:tc>
          <w:tcPr>
            <w:tcW w:w="9440" w:type="dxa"/>
            <w:vAlign w:val="bottom"/>
          </w:tcPr>
          <w:p>
            <w:pPr>
              <w:ind w:left="3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December 21, 2020.</w:t>
              </w:r>
            </w:hyperlink>
          </w:p>
        </w:tc>
      </w:tr>
      <w:tr>
        <w:trPr>
          <w:trHeight w:val="270"/>
        </w:trPr>
        <w:tc>
          <w:tcPr>
            <w:tcW w:w="1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56"/>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Executive Vice President, Chief Administrative Officer and General</w:t>
            </w:r>
          </w:p>
        </w:tc>
      </w:tr>
      <w:tr>
        <w:trPr>
          <w:trHeight w:val="234"/>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21, 2020</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16510</wp:posOffset>
            </wp:positionV>
            <wp:extent cx="162877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4740" w:val="left"/>
        </w:tabs>
        <w:rPr>
          <w:sz w:val="20"/>
          <w:szCs w:val="20"/>
          <w:color w:val="auto"/>
        </w:rPr>
      </w:pPr>
      <w:r>
        <w:rPr>
          <w:rFonts w:ascii="Arial" w:cs="Arial" w:eastAsia="Arial" w:hAnsi="Arial"/>
          <w:sz w:val="32"/>
          <w:szCs w:val="32"/>
          <w:b w:val="1"/>
          <w:bCs w:val="1"/>
          <w:color w:val="auto"/>
        </w:rPr>
        <w:t>NEWS RELEASE</w:t>
      </w:r>
      <w:r>
        <w:rPr>
          <w:sz w:val="20"/>
          <w:szCs w:val="20"/>
          <w:color w:val="auto"/>
        </w:rPr>
        <w:tab/>
      </w:r>
      <w:r>
        <w:rPr>
          <w:rFonts w:ascii="Arial" w:cs="Arial" w:eastAsia="Arial" w:hAnsi="Arial"/>
          <w:sz w:val="21"/>
          <w:szCs w:val="21"/>
          <w:b w:val="1"/>
          <w:bCs w:val="1"/>
          <w:color w:val="auto"/>
        </w:rPr>
        <w:t>For immediate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California Resources Corporation Announces CEO Departure</w:t>
      </w:r>
    </w:p>
    <w:p>
      <w:pPr>
        <w:spacing w:after="0" w:line="135" w:lineRule="exact"/>
        <w:rPr>
          <w:sz w:val="20"/>
          <w:szCs w:val="20"/>
          <w:color w:val="auto"/>
        </w:rPr>
      </w:pPr>
    </w:p>
    <w:p>
      <w:pPr>
        <w:ind w:right="120"/>
        <w:spacing w:after="0" w:line="294" w:lineRule="auto"/>
        <w:rPr>
          <w:sz w:val="20"/>
          <w:szCs w:val="20"/>
          <w:color w:val="auto"/>
        </w:rPr>
      </w:pPr>
      <w:r>
        <w:rPr>
          <w:rFonts w:ascii="Arial" w:cs="Arial" w:eastAsia="Arial" w:hAnsi="Arial"/>
          <w:sz w:val="20"/>
          <w:szCs w:val="20"/>
          <w:color w:val="auto"/>
        </w:rPr>
        <w:t xml:space="preserve">Santa Clarita, California, December 21, 2020 – </w:t>
      </w:r>
      <w:r>
        <w:rPr>
          <w:rFonts w:ascii="Arial" w:cs="Arial" w:eastAsia="Arial" w:hAnsi="Arial"/>
          <w:sz w:val="21"/>
          <w:szCs w:val="21"/>
          <w:color w:val="auto"/>
        </w:rPr>
        <w:t>California Resources Corporation (NYSE: CRC) (the “Company”)</w:t>
      </w:r>
      <w:r>
        <w:rPr>
          <w:rFonts w:ascii="Arial" w:cs="Arial" w:eastAsia="Arial" w:hAnsi="Arial"/>
          <w:sz w:val="20"/>
          <w:szCs w:val="20"/>
          <w:color w:val="auto"/>
        </w:rPr>
        <w:t xml:space="preserve"> </w:t>
      </w:r>
      <w:r>
        <w:rPr>
          <w:rFonts w:ascii="Arial" w:cs="Arial" w:eastAsia="Arial" w:hAnsi="Arial"/>
          <w:sz w:val="21"/>
          <w:szCs w:val="21"/>
          <w:color w:val="auto"/>
        </w:rPr>
        <w:t>announced today that Todd A. Stevens, President and Chief Executive Officer, will be leaving the Company on December 31. Mark A. (“Mac”) McFarland, the Company’s Executive Chairman, will serve as interim Chief Executive Officer and James N. Chapman will serve as Lead Independent Director. The Board of Directors will launch a search process for the Company’s next CEO.</w:t>
      </w:r>
    </w:p>
    <w:p>
      <w:pPr>
        <w:spacing w:after="0" w:line="114"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Mr. McFarland said, “Todd has led this organization through a very challenging period of time in our industry and the Company’s new board is thankful for his service and dedication. Looking forward, we will continue to focus on providing affordable energy in a safe and environmentally responsible manner and will engage proactively with our employees, regulators and stakeholders. In addition to our CEO search, we have initiated a full-scale business review and strategic repositioning effort with specific emphasis on cost reductions, capital discipline and asset rationalization to create value for our shareholders.”</w:t>
      </w:r>
    </w:p>
    <w:p>
      <w:pPr>
        <w:spacing w:after="0" w:line="131" w:lineRule="exact"/>
        <w:rPr>
          <w:sz w:val="20"/>
          <w:szCs w:val="20"/>
          <w:color w:val="auto"/>
        </w:rPr>
      </w:pPr>
    </w:p>
    <w:p>
      <w:pPr>
        <w:jc w:val="both"/>
        <w:spacing w:after="0" w:line="305" w:lineRule="auto"/>
        <w:rPr>
          <w:sz w:val="20"/>
          <w:szCs w:val="20"/>
          <w:color w:val="auto"/>
        </w:rPr>
      </w:pPr>
      <w:r>
        <w:rPr>
          <w:rFonts w:ascii="Arial" w:cs="Arial" w:eastAsia="Arial" w:hAnsi="Arial"/>
          <w:sz w:val="22"/>
          <w:szCs w:val="22"/>
          <w:color w:val="auto"/>
        </w:rPr>
        <w:t>Mr. Stevens said, “It has been an honor to work with the men and women of CRC over the last 6+ years. I want to express my deepest gratitude to them and wish them and the Company all the best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 Disclosure</w:t>
      </w:r>
    </w:p>
    <w:p>
      <w:pPr>
        <w:spacing w:after="0" w:line="249" w:lineRule="exact"/>
        <w:rPr>
          <w:sz w:val="20"/>
          <w:szCs w:val="20"/>
          <w:color w:val="auto"/>
        </w:rPr>
      </w:pPr>
    </w:p>
    <w:p>
      <w:pPr>
        <w:jc w:val="both"/>
        <w:spacing w:after="0" w:line="312" w:lineRule="auto"/>
        <w:rPr>
          <w:sz w:val="20"/>
          <w:szCs w:val="20"/>
          <w:color w:val="auto"/>
        </w:rPr>
      </w:pPr>
      <w:r>
        <w:rPr>
          <w:rFonts w:ascii="Arial" w:cs="Arial" w:eastAsia="Arial" w:hAnsi="Arial"/>
          <w:sz w:val="22"/>
          <w:szCs w:val="22"/>
          <w:color w:val="auto"/>
        </w:rPr>
        <w:t>All statements, except for statements of historical fact, made in this release regarding activities, events or developments the Company expects, believes or anticipates will or may occur in the future, are forward-looking statements within the meaning of Section 27A of the Securities Act of 1933, as amended,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w:t>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11480"/>
                    </a:xfrm>
                    <a:prstGeom prst="rect">
                      <a:avLst/>
                    </a:prstGeom>
                    <a:noFill/>
                  </pic:spPr>
                </pic:pic>
              </a:graphicData>
            </a:graphic>
          </wp:anchor>
        </w:drawing>
        <w:t>Page 2</w:t>
      </w: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color w:val="auto"/>
        </w:rPr>
        <w:t>expressly disclaims any obligation to and does not intend to publicly update or revise any forward-looking statements.</w:t>
      </w:r>
    </w:p>
    <w:p>
      <w:pPr>
        <w:spacing w:after="0" w:line="191" w:lineRule="exact"/>
        <w:rPr>
          <w:sz w:val="20"/>
          <w:szCs w:val="20"/>
          <w:color w:val="auto"/>
        </w:rPr>
      </w:pPr>
    </w:p>
    <w:p>
      <w:pPr>
        <w:jc w:val="both"/>
        <w:spacing w:after="0" w:line="316" w:lineRule="auto"/>
        <w:rPr>
          <w:sz w:val="20"/>
          <w:szCs w:val="20"/>
          <w:color w:val="auto"/>
        </w:rPr>
      </w:pPr>
      <w:r>
        <w:rPr>
          <w:rFonts w:ascii="Arial" w:cs="Arial" w:eastAsia="Arial" w:hAnsi="Arial"/>
          <w:sz w:val="22"/>
          <w:szCs w:val="22"/>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2019 and its subsequently filed Quarterly Reports on Form 10-Q.</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22"/>
          <w:szCs w:val="22"/>
          <w:color w:val="333333"/>
        </w:rPr>
        <w:t>California Resources Corporation is the largest oil and natural gas exploration and production company in California. The Company operates its world-class resource base exclusively within the State of California, applying complementary and integrated infrastructure to gather, process and market its production. Using advanced technology, the Company focuses on safely and responsibly supplying affordable energy for California by Californians</w:t>
      </w:r>
      <w:r>
        <w:rPr>
          <w:rFonts w:ascii="Arial" w:cs="Arial" w:eastAsia="Arial" w:hAnsi="Arial"/>
          <w:sz w:val="22"/>
          <w:szCs w:val="22"/>
          <w:color w:val="000000"/>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CRC Contacts:</w:t>
            </w:r>
          </w:p>
        </w:tc>
        <w:tc>
          <w:tcPr>
            <w:tcW w:w="4100" w:type="dxa"/>
            <w:vAlign w:val="bottom"/>
            <w:gridSpan w:val="2"/>
          </w:tcPr>
          <w:p>
            <w:pPr>
              <w:spacing w:after="0"/>
              <w:rPr>
                <w:sz w:val="21"/>
                <w:szCs w:val="21"/>
                <w:color w:val="auto"/>
              </w:rPr>
            </w:pPr>
          </w:p>
        </w:tc>
        <w:tc>
          <w:tcPr>
            <w:tcW w:w="2780" w:type="dxa"/>
            <w:vAlign w:val="bottom"/>
          </w:tcPr>
          <w:p>
            <w:pPr>
              <w:spacing w:after="0"/>
              <w:rPr>
                <w:sz w:val="21"/>
                <w:szCs w:val="21"/>
                <w:color w:val="auto"/>
              </w:rPr>
            </w:pPr>
          </w:p>
        </w:tc>
      </w:tr>
      <w:tr>
        <w:trPr>
          <w:trHeight w:val="553"/>
        </w:trPr>
        <w:tc>
          <w:tcPr>
            <w:tcW w:w="2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22"/>
                <w:szCs w:val="22"/>
                <w:color w:val="auto"/>
              </w:rPr>
              <w:t>Scott Espenshade (Investor Relations)</w:t>
            </w:r>
          </w:p>
        </w:tc>
        <w:tc>
          <w:tcPr>
            <w:tcW w:w="2780" w:type="dxa"/>
            <w:vAlign w:val="bottom"/>
          </w:tcPr>
          <w:p>
            <w:pPr>
              <w:spacing w:after="0"/>
              <w:rPr>
                <w:sz w:val="20"/>
                <w:szCs w:val="20"/>
                <w:color w:val="auto"/>
              </w:rPr>
            </w:pPr>
            <w:r>
              <w:rPr>
                <w:rFonts w:ascii="Arial" w:cs="Arial" w:eastAsia="Arial" w:hAnsi="Arial"/>
                <w:sz w:val="22"/>
                <w:szCs w:val="22"/>
                <w:color w:val="auto"/>
              </w:rPr>
              <w:t>Margita Thompson (Media)</w:t>
            </w:r>
          </w:p>
        </w:tc>
      </w:tr>
      <w:tr>
        <w:trPr>
          <w:trHeight w:val="257"/>
        </w:trPr>
        <w:tc>
          <w:tcPr>
            <w:tcW w:w="1540" w:type="dxa"/>
            <w:vAlign w:val="bottom"/>
            <w:gridSpan w:val="2"/>
          </w:tcPr>
          <w:p>
            <w:pPr>
              <w:ind w:left="20"/>
              <w:spacing w:after="0"/>
              <w:rPr>
                <w:sz w:val="20"/>
                <w:szCs w:val="20"/>
                <w:color w:val="auto"/>
              </w:rPr>
            </w:pPr>
            <w:r>
              <w:rPr>
                <w:rFonts w:ascii="Arial" w:cs="Arial" w:eastAsia="Arial" w:hAnsi="Arial"/>
                <w:sz w:val="22"/>
                <w:szCs w:val="22"/>
                <w:color w:val="auto"/>
                <w:w w:val="99"/>
              </w:rPr>
              <w:t>(818) 661-6010</w:t>
            </w:r>
          </w:p>
        </w:tc>
        <w:tc>
          <w:tcPr>
            <w:tcW w:w="12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780" w:type="dxa"/>
            <w:vAlign w:val="bottom"/>
          </w:tcPr>
          <w:p>
            <w:pPr>
              <w:spacing w:after="0"/>
              <w:rPr>
                <w:sz w:val="20"/>
                <w:szCs w:val="20"/>
                <w:color w:val="auto"/>
              </w:rPr>
            </w:pPr>
            <w:r>
              <w:rPr>
                <w:rFonts w:ascii="Arial" w:cs="Arial" w:eastAsia="Arial" w:hAnsi="Arial"/>
                <w:sz w:val="22"/>
                <w:szCs w:val="22"/>
                <w:color w:val="auto"/>
              </w:rPr>
              <w:t>(818) 661-6005</w:t>
            </w:r>
          </w:p>
        </w:tc>
      </w:tr>
      <w:tr>
        <w:trPr>
          <w:trHeight w:val="237"/>
        </w:trPr>
        <w:tc>
          <w:tcPr>
            <w:tcW w:w="20" w:type="dxa"/>
            <w:vAlign w:val="bottom"/>
          </w:tcPr>
          <w:p>
            <w:pPr>
              <w:spacing w:after="0"/>
              <w:rPr>
                <w:sz w:val="20"/>
                <w:szCs w:val="20"/>
                <w:color w:val="auto"/>
              </w:rPr>
            </w:pPr>
          </w:p>
        </w:tc>
        <w:tc>
          <w:tcPr>
            <w:tcW w:w="2740" w:type="dxa"/>
            <w:vAlign w:val="bottom"/>
            <w:tcBorders>
              <w:bottom w:val="single" w:sz="8" w:color="3051F2"/>
            </w:tcBorders>
            <w:gridSpan w:val="2"/>
          </w:tcPr>
          <w:p>
            <w:pPr>
              <w:spacing w:after="0" w:line="237" w:lineRule="exact"/>
              <w:rPr>
                <w:sz w:val="20"/>
                <w:szCs w:val="20"/>
                <w:color w:val="auto"/>
              </w:rPr>
            </w:pPr>
            <w:r>
              <w:rPr>
                <w:rFonts w:ascii="Arial" w:cs="Arial" w:eastAsia="Arial" w:hAnsi="Arial"/>
                <w:sz w:val="22"/>
                <w:szCs w:val="22"/>
                <w:color w:val="3051F2"/>
                <w:w w:val="97"/>
              </w:rPr>
              <w:t>Scott.Espenshade@crc.com</w:t>
            </w:r>
          </w:p>
        </w:tc>
        <w:tc>
          <w:tcPr>
            <w:tcW w:w="2880" w:type="dxa"/>
            <w:vAlign w:val="bottom"/>
          </w:tcPr>
          <w:p>
            <w:pPr>
              <w:spacing w:after="0"/>
              <w:rPr>
                <w:sz w:val="20"/>
                <w:szCs w:val="20"/>
                <w:color w:val="auto"/>
              </w:rPr>
            </w:pPr>
          </w:p>
        </w:tc>
        <w:tc>
          <w:tcPr>
            <w:tcW w:w="2780" w:type="dxa"/>
            <w:vAlign w:val="bottom"/>
            <w:tcBorders>
              <w:bottom w:val="single" w:sz="8" w:color="3051F2"/>
            </w:tcBorders>
          </w:tcPr>
          <w:p>
            <w:pPr>
              <w:spacing w:after="0" w:line="237" w:lineRule="exact"/>
              <w:rPr>
                <w:sz w:val="20"/>
                <w:szCs w:val="20"/>
                <w:color w:val="auto"/>
              </w:rPr>
            </w:pPr>
            <w:r>
              <w:rPr>
                <w:rFonts w:ascii="Arial" w:cs="Arial" w:eastAsia="Arial" w:hAnsi="Arial"/>
                <w:sz w:val="22"/>
                <w:szCs w:val="22"/>
                <w:color w:val="3051F2"/>
                <w:w w:val="97"/>
              </w:rPr>
              <w:t>Margita.Thompson@crc.com</w:t>
            </w:r>
          </w:p>
        </w:tc>
      </w:tr>
      <w:tr>
        <w:trPr>
          <w:trHeight w:val="669"/>
        </w:trPr>
        <w:tc>
          <w:tcPr>
            <w:tcW w:w="5640" w:type="dxa"/>
            <w:vAlign w:val="bottom"/>
            <w:gridSpan w:val="4"/>
          </w:tcPr>
          <w:p>
            <w:pPr>
              <w:spacing w:after="0"/>
              <w:rPr>
                <w:sz w:val="20"/>
                <w:szCs w:val="20"/>
                <w:color w:val="auto"/>
              </w:rPr>
            </w:pPr>
            <w:r>
              <w:rPr>
                <w:rFonts w:ascii="Arial" w:cs="Arial" w:eastAsia="Arial" w:hAnsi="Arial"/>
                <w:sz w:val="22"/>
                <w:szCs w:val="22"/>
                <w:color w:val="auto"/>
              </w:rPr>
              <w:t>Source: California Resources Corporation</w:t>
            </w:r>
          </w:p>
        </w:tc>
        <w:tc>
          <w:tcPr>
            <w:tcW w:w="2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2020-12-21T15:18:25Z</dcterms:created>
  <dcterms:modified xsi:type="dcterms:W3CDTF">2020-12-21T15:18:25Z</dcterms:modified>
</cp:coreProperties>
</file>