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March 31, 2021</w:t>
      </w:r>
    </w:p>
    <w:p>
      <w:pPr>
        <w:jc w:val="center"/>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7" w:lineRule="exact"/>
        <w:rPr>
          <w:sz w:val="24"/>
          <w:szCs w:val="24"/>
          <w:color w:val="auto"/>
        </w:rPr>
      </w:pPr>
    </w:p>
    <w:tbl>
      <w:tblPr>
        <w:tblLayout w:type="fixed"/>
        <w:tblInd w:w="1700" w:type="dxa"/>
        <w:tblCellMar>
          <w:top w:w="0" w:type="dxa"/>
          <w:left w:w="0" w:type="dxa"/>
          <w:bottom w:w="0" w:type="dxa"/>
          <w:right w:w="0" w:type="dxa"/>
        </w:tblCellMar>
      </w:tblPr>
      <w:tr>
        <w:trPr>
          <w:trHeight w:val="261"/>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195"/>
        </w:trPr>
        <w:tc>
          <w:tcPr>
            <w:tcW w:w="4360" w:type="dxa"/>
            <w:vAlign w:val="bottom"/>
          </w:tcPr>
          <w:p>
            <w:pPr>
              <w:ind w:left="20"/>
              <w:spacing w:after="0" w:line="195"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195" w:lineRule="exact"/>
              <w:rPr>
                <w:sz w:val="20"/>
                <w:szCs w:val="20"/>
                <w:color w:val="auto"/>
              </w:rPr>
            </w:pPr>
            <w:r>
              <w:rPr>
                <w:rFonts w:ascii="Arial" w:cs="Arial" w:eastAsia="Arial" w:hAnsi="Arial"/>
                <w:sz w:val="20"/>
                <w:szCs w:val="20"/>
                <w:color w:val="auto"/>
              </w:rPr>
              <w:t>(I.R.S. Employer</w:t>
            </w:r>
          </w:p>
        </w:tc>
      </w:tr>
      <w:tr>
        <w:trPr>
          <w:trHeight w:val="237"/>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27200 Tourney Road,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Santa Clarita, California 91355</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29" w:right="339" w:bottom="1440" w:gutter="0" w:footer="0" w:header="0"/>
        </w:sectPr>
      </w:pPr>
    </w:p>
    <w:p>
      <w:pPr>
        <w:spacing w:after="0" w:line="12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2"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41"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29" w:right="339" w:bottom="1440" w:gutter="0" w:footer="0" w:header="0"/>
          <w:type w:val="continuous"/>
        </w:sectPr>
      </w:pPr>
    </w:p>
    <w:p>
      <w:pPr>
        <w:spacing w:after="0" w:line="145" w:lineRule="exact"/>
        <w:rPr>
          <w:sz w:val="24"/>
          <w:szCs w:val="24"/>
          <w:color w:val="auto"/>
        </w:rPr>
      </w:pPr>
    </w:p>
    <w:p>
      <w:pPr>
        <w:jc w:val="both"/>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8" w:lineRule="exact"/>
        <w:rPr>
          <w:sz w:val="24"/>
          <w:szCs w:val="24"/>
          <w:color w:val="auto"/>
        </w:rPr>
      </w:pPr>
    </w:p>
    <w:p>
      <w:pPr>
        <w:jc w:val="both"/>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6"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type w:val="continuous"/>
        </w:sectPr>
      </w:pPr>
    </w:p>
    <w:p>
      <w:pPr>
        <w:spacing w:after="0" w:line="108" w:lineRule="exact"/>
        <w:rPr>
          <w:sz w:val="24"/>
          <w:szCs w:val="24"/>
          <w:color w:val="auto"/>
        </w:rPr>
      </w:pPr>
    </w:p>
    <w:p>
      <w:pPr>
        <w:ind w:left="1040"/>
        <w:spacing w:after="0" w:line="276"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24"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29" w:right="339" w:bottom="1440" w:gutter="0" w:footer="0" w:header="0"/>
          <w:type w:val="continuous"/>
        </w:sect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last practicable date.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April 30, 2021 was 83,319,660.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60" w:type="dxa"/>
            <w:vAlign w:val="bottom"/>
          </w:tcPr>
          <w:p>
            <w:pPr>
              <w:spacing w:after="0"/>
              <w:rPr>
                <w:sz w:val="20"/>
                <w:szCs w:val="20"/>
                <w:color w:val="auto"/>
              </w:rPr>
            </w:pPr>
          </w:p>
        </w:tc>
        <w:tc>
          <w:tcPr>
            <w:tcW w:w="7520" w:type="dxa"/>
            <w:vAlign w:val="bottom"/>
          </w:tcPr>
          <w:p>
            <w:pPr>
              <w:ind w:left="146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0"/>
                <w:szCs w:val="20"/>
                <w:color w:val="auto"/>
              </w:rPr>
            </w:pPr>
          </w:p>
        </w:tc>
      </w:tr>
      <w:tr>
        <w:trPr>
          <w:trHeight w:val="459"/>
        </w:trPr>
        <w:tc>
          <w:tcPr>
            <w:tcW w:w="960" w:type="dxa"/>
            <w:vAlign w:val="bottom"/>
          </w:tcPr>
          <w:p>
            <w:pPr>
              <w:spacing w:after="0"/>
              <w:rPr>
                <w:sz w:val="24"/>
                <w:szCs w:val="24"/>
                <w:color w:val="auto"/>
              </w:rPr>
            </w:pPr>
          </w:p>
        </w:tc>
        <w:tc>
          <w:tcPr>
            <w:tcW w:w="7520" w:type="dxa"/>
            <w:vAlign w:val="bottom"/>
          </w:tcPr>
          <w:p>
            <w:pPr>
              <w:ind w:left="290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51"/>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Income (Loss)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21</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21</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22</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23</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Seasonality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25</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Fixed and Variable Costs</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25</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and Prices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Liquidity and Capital Resources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31</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2021 Capital Program</w:t>
            </w:r>
          </w:p>
        </w:tc>
        <w:tc>
          <w:tcPr>
            <w:tcW w:w="740" w:type="dxa"/>
            <w:vAlign w:val="bottom"/>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33</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34</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34</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Forward-Looking Statements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35</w:t>
              </w:r>
            </w:hyperlink>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3</w:t>
            </w:r>
          </w:p>
        </w:tc>
        <w:tc>
          <w:tcPr>
            <w:tcW w:w="75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37</w:t>
              </w:r>
            </w:hyperlink>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4</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Controls and Procedures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37</w:t>
              </w:r>
            </w:hyperlink>
          </w:p>
        </w:tc>
      </w:tr>
      <w:tr>
        <w:trPr>
          <w:trHeight w:val="216"/>
        </w:trPr>
        <w:tc>
          <w:tcPr>
            <w:tcW w:w="9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740" w:type="dxa"/>
            <w:vAlign w:val="bottom"/>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38</w:t>
              </w:r>
            </w:hyperlink>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1A</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38</w:t>
              </w:r>
            </w:hyperlink>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5</w:t>
            </w:r>
          </w:p>
        </w:tc>
        <w:tc>
          <w:tcPr>
            <w:tcW w:w="7520" w:type="dxa"/>
            <w:vAlign w:val="bottom"/>
          </w:tcPr>
          <w:p>
            <w:pPr>
              <w:ind w:left="180"/>
              <w:spacing w:after="0"/>
              <w:rPr>
                <w:sz w:val="20"/>
                <w:szCs w:val="20"/>
                <w:color w:val="auto"/>
              </w:rPr>
            </w:pPr>
            <w:r>
              <w:rPr>
                <w:rFonts w:ascii="Arial" w:cs="Arial" w:eastAsia="Arial" w:hAnsi="Arial"/>
                <w:sz w:val="18"/>
                <w:szCs w:val="18"/>
                <w:color w:val="auto"/>
              </w:rPr>
              <w:t>Other Disclosures</w:t>
            </w:r>
          </w:p>
        </w:tc>
        <w:tc>
          <w:tcPr>
            <w:tcW w:w="740" w:type="dxa"/>
            <w:vAlign w:val="bottom"/>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38</w:t>
              </w:r>
            </w:hyperlink>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6</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86" w:right="1339" w:bottom="1440" w:gutter="0" w:footer="0" w:header="0"/>
        </w:sectPr>
      </w:pPr>
    </w:p>
    <w:bookmarkStart w:id="3" w:name="page4"/>
    <w:bookmarkEnd w:id="3"/>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of March 31, 2021 and December 31, 2020</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(dollars and shares in millions, except par value)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7"/>
          </w:tcPr>
          <w:p>
            <w:pPr>
              <w:jc w:val="right"/>
              <w:ind w:right="132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14"/>
        </w:trPr>
        <w:tc>
          <w:tcPr>
            <w:tcW w:w="77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March 31,</w:t>
            </w: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7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360"/>
              <w:spacing w:after="0" w:line="189" w:lineRule="exact"/>
              <w:rPr>
                <w:sz w:val="20"/>
                <w:szCs w:val="20"/>
                <w:color w:val="auto"/>
              </w:rPr>
            </w:pPr>
            <w:r>
              <w:rPr>
                <w:rFonts w:ascii="Arial" w:cs="Arial" w:eastAsia="Arial" w:hAnsi="Arial"/>
                <w:sz w:val="18"/>
                <w:szCs w:val="18"/>
                <w:color w:val="auto"/>
              </w:rPr>
              <w:t>Preferred stock (20 shares authorized at $0.01 par value) no shares outstanding at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40" w:type="dxa"/>
            <w:vAlign w:val="bottom"/>
          </w:tcPr>
          <w:p>
            <w:pPr>
              <w:ind w:left="520"/>
              <w:spacing w:after="0"/>
              <w:rPr>
                <w:sz w:val="20"/>
                <w:szCs w:val="20"/>
                <w:color w:val="auto"/>
              </w:rPr>
            </w:pPr>
            <w:r>
              <w:rPr>
                <w:rFonts w:ascii="Arial" w:cs="Arial" w:eastAsia="Arial" w:hAnsi="Arial"/>
                <w:sz w:val="18"/>
                <w:szCs w:val="18"/>
                <w:color w:val="auto"/>
              </w:rPr>
              <w:t>March 31, 2021 and December 31, 2020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7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Common stock (200 shares authorized at $0.01 par value) outstanding shares (83.3 at</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March 31, 2021 and December 31, 2020)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 attributable to common stock</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Equity attributable to noncontrolling interests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40" w:type="dxa"/>
            <w:vAlign w:val="bottom"/>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7"/>
        </w:trPr>
        <w:tc>
          <w:tcPr>
            <w:tcW w:w="7740" w:type="dxa"/>
            <w:vAlign w:val="bottom"/>
          </w:tcPr>
          <w:p>
            <w:pPr>
              <w:ind w:left="55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Successor</w:t>
            </w:r>
          </w:p>
        </w:tc>
        <w:tc>
          <w:tcPr>
            <w:tcW w:w="180" w:type="dxa"/>
            <w:vAlign w:val="bottom"/>
          </w:tcPr>
          <w:p>
            <w:pPr>
              <w:spacing w:after="0"/>
              <w:rPr>
                <w:sz w:val="20"/>
                <w:szCs w:val="20"/>
                <w:color w:val="auto"/>
              </w:rPr>
            </w:pPr>
          </w:p>
        </w:tc>
        <w:tc>
          <w:tcPr>
            <w:tcW w:w="20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6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rPr>
              <w:t>Three months ended</w:t>
            </w:r>
          </w:p>
        </w:tc>
      </w:tr>
      <w:tr>
        <w:trPr>
          <w:trHeight w:val="229"/>
        </w:trPr>
        <w:tc>
          <w:tcPr>
            <w:tcW w:w="6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March 31,</w:t>
            </w:r>
          </w:p>
        </w:tc>
      </w:tr>
      <w:tr>
        <w:trPr>
          <w:trHeight w:val="223"/>
        </w:trPr>
        <w:tc>
          <w:tcPr>
            <w:tcW w:w="6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natural gas and NGL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6500" w:type="dxa"/>
            <w:vAlign w:val="bottom"/>
          </w:tcPr>
          <w:p>
            <w:pPr>
              <w:ind w:left="360"/>
              <w:spacing w:after="0"/>
              <w:rPr>
                <w:sz w:val="20"/>
                <w:szCs w:val="20"/>
                <w:color w:val="auto"/>
              </w:rPr>
            </w:pPr>
            <w:r>
              <w:rPr>
                <w:rFonts w:ascii="Arial" w:cs="Arial" w:eastAsia="Arial" w:hAnsi="Arial"/>
                <w:sz w:val="18"/>
                <w:szCs w:val="18"/>
                <w:color w:val="auto"/>
              </w:rPr>
              <w:t>Net derivative (loss) gain from commodity contracts</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Trading revenue</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Electricity sales</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5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196"/>
        </w:trPr>
        <w:tc>
          <w:tcPr>
            <w:tcW w:w="6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COSTS</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costs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650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other than on income</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500" w:type="dxa"/>
            <w:vAlign w:val="bottom"/>
          </w:tcPr>
          <w:p>
            <w:pPr>
              <w:ind w:left="360"/>
              <w:spacing w:after="0"/>
              <w:rPr>
                <w:sz w:val="20"/>
                <w:szCs w:val="20"/>
                <w:color w:val="auto"/>
              </w:rPr>
            </w:pPr>
            <w:r>
              <w:rPr>
                <w:rFonts w:ascii="Arial" w:cs="Arial" w:eastAsia="Arial" w:hAnsi="Arial"/>
                <w:sz w:val="18"/>
                <w:szCs w:val="18"/>
                <w:color w:val="auto"/>
              </w:rPr>
              <w:t>Exploration expense</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Trading costs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500" w:type="dxa"/>
            <w:vAlign w:val="bottom"/>
          </w:tcPr>
          <w:p>
            <w:pPr>
              <w:ind w:left="360"/>
              <w:spacing w:after="0"/>
              <w:rPr>
                <w:sz w:val="20"/>
                <w:szCs w:val="20"/>
                <w:color w:val="auto"/>
              </w:rPr>
            </w:pPr>
            <w:r>
              <w:rPr>
                <w:rFonts w:ascii="Arial" w:cs="Arial" w:eastAsia="Arial" w:hAnsi="Arial"/>
                <w:sz w:val="18"/>
                <w:szCs w:val="18"/>
                <w:color w:val="auto"/>
              </w:rPr>
              <w:t>Electricity cost of sales</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Transportation costs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expenses, net</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costs</w:t>
            </w:r>
          </w:p>
        </w:tc>
        <w:tc>
          <w:tcPr>
            <w:tcW w:w="1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196"/>
        </w:trPr>
        <w:tc>
          <w:tcPr>
            <w:tcW w:w="6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16"/>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(LOSS) INCOME</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Reorganization items</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debt expense, net</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Net (loss) gain on early extinguishment of debt</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asset divestitures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non-operating expenses</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Income tax</w:t>
            </w:r>
          </w:p>
        </w:tc>
        <w:tc>
          <w:tcPr>
            <w:tcW w:w="160" w:type="dxa"/>
            <w:vAlign w:val="bottom"/>
          </w:tcPr>
          <w:p>
            <w:pPr>
              <w:spacing w:after="0"/>
              <w:rPr>
                <w:sz w:val="19"/>
                <w:szCs w:val="19"/>
                <w:color w:val="auto"/>
              </w:rPr>
            </w:pPr>
          </w:p>
        </w:tc>
        <w:tc>
          <w:tcPr>
            <w:tcW w:w="2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16"/>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Mezzanine equity</w:t>
            </w:r>
          </w:p>
        </w:tc>
        <w:tc>
          <w:tcPr>
            <w:tcW w:w="160" w:type="dxa"/>
            <w:vAlign w:val="bottom"/>
          </w:tcPr>
          <w:p>
            <w:pPr>
              <w:spacing w:after="0"/>
              <w:rPr>
                <w:sz w:val="19"/>
                <w:szCs w:val="19"/>
                <w:color w:val="auto"/>
              </w:rPr>
            </w:pPr>
          </w:p>
        </w:tc>
        <w:tc>
          <w:tcPr>
            <w:tcW w:w="2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 per share</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(36.43)</w:t>
            </w:r>
          </w:p>
        </w:tc>
      </w:tr>
      <w:tr>
        <w:trPr>
          <w:trHeight w:val="180"/>
        </w:trPr>
        <w:tc>
          <w:tcPr>
            <w:tcW w:w="6500" w:type="dxa"/>
            <w:vAlign w:val="bottom"/>
          </w:tcPr>
          <w:p>
            <w:pPr>
              <w:ind w:left="20"/>
              <w:spacing w:after="0" w:line="181" w:lineRule="exact"/>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line="181" w:lineRule="exact"/>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line="181" w:lineRule="exact"/>
              <w:rPr>
                <w:sz w:val="20"/>
                <w:szCs w:val="20"/>
                <w:color w:val="auto"/>
              </w:rPr>
            </w:pPr>
            <w:r>
              <w:rPr>
                <w:rFonts w:ascii="Arial" w:cs="Arial" w:eastAsia="Arial" w:hAnsi="Arial"/>
                <w:sz w:val="18"/>
                <w:szCs w:val="18"/>
                <w:color w:val="auto"/>
              </w:rPr>
              <w:t>(1.13)</w:t>
            </w:r>
          </w:p>
        </w:tc>
        <w:tc>
          <w:tcPr>
            <w:tcW w:w="32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line="181" w:lineRule="exact"/>
              <w:rPr>
                <w:sz w:val="20"/>
                <w:szCs w:val="20"/>
                <w:color w:val="auto"/>
              </w:rPr>
            </w:pPr>
            <w:r>
              <w:rPr>
                <w:rFonts w:ascii="Arial" w:cs="Arial" w:eastAsia="Arial" w:hAnsi="Arial"/>
                <w:sz w:val="18"/>
                <w:szCs w:val="18"/>
                <w:color w:val="auto"/>
              </w:rPr>
              <w:t>(36.43)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-6689090</wp:posOffset>
            </wp:positionV>
            <wp:extent cx="7132320" cy="672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7208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 w:name="page6"/>
    <w:bookmarkEnd w:id="5"/>
    <w:p>
      <w:pPr>
        <w:jc w:val="center"/>
        <w:ind w:left="340" w:right="2560"/>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Income (Loss) For the three months ended March 31, 2021 and 2020 </w:t>
      </w:r>
      <w:r>
        <w:rPr>
          <w:rFonts w:ascii="Arial" w:cs="Arial" w:eastAsia="Arial" w:hAnsi="Arial"/>
          <w:sz w:val="18"/>
          <w:szCs w:val="18"/>
          <w:color w:val="auto"/>
        </w:rPr>
        <w:t>(dollars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6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rPr>
              <w:t>Three months ended</w:t>
            </w:r>
          </w:p>
        </w:tc>
      </w:tr>
      <w:tr>
        <w:trPr>
          <w:trHeight w:val="229"/>
        </w:trPr>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March 31,</w:t>
            </w:r>
          </w:p>
        </w:tc>
      </w:tr>
      <w:tr>
        <w:trPr>
          <w:trHeight w:val="223"/>
        </w:trPr>
        <w:tc>
          <w:tcPr>
            <w:tcW w:w="64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12"/>
          </w:tcPr>
          <w:p>
            <w:pPr>
              <w:jc w:val="center"/>
              <w:ind w:right="260"/>
              <w:spacing w:after="0"/>
              <w:rPr>
                <w:sz w:val="20"/>
                <w:szCs w:val="20"/>
                <w:color w:val="auto"/>
              </w:rPr>
            </w:pPr>
            <w:r>
              <w:rPr>
                <w:rFonts w:ascii="Arial" w:cs="Arial" w:eastAsia="Arial" w:hAnsi="Arial"/>
                <w:sz w:val="14"/>
                <w:szCs w:val="14"/>
                <w:b w:val="1"/>
                <w:bCs w:val="1"/>
                <w:color w:val="auto"/>
              </w:rPr>
              <w:t>Three months ended March 31, 2021 (Successor)</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1"/>
                <w:szCs w:val="11"/>
                <w:color w:val="auto"/>
              </w:rPr>
            </w:pPr>
          </w:p>
        </w:tc>
        <w:tc>
          <w:tcPr>
            <w:tcW w:w="10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80" w:type="dxa"/>
            <w:vAlign w:val="bottom"/>
            <w:gridSpan w:val="2"/>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6"/>
          </w:tcPr>
          <w:p>
            <w:pPr>
              <w:jc w:val="center"/>
              <w:ind w:right="120"/>
              <w:spacing w:after="0" w:line="135" w:lineRule="exact"/>
              <w:rPr>
                <w:sz w:val="20"/>
                <w:szCs w:val="20"/>
                <w:color w:val="auto"/>
              </w:rPr>
            </w:pPr>
            <w:r>
              <w:rPr>
                <w:rFonts w:ascii="Arial" w:cs="Arial" w:eastAsia="Arial" w:hAnsi="Arial"/>
                <w:sz w:val="14"/>
                <w:szCs w:val="14"/>
                <w:b w:val="1"/>
                <w:bCs w:val="1"/>
                <w:color w:val="auto"/>
              </w:rPr>
              <w:t>Comprehensive</w:t>
            </w:r>
          </w:p>
        </w:tc>
        <w:tc>
          <w:tcPr>
            <w:tcW w:w="12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1"/>
                <w:szCs w:val="11"/>
                <w:color w:val="auto"/>
              </w:rPr>
            </w:pPr>
          </w:p>
        </w:tc>
        <w:tc>
          <w:tcPr>
            <w:tcW w:w="110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Deficit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gridSpan w:val="2"/>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Interests</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5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gridSpan w:val="2"/>
          </w:tcPr>
          <w:p>
            <w:pPr>
              <w:ind w:left="120"/>
              <w:spacing w:after="0" w:line="189" w:lineRule="exact"/>
              <w:rPr>
                <w:sz w:val="20"/>
                <w:szCs w:val="20"/>
                <w:color w:val="auto"/>
              </w:rPr>
            </w:pPr>
            <w:r>
              <w:rPr>
                <w:rFonts w:ascii="Arial" w:cs="Arial" w:eastAsia="Arial" w:hAnsi="Arial"/>
                <w:sz w:val="14"/>
                <w:szCs w:val="14"/>
                <w:color w:val="auto"/>
              </w:rPr>
              <w:t>Net (loss) income</w:t>
            </w:r>
            <w:r>
              <w:rPr>
                <w:rFonts w:ascii="Arial" w:cs="Arial" w:eastAsia="Arial" w:hAnsi="Arial"/>
                <w:sz w:val="18"/>
                <w:szCs w:val="18"/>
                <w:color w:val="auto"/>
                <w:vertAlign w:val="superscript"/>
              </w:rPr>
              <w:t>(a)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540" w:type="dxa"/>
            <w:vAlign w:val="bottom"/>
            <w:gridSpan w:val="3"/>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 noncontrolling interest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9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holders</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gridSpan w:val="3"/>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60" w:type="dxa"/>
            <w:vAlign w:val="bottom"/>
            <w:gridSpan w:val="2"/>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Share-based compensation</w:t>
            </w: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17"/>
          </w:tcPr>
          <w:p>
            <w:pPr>
              <w:jc w:val="right"/>
              <w:ind w:right="580"/>
              <w:spacing w:after="0"/>
              <w:rPr>
                <w:sz w:val="20"/>
                <w:szCs w:val="20"/>
                <w:color w:val="auto"/>
              </w:rPr>
            </w:pPr>
            <w:r>
              <w:rPr>
                <w:rFonts w:ascii="Arial" w:cs="Arial" w:eastAsia="Arial" w:hAnsi="Arial"/>
                <w:sz w:val="14"/>
                <w:szCs w:val="14"/>
                <w:b w:val="1"/>
                <w:bCs w:val="1"/>
                <w:color w:val="auto"/>
              </w:rPr>
              <w:t>Three months ended March 31, 2020 (Predecessor)</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tcPr>
          <w:p>
            <w:pPr>
              <w:jc w:val="center"/>
              <w:ind w:right="28"/>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jc w:val="center"/>
              <w:ind w:right="48"/>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1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1"/>
                <w:szCs w:val="11"/>
                <w:color w:val="auto"/>
              </w:rPr>
            </w:pP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75"/>
        </w:trPr>
        <w:tc>
          <w:tcPr>
            <w:tcW w:w="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Deficit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Loss</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Interests</w:t>
            </w:r>
            <w:r>
              <w:rPr>
                <w:rFonts w:ascii="Arial" w:cs="Arial" w:eastAsia="Arial" w:hAnsi="Arial"/>
                <w:sz w:val="9"/>
                <w:szCs w:val="9"/>
                <w:b w:val="1"/>
                <w:bCs w:val="1"/>
                <w:color w:val="auto"/>
              </w:rPr>
              <w:t>(b)</w:t>
            </w:r>
          </w:p>
        </w:tc>
        <w:tc>
          <w:tcPr>
            <w:tcW w:w="0" w:type="dxa"/>
            <w:vAlign w:val="bottom"/>
          </w:tcPr>
          <w:p>
            <w:pPr>
              <w:spacing w:after="0"/>
              <w:rPr>
                <w:sz w:val="1"/>
                <w:szCs w:val="1"/>
                <w:color w:val="auto"/>
              </w:rPr>
            </w:pPr>
          </w:p>
        </w:tc>
      </w:tr>
      <w:tr>
        <w:trPr>
          <w:trHeight w:val="183"/>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(5,370)</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color w:val="auto"/>
              </w:rPr>
              <w:t>Net (loss) income</w:t>
            </w:r>
            <w:r>
              <w:rPr>
                <w:rFonts w:ascii="Arial" w:cs="Arial" w:eastAsia="Arial" w:hAnsi="Arial"/>
                <w:sz w:val="9"/>
                <w:szCs w:val="9"/>
                <w:color w:val="auto"/>
              </w:rPr>
              <w:t>(a)</w:t>
            </w:r>
          </w:p>
        </w:tc>
        <w:tc>
          <w:tcPr>
            <w:tcW w:w="580" w:type="dxa"/>
            <w:vAlign w:val="bottom"/>
          </w:tcPr>
          <w:p>
            <w:pPr>
              <w:spacing w:after="0"/>
              <w:rPr>
                <w:sz w:val="16"/>
                <w:szCs w:val="16"/>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(1,796)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color w:val="auto"/>
              </w:rPr>
              <w:t>Contributions from</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3"/>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color w:val="auto"/>
              </w:rPr>
              <w:t>noncontrolling interest</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holders</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96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Distributions to</w:t>
            </w:r>
          </w:p>
        </w:tc>
        <w:tc>
          <w:tcPr>
            <w:tcW w:w="580" w:type="dxa"/>
            <w:vAlign w:val="bottom"/>
          </w:tcPr>
          <w:p>
            <w:pPr>
              <w:spacing w:after="0"/>
              <w:rPr>
                <w:sz w:val="13"/>
                <w:szCs w:val="13"/>
                <w:color w:val="auto"/>
              </w:rPr>
            </w:pPr>
          </w:p>
        </w:tc>
        <w:tc>
          <w:tcPr>
            <w:tcW w:w="280" w:type="dxa"/>
            <w:vAlign w:val="bottom"/>
            <w:gridSpan w:val="3"/>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vMerge w:val="restart"/>
          </w:tcPr>
          <w:p>
            <w:pPr>
              <w:ind w:left="8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60" w:type="dxa"/>
            <w:vAlign w:val="bottom"/>
            <w:gridSpan w:val="2"/>
          </w:tcPr>
          <w:p>
            <w:pPr>
              <w:ind w:left="80"/>
              <w:spacing w:after="0" w:line="135" w:lineRule="exact"/>
              <w:rPr>
                <w:sz w:val="20"/>
                <w:szCs w:val="20"/>
                <w:color w:val="auto"/>
              </w:rPr>
            </w:pPr>
            <w:r>
              <w:rPr>
                <w:rFonts w:ascii="Arial" w:cs="Arial" w:eastAsia="Arial" w:hAnsi="Arial"/>
                <w:sz w:val="14"/>
                <w:szCs w:val="14"/>
                <w:color w:val="auto"/>
              </w:rPr>
              <w:t>noncontrolling interest</w:t>
            </w:r>
          </w:p>
        </w:tc>
        <w:tc>
          <w:tcPr>
            <w:tcW w:w="580" w:type="dxa"/>
            <w:vAlign w:val="bottom"/>
          </w:tcPr>
          <w:p>
            <w:pPr>
              <w:spacing w:after="0"/>
              <w:rPr>
                <w:sz w:val="11"/>
                <w:szCs w:val="11"/>
                <w:color w:val="auto"/>
              </w:rPr>
            </w:pPr>
          </w:p>
        </w:tc>
        <w:tc>
          <w:tcPr>
            <w:tcW w:w="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color w:val="auto"/>
              </w:rPr>
              <w:t>holders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shd w:val="clear" w:color="auto" w:fill="CCEEFF"/>
          </w:tcPr>
          <w:p>
            <w:pPr>
              <w:spacing w:after="0"/>
              <w:rPr>
                <w:sz w:val="13"/>
                <w:szCs w:val="13"/>
                <w:color w:val="auto"/>
              </w:rPr>
            </w:pPr>
          </w:p>
        </w:tc>
        <w:tc>
          <w:tcPr>
            <w:tcW w:w="196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color w:val="auto"/>
              </w:rPr>
              <w:t>Share-based compensation,</w:t>
            </w:r>
          </w:p>
        </w:tc>
        <w:tc>
          <w:tcPr>
            <w:tcW w:w="580" w:type="dxa"/>
            <w:vAlign w:val="bottom"/>
            <w:shd w:val="clear" w:color="auto" w:fill="CCEEFF"/>
          </w:tcPr>
          <w:p>
            <w:pPr>
              <w:spacing w:after="0"/>
              <w:rPr>
                <w:sz w:val="13"/>
                <w:szCs w:val="13"/>
                <w:color w:val="auto"/>
              </w:rPr>
            </w:pPr>
          </w:p>
        </w:tc>
        <w:tc>
          <w:tcPr>
            <w:tcW w:w="28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3"/>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40" w:type="dxa"/>
            <w:vAlign w:val="bottom"/>
            <w:shd w:val="clear" w:color="auto" w:fill="CCEEFF"/>
          </w:tcPr>
          <w:p>
            <w:pPr>
              <w:spacing w:after="0"/>
              <w:rPr>
                <w:sz w:val="9"/>
                <w:szCs w:val="9"/>
                <w:color w:val="auto"/>
              </w:rPr>
            </w:pPr>
          </w:p>
        </w:tc>
        <w:tc>
          <w:tcPr>
            <w:tcW w:w="19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net</w:t>
            </w:r>
          </w:p>
        </w:tc>
        <w:tc>
          <w:tcPr>
            <w:tcW w:w="20" w:type="dxa"/>
            <w:vAlign w:val="bottom"/>
            <w:vMerge w:val="restart"/>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 w:type="dxa"/>
            <w:vAlign w:val="bottom"/>
            <w:gridSpan w:val="3"/>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20" w:type="dxa"/>
            <w:vAlign w:val="bottom"/>
            <w:tcBorders>
              <w:bottom w:val="single" w:sz="8" w:color="auto"/>
            </w:tcBorders>
            <w:vMerge w:val="continue"/>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280" w:type="dxa"/>
            <w:vAlign w:val="bottom"/>
            <w:gridSpan w:val="3"/>
          </w:tcPr>
          <w:p>
            <w:pPr>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5,006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(7,166)</w:t>
            </w:r>
          </w:p>
        </w:tc>
        <w:tc>
          <w:tcPr>
            <w:tcW w:w="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96"/>
              </w:rPr>
              <w:t>(23)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(2,183)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(2,095)</w:t>
            </w:r>
          </w:p>
        </w:tc>
        <w:tc>
          <w:tcPr>
            <w:tcW w:w="12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00" w:right="80" w:hanging="492"/>
        <w:spacing w:after="0" w:line="245" w:lineRule="auto"/>
        <w:tabs>
          <w:tab w:leader="none" w:pos="487"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months ended March 31, 2020, we allocated $51 million of net income to noncontrolling interest holders, of which $21 million was included in stockholders' equity and $30 million was included in mezzanine equity on our condensed consolidated balance sheet. The remaining net loss of $1,796 million for the three months ended March 31, 2020 was attributed to holders of our common stock and included in stockholders' equity on our condensed consolidated balance sheet. For the three months ended March 31, 2021, we allocated $5 million of net income to noncontrolling interest holders, with the remaining $94 million of net loss attributed to holders of our common stock, both of which were included in stockholders' equity on our condensed consolidated balance sheet.</w:t>
      </w:r>
    </w:p>
    <w:p>
      <w:pPr>
        <w:spacing w:after="0" w:line="14" w:lineRule="exact"/>
        <w:rPr>
          <w:rFonts w:ascii="Arial" w:cs="Arial" w:eastAsia="Arial" w:hAnsi="Arial"/>
          <w:sz w:val="14"/>
          <w:szCs w:val="14"/>
          <w:color w:val="auto"/>
        </w:rPr>
      </w:pPr>
    </w:p>
    <w:p>
      <w:pPr>
        <w:ind w:left="500" w:right="580" w:hanging="492"/>
        <w:spacing w:after="0" w:line="279" w:lineRule="auto"/>
        <w:tabs>
          <w:tab w:leader="none" w:pos="487"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Redeemable noncontrolling interests are reported in mezzanine equity on our condensed consolidated balance sheets in Predecessor periods. See </w:t>
      </w:r>
      <w:r>
        <w:rPr>
          <w:rFonts w:ascii="Arial" w:cs="Arial" w:eastAsia="Arial" w:hAnsi="Arial"/>
          <w:sz w:val="14"/>
          <w:szCs w:val="14"/>
          <w:i w:val="1"/>
          <w:iCs w:val="1"/>
          <w:color w:val="auto"/>
        </w:rPr>
        <w:t>Note 7 Joint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Ventures </w:t>
      </w:r>
      <w:r>
        <w:rPr>
          <w:rFonts w:ascii="Arial" w:cs="Arial" w:eastAsia="Arial" w:hAnsi="Arial"/>
          <w:sz w:val="14"/>
          <w:szCs w:val="14"/>
          <w:color w:val="auto"/>
        </w:rPr>
        <w:t>for more information about our noncontrolling interests in the Ares and Elk Hills Carbon joint ventures.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70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23"/>
        </w:trPr>
        <w:tc>
          <w:tcPr>
            <w:tcW w:w="7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4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188"/>
        </w:trPr>
        <w:tc>
          <w:tcPr>
            <w:tcW w:w="7060" w:type="dxa"/>
            <w:vAlign w:val="bottom"/>
          </w:tcPr>
          <w:p>
            <w:pPr>
              <w:ind w:left="360"/>
              <w:spacing w:after="0" w:line="189" w:lineRule="exact"/>
              <w:rPr>
                <w:sz w:val="20"/>
                <w:szCs w:val="20"/>
                <w:color w:val="auto"/>
              </w:rPr>
            </w:pPr>
            <w:r>
              <w:rPr>
                <w:rFonts w:ascii="Arial" w:cs="Arial" w:eastAsia="Arial" w:hAnsi="Arial"/>
                <w:sz w:val="18"/>
                <w:szCs w:val="18"/>
                <w:color w:val="auto"/>
              </w:rPr>
              <w:t>Adjustments to reconcile net loss to net cash provided by</w:t>
            </w: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depletion and amortization</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7060" w:type="dxa"/>
            <w:vAlign w:val="bottom"/>
          </w:tcPr>
          <w:p>
            <w:pPr>
              <w:ind w:left="680"/>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derivative loss (gain) from commodity contracts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7060" w:type="dxa"/>
            <w:vAlign w:val="bottom"/>
          </w:tcPr>
          <w:p>
            <w:pPr>
              <w:ind w:left="680"/>
              <w:spacing w:after="0"/>
              <w:rPr>
                <w:sz w:val="20"/>
                <w:szCs w:val="20"/>
                <w:color w:val="auto"/>
              </w:rPr>
            </w:pPr>
            <w:r>
              <w:rPr>
                <w:rFonts w:ascii="Arial" w:cs="Arial" w:eastAsia="Arial" w:hAnsi="Arial"/>
                <w:sz w:val="18"/>
                <w:szCs w:val="18"/>
                <w:color w:val="auto"/>
              </w:rPr>
              <w:t>Net (payments) proceeds from settled commodity derivatives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loss (gain) on early extinguishment of debt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060" w:type="dxa"/>
            <w:vAlign w:val="bottom"/>
          </w:tcPr>
          <w:p>
            <w:pPr>
              <w:ind w:left="680"/>
              <w:spacing w:after="0"/>
              <w:rPr>
                <w:sz w:val="20"/>
                <w:szCs w:val="20"/>
                <w:color w:val="auto"/>
              </w:rPr>
            </w:pPr>
            <w:r>
              <w:rPr>
                <w:rFonts w:ascii="Arial" w:cs="Arial" w:eastAsia="Arial" w:hAnsi="Arial"/>
                <w:sz w:val="18"/>
                <w:szCs w:val="18"/>
                <w:color w:val="auto"/>
              </w:rPr>
              <w:t>Amortization of deferred gain</w:t>
            </w:r>
          </w:p>
        </w:tc>
        <w:tc>
          <w:tcPr>
            <w:tcW w:w="140" w:type="dxa"/>
            <w:vAlign w:val="bottom"/>
          </w:tcPr>
          <w:p>
            <w:pPr>
              <w:spacing w:after="0"/>
              <w:rPr>
                <w:sz w:val="19"/>
                <w:szCs w:val="19"/>
                <w:color w:val="auto"/>
              </w:rPr>
            </w:pPr>
          </w:p>
        </w:tc>
        <w:tc>
          <w:tcPr>
            <w:tcW w:w="2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asset divestiture</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680"/>
              <w:spacing w:after="0"/>
              <w:rPr>
                <w:sz w:val="20"/>
                <w:szCs w:val="20"/>
                <w:color w:val="auto"/>
              </w:rPr>
            </w:pPr>
            <w:r>
              <w:rPr>
                <w:rFonts w:ascii="Arial" w:cs="Arial" w:eastAsia="Arial" w:hAnsi="Arial"/>
                <w:sz w:val="18"/>
                <w:szCs w:val="18"/>
                <w:color w:val="auto"/>
              </w:rPr>
              <w:t>Other non-cash charges to income, net</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w:t>
            </w:r>
          </w:p>
        </w:tc>
        <w:tc>
          <w:tcPr>
            <w:tcW w:w="140" w:type="dxa"/>
            <w:vAlign w:val="bottom"/>
            <w:shd w:val="clear" w:color="auto" w:fill="CCEEFF"/>
          </w:tcPr>
          <w:p>
            <w:pPr>
              <w:spacing w:after="0"/>
              <w:rPr>
                <w:sz w:val="19"/>
                <w:szCs w:val="19"/>
                <w:color w:val="auto"/>
              </w:rPr>
            </w:pPr>
          </w:p>
        </w:tc>
        <w:tc>
          <w:tcPr>
            <w:tcW w:w="2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96"/>
        </w:trPr>
        <w:tc>
          <w:tcPr>
            <w:tcW w:w="7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investments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Changes in accrued capital investments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asset divestitures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2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Proceeds from Revolving Credit Facility</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Revolving Credit Facility</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Proceeds from 2014 Revolving Credit Facility</w:t>
            </w:r>
          </w:p>
        </w:tc>
        <w:tc>
          <w:tcPr>
            <w:tcW w:w="140" w:type="dxa"/>
            <w:vAlign w:val="bottom"/>
          </w:tcPr>
          <w:p>
            <w:pPr>
              <w:spacing w:after="0"/>
              <w:rPr>
                <w:sz w:val="19"/>
                <w:szCs w:val="19"/>
                <w:color w:val="auto"/>
              </w:rPr>
            </w:pPr>
          </w:p>
        </w:tc>
        <w:tc>
          <w:tcPr>
            <w:tcW w:w="2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2014 Revolving Credit Facility</w:t>
            </w:r>
          </w:p>
        </w:tc>
        <w:tc>
          <w:tcPr>
            <w:tcW w:w="140" w:type="dxa"/>
            <w:vAlign w:val="bottom"/>
            <w:shd w:val="clear" w:color="auto" w:fill="CCEEFF"/>
          </w:tcPr>
          <w:p>
            <w:pPr>
              <w:spacing w:after="0"/>
              <w:rPr>
                <w:sz w:val="19"/>
                <w:szCs w:val="19"/>
                <w:color w:val="auto"/>
              </w:rPr>
            </w:pPr>
          </w:p>
        </w:tc>
        <w:tc>
          <w:tcPr>
            <w:tcW w:w="2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Proceeds from Senior Notes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repurchases</w:t>
            </w:r>
          </w:p>
        </w:tc>
        <w:tc>
          <w:tcPr>
            <w:tcW w:w="140" w:type="dxa"/>
            <w:vAlign w:val="bottom"/>
            <w:shd w:val="clear" w:color="auto" w:fill="CCEEFF"/>
          </w:tcPr>
          <w:p>
            <w:pPr>
              <w:spacing w:after="0"/>
              <w:rPr>
                <w:sz w:val="19"/>
                <w:szCs w:val="19"/>
                <w:color w:val="auto"/>
              </w:rPr>
            </w:pPr>
          </w:p>
        </w:tc>
        <w:tc>
          <w:tcPr>
            <w:tcW w:w="2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Second Lien Term Loan</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Repayment of EHP Notes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2020 Senior Notes</w:t>
            </w:r>
          </w:p>
        </w:tc>
        <w:tc>
          <w:tcPr>
            <w:tcW w:w="140" w:type="dxa"/>
            <w:vAlign w:val="bottom"/>
            <w:shd w:val="clear" w:color="auto" w:fill="CCEEFF"/>
          </w:tcPr>
          <w:p>
            <w:pPr>
              <w:spacing w:after="0"/>
              <w:rPr>
                <w:sz w:val="19"/>
                <w:szCs w:val="19"/>
                <w:color w:val="auto"/>
              </w:rPr>
            </w:pPr>
          </w:p>
        </w:tc>
        <w:tc>
          <w:tcPr>
            <w:tcW w:w="2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Contributions from noncontrolling interest holders</w:t>
            </w:r>
          </w:p>
        </w:tc>
        <w:tc>
          <w:tcPr>
            <w:tcW w:w="140" w:type="dxa"/>
            <w:vAlign w:val="bottom"/>
          </w:tcPr>
          <w:p>
            <w:pPr>
              <w:spacing w:after="0"/>
              <w:rPr>
                <w:sz w:val="19"/>
                <w:szCs w:val="19"/>
                <w:color w:val="auto"/>
              </w:rPr>
            </w:pPr>
          </w:p>
        </w:tc>
        <w:tc>
          <w:tcPr>
            <w:tcW w:w="2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paid to noncontrolling interest holders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Shares cancelled for taxes</w:t>
            </w:r>
          </w:p>
        </w:tc>
        <w:tc>
          <w:tcPr>
            <w:tcW w:w="140" w:type="dxa"/>
            <w:vAlign w:val="bottom"/>
          </w:tcPr>
          <w:p>
            <w:pPr>
              <w:spacing w:after="0"/>
              <w:rPr>
                <w:sz w:val="19"/>
                <w:szCs w:val="19"/>
                <w:color w:val="auto"/>
              </w:rPr>
            </w:pPr>
          </w:p>
        </w:tc>
        <w:tc>
          <w:tcPr>
            <w:tcW w:w="2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Increase in cash</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Cash—end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17"/>
        </w:trPr>
        <w:tc>
          <w:tcPr>
            <w:tcW w:w="7060" w:type="dxa"/>
            <w:vAlign w:val="bottom"/>
          </w:tcPr>
          <w:p>
            <w:pPr>
              <w:spacing w:after="0" w:line="117" w:lineRule="exact"/>
              <w:rPr>
                <w:sz w:val="20"/>
                <w:szCs w:val="20"/>
                <w:color w:val="auto"/>
              </w:rPr>
            </w:pPr>
            <w:r>
              <w:rPr>
                <w:rFonts w:ascii="Arial" w:cs="Arial" w:eastAsia="Arial" w:hAnsi="Arial"/>
                <w:sz w:val="13"/>
                <w:szCs w:val="13"/>
                <w:color w:val="auto"/>
              </w:rPr>
              <w:t>The accompanying notes are an integral part of these condensed consolidated financial statements.</w:t>
            </w:r>
          </w:p>
        </w:tc>
        <w:tc>
          <w:tcPr>
            <w:tcW w:w="1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7"/>
        </w:trPr>
        <w:tc>
          <w:tcPr>
            <w:tcW w:w="7060" w:type="dxa"/>
            <w:vAlign w:val="bottom"/>
          </w:tcPr>
          <w:p>
            <w:pPr>
              <w:ind w:left="55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w:t>
      </w:r>
    </w:p>
    <w:p>
      <w:pPr>
        <w:spacing w:after="0" w:line="252"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22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(consisting of normal recurring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w:t>
      </w:r>
    </w:p>
    <w:p>
      <w:pPr>
        <w:spacing w:after="0" w:line="23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3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2020 (2020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Organization Changes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July 15, 2020, we filed voluntary petitions for relief under Chapter 11 of Title 11 of the Bankruptcy Code in the United States Bankruptcy Court for the Southern District of Texas. On October 13, 2020, the Bankruptcy Court confirmed our joint plan of reorganization (the Plan) and we subsequently emerged from Chapter 11 proceedings on October 27, 2020. In connection with our emergence from bankruptcy, our Board of Directors was reconstituted in October 2020. On December 31, 2020, our former President, Chief Executive Officer and director Todd A. Stevens departed and Mark A. (Mac) McFarland was appointed as interim Chief Executive Officer in addition to his role as Chair of our Board of Directors. On March 22, 2021, the Board of Directors appointed Mr. McFarland as President and Chief Executive Officer on a permanent basis. On April 15, 2021, Tiffany (TJ) Thom Cepak replaced Mr. McFarland as the Chair of our Board of Directors. Mr. McFarland will continue to serve as a director.</w:t>
      </w:r>
    </w:p>
    <w:p>
      <w:pPr>
        <w:spacing w:after="0" w:line="23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January 2021, we reduced the size of our management team and then realigned several functions in February 2021, which resulted in additional headcount and cost reductions. We recorded a restructuring charge of $14 million for the three months ended March 31, 2021, which is included in other expenses, net on our condensed consolidated statement of operations. As of March 31, 2021, our remaining liability for workforce reductions which occurred in 2020 and during the first quarter of 2021 is $16 million, which is included in accrued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9" w:name="page10"/>
    <w:bookmarkEnd w:id="9"/>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qualified for and adopted fresh start accounting upon emergence from bankruptcy at which point we became a new entity for financial reporting purposes. We adopted an accounting convenience date of October 31, 2020 for the application of fresh start accounting. As a result of the application of fresh start accounting and the effects of the implementation of the Plan,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 See </w:t>
      </w:r>
      <w:r>
        <w:rPr>
          <w:rFonts w:ascii="Arial" w:cs="Arial" w:eastAsia="Arial" w:hAnsi="Arial"/>
          <w:sz w:val="18"/>
          <w:szCs w:val="18"/>
          <w:i w:val="1"/>
          <w:iCs w:val="1"/>
          <w:color w:val="auto"/>
        </w:rPr>
        <w:t>Part II,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 – Financial Statements and Supplementary Data, Note 2 Chapter 11 Proceedings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3 Fresh Start Accounting </w:t>
      </w:r>
      <w:r>
        <w:rPr>
          <w:rFonts w:ascii="Arial" w:cs="Arial" w:eastAsia="Arial" w:hAnsi="Arial"/>
          <w:sz w:val="18"/>
          <w:szCs w:val="18"/>
          <w:color w:val="auto"/>
        </w:rPr>
        <w:t>in our 2020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for additional information on the terms of the Plan, our emergence from bankruptcy and application of fresh start accounting.</w:t>
      </w:r>
    </w:p>
    <w:p>
      <w:pPr>
        <w:spacing w:after="0" w:line="23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adopted new accounting guidance on current expected credit losses on January 1, 2020, using a modified retrospective approach to the first period in which the guidance was effective.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condensed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3  OTHER INFORMATION</w:t>
            </w: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i w:val="1"/>
                <w:iCs w:val="1"/>
                <w:color w:val="auto"/>
              </w:rPr>
              <w:t xml:space="preserve">Other current assets </w:t>
            </w:r>
            <w:r>
              <w:rPr>
                <w:rFonts w:ascii="Arial" w:cs="Arial" w:eastAsia="Arial" w:hAnsi="Arial"/>
                <w:sz w:val="18"/>
                <w:szCs w:val="18"/>
                <w:color w:val="auto"/>
              </w:rPr>
              <w:t>— Other current assets consisted of the following:</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rPr>
              <w:t>Successor</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gridSpan w:val="3"/>
          </w:tcPr>
          <w:p>
            <w:pPr>
              <w:jc w:val="center"/>
              <w:ind w:right="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joint interest partners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Amounts due from counterparties on derivative contracts</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consisted of the following:</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rPr>
              <w:t>Successor</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gridSpan w:val="3"/>
          </w:tcPr>
          <w:p>
            <w:pPr>
              <w:jc w:val="center"/>
              <w:ind w:right="3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employee-related costs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taxes other than on income</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interest</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counterparties on derivative contracts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5"/>
        </w:trPr>
        <w:tc>
          <w:tcPr>
            <w:tcW w:w="7360" w:type="dxa"/>
            <w:vAlign w:val="bottom"/>
          </w:tcPr>
          <w:p>
            <w:pPr>
              <w:ind w:left="340"/>
              <w:spacing w:after="0"/>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included the following:</w:t>
            </w: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73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Successor</w:t>
            </w:r>
          </w:p>
        </w:tc>
        <w:tc>
          <w:tcPr>
            <w:tcW w:w="1300" w:type="dxa"/>
            <w:vAlign w:val="bottom"/>
            <w:tcBorders>
              <w:bottom w:val="single" w:sz="8" w:color="auto"/>
            </w:tcBorders>
          </w:tcPr>
          <w:p>
            <w:pPr>
              <w:spacing w:after="0"/>
              <w:rPr>
                <w:sz w:val="24"/>
                <w:szCs w:val="24"/>
                <w:color w:val="auto"/>
              </w:rPr>
            </w:pPr>
          </w:p>
        </w:tc>
      </w:tr>
      <w:tr>
        <w:trPr>
          <w:trHeight w:val="214"/>
        </w:trPr>
        <w:tc>
          <w:tcPr>
            <w:tcW w:w="7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360" w:type="dxa"/>
            <w:vAlign w:val="bottom"/>
          </w:tcPr>
          <w:p>
            <w:pPr>
              <w:spacing w:after="0"/>
              <w:rPr>
                <w:sz w:val="20"/>
                <w:szCs w:val="20"/>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183"/>
        </w:trPr>
        <w:tc>
          <w:tcPr>
            <w:tcW w:w="7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gridSpan w:val="3"/>
          </w:tcPr>
          <w:p>
            <w:pPr>
              <w:jc w:val="right"/>
              <w:ind w:right="17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5"/>
                <w:szCs w:val="15"/>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Deferred compensation and postretirement</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Fair value of derivative contracts</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counterparties on derivative contracts</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7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did not make U.S. federal and state income tax payments during the three months ended March 31, 2021 and 2020. Interest paid, net of capitalized amounts, totaled $2 million and $45 million for the three months ended March 31, 2021 and 2020, respectively. Cash paid for reorganization items during the three months ended March 31, 2021 was $2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6"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 xml:space="preserve">The carrying amounts of cash and on-balance sheet financial instruments, other than debt, approximate fair value. Refer to </w:t>
      </w:r>
      <w:r>
        <w:rPr>
          <w:rFonts w:ascii="Arial" w:cs="Arial" w:eastAsia="Arial" w:hAnsi="Arial"/>
          <w:sz w:val="18"/>
          <w:szCs w:val="18"/>
          <w:i w:val="1"/>
          <w:iCs w:val="1"/>
          <w:color w:val="auto"/>
        </w:rPr>
        <w:t>Note 5 Debt</w:t>
      </w:r>
      <w:r>
        <w:rPr>
          <w:rFonts w:ascii="Arial" w:cs="Arial" w:eastAsia="Arial" w:hAnsi="Arial"/>
          <w:sz w:val="18"/>
          <w:szCs w:val="18"/>
          <w:color w:val="auto"/>
        </w:rPr>
        <w:t xml:space="preserve"> for the fair value of our debt. Refer to </w:t>
      </w:r>
      <w:r>
        <w:rPr>
          <w:rFonts w:ascii="Arial" w:cs="Arial" w:eastAsia="Arial" w:hAnsi="Arial"/>
          <w:sz w:val="18"/>
          <w:szCs w:val="18"/>
          <w:i w:val="1"/>
          <w:iCs w:val="1"/>
          <w:color w:val="auto"/>
        </w:rPr>
        <w:t>Note 14 Asset Impairments</w:t>
      </w:r>
      <w:r>
        <w:rPr>
          <w:rFonts w:ascii="Arial" w:cs="Arial" w:eastAsia="Arial" w:hAnsi="Arial"/>
          <w:sz w:val="18"/>
          <w:szCs w:val="18"/>
          <w:color w:val="auto"/>
        </w:rPr>
        <w:t xml:space="preserve"> for impairment charges related to our long-lived assets.</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INVENTORIES</w:t>
      </w:r>
    </w:p>
    <w:p>
      <w:pPr>
        <w:spacing w:after="0" w:line="274"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Materials and supplies are valued at weighted-average cost and are reviewed periodically for obsolescence. Finished goods predominantly comprise oil and natural gas liquids (NGLs), which are valued at the lower of cost or net realizable value. Inventories, by category, are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Successor</w:t>
            </w:r>
          </w:p>
        </w:tc>
        <w:tc>
          <w:tcPr>
            <w:tcW w:w="320" w:type="dxa"/>
            <w:vAlign w:val="bottom"/>
            <w:tcBorders>
              <w:bottom w:val="single" w:sz="8" w:color="auto"/>
            </w:tcBorders>
          </w:tcPr>
          <w:p>
            <w:pPr>
              <w:spacing w:after="0"/>
              <w:rPr>
                <w:sz w:val="20"/>
                <w:szCs w:val="20"/>
                <w:color w:val="auto"/>
              </w:rPr>
            </w:pPr>
          </w:p>
        </w:tc>
      </w:tr>
      <w:tr>
        <w:trPr>
          <w:trHeight w:val="214"/>
        </w:trPr>
        <w:tc>
          <w:tcPr>
            <w:tcW w:w="7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r>
      <w:tr>
        <w:trPr>
          <w:trHeight w:val="239"/>
        </w:trPr>
        <w:tc>
          <w:tcPr>
            <w:tcW w:w="7360" w:type="dxa"/>
            <w:vAlign w:val="bottom"/>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r>
      <w:tr>
        <w:trPr>
          <w:trHeight w:val="183"/>
        </w:trPr>
        <w:tc>
          <w:tcPr>
            <w:tcW w:w="7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100" w:type="dxa"/>
            <w:vAlign w:val="bottom"/>
            <w:gridSpan w:val="3"/>
          </w:tcPr>
          <w:p>
            <w:pPr>
              <w:jc w:val="right"/>
              <w:ind w:right="115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and December 31, 2020, our long-term debt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Successor</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8"/>
        </w:trPr>
        <w:tc>
          <w:tcPr>
            <w:tcW w:w="3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378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185"/>
        </w:trPr>
        <w:tc>
          <w:tcPr>
            <w:tcW w:w="37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color w:val="auto"/>
              </w:rPr>
              <w:t>(in millions)</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r>
      <w:tr>
        <w:trPr>
          <w:trHeight w:val="177"/>
        </w:trPr>
        <w:tc>
          <w:tcPr>
            <w:tcW w:w="37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Revolving Credit Facility</w:t>
            </w:r>
          </w:p>
        </w:tc>
        <w:tc>
          <w:tcPr>
            <w:tcW w:w="1240" w:type="dxa"/>
            <w:vAlign w:val="bottom"/>
            <w:shd w:val="clear" w:color="auto" w:fill="CCEEFF"/>
          </w:tcPr>
          <w:p>
            <w:pPr>
              <w:jc w:val="right"/>
              <w:ind w:right="1039"/>
              <w:spacing w:after="0" w:line="178" w:lineRule="exact"/>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59"/>
              <w:spacing w:after="0" w:line="178"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center"/>
              <w:ind w:right="120"/>
              <w:spacing w:after="0" w:line="178" w:lineRule="exact"/>
              <w:rPr>
                <w:sz w:val="20"/>
                <w:szCs w:val="20"/>
                <w:color w:val="auto"/>
              </w:rPr>
            </w:pPr>
            <w:r>
              <w:rPr>
                <w:rFonts w:ascii="Arial" w:cs="Arial" w:eastAsia="Arial" w:hAnsi="Arial"/>
                <w:sz w:val="16"/>
                <w:szCs w:val="16"/>
                <w:color w:val="auto"/>
              </w:rPr>
              <w:t>LIBOR plus 3%-4%</w:t>
            </w:r>
          </w:p>
        </w:tc>
        <w:tc>
          <w:tcPr>
            <w:tcW w:w="168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rPr>
              <w:t>April 29, 2024</w:t>
            </w:r>
          </w:p>
        </w:tc>
      </w:tr>
      <w:tr>
        <w:trPr>
          <w:trHeight w:val="201"/>
        </w:trPr>
        <w:tc>
          <w:tcPr>
            <w:tcW w:w="37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2%-3%</w:t>
            </w:r>
          </w:p>
        </w:tc>
        <w:tc>
          <w:tcPr>
            <w:tcW w:w="1680" w:type="dxa"/>
            <w:vAlign w:val="bottom"/>
            <w:shd w:val="clear" w:color="auto" w:fill="CCEEFF"/>
          </w:tcPr>
          <w:p>
            <w:pPr>
              <w:spacing w:after="0"/>
              <w:rPr>
                <w:sz w:val="17"/>
                <w:szCs w:val="17"/>
                <w:color w:val="auto"/>
              </w:rPr>
            </w:pPr>
          </w:p>
        </w:tc>
      </w:tr>
      <w:tr>
        <w:trPr>
          <w:trHeight w:val="177"/>
        </w:trPr>
        <w:tc>
          <w:tcPr>
            <w:tcW w:w="3780" w:type="dxa"/>
            <w:vAlign w:val="bottom"/>
          </w:tcPr>
          <w:p>
            <w:pPr>
              <w:ind w:left="140"/>
              <w:spacing w:after="0" w:line="178" w:lineRule="exact"/>
              <w:rPr>
                <w:sz w:val="20"/>
                <w:szCs w:val="20"/>
                <w:color w:val="auto"/>
              </w:rPr>
            </w:pPr>
            <w:r>
              <w:rPr>
                <w:rFonts w:ascii="Arial" w:cs="Arial" w:eastAsia="Arial" w:hAnsi="Arial"/>
                <w:sz w:val="16"/>
                <w:szCs w:val="16"/>
                <w:color w:val="auto"/>
              </w:rPr>
              <w:t>Second Lien Term Loan</w:t>
            </w:r>
          </w:p>
        </w:tc>
        <w:tc>
          <w:tcPr>
            <w:tcW w:w="1240" w:type="dxa"/>
            <w:vAlign w:val="bottom"/>
          </w:tcPr>
          <w:p>
            <w:pPr>
              <w:spacing w:after="0"/>
              <w:rPr>
                <w:sz w:val="15"/>
                <w:szCs w:val="15"/>
                <w:color w:val="auto"/>
              </w:rPr>
            </w:pPr>
          </w:p>
        </w:tc>
        <w:tc>
          <w:tcPr>
            <w:tcW w:w="50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6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200</w:t>
            </w:r>
          </w:p>
        </w:tc>
        <w:tc>
          <w:tcPr>
            <w:tcW w:w="100" w:type="dxa"/>
            <w:vAlign w:val="bottom"/>
          </w:tcPr>
          <w:p>
            <w:pPr>
              <w:spacing w:after="0"/>
              <w:rPr>
                <w:sz w:val="15"/>
                <w:szCs w:val="15"/>
                <w:color w:val="auto"/>
              </w:rPr>
            </w:pPr>
          </w:p>
        </w:tc>
        <w:tc>
          <w:tcPr>
            <w:tcW w:w="2280" w:type="dxa"/>
            <w:vAlign w:val="bottom"/>
            <w:gridSpan w:val="2"/>
          </w:tcPr>
          <w:p>
            <w:pPr>
              <w:jc w:val="center"/>
              <w:ind w:right="100"/>
              <w:spacing w:after="0" w:line="178" w:lineRule="exact"/>
              <w:rPr>
                <w:sz w:val="20"/>
                <w:szCs w:val="20"/>
                <w:color w:val="auto"/>
              </w:rPr>
            </w:pPr>
            <w:r>
              <w:rPr>
                <w:rFonts w:ascii="Arial" w:cs="Arial" w:eastAsia="Arial" w:hAnsi="Arial"/>
                <w:sz w:val="16"/>
                <w:szCs w:val="16"/>
                <w:color w:val="auto"/>
              </w:rPr>
              <w:t>LIBOR plus 9%-10.5%</w:t>
            </w:r>
          </w:p>
        </w:tc>
        <w:tc>
          <w:tcPr>
            <w:tcW w:w="1680" w:type="dxa"/>
            <w:vAlign w:val="bottom"/>
          </w:tcPr>
          <w:p>
            <w:pPr>
              <w:jc w:val="center"/>
              <w:spacing w:after="0" w:line="178" w:lineRule="exact"/>
              <w:rPr>
                <w:sz w:val="20"/>
                <w:szCs w:val="20"/>
                <w:color w:val="auto"/>
              </w:rPr>
            </w:pPr>
            <w:r>
              <w:rPr>
                <w:rFonts w:ascii="Arial" w:cs="Arial" w:eastAsia="Arial" w:hAnsi="Arial"/>
                <w:sz w:val="16"/>
                <w:szCs w:val="16"/>
                <w:color w:val="auto"/>
              </w:rPr>
              <w:t>October 27, 2025</w:t>
            </w:r>
          </w:p>
        </w:tc>
      </w:tr>
      <w:tr>
        <w:trPr>
          <w:trHeight w:val="198"/>
        </w:trPr>
        <w:tc>
          <w:tcPr>
            <w:tcW w:w="3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8%-9.5%</w:t>
            </w:r>
          </w:p>
        </w:tc>
        <w:tc>
          <w:tcPr>
            <w:tcW w:w="1680" w:type="dxa"/>
            <w:vAlign w:val="bottom"/>
          </w:tcPr>
          <w:p>
            <w:pPr>
              <w:spacing w:after="0"/>
              <w:rPr>
                <w:sz w:val="17"/>
                <w:szCs w:val="17"/>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EHP Notes</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26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October 27, 2027</w:t>
            </w:r>
          </w:p>
        </w:tc>
      </w:tr>
      <w:tr>
        <w:trPr>
          <w:trHeight w:val="213"/>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Senior Notes</w:t>
            </w:r>
          </w:p>
        </w:tc>
        <w:tc>
          <w:tcPr>
            <w:tcW w:w="1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2"/>
          </w:tcPr>
          <w:p>
            <w:pPr>
              <w:jc w:val="right"/>
              <w:ind w:right="719"/>
              <w:spacing w:after="0"/>
              <w:rPr>
                <w:sz w:val="20"/>
                <w:szCs w:val="20"/>
                <w:color w:val="auto"/>
              </w:rPr>
            </w:pPr>
            <w:r>
              <w:rPr>
                <w:rFonts w:ascii="Arial" w:cs="Arial" w:eastAsia="Arial" w:hAnsi="Arial"/>
                <w:sz w:val="16"/>
                <w:szCs w:val="16"/>
                <w:color w:val="auto"/>
              </w:rPr>
              <w:t>7.125%</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February 1, 2026</w:t>
            </w:r>
          </w:p>
        </w:tc>
      </w:tr>
      <w:tr>
        <w:trPr>
          <w:trHeight w:val="213"/>
        </w:trPr>
        <w:tc>
          <w:tcPr>
            <w:tcW w:w="37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Principal Amount</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1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r>
      <w:tr>
        <w:trPr>
          <w:trHeight w:val="234"/>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Long-term debt, net</w:t>
            </w:r>
          </w:p>
        </w:tc>
        <w:tc>
          <w:tcPr>
            <w:tcW w:w="124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7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currently consists of a $492 million senior revolving loan facility (Revolving Credit Facility), which we are permitted to increase if we obtain additional commitments from new or existing lenders. Our aggregate commitment was $540 million as of March 31, 2021, which was automatically reduced to $492 million in April 2021 pursuant to the terms of our Revolving Credit Facility. Our Revolving Credit Facility also includes a sub-limit of $200 million for the issuance of letters of credit. The letters of credit were issued to support ordinary course marketing, insurance, regulatory and other matters.</w:t>
      </w:r>
    </w:p>
    <w:p>
      <w:pPr>
        <w:spacing w:after="0" w:line="235"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The borrowing base is redetermined around April and October of each year and was most recently set at $1.2 billion in May 2021.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and April 30, 2021, our availability for borrowing under the Revolving Credit facility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Successor</w:t>
            </w:r>
          </w:p>
        </w:tc>
        <w:tc>
          <w:tcPr>
            <w:tcW w:w="1560" w:type="dxa"/>
            <w:vAlign w:val="bottom"/>
            <w:tcBorders>
              <w:bottom w:val="single" w:sz="8" w:color="auto"/>
            </w:tcBorders>
          </w:tcPr>
          <w:p>
            <w:pPr>
              <w:spacing w:after="0"/>
              <w:rPr>
                <w:sz w:val="20"/>
                <w:szCs w:val="20"/>
                <w:color w:val="auto"/>
              </w:rPr>
            </w:pPr>
          </w:p>
        </w:tc>
      </w:tr>
      <w:tr>
        <w:trPr>
          <w:trHeight w:val="214"/>
        </w:trPr>
        <w:tc>
          <w:tcPr>
            <w:tcW w:w="69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jc w:val="center"/>
              <w:ind w:right="470"/>
              <w:spacing w:after="0"/>
              <w:rPr>
                <w:sz w:val="20"/>
                <w:szCs w:val="20"/>
                <w:color w:val="auto"/>
              </w:rPr>
            </w:pPr>
            <w:r>
              <w:rPr>
                <w:rFonts w:ascii="Arial" w:cs="Arial" w:eastAsia="Arial" w:hAnsi="Arial"/>
                <w:sz w:val="18"/>
                <w:szCs w:val="18"/>
                <w:b w:val="1"/>
                <w:bCs w:val="1"/>
                <w:color w:val="auto"/>
              </w:rPr>
              <w:t>April 30,</w:t>
            </w:r>
          </w:p>
        </w:tc>
      </w:tr>
      <w:tr>
        <w:trPr>
          <w:trHeight w:val="239"/>
        </w:trPr>
        <w:tc>
          <w:tcPr>
            <w:tcW w:w="6920" w:type="dxa"/>
            <w:vAlign w:val="bottom"/>
          </w:tcPr>
          <w:p>
            <w:pPr>
              <w:spacing w:after="0"/>
              <w:rPr>
                <w:sz w:val="20"/>
                <w:szCs w:val="20"/>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r>
      <w:tr>
        <w:trPr>
          <w:trHeight w:val="183"/>
        </w:trPr>
        <w:tc>
          <w:tcPr>
            <w:tcW w:w="6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15"/>
                <w:szCs w:val="15"/>
                <w:color w:val="auto"/>
              </w:rPr>
            </w:pPr>
          </w:p>
        </w:tc>
      </w:tr>
      <w:tr>
        <w:trPr>
          <w:trHeight w:val="229"/>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492</w:t>
            </w:r>
          </w:p>
        </w:tc>
      </w:tr>
      <w:tr>
        <w:trPr>
          <w:trHeight w:val="230"/>
        </w:trPr>
        <w:tc>
          <w:tcPr>
            <w:tcW w:w="6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Letters of credit outstanding</w:t>
            </w:r>
          </w:p>
        </w:tc>
        <w:tc>
          <w:tcPr>
            <w:tcW w:w="1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color w:val="auto"/>
                <w:w w:val="99"/>
              </w:rPr>
              <w:t>(125)</w:t>
            </w:r>
          </w:p>
        </w:tc>
      </w:tr>
      <w:tr>
        <w:trPr>
          <w:trHeight w:val="248"/>
        </w:trPr>
        <w:tc>
          <w:tcPr>
            <w:tcW w:w="6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Total availability</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99"/>
              </w:rPr>
              <w:t>367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7, 2021, we amended the Revolving Credit Facility to:</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borrowing base from $1.167 billion to $1.2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evidence the reduction in the aggregate commitment of lenders from $540 million to $492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capacity to make certain restricted payments;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the minimum amount of hedges that we are required to maintain for a rolling 24 month period on reasonably anticipated forecasted crude oil production from 50% to 33% so long as our total net leverage ratio is less than 2.00:1.00; and</w:t>
      </w:r>
    </w:p>
    <w:p>
      <w:pPr>
        <w:ind w:left="660" w:right="1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maximum hedging limitation to 85% (and permit purchased puts and floors up to 100%) of reasonably anticipated total forecasted production of crude oil, natural gas and natural gas liquids for a 48-month period.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On January 20, 2021, we completed an offering of $600 million in aggregate principal amount of our 7.125% senior unsecured notes due 2026 (Senior Notes). The net proceeds of $588 million, after $12 million of debt issuance costs, were used to repay in full our Second Lien Term Loan and EHP Notes, with the remainder used to repay substantially all of the then outstanding borrowings under our Revolving Credit Facility. See </w:t>
      </w:r>
      <w:r>
        <w:rPr>
          <w:rFonts w:ascii="Arial" w:cs="Arial" w:eastAsia="Arial" w:hAnsi="Arial"/>
          <w:sz w:val="18"/>
          <w:szCs w:val="18"/>
          <w:i w:val="1"/>
          <w:iCs w:val="1"/>
          <w:color w:val="auto"/>
        </w:rPr>
        <w:t>Part II, Item 8 – Financial Statements and Supplementary Data, Note 8 Debt</w:t>
      </w:r>
      <w:r>
        <w:rPr>
          <w:rFonts w:ascii="Arial" w:cs="Arial" w:eastAsia="Arial" w:hAnsi="Arial"/>
          <w:sz w:val="18"/>
          <w:szCs w:val="18"/>
          <w:color w:val="auto"/>
        </w:rPr>
        <w:t xml:space="preserve"> in our 2020 Annual Report for a description of our Second Lien Term Loan and EHP Notes. We recognized a $2 million loss on extinguishment of debt, including unamortized debt issuance costs, associated with these repayments.</w:t>
      </w:r>
    </w:p>
    <w:p>
      <w:pPr>
        <w:spacing w:after="0" w:line="217"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Senior Notes are general unsecured obligations which are guaranteed on a senior unsecured basis by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subsidiaries.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Prior to February 1, 2023, we may elect to redeem up to 35% of the aggregate principal amount of our Senior Notes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of cash not greater than the net cash proceeds from certain equity offerings at a redemption price equal to 107% of the aggregate amount of the Senior Notes redeemed, plus accrued and unpaid interest. In addition, prior to February 1, 2023, we may redeem the Senior Notes at a “make whole” premium plus accrued and unpaid interest. On or after February 1, 2023, we may redeem the Senior Notes at any time prior to the maturity date at a redemption price equal to (i) 104% of the principal amount if redeemed in the twelve months beginning February 1, 2023, (ii) 102% of the principal amount if redeemed in the twelve months beginning February 1, 2024 and (iii) 100% of the principal amount if redeemed after February 1, 2025, in each case plus accrued and unpaid interest.</w:t>
      </w:r>
    </w:p>
    <w:p>
      <w:pPr>
        <w:spacing w:after="0" w:line="216"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Senior Notes include covenants that, among other things, restrict our ability to incur additional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issue preferred stock, grant liens, make asset sales and investments, repay existing indebtedness, make subsidiary distributions and enter into transactions that would result in fundamental changes.</w:t>
      </w:r>
    </w:p>
    <w:p>
      <w:pPr>
        <w:spacing w:after="0" w:line="203"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Senior Notes provide for certain triggering events, including upon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indenture, that would require us to repurchase all or any part of the Senior Notes at a price equal to 101% of the aggregate principal amount plus accrued and unpaid interest.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70"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At March 31, 2021, we were in compliance with all financial and other debt covenants under our Revolving Credit Facility and Senior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Predecessor Note Repurchases</w:t>
      </w:r>
    </w:p>
    <w:p>
      <w:pPr>
        <w:spacing w:after="0" w:line="27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In the first quarter of 2020, we repurchased $7 million in face value of our Second Lien Notes for $3 million in cash resulting in a pre-tax gain of $5 million, including the effect of unamortized deferred gain and issuance costs.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8 Debt </w:t>
      </w:r>
      <w:r>
        <w:rPr>
          <w:rFonts w:ascii="Arial" w:cs="Arial" w:eastAsia="Arial" w:hAnsi="Arial"/>
          <w:sz w:val="18"/>
          <w:szCs w:val="18"/>
          <w:color w:val="auto"/>
        </w:rPr>
        <w:t>in our 2020 Annual Report for a description of our Second Lien Notes.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74"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estimate that the fair value of our variable rate debt approximates its carrying value because the interest rate approximates current market rates. As shown in the table below, we estimated the fair value of our fixed rate Senior Notes based on observable inputs (Level 1) and the fair value of our EHP Notes with no observable inputs (Level 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70"/>
              <w:spacing w:after="0"/>
              <w:rPr>
                <w:sz w:val="20"/>
                <w:szCs w:val="20"/>
                <w:color w:val="auto"/>
              </w:rPr>
            </w:pPr>
            <w:r>
              <w:rPr>
                <w:rFonts w:ascii="Arial" w:cs="Arial" w:eastAsia="Arial" w:hAnsi="Arial"/>
                <w:sz w:val="18"/>
                <w:szCs w:val="18"/>
                <w:b w:val="1"/>
                <w:bCs w:val="1"/>
                <w:color w:val="auto"/>
              </w:rPr>
              <w:t>Successor</w:t>
            </w:r>
          </w:p>
        </w:tc>
      </w:tr>
      <w:tr>
        <w:trPr>
          <w:trHeight w:val="214"/>
        </w:trPr>
        <w:tc>
          <w:tcPr>
            <w:tcW w:w="7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7400" w:type="dxa"/>
            <w:vAlign w:val="bottom"/>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183"/>
        </w:trPr>
        <w:tc>
          <w:tcPr>
            <w:tcW w:w="7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5"/>
                <w:szCs w:val="15"/>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Fixed rate debt</w:t>
            </w: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Senior Notes</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240"/>
              <w:spacing w:after="0"/>
              <w:rPr>
                <w:sz w:val="20"/>
                <w:szCs w:val="20"/>
                <w:color w:val="auto"/>
              </w:rPr>
            </w:pPr>
            <w:r>
              <w:rPr>
                <w:rFonts w:ascii="Arial" w:cs="Arial" w:eastAsia="Arial" w:hAnsi="Arial"/>
                <w:sz w:val="18"/>
                <w:szCs w:val="18"/>
                <w:color w:val="auto"/>
              </w:rPr>
              <w:t>EHP Notes</w:t>
            </w:r>
          </w:p>
        </w:tc>
        <w:tc>
          <w:tcPr>
            <w:tcW w:w="14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7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Fair Value of Long-Term Debt</w:t>
            </w:r>
          </w:p>
        </w:tc>
        <w:tc>
          <w:tcPr>
            <w:tcW w:w="1400" w:type="dxa"/>
            <w:vAlign w:val="bottom"/>
            <w:tcBorders>
              <w:top w:val="single" w:sz="8" w:color="auto"/>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JOINT VENTURES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current consolidated joint venture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7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February 2017, we entered into a development joint venture (JV) with Benefit Street Partners (BSP) to develop certain oil and natural gas assets in exchange for a preferred interest in the BSP JV. BSP is entitled to preferred distributions and, if it receives cash distributions equal to a predetermined threshold, the preferred interest is automatically redeemed in full with no additional payment. BSP has invested $200 million to date, before transaction costs. Our condensed consolidated results reflect the operations of our development JV with BSP, with BSP's preferred interest reported in equity on our condensed consolidated balance sheets and BSP’s share of net income (loss) reported in net income attributable to noncontrolling interests on our condensed consolidated statements of operations for all periods presented. Distributions to our joint venture partner are reported as financing cash outflows on our condensed consolidated statements of cash flows for all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Elk Hills Carbon JV</w:t>
      </w:r>
    </w:p>
    <w:p>
      <w:pPr>
        <w:spacing w:after="0" w:line="27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January 2020, we entered into an agreement with OGCI Climate Investments LLP (OGCI) to determine the technical and economic feasibility of retrofitting the Elk Hills power plant with a post-combustion, carbon-capture system, which includes a front-end engineering design (FEED) scope and study. The project received financial assistance from the U.S. Department of Energy and project participants include us, Electric Power Research Institute (EPRI), and Fluor Corporation. We formed a joint venture with OGCI called Elk Hills Carbon LLC (Elk Hills Carbon JV) to assist with our share of the funding obligation. OGCI contributed approximately $2 million to the Elk Hills Carbon JV in the first quarter of 2020 and the cost-sharing payment was made to EPRI during the second quarter of 2020. We are currently evaluating the results of the FEED scope and study. The amounts related to our Elk Hills Carbon JV are not significant to our condensed consolidated financial statements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 w:name="page15"/>
    <w:bookmarkEnd w:id="14"/>
    <w:p>
      <w:pPr>
        <w:ind w:right="320" w:firstLine="324"/>
        <w:spacing w:after="0" w:line="261" w:lineRule="auto"/>
        <w:rPr>
          <w:sz w:val="20"/>
          <w:szCs w:val="20"/>
          <w:color w:val="auto"/>
        </w:rPr>
      </w:pPr>
      <w:r>
        <w:rPr>
          <w:rFonts w:ascii="Arial" w:cs="Arial" w:eastAsia="Arial" w:hAnsi="Arial"/>
          <w:sz w:val="18"/>
          <w:szCs w:val="18"/>
          <w:color w:val="auto"/>
        </w:rPr>
        <w:t>The following is a summary of a consolidated joint venture arrangement which was terminated in October 2020 in connection with our emergence from bankruptcy: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70" w:lineRule="exact"/>
        <w:rPr>
          <w:sz w:val="20"/>
          <w:szCs w:val="20"/>
          <w:color w:val="auto"/>
        </w:rPr>
      </w:pPr>
    </w:p>
    <w:p>
      <w:pPr>
        <w:ind w:right="200" w:firstLine="324"/>
        <w:spacing w:after="0" w:line="269" w:lineRule="auto"/>
        <w:rPr>
          <w:sz w:val="20"/>
          <w:szCs w:val="20"/>
          <w:color w:val="auto"/>
        </w:rPr>
      </w:pPr>
      <w:r>
        <w:rPr>
          <w:rFonts w:ascii="Arial" w:cs="Arial" w:eastAsia="Arial" w:hAnsi="Arial"/>
          <w:sz w:val="17"/>
          <w:szCs w:val="17"/>
          <w:color w:val="auto"/>
        </w:rPr>
        <w:t xml:space="preserve">In February 2018, our wholly-owned subsidiary California Resources Elk Hills, LLC entered into a midstream joint venture with ECR Corporate Holdings, L.P. (ECR), a portfolio company of Ares, with respect to the Elk Hills power plant and a cryogenic gas processing plant (Ares JV). These assets were held by the joint venture entity, Elk Hills Power, LLC (Elk Hills Power). We held 50% of the Class A common interest and 95.25% of the Class C common interest in Elk Hills Power and ECR held 50% of the Class A common interest, 100% of the Class B preferred interest and 4.75% of the Class C common interest. As described in </w:t>
      </w:r>
      <w:r>
        <w:rPr>
          <w:rFonts w:ascii="Arial" w:cs="Arial" w:eastAsia="Arial" w:hAnsi="Arial"/>
          <w:sz w:val="17"/>
          <w:szCs w:val="17"/>
          <w:i w:val="1"/>
          <w:iCs w:val="1"/>
          <w:color w:val="auto"/>
        </w:rPr>
        <w:t>Part II, Item 8 – 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Supplementary Data, Note 7 Joint Ventures </w:t>
      </w:r>
      <w:r>
        <w:rPr>
          <w:rFonts w:ascii="Arial" w:cs="Arial" w:eastAsia="Arial" w:hAnsi="Arial"/>
          <w:sz w:val="17"/>
          <w:szCs w:val="17"/>
          <w:color w:val="auto"/>
        </w:rPr>
        <w:t>in our 2020 Annual Report, upon our emergence from bankruptcy, we acquired all of the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held by ECR in exchange for EHP Notes, 20.8% (subject to dilution) of our common stock and approximately $2 million in cash.</w:t>
      </w:r>
    </w:p>
    <w:p>
      <w:pPr>
        <w:spacing w:after="0" w:line="22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condensed consolidated statements of operations for the three months ended March 31, 2020 reflect the operations of the Ares JV, with ECR's share of net income (loss) reported in net income attributable to noncontrolling interests. Distributions to our former joint venture partner are reported as financing cash outflows on our condensed consolidated statement of cash flows for the period ended March 31,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74"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 xml:space="preserve">For more information on our other joint ventures that are unconsolidated joint ventures, including the Alpine JV, the JV with Macquarie Infrastructure and Real Assets Inc., and the JV with Royale Energy, Inc., please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7 Joint Ventures </w:t>
      </w:r>
      <w:r>
        <w:rPr>
          <w:rFonts w:ascii="Arial" w:cs="Arial" w:eastAsia="Arial" w:hAnsi="Arial"/>
          <w:sz w:val="18"/>
          <w:szCs w:val="18"/>
          <w:color w:val="auto"/>
        </w:rPr>
        <w:t>in our 2020 Annual Report.</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74"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2021 and December 31, 2020 were not material to our condensed consolidated balance sheets as of such dates.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determined that former lessees, including our former parent, Occidental Petroleum Corporation (Oxy) with an approximately 35% share, are responsible for accrued decommissioning obligations associated with these offshore platforms. Oxy notified us of the claim under the indemnification provisions of the Separation and Distribution Agreement between us and Oxy. We are currently evaluating this claim.</w:t>
      </w:r>
    </w:p>
    <w:p>
      <w:pPr>
        <w:spacing w:after="0" w:line="23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DERIVATIVES</w:t>
      </w:r>
    </w:p>
    <w:p>
      <w:pPr>
        <w:spacing w:after="0" w:line="27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maintain a commodity hedging program primarily focused on crude oil to help protect our cash flows, margins and capital program from the volatility of commodity prices. We did not have any derivative instruments designated as accounting hedges as of and during the three months ended March 31, 2021 and 2020. Unless otherwise indicated, we use the term "hedge" to describe derivative instruments that are designed to achieve our hedging program goals, even though they are not accounted for as accounting hedges.</w:t>
      </w:r>
    </w:p>
    <w:p>
      <w:pPr>
        <w:spacing w:after="0" w:line="231"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Our Revolving Credit Facility requires that we hedge a significant amount of crude oil production for a period of 36 months from the effective date of the facility. In addition, the Revolving Credit Facility requires that we maintain hedges on production for not less than two years from each quarter end.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i w:val="1"/>
          <w:iCs w:val="1"/>
          <w:color w:val="auto"/>
        </w:rPr>
        <w:t xml:space="preserve">Summary of open derivative contracts </w:t>
      </w:r>
      <w:r>
        <w:rPr>
          <w:rFonts w:ascii="Arial" w:cs="Arial" w:eastAsia="Arial" w:hAnsi="Arial"/>
          <w:sz w:val="18"/>
          <w:szCs w:val="18"/>
          <w:color w:val="auto"/>
        </w:rPr>
        <w:t>— We held the following Brent-based crude oil contracts as of March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Q2</w:t>
            </w:r>
          </w:p>
        </w:tc>
        <w:tc>
          <w:tcPr>
            <w:tcW w:w="26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Q3</w:t>
            </w:r>
          </w:p>
        </w:tc>
        <w:tc>
          <w:tcPr>
            <w:tcW w:w="26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Q4</w:t>
            </w:r>
          </w:p>
        </w:tc>
        <w:tc>
          <w:tcPr>
            <w:tcW w:w="260" w:type="dxa"/>
            <w:vAlign w:val="bottom"/>
          </w:tcPr>
          <w:p>
            <w:pPr>
              <w:spacing w:after="0"/>
              <w:rPr>
                <w:sz w:val="17"/>
                <w:szCs w:val="17"/>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January -</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October 2023</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225" w:lineRule="exact"/>
        <w:rPr>
          <w:sz w:val="20"/>
          <w:szCs w:val="20"/>
          <w:color w:val="auto"/>
        </w:rPr>
      </w:pPr>
    </w:p>
    <w:p>
      <w:pPr>
        <w:ind w:right="460" w:firstLine="324"/>
        <w:spacing w:after="0" w:line="246" w:lineRule="auto"/>
        <w:rPr>
          <w:sz w:val="20"/>
          <w:szCs w:val="20"/>
          <w:color w:val="auto"/>
        </w:rPr>
      </w:pPr>
      <w:r>
        <w:rPr>
          <w:rFonts w:ascii="Arial" w:cs="Arial" w:eastAsia="Arial" w:hAnsi="Arial"/>
          <w:sz w:val="18"/>
          <w:szCs w:val="18"/>
          <w:color w:val="auto"/>
        </w:rPr>
        <w:t>We use combinations of these positions to meet the requirements of our Revolving Credit Facility and to increase the efficacy of our hedging program.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6" w:name="page17"/>
    <w:bookmarkEnd w:id="16"/>
    <w:p>
      <w:pPr>
        <w:ind w:right="720" w:firstLine="324"/>
        <w:spacing w:after="0" w:line="282"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The following tables present the fair values on a recurring basis (at gross and net)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derivatives as of March 31, 2021 and December 31, 2020: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 (Successor)</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22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b w:val="1"/>
                <w:bCs w:val="1"/>
                <w:color w:val="auto"/>
              </w:rPr>
              <w:t>Classification</w:t>
            </w: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3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4020" w:type="dxa"/>
            <w:vAlign w:val="bottom"/>
            <w:gridSpan w:val="3"/>
            <w:shd w:val="clear" w:color="auto" w:fill="CCEEFF"/>
          </w:tcPr>
          <w:p>
            <w:pPr>
              <w:ind w:left="37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3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4020" w:type="dxa"/>
            <w:vAlign w:val="bottom"/>
            <w:gridSpan w:val="3"/>
            <w:shd w:val="clear" w:color="auto" w:fill="CCEEFF"/>
          </w:tcPr>
          <w:p>
            <w:pPr>
              <w:ind w:left="37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(Successor)</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240" w:type="dxa"/>
            <w:vAlign w:val="bottom"/>
            <w:tcBorders>
              <w:top w:val="single" w:sz="8" w:color="auto"/>
            </w:tcBorders>
          </w:tcPr>
          <w:p>
            <w:pPr>
              <w:spacing w:after="0"/>
              <w:rPr>
                <w:sz w:val="14"/>
                <w:szCs w:val="14"/>
                <w:color w:val="auto"/>
              </w:rPr>
            </w:pPr>
          </w:p>
        </w:tc>
        <w:tc>
          <w:tcPr>
            <w:tcW w:w="3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4040" w:type="dxa"/>
            <w:vAlign w:val="bottom"/>
            <w:gridSpan w:val="3"/>
          </w:tcPr>
          <w:p>
            <w:pPr>
              <w:jc w:val="right"/>
              <w:ind w:right="2650"/>
              <w:spacing w:after="0"/>
              <w:rPr>
                <w:sz w:val="20"/>
                <w:szCs w:val="20"/>
                <w:color w:val="auto"/>
              </w:rPr>
            </w:pPr>
            <w:r>
              <w:rPr>
                <w:rFonts w:ascii="Arial" w:cs="Arial" w:eastAsia="Arial" w:hAnsi="Arial"/>
                <w:sz w:val="18"/>
                <w:szCs w:val="18"/>
                <w:b w:val="1"/>
                <w:bCs w:val="1"/>
                <w:color w:val="auto"/>
              </w:rPr>
              <w:t>Classification</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3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 net</w:t>
            </w:r>
          </w:p>
        </w:tc>
        <w:tc>
          <w:tcPr>
            <w:tcW w:w="40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4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center"/>
              <w:ind w:left="95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20"/>
                <w:szCs w:val="20"/>
                <w:color w:val="auto"/>
              </w:rPr>
            </w:pPr>
            <w:r>
              <w:rPr>
                <w:rFonts w:ascii="Arial" w:cs="Arial" w:eastAsia="Arial" w:hAnsi="Arial"/>
                <w:sz w:val="18"/>
                <w:szCs w:val="18"/>
                <w:color w:val="auto"/>
              </w:rPr>
              <w:t>Liabilities</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long-term liabilities</w:t>
            </w:r>
          </w:p>
        </w:tc>
        <w:tc>
          <w:tcPr>
            <w:tcW w:w="3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1"/>
                <w:szCs w:val="21"/>
                <w:color w:val="auto"/>
              </w:rPr>
            </w:pPr>
          </w:p>
        </w:tc>
        <w:tc>
          <w:tcPr>
            <w:tcW w:w="40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derivative (loss) gain from commodity contracts on our condensed consolidated statements of operations for the three months ended March 31, 2021 and 2020. The changes in fair value result from the relationship between our existing positions, volatility, time to expiration, contract prices and the associated forward curves.</w:t>
      </w:r>
    </w:p>
    <w:p>
      <w:pPr>
        <w:spacing w:after="0" w:line="21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Fair value of interest rate contracts </w:t>
      </w:r>
      <w:r>
        <w:rPr>
          <w:rFonts w:ascii="Arial" w:cs="Arial" w:eastAsia="Arial" w:hAnsi="Arial"/>
          <w:sz w:val="18"/>
          <w:szCs w:val="18"/>
          <w:color w:val="auto"/>
        </w:rPr>
        <w:t>— At March 31, 2021, we held derivative contracts that limited our interest-rate exposure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a notional amount of $1.3 billion of variable-rate indebtedness. The fair value of our interest-rate derivative contracts was not significant for all periods presented and these contracts expired on May 4, 2021.</w:t>
      </w:r>
    </w:p>
    <w:p>
      <w:pPr>
        <w:spacing w:after="0" w:line="1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We compute basic and diluted earnings per share (EPS) using the treasury stock method for the three months ended March 31, 2021 and the two-class method for the three months ended March 31, 2020 which is required for participating securities. Certain of our restricted and performance stock unit awards outstanding during the Predecessor period were considered participating securities because they had non-forfeitable dividend rights at the same rate as our pre-emergence common stock. Our restricted and performance stock unit awards granted in the first quarter of 2021, as described in </w:t>
      </w:r>
      <w:r>
        <w:rPr>
          <w:rFonts w:ascii="Arial" w:cs="Arial" w:eastAsia="Arial" w:hAnsi="Arial"/>
          <w:sz w:val="18"/>
          <w:szCs w:val="18"/>
          <w:i w:val="1"/>
          <w:iCs w:val="1"/>
          <w:color w:val="auto"/>
        </w:rPr>
        <w:t>Note 15 Stock-Based Compensation</w:t>
      </w:r>
      <w:r>
        <w:rPr>
          <w:rFonts w:ascii="Arial" w:cs="Arial" w:eastAsia="Arial" w:hAnsi="Arial"/>
          <w:sz w:val="18"/>
          <w:szCs w:val="18"/>
          <w:color w:val="auto"/>
        </w:rPr>
        <w:t>, are not considered participating securities since the dividend rights on unvested shares are forfeitable.</w:t>
      </w:r>
    </w:p>
    <w:p>
      <w:pPr>
        <w:spacing w:after="0" w:line="23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underlying shares related to unvested equity-settled awards and warrants. For diluted EPS, the basic shares outstanding are adjusted by adding potential common shares, if dilutive.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months ended March 31, 2021 and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60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9"/>
              </w:rPr>
              <w:t>Three months ended</w:t>
            </w:r>
          </w:p>
        </w:tc>
      </w:t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center"/>
              <w:ind w:right="15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60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r>
      <w:tr>
        <w:trPr>
          <w:trHeight w:val="160"/>
        </w:trPr>
        <w:tc>
          <w:tcPr>
            <w:tcW w:w="6020" w:type="dxa"/>
            <w:vAlign w:val="bottom"/>
          </w:tcPr>
          <w:p>
            <w:pPr>
              <w:ind w:left="20"/>
              <w:spacing w:after="0" w:line="159" w:lineRule="exact"/>
              <w:rPr>
                <w:sz w:val="20"/>
                <w:szCs w:val="20"/>
                <w:color w:val="auto"/>
              </w:rPr>
            </w:pPr>
            <w:r>
              <w:rPr>
                <w:rFonts w:ascii="Arial" w:cs="Arial" w:eastAsia="Arial" w:hAnsi="Arial"/>
                <w:sz w:val="14"/>
                <w:szCs w:val="14"/>
                <w:color w:val="auto"/>
              </w:rPr>
              <w:t>(in millions, except per-share amounts)</w:t>
            </w:r>
          </w:p>
        </w:tc>
        <w:tc>
          <w:tcPr>
            <w:tcW w:w="2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3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Earnings per Share</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and Diluted Earnings per Share</w:t>
            </w: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196"/>
        </w:trPr>
        <w:tc>
          <w:tcPr>
            <w:tcW w:w="6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(36.43)</w:t>
            </w:r>
          </w:p>
        </w:tc>
      </w:tr>
      <w:tr>
        <w:trPr>
          <w:trHeight w:val="256"/>
        </w:trPr>
        <w:tc>
          <w:tcPr>
            <w:tcW w:w="6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6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Weighted-average anti-dilutive shares</w:t>
            </w: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13"/>
        </w:trPr>
        <w:tc>
          <w:tcPr>
            <w:tcW w:w="6020" w:type="dxa"/>
            <w:vAlign w:val="bottom"/>
          </w:tcPr>
          <w:p>
            <w:pPr>
              <w:spacing w:after="0"/>
              <w:rPr>
                <w:sz w:val="20"/>
                <w:szCs w:val="20"/>
                <w:color w:val="auto"/>
              </w:rPr>
            </w:pPr>
            <w:r>
              <w:rPr>
                <w:rFonts w:ascii="Arial" w:cs="Arial" w:eastAsia="Arial" w:hAnsi="Arial"/>
                <w:sz w:val="18"/>
                <w:szCs w:val="18"/>
                <w:b w:val="1"/>
                <w:bCs w:val="1"/>
                <w:color w:val="auto"/>
              </w:rPr>
              <w:t>NOTE 10  PENSION AND POSTRETIREMENT BENEFIT PLANS</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42"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months ended March 31,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990"/>
              <w:spacing w:after="0"/>
              <w:rPr>
                <w:sz w:val="20"/>
                <w:szCs w:val="20"/>
                <w:color w:val="auto"/>
              </w:rPr>
            </w:pPr>
            <w:r>
              <w:rPr>
                <w:rFonts w:ascii="Arial" w:cs="Arial" w:eastAsia="Arial" w:hAnsi="Arial"/>
                <w:sz w:val="18"/>
                <w:szCs w:val="18"/>
                <w:b w:val="1"/>
                <w:bCs w:val="1"/>
                <w:color w:val="auto"/>
              </w:rPr>
              <w:t>Successor</w:t>
            </w:r>
          </w:p>
        </w:tc>
        <w:tc>
          <w:tcPr>
            <w:tcW w:w="22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9"/>
              </w:rPr>
              <w:t>Predecessor</w:t>
            </w:r>
          </w:p>
        </w:tc>
      </w:tr>
      <w:tr>
        <w:trPr>
          <w:trHeight w:val="223"/>
        </w:trPr>
        <w:tc>
          <w:tcPr>
            <w:tcW w:w="3740" w:type="dxa"/>
            <w:vAlign w:val="bottom"/>
          </w:tcPr>
          <w:p>
            <w:pPr>
              <w:spacing w:after="0"/>
              <w:rPr>
                <w:sz w:val="19"/>
                <w:szCs w:val="19"/>
                <w:color w:val="auto"/>
              </w:rPr>
            </w:pPr>
          </w:p>
        </w:tc>
        <w:tc>
          <w:tcPr>
            <w:tcW w:w="3400" w:type="dxa"/>
            <w:vAlign w:val="bottom"/>
            <w:tcBorders>
              <w:bottom w:val="single" w:sz="8" w:color="auto"/>
            </w:tcBorders>
            <w:gridSpan w:val="4"/>
          </w:tcPr>
          <w:p>
            <w:pPr>
              <w:jc w:val="center"/>
              <w:ind w:left="110"/>
              <w:spacing w:after="0"/>
              <w:rPr>
                <w:sz w:val="20"/>
                <w:szCs w:val="20"/>
                <w:color w:val="auto"/>
              </w:rPr>
            </w:pPr>
            <w:r>
              <w:rPr>
                <w:rFonts w:ascii="Arial" w:cs="Arial" w:eastAsia="Arial" w:hAnsi="Arial"/>
                <w:sz w:val="18"/>
                <w:szCs w:val="18"/>
                <w:b w:val="1"/>
                <w:bCs w:val="1"/>
                <w:color w:val="auto"/>
                <w:w w:val="99"/>
              </w:rPr>
              <w:t>Three months ended March 31,</w:t>
            </w:r>
          </w:p>
        </w:tc>
        <w:tc>
          <w:tcPr>
            <w:tcW w:w="22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37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99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b w:val="1"/>
                <w:bCs w:val="1"/>
                <w:color w:val="auto"/>
                <w:w w:val="99"/>
              </w:rPr>
              <w:t>2020</w:t>
            </w:r>
          </w:p>
        </w:tc>
        <w:tc>
          <w:tcPr>
            <w:tcW w:w="1580" w:type="dxa"/>
            <w:vAlign w:val="bottom"/>
            <w:tcBorders>
              <w:bottom w:val="single" w:sz="8" w:color="auto"/>
            </w:tcBorders>
          </w:tcPr>
          <w:p>
            <w:pPr>
              <w:spacing w:after="0"/>
              <w:rPr>
                <w:sz w:val="19"/>
                <w:szCs w:val="19"/>
                <w:color w:val="auto"/>
              </w:rPr>
            </w:pPr>
          </w:p>
        </w:tc>
      </w:tr>
      <w:tr>
        <w:trPr>
          <w:trHeight w:val="169"/>
        </w:trPr>
        <w:tc>
          <w:tcPr>
            <w:tcW w:w="374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Pension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Postretirement</w:t>
            </w:r>
          </w:p>
        </w:tc>
        <w:tc>
          <w:tcPr>
            <w:tcW w:w="2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440"/>
              <w:spacing w:after="0" w:line="169" w:lineRule="exact"/>
              <w:rPr>
                <w:sz w:val="20"/>
                <w:szCs w:val="20"/>
                <w:color w:val="auto"/>
              </w:rPr>
            </w:pPr>
            <w:r>
              <w:rPr>
                <w:rFonts w:ascii="Arial" w:cs="Arial" w:eastAsia="Arial" w:hAnsi="Arial"/>
                <w:sz w:val="18"/>
                <w:szCs w:val="18"/>
                <w:b w:val="1"/>
                <w:bCs w:val="1"/>
                <w:color w:val="auto"/>
                <w:w w:val="99"/>
              </w:rPr>
              <w:t>Pension</w:t>
            </w:r>
          </w:p>
        </w:tc>
        <w:tc>
          <w:tcPr>
            <w:tcW w:w="200" w:type="dxa"/>
            <w:vAlign w:val="bottom"/>
          </w:tcPr>
          <w:p>
            <w:pPr>
              <w:spacing w:after="0"/>
              <w:rPr>
                <w:sz w:val="14"/>
                <w:szCs w:val="14"/>
                <w:color w:val="auto"/>
              </w:rPr>
            </w:pPr>
          </w:p>
        </w:tc>
        <w:tc>
          <w:tcPr>
            <w:tcW w:w="158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Postretirement</w:t>
            </w:r>
          </w:p>
        </w:tc>
      </w:tr>
      <w:tr>
        <w:trPr>
          <w:trHeight w:val="230"/>
        </w:trPr>
        <w:tc>
          <w:tcPr>
            <w:tcW w:w="37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Benefit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Benefit</w:t>
            </w:r>
          </w:p>
        </w:tc>
        <w:tc>
          <w:tcPr>
            <w:tcW w:w="2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Benefit</w:t>
            </w:r>
          </w:p>
        </w:tc>
        <w:tc>
          <w:tcPr>
            <w:tcW w:w="200" w:type="dxa"/>
            <w:vAlign w:val="bottom"/>
          </w:tcPr>
          <w:p>
            <w:pPr>
              <w:spacing w:after="0"/>
              <w:rPr>
                <w:sz w:val="19"/>
                <w:szCs w:val="19"/>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Benefit</w:t>
            </w:r>
          </w:p>
        </w:tc>
      </w:tr>
      <w:tr>
        <w:trPr>
          <w:trHeight w:val="169"/>
        </w:trPr>
        <w:tc>
          <w:tcPr>
            <w:tcW w:w="3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cost</w:t>
            </w:r>
          </w:p>
        </w:tc>
        <w:tc>
          <w:tcPr>
            <w:tcW w:w="1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did not make significant contributions to our defined benefit plans for the three months ended March 31, 2021. We expect to satisfy minimum funding requirements with contributions of approximately $3 million to our defined benefit pension plans during the remainder of 2021.</w:t>
      </w:r>
    </w:p>
    <w:p>
      <w:pPr>
        <w:spacing w:after="0" w:line="229" w:lineRule="exact"/>
        <w:rPr>
          <w:sz w:val="20"/>
          <w:szCs w:val="20"/>
          <w:color w:val="auto"/>
        </w:rPr>
      </w:pPr>
    </w:p>
    <w:p>
      <w:pPr>
        <w:ind w:right="460" w:firstLine="324"/>
        <w:spacing w:after="0" w:line="254" w:lineRule="auto"/>
        <w:rPr>
          <w:sz w:val="20"/>
          <w:szCs w:val="20"/>
          <w:color w:val="auto"/>
        </w:rPr>
      </w:pPr>
      <w:r>
        <w:rPr>
          <w:rFonts w:ascii="Arial" w:cs="Arial" w:eastAsia="Arial" w:hAnsi="Arial"/>
          <w:sz w:val="18"/>
          <w:szCs w:val="18"/>
          <w:color w:val="auto"/>
        </w:rPr>
        <w:t>We did not make significant contributions to our defined benefit pension plans for the three months ended March 31, 2020. The Coronavirus Aid, Relief, and Economic Security Act (CARES Act) was enacted on March 27, 2020 and allowed for the deferral of contributions to a single employer pension plan otherwise due during 2020 to January 1, 2021. We deferred contributions to our defined benefit pension plans of approximately $5 million during 2020, which we paid in December 2020.</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8" w:name="page19"/>
    <w:bookmarkEnd w:id="18"/>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REVENUE RECOGNITION</w:t>
      </w:r>
    </w:p>
    <w:p>
      <w:pPr>
        <w:spacing w:after="0" w:line="27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derive most of our revenue from sales of oil, natural gas and NGLs, with the remaining revenue primarily generated from sales of electricity and marketing activities related to storage and managing excess pipeline capacity.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sales for oil, natural gas and NGLs to customers: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Pr>
          <w:p>
            <w:pPr>
              <w:spacing w:after="0"/>
              <w:rPr>
                <w:sz w:val="19"/>
                <w:szCs w:val="19"/>
                <w:color w:val="auto"/>
              </w:rPr>
            </w:pPr>
          </w:p>
        </w:tc>
        <w:tc>
          <w:tcPr>
            <w:tcW w:w="22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rPr>
              <w:t>Successor</w:t>
            </w:r>
          </w:p>
        </w:tc>
        <w:tc>
          <w:tcPr>
            <w:tcW w:w="4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5700" w:type="dxa"/>
            <w:vAlign w:val="bottom"/>
          </w:tcPr>
          <w:p>
            <w:pPr>
              <w:spacing w:after="0"/>
              <w:rPr>
                <w:sz w:val="14"/>
                <w:szCs w:val="14"/>
                <w:color w:val="auto"/>
              </w:rPr>
            </w:pPr>
          </w:p>
        </w:tc>
        <w:tc>
          <w:tcPr>
            <w:tcW w:w="2240" w:type="dxa"/>
            <w:vAlign w:val="bottom"/>
          </w:tcPr>
          <w:p>
            <w:pPr>
              <w:jc w:val="center"/>
              <w:ind w:left="310"/>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99"/>
              </w:rPr>
              <w:t>Three months ended</w:t>
            </w:r>
          </w:p>
        </w:tc>
      </w:tr>
      <w:tr>
        <w:trPr>
          <w:trHeight w:val="229"/>
        </w:trPr>
        <w:tc>
          <w:tcPr>
            <w:tcW w:w="5700" w:type="dxa"/>
            <w:vAlign w:val="bottom"/>
          </w:tcPr>
          <w:p>
            <w:pPr>
              <w:spacing w:after="0"/>
              <w:rPr>
                <w:sz w:val="19"/>
                <w:szCs w:val="19"/>
                <w:color w:val="auto"/>
              </w:rPr>
            </w:pPr>
          </w:p>
        </w:tc>
        <w:tc>
          <w:tcPr>
            <w:tcW w:w="22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5700" w:type="dxa"/>
            <w:vAlign w:val="bottom"/>
          </w:tcPr>
          <w:p>
            <w:pPr>
              <w:spacing w:after="0"/>
              <w:rPr>
                <w:sz w:val="19"/>
                <w:szCs w:val="19"/>
                <w:color w:val="auto"/>
              </w:rPr>
            </w:pPr>
          </w:p>
        </w:tc>
        <w:tc>
          <w:tcPr>
            <w:tcW w:w="22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2021</w:t>
            </w:r>
          </w:p>
        </w:tc>
        <w:tc>
          <w:tcPr>
            <w:tcW w:w="4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2020</w:t>
            </w:r>
          </w:p>
        </w:tc>
      </w:tr>
      <w:tr>
        <w:trPr>
          <w:trHeight w:val="170"/>
        </w:trPr>
        <w:tc>
          <w:tcPr>
            <w:tcW w:w="5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color w:val="auto"/>
              </w:rPr>
              <w:t>Oil, natural gas and NGL sales:</w:t>
            </w:r>
          </w:p>
        </w:tc>
        <w:tc>
          <w:tcPr>
            <w:tcW w:w="2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Oil</w:t>
            </w:r>
          </w:p>
        </w:tc>
        <w:tc>
          <w:tcPr>
            <w:tcW w:w="2240" w:type="dxa"/>
            <w:vAlign w:val="bottom"/>
            <w:shd w:val="clear" w:color="auto" w:fill="CCEEFF"/>
          </w:tcPr>
          <w:p>
            <w:pPr>
              <w:jc w:val="right"/>
              <w:ind w:right="20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331</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Natural gas</w:t>
            </w:r>
          </w:p>
        </w:tc>
        <w:tc>
          <w:tcPr>
            <w:tcW w:w="2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NGLs</w:t>
            </w:r>
          </w:p>
        </w:tc>
        <w:tc>
          <w:tcPr>
            <w:tcW w:w="2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5700" w:type="dxa"/>
            <w:vAlign w:val="bottom"/>
          </w:tcPr>
          <w:p>
            <w:pPr>
              <w:spacing w:after="0"/>
              <w:rPr>
                <w:sz w:val="22"/>
                <w:szCs w:val="22"/>
                <w:color w:val="auto"/>
              </w:rPr>
            </w:pPr>
          </w:p>
        </w:tc>
        <w:tc>
          <w:tcPr>
            <w:tcW w:w="2240" w:type="dxa"/>
            <w:vAlign w:val="bottom"/>
            <w:tcBorders>
              <w:bottom w:val="single" w:sz="8" w:color="auto"/>
            </w:tcBorders>
          </w:tcPr>
          <w:p>
            <w:pPr>
              <w:jc w:val="right"/>
              <w:ind w:right="20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432</w:t>
            </w:r>
          </w:p>
        </w:tc>
        <w:tc>
          <w:tcPr>
            <w:tcW w:w="16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bl>
    <w:p>
      <w:pPr>
        <w:spacing w:after="0" w:line="2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LEASES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sheet information related to our operating and finance leases was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4"/>
          </w:tcPr>
          <w:p>
            <w:pPr>
              <w:jc w:val="right"/>
              <w:ind w:right="183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Classification</w:t>
            </w:r>
          </w:p>
        </w:tc>
        <w:tc>
          <w:tcPr>
            <w:tcW w:w="3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2021</w:t>
            </w:r>
          </w:p>
        </w:tc>
        <w:tc>
          <w:tcPr>
            <w:tcW w:w="340" w:type="dxa"/>
            <w:vAlign w:val="bottom"/>
          </w:tcPr>
          <w:p>
            <w:pPr>
              <w:spacing w:after="0"/>
              <w:rPr>
                <w:sz w:val="19"/>
                <w:szCs w:val="19"/>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December 31, 2020</w:t>
            </w:r>
          </w:p>
        </w:tc>
        <w:tc>
          <w:tcPr>
            <w:tcW w:w="0" w:type="dxa"/>
            <w:vAlign w:val="bottom"/>
          </w:tcPr>
          <w:p>
            <w:pPr>
              <w:spacing w:after="0"/>
              <w:rPr>
                <w:sz w:val="1"/>
                <w:szCs w:val="1"/>
                <w:color w:val="auto"/>
              </w:rPr>
            </w:pPr>
          </w:p>
        </w:tc>
      </w:tr>
      <w:tr>
        <w:trPr>
          <w:trHeight w:val="184"/>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Other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w:t>
            </w:r>
          </w:p>
        </w:tc>
        <w:tc>
          <w:tcPr>
            <w:tcW w:w="3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PP&amp;E</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leased assets</w:t>
            </w:r>
          </w:p>
        </w:tc>
        <w:tc>
          <w:tcPr>
            <w:tcW w:w="3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Current</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Accrued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40" w:type="dxa"/>
            <w:vAlign w:val="bottom"/>
          </w:tcPr>
          <w:p>
            <w:pPr>
              <w:ind w:left="160"/>
              <w:spacing w:after="0"/>
              <w:rPr>
                <w:sz w:val="20"/>
                <w:szCs w:val="20"/>
                <w:color w:val="auto"/>
              </w:rPr>
            </w:pPr>
            <w:r>
              <w:rPr>
                <w:rFonts w:ascii="Arial" w:cs="Arial" w:eastAsia="Arial" w:hAnsi="Arial"/>
                <w:sz w:val="18"/>
                <w:szCs w:val="18"/>
                <w:color w:val="auto"/>
              </w:rPr>
              <w:t>Finance</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Accrued liabilities</w:t>
            </w: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3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Other long-term liabilities</w:t>
            </w: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w:t>
            </w: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Other long-term liabilities</w:t>
            </w:r>
          </w:p>
        </w:tc>
        <w:tc>
          <w:tcPr>
            <w:tcW w:w="3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lease assets and liabilities increased from year end 2020 primarily due to adding one drilling rig in the first quarter of 2021.</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We estimate our annual effective income tax rate to record our quarterly income tax provision in the jurisdictions in which we operate. Statutory tax rate changes and other significant or unusual items, if any, are not included in our annual effective income tax rate and are instead recognized as discrete items in the quarter in which they occur.</w:t>
      </w:r>
    </w:p>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For the three months ended March 31, 2021 and 2020, we did not provide any current or deferred income tax provision or benefit. The difference between our statutory tax rate and our effective tax rate of zero for all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sustained level of profitability that we can achieve.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9"/>
        </w:trPr>
        <w:tc>
          <w:tcPr>
            <w:tcW w:w="6560" w:type="dxa"/>
            <w:vAlign w:val="bottom"/>
          </w:tcPr>
          <w:p>
            <w:pPr>
              <w:spacing w:after="0"/>
              <w:rPr>
                <w:sz w:val="20"/>
                <w:szCs w:val="20"/>
                <w:color w:val="auto"/>
              </w:rPr>
            </w:pPr>
            <w:r>
              <w:rPr>
                <w:rFonts w:ascii="Arial" w:cs="Arial" w:eastAsia="Arial" w:hAnsi="Arial"/>
                <w:sz w:val="18"/>
                <w:szCs w:val="18"/>
                <w:b w:val="1"/>
                <w:bCs w:val="1"/>
                <w:color w:val="auto"/>
              </w:rPr>
              <w:t>NOTE 14  ASSET IMPAIRMENTS</w:t>
            </w: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60" w:type="dxa"/>
            <w:vAlign w:val="bottom"/>
          </w:tcPr>
          <w:p>
            <w:pPr>
              <w:ind w:left="340"/>
              <w:spacing w:after="0"/>
              <w:rPr>
                <w:sz w:val="20"/>
                <w:szCs w:val="20"/>
                <w:color w:val="auto"/>
              </w:rPr>
            </w:pPr>
            <w:r>
              <w:rPr>
                <w:rFonts w:ascii="Arial" w:cs="Arial" w:eastAsia="Arial" w:hAnsi="Arial"/>
                <w:sz w:val="18"/>
                <w:szCs w:val="18"/>
                <w:color w:val="auto"/>
              </w:rPr>
              <w:t>The following table presents a summary of our asset impairments:</w:t>
            </w: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560" w:type="dxa"/>
            <w:vAlign w:val="bottom"/>
          </w:tcPr>
          <w:p>
            <w:pPr>
              <w:spacing w:after="0"/>
              <w:rPr>
                <w:sz w:val="24"/>
                <w:szCs w:val="24"/>
                <w:color w:val="auto"/>
              </w:rPr>
            </w:pPr>
          </w:p>
        </w:tc>
        <w:tc>
          <w:tcPr>
            <w:tcW w:w="18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Successor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2021</w:t>
            </w:r>
          </w:p>
        </w:tc>
        <w:tc>
          <w:tcPr>
            <w:tcW w:w="3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Proved oil and natural gas properties</w:t>
            </w:r>
          </w:p>
        </w:tc>
        <w:tc>
          <w:tcPr>
            <w:tcW w:w="186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w w:val="99"/>
              </w:rPr>
              <w:t>$</w:t>
            </w:r>
          </w:p>
        </w:tc>
        <w:tc>
          <w:tcPr>
            <w:tcW w:w="5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0"/>
        </w:trPr>
        <w:tc>
          <w:tcPr>
            <w:tcW w:w="6560" w:type="dxa"/>
            <w:vAlign w:val="bottom"/>
          </w:tcPr>
          <w:p>
            <w:pPr>
              <w:ind w:left="80"/>
              <w:spacing w:after="0"/>
              <w:rPr>
                <w:sz w:val="20"/>
                <w:szCs w:val="20"/>
                <w:color w:val="auto"/>
              </w:rPr>
            </w:pPr>
            <w:r>
              <w:rPr>
                <w:rFonts w:ascii="Arial" w:cs="Arial" w:eastAsia="Arial" w:hAnsi="Arial"/>
                <w:sz w:val="18"/>
                <w:szCs w:val="18"/>
                <w:color w:val="auto"/>
              </w:rPr>
              <w:t>Unproved properties</w:t>
            </w:r>
          </w:p>
        </w:tc>
        <w:tc>
          <w:tcPr>
            <w:tcW w:w="1860" w:type="dxa"/>
            <w:vAlign w:val="bottom"/>
          </w:tcPr>
          <w:p>
            <w:pPr>
              <w:spacing w:after="0"/>
              <w:rPr>
                <w:sz w:val="19"/>
                <w:szCs w:val="19"/>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6560" w:type="dxa"/>
            <w:vAlign w:val="bottom"/>
          </w:tcPr>
          <w:p>
            <w:pPr>
              <w:ind w:left="14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At March 31, 2021, we recorded a $3 million impairment which was triggered by the change in our business strategy and capital allocation priorities resulting in the impairment of capitalized costs related to projects which were abandoned.</w:t>
      </w:r>
    </w:p>
    <w:p>
      <w:pPr>
        <w:spacing w:after="0" w:line="225"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 xml:space="preserve">At March 31, 2020, we recorded a $1.7 billion impairment which was triggered by the sharp drop in commodity prices at the end of the first quarter of 2020 due to the significant decrease in demand for oil and natural gas products as a result of the Coronavirus Disease 2019 (COVID-19) pandemic coupled with the over-supply resulting from a price war between members of the Organization of the Petroleum Exporting Countries (OPEC), Russia and other allied producing countries. Other asset impairments recorded in the three months ended March 31, 2020 primarily included the write-off of amounts due from joint interest partners which were recoverable solely from our partners’ share of future production from associated fields. The dramatic commodity price decline during the first quarter of 2020 resulted in changes to our cash flow forecasts and we impaired the carrying value of these amounts.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13 Asset Impairment </w:t>
      </w:r>
      <w:r>
        <w:rPr>
          <w:rFonts w:ascii="Arial" w:cs="Arial" w:eastAsia="Arial" w:hAnsi="Arial"/>
          <w:sz w:val="18"/>
          <w:szCs w:val="18"/>
          <w:color w:val="auto"/>
        </w:rPr>
        <w:t>in our 2020 Annual Report for a description of our impairment of proved and unproved oil</w:t>
      </w:r>
      <w:r>
        <w:rPr>
          <w:rFonts w:ascii="Arial" w:cs="Arial" w:eastAsia="Arial" w:hAnsi="Arial"/>
          <w:sz w:val="18"/>
          <w:szCs w:val="18"/>
          <w:i w:val="1"/>
          <w:iCs w:val="1"/>
          <w:color w:val="auto"/>
        </w:rPr>
        <w:t xml:space="preserve"> </w:t>
      </w:r>
      <w:r>
        <w:rPr>
          <w:rFonts w:ascii="Arial" w:cs="Arial" w:eastAsia="Arial" w:hAnsi="Arial"/>
          <w:sz w:val="18"/>
          <w:szCs w:val="18"/>
          <w:color w:val="auto"/>
        </w:rPr>
        <w:t>and gas properties as of March 31, 2020.</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STOCK-BASED COMPENSATION</w:t>
      </w:r>
    </w:p>
    <w:p>
      <w:pPr>
        <w:spacing w:after="0" w:line="27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As a result of our bankruptcy, our Amended and Restated California Resources Corporation Long-Term Incentive Plan was cancelled and, upon emergence, all outstanding stock-based compensation awards granted under this plan were cancelled.</w:t>
      </w:r>
    </w:p>
    <w:p>
      <w:pPr>
        <w:spacing w:after="0" w:line="225" w:lineRule="exact"/>
        <w:rPr>
          <w:sz w:val="20"/>
          <w:szCs w:val="20"/>
          <w:color w:val="auto"/>
        </w:rPr>
      </w:pPr>
    </w:p>
    <w:p>
      <w:pPr>
        <w:ind w:right="420" w:firstLine="324"/>
        <w:spacing w:after="0" w:line="252" w:lineRule="auto"/>
        <w:rPr>
          <w:sz w:val="20"/>
          <w:szCs w:val="20"/>
          <w:color w:val="auto"/>
        </w:rPr>
      </w:pPr>
      <w:r>
        <w:rPr>
          <w:rFonts w:ascii="Arial" w:cs="Arial" w:eastAsia="Arial" w:hAnsi="Arial"/>
          <w:sz w:val="18"/>
          <w:szCs w:val="18"/>
          <w:color w:val="auto"/>
        </w:rPr>
        <w:t xml:space="preserve">On January 18, 2021, our Board of Directors approved the California Resources Corporation 2021 Long Term Incentive Plan (2021 Incentive Plan) and as a result, the 2021 Incentive Plan became effective. The 2021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See </w:t>
      </w:r>
      <w:r>
        <w:rPr>
          <w:rFonts w:ascii="Arial" w:cs="Arial" w:eastAsia="Arial" w:hAnsi="Arial"/>
          <w:sz w:val="18"/>
          <w:szCs w:val="18"/>
          <w:i w:val="1"/>
          <w:iCs w:val="1"/>
          <w:color w:val="auto"/>
        </w:rPr>
        <w:t>Part II, Item 8 – Financial Statements and Supplementary Data, Note 14 Stock-Based Compensation</w:t>
      </w:r>
      <w:r>
        <w:rPr>
          <w:rFonts w:ascii="Arial" w:cs="Arial" w:eastAsia="Arial" w:hAnsi="Arial"/>
          <w:sz w:val="18"/>
          <w:szCs w:val="18"/>
          <w:color w:val="auto"/>
        </w:rPr>
        <w:t xml:space="preserve"> in our 2020 Annual Report for additional information including the number of shares authorized for awards.</w:t>
      </w:r>
    </w:p>
    <w:p>
      <w:pPr>
        <w:spacing w:after="0" w:line="235"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vesting of restricted stock and performance stock units.</w:t>
      </w:r>
    </w:p>
    <w:p>
      <w:pPr>
        <w:spacing w:after="0" w:line="225"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Stock-based compensation expense is recorded as a component of operating costs and general and administrative expenses on our condensed consolidated statements of operations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640" w:type="dxa"/>
            <w:vAlign w:val="bottom"/>
          </w:tcPr>
          <w:p>
            <w:pPr>
              <w:jc w:val="center"/>
              <w:ind w:left="370"/>
              <w:spacing w:after="0"/>
              <w:rPr>
                <w:sz w:val="20"/>
                <w:szCs w:val="20"/>
                <w:color w:val="auto"/>
              </w:rPr>
            </w:pPr>
            <w:r>
              <w:rPr>
                <w:rFonts w:ascii="Arial" w:cs="Arial" w:eastAsia="Arial" w:hAnsi="Arial"/>
                <w:sz w:val="18"/>
                <w:szCs w:val="18"/>
                <w:b w:val="1"/>
                <w:bCs w:val="1"/>
                <w:color w:val="auto"/>
                <w:w w:val="98"/>
              </w:rPr>
              <w:t>Successor</w:t>
            </w:r>
          </w:p>
        </w:tc>
        <w:tc>
          <w:tcPr>
            <w:tcW w:w="4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4760" w:type="dxa"/>
            <w:vAlign w:val="bottom"/>
          </w:tcPr>
          <w:p>
            <w:pPr>
              <w:spacing w:after="0"/>
              <w:rPr>
                <w:sz w:val="14"/>
                <w:szCs w:val="14"/>
                <w:color w:val="auto"/>
              </w:rPr>
            </w:pPr>
          </w:p>
        </w:tc>
        <w:tc>
          <w:tcPr>
            <w:tcW w:w="2640" w:type="dxa"/>
            <w:vAlign w:val="bottom"/>
            <w:tcBorders>
              <w:top w:val="single" w:sz="8" w:color="auto"/>
            </w:tcBorders>
          </w:tcPr>
          <w:p>
            <w:pPr>
              <w:jc w:val="center"/>
              <w:ind w:left="370"/>
              <w:spacing w:after="0" w:line="169" w:lineRule="exact"/>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tcPr>
          <w:p>
            <w:pPr>
              <w:jc w:val="center"/>
              <w:ind w:right="310"/>
              <w:spacing w:after="0" w:line="169"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4"/>
                <w:szCs w:val="14"/>
                <w:color w:val="auto"/>
              </w:rPr>
            </w:pPr>
          </w:p>
        </w:tc>
      </w:tr>
      <w:tr>
        <w:trPr>
          <w:trHeight w:val="230"/>
        </w:trPr>
        <w:tc>
          <w:tcPr>
            <w:tcW w:w="4760" w:type="dxa"/>
            <w:vAlign w:val="bottom"/>
          </w:tcPr>
          <w:p>
            <w:pPr>
              <w:spacing w:after="0"/>
              <w:rPr>
                <w:sz w:val="19"/>
                <w:szCs w:val="19"/>
                <w:color w:val="auto"/>
              </w:rPr>
            </w:pPr>
          </w:p>
        </w:tc>
        <w:tc>
          <w:tcPr>
            <w:tcW w:w="2640" w:type="dxa"/>
            <w:vAlign w:val="bottom"/>
          </w:tcPr>
          <w:p>
            <w:pPr>
              <w:jc w:val="center"/>
              <w:ind w:left="370"/>
              <w:spacing w:after="0"/>
              <w:rPr>
                <w:sz w:val="20"/>
                <w:szCs w:val="20"/>
                <w:color w:val="auto"/>
              </w:rPr>
            </w:pPr>
            <w:r>
              <w:rPr>
                <w:rFonts w:ascii="Arial" w:cs="Arial" w:eastAsia="Arial" w:hAnsi="Arial"/>
                <w:sz w:val="18"/>
                <w:szCs w:val="18"/>
                <w:b w:val="1"/>
                <w:bCs w:val="1"/>
                <w:color w:val="auto"/>
                <w:w w:val="98"/>
              </w:rPr>
              <w:t>March 31,</w:t>
            </w:r>
          </w:p>
        </w:tc>
        <w:tc>
          <w:tcPr>
            <w:tcW w:w="4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March 31,</w:t>
            </w:r>
          </w:p>
        </w:tc>
      </w:tr>
      <w:tr>
        <w:trPr>
          <w:trHeight w:val="223"/>
        </w:trPr>
        <w:tc>
          <w:tcPr>
            <w:tcW w:w="4760" w:type="dxa"/>
            <w:vAlign w:val="bottom"/>
          </w:tcPr>
          <w:p>
            <w:pPr>
              <w:spacing w:after="0"/>
              <w:rPr>
                <w:sz w:val="19"/>
                <w:szCs w:val="19"/>
                <w:color w:val="auto"/>
              </w:rPr>
            </w:pPr>
          </w:p>
        </w:tc>
        <w:tc>
          <w:tcPr>
            <w:tcW w:w="2640" w:type="dxa"/>
            <w:vAlign w:val="bottom"/>
            <w:tcBorders>
              <w:top w:val="single" w:sz="8" w:color="auto"/>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2021</w:t>
            </w:r>
          </w:p>
        </w:tc>
        <w:tc>
          <w:tcPr>
            <w:tcW w:w="460" w:type="dxa"/>
            <w:vAlign w:val="bottom"/>
            <w:tcBorders>
              <w:top w:val="single" w:sz="8" w:color="auto"/>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9"/>
                <w:szCs w:val="19"/>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640" w:type="dxa"/>
            <w:vAlign w:val="bottom"/>
            <w:shd w:val="clear" w:color="auto" w:fill="CCEEFF"/>
          </w:tcPr>
          <w:p>
            <w:pPr>
              <w:jc w:val="right"/>
              <w:ind w:right="24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2640" w:type="dxa"/>
            <w:vAlign w:val="bottom"/>
          </w:tcPr>
          <w:p>
            <w:pPr>
              <w:spacing w:after="0"/>
              <w:rPr>
                <w:sz w:val="19"/>
                <w:szCs w:val="19"/>
                <w:color w:val="auto"/>
              </w:rPr>
            </w:pPr>
          </w:p>
        </w:tc>
        <w:tc>
          <w:tcPr>
            <w:tcW w:w="6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48"/>
        </w:trPr>
        <w:tc>
          <w:tcPr>
            <w:tcW w:w="4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640" w:type="dxa"/>
            <w:vAlign w:val="bottom"/>
            <w:tcBorders>
              <w:top w:val="single" w:sz="8" w:color="auto"/>
              <w:bottom w:val="single" w:sz="8" w:color="auto"/>
            </w:tcBorders>
            <w:shd w:val="clear" w:color="auto" w:fill="CCEEFF"/>
          </w:tcPr>
          <w:p>
            <w:pPr>
              <w:jc w:val="right"/>
              <w:ind w:right="24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4760" w:type="dxa"/>
            <w:vAlign w:val="bottom"/>
          </w:tcPr>
          <w:p>
            <w:pPr>
              <w:spacing w:after="0"/>
              <w:rPr>
                <w:sz w:val="24"/>
                <w:szCs w:val="24"/>
                <w:color w:val="auto"/>
              </w:rPr>
            </w:pPr>
          </w:p>
        </w:tc>
        <w:tc>
          <w:tcPr>
            <w:tcW w:w="2640" w:type="dxa"/>
            <w:vAlign w:val="bottom"/>
          </w:tcPr>
          <w:p>
            <w:pPr>
              <w:jc w:val="right"/>
              <w:ind w:right="159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0" w:name="page21"/>
    <w:bookmarkEnd w:id="20"/>
    <w:p>
      <w:pPr>
        <w:ind w:right="340" w:firstLine="324"/>
        <w:spacing w:after="0" w:line="256" w:lineRule="auto"/>
        <w:rPr>
          <w:sz w:val="20"/>
          <w:szCs w:val="20"/>
          <w:color w:val="auto"/>
        </w:rPr>
      </w:pPr>
      <w:r>
        <w:rPr>
          <w:rFonts w:ascii="Arial" w:cs="Arial" w:eastAsia="Arial" w:hAnsi="Arial"/>
          <w:sz w:val="18"/>
          <w:szCs w:val="18"/>
          <w:color w:val="auto"/>
        </w:rPr>
        <w:t>For the three months ended March 31, 2021 and 2020, we did not recognize any income tax benefit related to our stock-based compensation. For the three months ended March 31, 2020, we made cash payments of $8 million for the cash-settled portion of our pre-emergence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70"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In the first quarter of 2021, we granted restricted stock units (RSUs) to our non-employee directors and certain of our executives. The awards generally vest ratably over three years, with one third of the granted units vesting on each of the first three anniversaries of the applicable date of grant. RSUs are settled in shares of our common stock at the end of the three-year vesting period.</w:t>
      </w:r>
    </w:p>
    <w:p>
      <w:pPr>
        <w:spacing w:after="0" w:line="229"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Compensation expense was measured on the date of grant using the quoted market price of our common stock and is recognized on a straight-line basis over the requisite service periods adjusted for actual forfeitures, if any.</w:t>
      </w:r>
    </w:p>
    <w:p>
      <w:pPr>
        <w:spacing w:after="0" w:line="225"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As of March 31, 2021, the unrecognized compensation expense for all of our unvested RSUs was approximately $25 million and is expected to be recognized over a weighted-average period of three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15"/>
                <w:szCs w:val="15"/>
                <w:color w:val="auto"/>
              </w:rPr>
            </w:pPr>
          </w:p>
        </w:tc>
        <w:tc>
          <w:tcPr>
            <w:tcW w:w="190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Grant-Date Fair</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1900" w:type="dxa"/>
            <w:vAlign w:val="bottom"/>
          </w:tcPr>
          <w:p>
            <w:pPr>
              <w:jc w:val="right"/>
              <w:ind w:right="394"/>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Cancelled or 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March 31, 2021 (Successor)</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7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the first quarter of 2021, we granted certain of our executives performance stock units (PSUs). PSUs are earned upon the attainment of specified 60-trading day volume weighted average prices for shares of our common stock during a three-year service period commencing on the grant date. Once units are earned, the earned units are not reduced for subsequent decreases in stock price. For the duration of the three-year period, a minimum of 0% and a maximum of 100% of the PSUs granted could be earned. Earned PSUs vest on the third anniversary of the grant date and are settled in shares of our common stock at that time.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8"/>
                <w:szCs w:val="18"/>
                <w:color w:val="auto"/>
              </w:rPr>
            </w:pPr>
          </w:p>
        </w:tc>
        <w:tc>
          <w:tcPr>
            <w:tcW w:w="19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Grant-Date Fair Value</w:t>
            </w:r>
          </w:p>
        </w:tc>
        <w:tc>
          <w:tcPr>
            <w:tcW w:w="0" w:type="dxa"/>
            <w:vAlign w:val="bottom"/>
          </w:tcPr>
          <w:p>
            <w:pPr>
              <w:spacing w:after="0"/>
              <w:rPr>
                <w:sz w:val="1"/>
                <w:szCs w:val="1"/>
                <w:color w:val="auto"/>
              </w:rPr>
            </w:pPr>
          </w:p>
        </w:tc>
      </w:tr>
      <w:tr>
        <w:trPr>
          <w:trHeight w:val="183"/>
        </w:trPr>
        <w:tc>
          <w:tcPr>
            <w:tcW w:w="7180" w:type="dxa"/>
            <w:vAlign w:val="bottom"/>
          </w:tcPr>
          <w:p>
            <w:pPr>
              <w:spacing w:after="0"/>
              <w:rPr>
                <w:sz w:val="15"/>
                <w:szCs w:val="15"/>
                <w:color w:val="auto"/>
              </w:rPr>
            </w:pPr>
          </w:p>
        </w:tc>
        <w:tc>
          <w:tcPr>
            <w:tcW w:w="1960" w:type="dxa"/>
            <w:vAlign w:val="bottom"/>
          </w:tcPr>
          <w:p>
            <w:pPr>
              <w:jc w:val="right"/>
              <w:ind w:right="434"/>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Cancelled or 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March 31, 2021 (Successor)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grant date fair value and associated equity compensation expense was measured using a Monte Carlo simulation model which runs a probabilistic assessment of the number of units that will be earned based on a projection of our stock price during the three-year service period.</w:t>
      </w:r>
    </w:p>
    <w:p>
      <w:pPr>
        <w:spacing w:after="0" w:line="229"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The range of assumptions used in the Monte Carlo simulation model for the PSUs granted during the first quarter of 2021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65.00 %</w:t>
            </w:r>
          </w:p>
        </w:tc>
      </w:tr>
      <w:tr>
        <w:trPr>
          <w:trHeight w:val="229"/>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5180" w:type="dxa"/>
            <w:vAlign w:val="bottom"/>
          </w:tcPr>
          <w:p>
            <w:pPr>
              <w:jc w:val="right"/>
              <w:spacing w:after="0"/>
              <w:rPr>
                <w:sz w:val="20"/>
                <w:szCs w:val="20"/>
                <w:color w:val="auto"/>
              </w:rPr>
            </w:pPr>
            <w:r>
              <w:rPr>
                <w:rFonts w:ascii="Arial" w:cs="Arial" w:eastAsia="Arial" w:hAnsi="Arial"/>
                <w:sz w:val="18"/>
                <w:szCs w:val="18"/>
                <w:color w:val="auto"/>
              </w:rPr>
              <w:t>0.17% - 0.32%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51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1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Expected volatility was calculated using a peer group due to our limited trading history since our emergence from bankruptcy.</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the U.S. Treasury yield for a three-year term at the grant date.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21" w:name="page22"/>
    <w:bookmarkEnd w:id="21"/>
    <w:p>
      <w:pPr>
        <w:ind w:left="340"/>
        <w:spacing w:after="0"/>
        <w:rPr>
          <w:sz w:val="20"/>
          <w:szCs w:val="20"/>
          <w:color w:val="auto"/>
        </w:rPr>
      </w:pPr>
      <w:r>
        <w:rPr>
          <w:rFonts w:ascii="Arial" w:cs="Arial" w:eastAsia="Arial" w:hAnsi="Arial"/>
          <w:sz w:val="18"/>
          <w:szCs w:val="18"/>
          <w:color w:val="auto"/>
        </w:rPr>
        <w:t>Compensation expense is recognized on a straight-line basis over the requisite service periods adjusted for actual forfeitures, if any.</w:t>
      </w:r>
    </w:p>
    <w:p>
      <w:pPr>
        <w:spacing w:after="0" w:line="252"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As of March 31, 2021, the unrecognized compensation expense for all of our unvested PSUs was approximately $16 million and is expected to be recognized over a weighted-average period of three years.</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SUBSEQUENT EVENTS</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May 2021, our Board of Directors authorized a Share Repurchase Program (SRP) to acquire up to $150 million of our common stock through March 31, 2022. The repurchases may be affected from time-to-time through open market purchases, privately negotiated transactions, Rule 10b5-1 plans, accelerated stock repurchases, derivative contracts or otherwise in compliance with Rule 10b-18, subject to market conditions. The SRP does not obligate us to repurchase any dollar amount or number of shares and our Board of Directors may modify, suspend, or discontinue authorization of the program at any time.</w:t>
      </w:r>
    </w:p>
    <w:p>
      <w:pPr>
        <w:spacing w:after="0" w:line="214"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5 Debt</w:t>
      </w:r>
      <w:r>
        <w:rPr>
          <w:rFonts w:ascii="Arial" w:cs="Arial" w:eastAsia="Arial" w:hAnsi="Arial"/>
          <w:sz w:val="18"/>
          <w:szCs w:val="18"/>
          <w:color w:val="auto"/>
        </w:rPr>
        <w:t xml:space="preserve"> for a description of lender commitments in April 2021 and a May 2021 amendment to our Revolving Credit Facility which provides flexibility on hedging requirements and increased our capacity to make certain restricted payments.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provide ample, affordable and reliable energy in a safe and responsible manner, to support and enhance the quality of life of Californians and the local communities in which we operate. We do this through the development of our broad portfolio of assets while adhering to our commitment to making value-based capital investments. Except when the context otherwise requires or where otherwise indicated, all references to ‘‘CRC,’’ the ‘‘Company,’’ ‘‘we,’’ ‘‘us’’ and ‘‘our’’ refer to California Resources Corporation and its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26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On July 15, 2020, we filed voluntary petitions for relief under Chapter 11 of Title 11 of the Bankruptcy Code (Chapter 11 Cases). On October 13, 2020, the Bankruptcy Court confirmed our joint plan of reorganization (the Plan) and we subsequently emerged from Chapter 11 on October 27, 2020 with a new Board of Directors, new equity owners and a significantly improved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qualified for and adopted fresh start accounting upon emergence from bankruptcy at which point we became a new entity for financial reporting purposes. We adopted an accounting convenience date of October 31, 2020 for the application of fresh start accounting. As a result of the application of fresh start accounting and the effects of the implementation of the Plan,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w:t>
      </w:r>
    </w:p>
    <w:p>
      <w:pPr>
        <w:spacing w:after="0" w:line="217"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2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xml:space="preserve"> in our Annual Report on Form 10-K for the year ended December 31, 2020 (2020 Annual Report) for additional information on the terms of the Plan, our emergence from bankruptcy and application of fresh start accounting.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Changes</w:t>
      </w:r>
    </w:p>
    <w:p>
      <w:pPr>
        <w:spacing w:after="0" w:line="274" w:lineRule="exact"/>
        <w:rPr>
          <w:sz w:val="20"/>
          <w:szCs w:val="20"/>
          <w:color w:val="auto"/>
        </w:rPr>
      </w:pPr>
    </w:p>
    <w:p>
      <w:pPr>
        <w:jc w:val="both"/>
        <w:ind w:right="60" w:firstLine="324"/>
        <w:spacing w:after="0" w:line="253" w:lineRule="auto"/>
        <w:rPr>
          <w:sz w:val="20"/>
          <w:szCs w:val="20"/>
          <w:color w:val="auto"/>
        </w:rPr>
      </w:pPr>
      <w:r>
        <w:rPr>
          <w:rFonts w:ascii="Arial" w:cs="Arial" w:eastAsia="Arial" w:hAnsi="Arial"/>
          <w:sz w:val="18"/>
          <w:szCs w:val="18"/>
          <w:color w:val="auto"/>
        </w:rPr>
        <w:t>In January 2021, we reduced the size of our management team and then realigned several functions in February 2021, which resulted in additional headcount and cost reductions, making progress towards our lower cost operating model. We changed our 2021 capital guidance to reallocate investments to downhole maintenance activities, which will result in an increase in estimated 2021 operating costs. As a result, we expect our sustainable cost savings in general and administrative expense and operating costs to be $80 million in 2021 as compared to 2020 levels. We believe the steps taken to date have improved our financial condition and streamlined our business.</w:t>
      </w:r>
    </w:p>
    <w:p>
      <w:pPr>
        <w:spacing w:after="0" w:line="23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connection with our emergence from bankruptcy, our Board of Directors was reconstituted in October 2020. On December 31, 2020, our former President, Chief Executive Officer and director Todd A. Stevens departed and Mark A. (Mac) McFarland was appointed as interim Chief Executive Officer in addition to his role as Chair of our Board of Directors. On March 22, 2021, the Board of Directors appointed Mr. McFarland as President and Chief Executive Officer on a permanent basis. On April 15, 2021, Tiffany (TJ) Thom Cepak replaced Mr. McFarland as the Chair of our Board of Directors. Mr. McFarland will continue to serve as a director.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Debt Transactions</w:t>
      </w:r>
    </w:p>
    <w:p>
      <w:pPr>
        <w:spacing w:after="0" w:line="274"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 xml:space="preserve">In January 2021, we completed a private offering of $600 million in aggregate principal amount of our 7.125% senior unsecured notes due 2026 (Senior Notes). The net proceeds of $588 million, after $12 million of debt issuance costs, were used to repay in full our Second Lien Term Loan and our EHP Notes, with the remaining proceeds used to pay down a portion of the outstanding borrowings under our Revolving Credit Facility. For more information on the terms of Senior Notes, refer to </w:t>
      </w:r>
      <w:r>
        <w:rPr>
          <w:rFonts w:ascii="Arial" w:cs="Arial" w:eastAsia="Arial" w:hAnsi="Arial"/>
          <w:sz w:val="18"/>
          <w:szCs w:val="18"/>
          <w:i w:val="1"/>
          <w:iCs w:val="1"/>
          <w:color w:val="auto"/>
        </w:rPr>
        <w:t>Part I, Item 1 – Financial Statements, Note 5 Debt.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In May 2021, we amended the Revolving Credit Facility to:</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borrowing base from $1.167 billion to $1.2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evidence the reduction in the aggregate commitment of lenders from $540 million to $492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capacity to make certain restricted payments;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 the minimum amount of hedges that we are required to maintain for a rolling 24 month period on reasonably anticipated forecasted crude oil production from 50% to 33% so long as our total net leverage ratio is less than 2.00:1.00; and</w:t>
      </w:r>
    </w:p>
    <w:p>
      <w:pPr>
        <w:ind w:left="660" w:right="1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maximum hedging limitation to 85% (and permit purchased puts and floors up to 100%) of reasonably anticipated total forecasted production of crude oil, natural gas and natural gas liquids for a 48-month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7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May 2021, our Board of Directors authorized a Share Repurchase Program (SRP) to acquire up to $150 million of our common stock through March 31, 2022. The repurchases may be affected from time-to-time through open market purchases, privately negotiated transactions, Rule 10b5-1 plans, accelerated stock repurchases, derivative contracts or otherwise in compliance with Rule 10b-18, subject to market conditions. The SRP does not obligate us to repurchase any dollar amount or number of shares and our Board of Directors may modify, suspend, or discontinue authorization of the program at any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74"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natural gas prices and differentials may fluctuate significantly as a result of numerous market-related variables. These and other factors make it impossible to predict realized prices reliably. We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w:t>
      </w:r>
    </w:p>
    <w:p>
      <w:pPr>
        <w:spacing w:after="0" w:line="23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Global oil prices gradually increased beginning in October 2020 through the first quarter of 2021. Benchmark prices for Brent crude oil in the first quarter of 2021 increased approximately 35% from the fourth quarter of 2020 demonstrating a strong recovery from the prior year when oil prices were negatively influenced by the Coronavirus Disease 2019 (COVID-19) pandemic. Current pricing has benefited from the gradual re-opening of the economy and the lifting of restrictions related to the COVID-19 pandemic. Further, members of Organization of Petroleum Exporting Countries (OPEC) and non-OPEC producers have restrained crude oil production attempting to reduce oil supplies built during the worst period of the pandemic.</w:t>
      </w:r>
    </w:p>
    <w:p>
      <w:pPr>
        <w:spacing w:after="0" w:line="23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presents the average daily Brent, WTI and NYMEX prices for the three months ended March 31, 2021, December 31, 2020 and March 31,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March 31,</w:t>
            </w:r>
          </w:p>
        </w:tc>
        <w:tc>
          <w:tcPr>
            <w:tcW w:w="140" w:type="dxa"/>
            <w:vAlign w:val="bottom"/>
          </w:tcPr>
          <w:p>
            <w:pPr>
              <w:spacing w:after="0"/>
              <w:rPr>
                <w:sz w:val="19"/>
                <w:szCs w:val="19"/>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December 31,</w:t>
            </w:r>
          </w:p>
        </w:tc>
        <w:tc>
          <w:tcPr>
            <w:tcW w:w="140" w:type="dxa"/>
            <w:vAlign w:val="bottom"/>
          </w:tcPr>
          <w:p>
            <w:pPr>
              <w:spacing w:after="0"/>
              <w:rPr>
                <w:sz w:val="19"/>
                <w:szCs w:val="19"/>
                <w:color w:val="auto"/>
              </w:rPr>
            </w:pPr>
          </w:p>
        </w:tc>
        <w:tc>
          <w:tcPr>
            <w:tcW w:w="192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March 31,</w:t>
            </w:r>
          </w:p>
        </w:tc>
      </w:tr>
      <w:tr>
        <w:trPr>
          <w:trHeight w:val="223"/>
        </w:trPr>
        <w:tc>
          <w:tcPr>
            <w:tcW w:w="48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57.84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46.17</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bl>
    <w:p>
      <w:pPr>
        <w:spacing w:after="0" w:line="8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Note:</w:t>
        <w:tab/>
        <w:t>Bbl refers to a barrel; MMBtu refers to one million British Thermal Units.</w:t>
      </w:r>
    </w:p>
    <w:p>
      <w:pPr>
        <w:spacing w:after="0" w:line="220" w:lineRule="exact"/>
        <w:rPr>
          <w:sz w:val="20"/>
          <w:szCs w:val="20"/>
          <w:color w:val="auto"/>
        </w:rPr>
      </w:pPr>
    </w:p>
    <w:p>
      <w:pPr>
        <w:jc w:val="both"/>
        <w:ind w:right="320" w:firstLine="324"/>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 Production and Prices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II, Item 1A – Risk Factors</w:t>
      </w:r>
      <w:r>
        <w:rPr>
          <w:rFonts w:ascii="Arial" w:cs="Arial" w:eastAsia="Arial" w:hAnsi="Arial"/>
          <w:sz w:val="18"/>
          <w:szCs w:val="18"/>
          <w:color w:val="auto"/>
        </w:rPr>
        <w:t xml:space="preserve"> in our 2020 Annual Report for further discussion regarding the impact of the pandemic and declines in commodity prices.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7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Certain actions of the new U.S. administration could impact the oil and gas industry. Such actions may include, among other things, the increased regulation of greenhouse gas emissions associated with oil and gas operations, the imposition of a new carbon tax on greenhouse gas emissions and replacing tax incentives related to fossil fuel with incentives for clean energy production. Such outcomes could materially and adversely affect our business, results of operations and financial condition.</w:t>
      </w:r>
    </w:p>
    <w:p>
      <w:pPr>
        <w:spacing w:after="0" w:line="231" w:lineRule="exact"/>
        <w:rPr>
          <w:sz w:val="20"/>
          <w:szCs w:val="20"/>
          <w:color w:val="auto"/>
        </w:rPr>
      </w:pPr>
    </w:p>
    <w:p>
      <w:pPr>
        <w:ind w:right="200" w:firstLine="324"/>
        <w:spacing w:after="0" w:line="269" w:lineRule="auto"/>
        <w:rPr>
          <w:sz w:val="20"/>
          <w:szCs w:val="20"/>
          <w:color w:val="auto"/>
        </w:rPr>
      </w:pPr>
      <w:r>
        <w:rPr>
          <w:rFonts w:ascii="Arial" w:cs="Arial" w:eastAsia="Arial" w:hAnsi="Arial"/>
          <w:sz w:val="17"/>
          <w:szCs w:val="17"/>
          <w:color w:val="auto"/>
        </w:rPr>
        <w:t>On April 23, 2021, Governor Gavin Newsom signed an executive order directing the California Department of Conservation’s Geologic Energy Management Division to initiate a rulemaking to end the issuance of new permits for well stimulation treatments by January 1, 2024 and instructed the California Air Resources Board to evaluate methods of phasing out oil extraction across the state by 2045. This marks a reversal from the governor’s previous statements that he lacked the executive authority to ban hydraulic fracturing, and any decision to prohibit the extraction of oil would likely be subject to significant opposition and legal challenge. Regardless of whether or not such a ban is upheld, we expect little to no impact on future development activities because we are not dependent on well stimulation treatments. Less than 1% of our proved reserves require well stimulation and our current long-term development plans do not include well stimulation.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the largest privately held oil and natural gas mineral acreage position in California, consisting of 2.1 million net mineral acres spanning four of California's major oil and natural gas basins. We conduct our operations on properties that we hold through fee interests, mineral leases and other contractual arrangements. Approximately 65% of our mineral acreage is held in fee and the remainder is leased. Of our leased acreage, approximately 50% is held by production and the remainder is subject to lease expiration if initial producing wells are not drilled within a specified period of time. The primary terms of our leases range from one to ten years. The terms of these leases are typically extended upon achieving commercial production for so long as such production is maintained.</w:t>
      </w:r>
    </w:p>
    <w:p>
      <w:pPr>
        <w:spacing w:after="0" w:line="23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a result of our large mineral acre position held in fee, we generally have the flexibility to shut-in wells in response to a low commodity price environment while retaining our oil and gas leases which are held by production. With our significant land holdings in California, we have undertaken initiatives to obtain additional value from our surface acreage, including pursuing renewable energy opportunities.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also own or control a network of integrated infrastructure that complements our operations including gas processing plants, oil and gas gathering systems, power plants and other related assets. Our strategically located infrastructure helps us maximize the value generated from our production. Beyond our essential role in supplying Californians with oil, natural gas, NGLs and electricity, our 2030 Sustainability Goal for carbon is to design and permit California’s first carbon capture and sequestration system by mid-decade which is expected to reduce carbon emissions associated with our operations and significantly extend the productive life of our Elk Hills field.</w:t>
      </w:r>
    </w:p>
    <w:p>
      <w:pPr>
        <w:spacing w:after="0" w:line="23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contracts represented approximately 16% of our net production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5" w:name="page26"/>
    <w:bookmarkEnd w:id="25"/>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and general and administrative costs but only our net share of production equally inflates our oil, natural gas and NGL sales revenue, general and administrative expenses and operating costs but has no effect on our net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Arrangements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large and geographically diverse portfolio of assets that generate the following revenue streams:</w:t>
      </w:r>
    </w:p>
    <w:p>
      <w:pPr>
        <w:spacing w:after="0" w:line="23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We sell almost all of our crude oil into the California refining markets, which offer favorable pricing for comparable grades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to other U.S. regions. Substantially all of our crude oil production is connected to third-party pipelines and California refining markets via our gathering systems. We do not refine or process the crude oil we produce and do not have any significant long-term transportation arrangements.</w:t>
      </w:r>
    </w:p>
    <w:p>
      <w:pPr>
        <w:spacing w:after="0" w:line="22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Although California state policies actively promote and subsidize renewable energy, the demand for oil and natural gas in California remains strong. California is heavily reliant on imported sources of energy, with approximately 70% of oil and 90% of natural gas consumed in 2019 imported from outside the state. Nearly all of the imported oil arrives via supertanker, mostly from foreign locations. As a result, California refiners have typically purchased crude oil at international waterborne-based Brent prices. We believe that the limited crude transportation infrastructure from other parts of the U.S. into California will continue to contribute to higher realizations than most other U.S. oil markets for comparable grades.</w:t>
      </w:r>
    </w:p>
    <w:p>
      <w:pPr>
        <w:spacing w:after="0" w:line="2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not used in our operations into the California markets on a daily basis at average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index pricing. Natural gas prices and differentials are strongly affected by local market fundamentals, such as storage capacity and the availability of transportation capacity in the market and producing areas. Transportation capacity influences prices because California imports more than 90% of its natural gas from other states and Canada. As a result, we typically enjoy higher netback pricing relative to out-of-state producers due to lower transportation costs on the delivery of our natural gas. Changes in natural gas prices have a smaller impact on our operating results than changes in oil prices as only approximately 25% of our total equivalent production volume and approximately 11% of our revenue from oil, natural gas and NGL sales are from natural gas.</w:t>
      </w:r>
    </w:p>
    <w:p>
      <w:pPr>
        <w:spacing w:after="0" w:line="234" w:lineRule="exact"/>
        <w:rPr>
          <w:sz w:val="20"/>
          <w:szCs w:val="20"/>
          <w:color w:val="auto"/>
        </w:rPr>
      </w:pPr>
    </w:p>
    <w:p>
      <w:pPr>
        <w:jc w:val="both"/>
        <w:ind w:right="100" w:firstLine="324"/>
        <w:spacing w:after="0" w:line="254" w:lineRule="auto"/>
        <w:rPr>
          <w:sz w:val="20"/>
          <w:szCs w:val="20"/>
          <w:color w:val="auto"/>
        </w:rPr>
      </w:pPr>
      <w:r>
        <w:rPr>
          <w:rFonts w:ascii="Arial" w:cs="Arial" w:eastAsia="Arial" w:hAnsi="Arial"/>
          <w:sz w:val="18"/>
          <w:szCs w:val="18"/>
          <w:color w:val="auto"/>
        </w:rPr>
        <w:t>In addition to selling our produced natural gas, we also purchase natural gas for use in steam generation for our steamfloods and power generation. The positive impact of higher natural gas prices is partially offset by higher operating costs of our steamflood projects and power generation, but higher prices still have a net positive effect on our operating results due to more volumes sold than used. Conversely, lower natural gas prices lower our operating costs but have a net negative effect on our financial results.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transportation capacity contracts to transport the majority of our natural gas volumes until September 2023.</w:t>
      </w:r>
    </w:p>
    <w:p>
      <w:pPr>
        <w:spacing w:after="0" w:line="234" w:lineRule="exact"/>
        <w:rPr>
          <w:sz w:val="20"/>
          <w:szCs w:val="20"/>
          <w:color w:val="auto"/>
        </w:rPr>
      </w:pPr>
    </w:p>
    <w:p>
      <w:pPr>
        <w:ind w:right="320" w:firstLine="324"/>
        <w:spacing w:after="0" w:line="289" w:lineRule="auto"/>
        <w:rPr>
          <w:sz w:val="20"/>
          <w:szCs w:val="20"/>
          <w:color w:val="auto"/>
        </w:rPr>
      </w:pPr>
      <w:r>
        <w:rPr>
          <w:rFonts w:ascii="Arial" w:cs="Arial" w:eastAsia="Arial" w:hAnsi="Arial"/>
          <w:sz w:val="17"/>
          <w:szCs w:val="17"/>
          <w:i w:val="1"/>
          <w:iCs w:val="1"/>
          <w:color w:val="auto"/>
        </w:rPr>
        <w:t xml:space="preserve">Natural Gas Liquid (NGL) </w:t>
      </w:r>
      <w:r>
        <w:rPr>
          <w:rFonts w:ascii="Arial" w:cs="Arial" w:eastAsia="Arial" w:hAnsi="Arial"/>
          <w:sz w:val="17"/>
          <w:szCs w:val="17"/>
          <w:color w:val="auto"/>
        </w:rPr>
        <w:t>— NGL price realizations are related to the supply and demand for the products making up these liquids.</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them more typically correlate to the price of oil while others are affected by natural gas prices as well as the demand for certain chemical products for which they are used as feedstock. In addition, infrastructure constraints and seasonality can magnify price volatility.</w:t>
      </w:r>
    </w:p>
    <w:p>
      <w:pPr>
        <w:spacing w:after="0" w:line="20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earnings are also affected by the performance of our complementary natural gas-processing plants. We process our wet gas to extract NGLs and other natural gas byproducts. We then deliver dry gas to pipelines and separately sell the NGLs. The efficiency with which we extract liquids from the wet gas stream affects our operating results. Our natural gas-processing plants also facilitate access to third-party delivery points near the Elk Hills field.</w:t>
      </w:r>
    </w:p>
    <w:p>
      <w:pPr>
        <w:spacing w:after="0" w:line="231" w:lineRule="exact"/>
        <w:rPr>
          <w:sz w:val="20"/>
          <w:szCs w:val="20"/>
          <w:color w:val="auto"/>
        </w:rPr>
      </w:pPr>
    </w:p>
    <w:p>
      <w:pPr>
        <w:jc w:val="both"/>
        <w:ind w:right="100" w:firstLine="324"/>
        <w:spacing w:after="0" w:line="254" w:lineRule="auto"/>
        <w:rPr>
          <w:sz w:val="20"/>
          <w:szCs w:val="20"/>
          <w:color w:val="auto"/>
        </w:rPr>
      </w:pPr>
      <w:r>
        <w:rPr>
          <w:rFonts w:ascii="Arial" w:cs="Arial" w:eastAsia="Arial" w:hAnsi="Arial"/>
          <w:sz w:val="18"/>
          <w:szCs w:val="18"/>
          <w:color w:val="auto"/>
        </w:rPr>
        <w:t>We currently have a pipeline delivery contract to transport 6,500 barrels per day of NGLs to market through March 2023. Our contract to deliver NGLs requires us to cash settle any shortfall between the committed quantities and volumes actually shipped. We have thus far met all of our shipping commitments under this contract. We sell virtually all of our NGLs using index-based pricing. Our NGLs are generally sold pursuant to contracts that are renewed annually. Approximately 30% of our NGLs are sold to export markets.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right="200" w:firstLine="324"/>
        <w:spacing w:after="0" w:line="258"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Part of the electrical output from the Elk Hills power plant is used by Elk Hills and other nearby fields, which reduces field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and provides a reliable source of power. We sell the excess electricity generated to a local utility, other third parties and the grid. The power sold to the utility is subject to an agreement through the end of 2023, which includes a monthly capacity payment plus a variable payment based on the quantity of power purchased each month. Any excess capacity not sold to other third parties is sold to the wholesale power market. The prices obtained for excess power impact our earnings but generally by a relatively small amount.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274"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Our hedging strategy seeks to mitigate our exposure to commodity price volatility and ensure our financial strength and liquidity by protecting our cash flows.</w:t>
      </w:r>
    </w:p>
    <w:p>
      <w:pPr>
        <w:spacing w:after="0" w:line="22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Revolving Credit Facility requires us to maintain hedges on a minimum amount of crude oil production, determined semi-annually, of no less than (i) 75% of our reasonably anticipated oil production from our proved reserves for the first 24 months after the closing of the Revolving Credit Facility, which occurred on the Effective Date, and (ii) 50% of our reasonably anticipated oil production from our proved reserves for a period from the 25th month through the 36th month after the same date. The Revolving Credit Facility specifies the forms of hedges and prices (which can be prevailing prices) that must be used for a portion of those hedges.</w:t>
      </w:r>
    </w:p>
    <w:p>
      <w:pPr>
        <w:spacing w:after="0" w:line="23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must also maintain acceptable commodity hedges for no less than 50% of the reasonably anticipated oil production from our proved reserves for at least 24 months following the date of delivery of each reserve report if our leverage ratio is greater than 2.00:1.00. If our leverage ratio is less than 2.00:1.00, then the minimum amount of hedges that we are required to maintain is reduced from 50% to 33%. Currently, we may not hedge more than 85% of reasonably anticipated total forecasted production of crude oil, natural gas and natural gas liquids from our oil and gas properties for a 48-month period.</w:t>
      </w:r>
    </w:p>
    <w:p>
      <w:pPr>
        <w:spacing w:after="0" w:line="23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In the three months ended March 31, 2021, we added hedges on one million barrels of production for the period from April 2021 to March 2022 at a weighted-average Brent price of approximately $61 per barrel.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below for a current table summarizing our outstanding derivative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The measures taken to address the industry downturn in the prior year demonstrate that we can significantly reduce our operating costs in response to prevailing market conditions. We further believe that a significant portion of our operating costs are variable over the lifecycle of our fields. We actively manage our fields to optimize production and minimize costs in a safe and responsible manner throughout their lifecycles.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Production and Prices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average net production volumes of oil, NGLs and natural gas per day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23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21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23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6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64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640" w:type="dxa"/>
            <w:vAlign w:val="bottom"/>
          </w:tcPr>
          <w:p>
            <w:pPr>
              <w:ind w:left="520"/>
              <w:spacing w:after="0"/>
              <w:rPr>
                <w:sz w:val="20"/>
                <w:szCs w:val="20"/>
                <w:color w:val="auto"/>
              </w:rPr>
            </w:pPr>
            <w:r>
              <w:rPr>
                <w:rFonts w:ascii="Arial" w:cs="Arial" w:eastAsia="Arial" w:hAnsi="Arial"/>
                <w:sz w:val="18"/>
                <w:szCs w:val="18"/>
                <w:color w:val="auto"/>
              </w:rPr>
              <w:t>Total</w:t>
            </w:r>
          </w:p>
        </w:tc>
        <w:tc>
          <w:tcPr>
            <w:tcW w:w="21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21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23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520"/>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(MMcf/d)</w:t>
            </w:r>
          </w:p>
        </w:tc>
        <w:tc>
          <w:tcPr>
            <w:tcW w:w="21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216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 Angeles Basin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40" w:type="dxa"/>
            <w:vAlign w:val="bottom"/>
          </w:tcPr>
          <w:p>
            <w:pPr>
              <w:ind w:left="320"/>
              <w:spacing w:after="0"/>
              <w:rPr>
                <w:sz w:val="20"/>
                <w:szCs w:val="20"/>
                <w:color w:val="auto"/>
              </w:rPr>
            </w:pPr>
            <w:r>
              <w:rPr>
                <w:rFonts w:ascii="Arial" w:cs="Arial" w:eastAsia="Arial" w:hAnsi="Arial"/>
                <w:sz w:val="18"/>
                <w:szCs w:val="18"/>
                <w:color w:val="auto"/>
              </w:rPr>
              <w:t>Ventura Basin</w:t>
            </w: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Sacramento Basin</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640" w:type="dxa"/>
            <w:vAlign w:val="bottom"/>
          </w:tcPr>
          <w:p>
            <w:pPr>
              <w:ind w:left="520"/>
              <w:spacing w:after="0"/>
              <w:rPr>
                <w:sz w:val="20"/>
                <w:szCs w:val="20"/>
                <w:color w:val="auto"/>
              </w:rPr>
            </w:pPr>
            <w:r>
              <w:rPr>
                <w:rFonts w:ascii="Arial" w:cs="Arial" w:eastAsia="Arial" w:hAnsi="Arial"/>
                <w:sz w:val="18"/>
                <w:szCs w:val="18"/>
                <w:color w:val="auto"/>
              </w:rPr>
              <w:t>Total</w:t>
            </w:r>
          </w:p>
        </w:tc>
        <w:tc>
          <w:tcPr>
            <w:tcW w:w="216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120" w:hanging="485"/>
        <w:spacing w:after="0" w:line="249" w:lineRule="auto"/>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2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the three months ended March 31, 2021 compared to the same period in 2020, total daily production decreased by approximately 22 MBoe/d or 18%. The decrease in production largely resulted from limited drilling and capital investment during the prior 12 months. Our average drilling rigs decreased from 7 in the three months ended March 31, 2020 to 1 rig in the three months ended March 31, 2021. In addition, production was also negatively impacted by 1 MBoe/d in the first quarter of 2021 compared to 2020 due to downtime at one of our gas processing plants. Our PSC-type contracts negatively impacted our oil production in the first quarter of 2021 by approximately 3 MBoe/d compared to the same period in 2020. Our total daily production decreased by approximately 15% compared to the same period in 2020 after excluding the impact of PSC-type contracts and unscheduled downtime at one of our natural gas processing plants.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ind w:right="200" w:firstLine="324"/>
        <w:spacing w:after="0" w:line="261"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months ended March 31,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7"/>
                <w:szCs w:val="17"/>
                <w:b w:val="1"/>
                <w:bCs w:val="1"/>
                <w:color w:val="auto"/>
                <w:w w:val="99"/>
              </w:rPr>
              <w:t>Successor</w:t>
            </w:r>
          </w:p>
        </w:tc>
        <w:tc>
          <w:tcPr>
            <w:tcW w:w="13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center"/>
              <w:ind w:right="1055"/>
              <w:spacing w:after="0"/>
              <w:rPr>
                <w:sz w:val="20"/>
                <w:szCs w:val="20"/>
                <w:color w:val="auto"/>
              </w:rPr>
            </w:pPr>
            <w:r>
              <w:rPr>
                <w:rFonts w:ascii="Arial" w:cs="Arial" w:eastAsia="Arial" w:hAnsi="Arial"/>
                <w:sz w:val="17"/>
                <w:szCs w:val="17"/>
                <w:b w:val="1"/>
                <w:bCs w:val="1"/>
                <w:color w:val="auto"/>
                <w:w w:val="99"/>
              </w:rPr>
              <w:t>Predecessor</w:t>
            </w:r>
          </w:p>
        </w:tc>
      </w:tr>
      <w:tr>
        <w:trPr>
          <w:trHeight w:val="209"/>
        </w:trPr>
        <w:tc>
          <w:tcPr>
            <w:tcW w:w="4000" w:type="dxa"/>
            <w:vAlign w:val="bottom"/>
          </w:tcPr>
          <w:p>
            <w:pPr>
              <w:spacing w:after="0"/>
              <w:rPr>
                <w:sz w:val="18"/>
                <w:szCs w:val="18"/>
                <w:color w:val="auto"/>
              </w:rPr>
            </w:pPr>
          </w:p>
        </w:tc>
        <w:tc>
          <w:tcPr>
            <w:tcW w:w="34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Three months ended March 31,</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9"/>
              </w:rPr>
              <w:t>Three months ended March 31,</w:t>
            </w:r>
          </w:p>
        </w:tc>
      </w:tr>
      <w:tr>
        <w:trPr>
          <w:trHeight w:val="209"/>
        </w:trPr>
        <w:tc>
          <w:tcPr>
            <w:tcW w:w="40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7"/>
                <w:szCs w:val="17"/>
                <w:b w:val="1"/>
                <w:bCs w:val="1"/>
                <w:color w:val="auto"/>
              </w:rPr>
              <w:t>2021</w:t>
            </w:r>
          </w:p>
        </w:tc>
        <w:tc>
          <w:tcPr>
            <w:tcW w:w="13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center"/>
              <w:ind w:left="195"/>
              <w:spacing w:after="0"/>
              <w:rPr>
                <w:sz w:val="20"/>
                <w:szCs w:val="20"/>
                <w:color w:val="auto"/>
              </w:rPr>
            </w:pPr>
            <w:r>
              <w:rPr>
                <w:rFonts w:ascii="Arial" w:cs="Arial" w:eastAsia="Arial" w:hAnsi="Arial"/>
                <w:sz w:val="17"/>
                <w:szCs w:val="17"/>
                <w:b w:val="1"/>
                <w:bCs w:val="1"/>
                <w:color w:val="auto"/>
              </w:rPr>
              <w:t>2020</w:t>
            </w:r>
          </w:p>
        </w:tc>
        <w:tc>
          <w:tcPr>
            <w:tcW w:w="1420" w:type="dxa"/>
            <w:vAlign w:val="bottom"/>
            <w:tcBorders>
              <w:bottom w:val="single" w:sz="8" w:color="auto"/>
            </w:tcBorders>
          </w:tcPr>
          <w:p>
            <w:pPr>
              <w:spacing w:after="0"/>
              <w:rPr>
                <w:sz w:val="18"/>
                <w:szCs w:val="18"/>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Realization</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Realization</w:t>
            </w:r>
          </w:p>
        </w:tc>
      </w:tr>
      <w:tr>
        <w:trPr>
          <w:trHeight w:val="19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Brent</w:t>
            </w:r>
          </w:p>
        </w:tc>
        <w:tc>
          <w:tcPr>
            <w:tcW w:w="1120" w:type="dxa"/>
            <w:vAlign w:val="bottom"/>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61.10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50.96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1120" w:type="dxa"/>
            <w:vAlign w:val="bottom"/>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60.81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100%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50.78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100%</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1120" w:type="dxa"/>
            <w:vAlign w:val="bottom"/>
            <w:tcBorders>
              <w:bottom w:val="single" w:sz="8" w:color="auto"/>
            </w:tcBorders>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75"/>
              <w:spacing w:after="0"/>
              <w:rPr>
                <w:sz w:val="20"/>
                <w:szCs w:val="20"/>
                <w:color w:val="auto"/>
              </w:rPr>
            </w:pPr>
            <w:r>
              <w:rPr>
                <w:rFonts w:ascii="Arial" w:cs="Arial" w:eastAsia="Arial" w:hAnsi="Arial"/>
                <w:sz w:val="17"/>
                <w:szCs w:val="17"/>
                <w:color w:val="auto"/>
                <w:w w:val="99"/>
              </w:rPr>
              <w:t>88%</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109%</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WTI</w:t>
            </w:r>
          </w:p>
        </w:tc>
        <w:tc>
          <w:tcPr>
            <w:tcW w:w="1120" w:type="dxa"/>
            <w:vAlign w:val="bottom"/>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57.84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46.17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95"/>
              <w:spacing w:after="0"/>
              <w:rPr>
                <w:sz w:val="20"/>
                <w:szCs w:val="20"/>
                <w:color w:val="auto"/>
              </w:rPr>
            </w:pPr>
            <w:r>
              <w:rPr>
                <w:rFonts w:ascii="Arial" w:cs="Arial" w:eastAsia="Arial" w:hAnsi="Arial"/>
                <w:sz w:val="17"/>
                <w:szCs w:val="17"/>
                <w:color w:val="auto"/>
              </w:rPr>
              <w:t>105%</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110%</w:t>
            </w: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1120" w:type="dxa"/>
            <w:vAlign w:val="bottom"/>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75"/>
              <w:spacing w:after="0"/>
              <w:rPr>
                <w:sz w:val="20"/>
                <w:szCs w:val="20"/>
                <w:color w:val="auto"/>
              </w:rPr>
            </w:pPr>
            <w:r>
              <w:rPr>
                <w:rFonts w:ascii="Arial" w:cs="Arial" w:eastAsia="Arial" w:hAnsi="Arial"/>
                <w:sz w:val="17"/>
                <w:szCs w:val="17"/>
                <w:color w:val="auto"/>
                <w:w w:val="99"/>
              </w:rPr>
              <w:t>93%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55.50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120%</w:t>
            </w:r>
          </w:p>
        </w:tc>
      </w:tr>
      <w:tr>
        <w:trPr>
          <w:trHeight w:val="218"/>
        </w:trPr>
        <w:tc>
          <w:tcPr>
            <w:tcW w:w="4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NGLs ($ per Bbl)</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Brent)</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75"/>
              <w:spacing w:after="0"/>
              <w:rPr>
                <w:sz w:val="20"/>
                <w:szCs w:val="20"/>
                <w:color w:val="auto"/>
              </w:rPr>
            </w:pPr>
            <w:r>
              <w:rPr>
                <w:rFonts w:ascii="Arial" w:cs="Arial" w:eastAsia="Arial" w:hAnsi="Arial"/>
                <w:sz w:val="17"/>
                <w:szCs w:val="17"/>
                <w:color w:val="auto"/>
                <w:w w:val="99"/>
              </w:rPr>
              <w:t>80%</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57%</w:t>
            </w: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 of WTI)</w:t>
            </w:r>
          </w:p>
        </w:tc>
        <w:tc>
          <w:tcPr>
            <w:tcW w:w="1120" w:type="dxa"/>
            <w:vAlign w:val="bottom"/>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48.77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75"/>
              <w:spacing w:after="0"/>
              <w:rPr>
                <w:sz w:val="20"/>
                <w:szCs w:val="20"/>
                <w:color w:val="auto"/>
              </w:rPr>
            </w:pPr>
            <w:r>
              <w:rPr>
                <w:rFonts w:ascii="Arial" w:cs="Arial" w:eastAsia="Arial" w:hAnsi="Arial"/>
                <w:sz w:val="17"/>
                <w:szCs w:val="17"/>
                <w:color w:val="auto"/>
                <w:w w:val="99"/>
              </w:rPr>
              <w:t>84%</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29.28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63%</w:t>
            </w:r>
          </w:p>
        </w:tc>
      </w:tr>
      <w:tr>
        <w:trPr>
          <w:trHeight w:val="218"/>
        </w:trPr>
        <w:tc>
          <w:tcPr>
            <w:tcW w:w="4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Natural gas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 ($/MMBtu)</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 ($/Mcf)</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95"/>
              <w:spacing w:after="0"/>
              <w:rPr>
                <w:sz w:val="20"/>
                <w:szCs w:val="20"/>
                <w:color w:val="auto"/>
              </w:rPr>
            </w:pPr>
            <w:r>
              <w:rPr>
                <w:rFonts w:ascii="Arial" w:cs="Arial" w:eastAsia="Arial" w:hAnsi="Arial"/>
                <w:sz w:val="17"/>
                <w:szCs w:val="17"/>
                <w:color w:val="auto"/>
              </w:rPr>
              <w:t>121%</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110%</w:t>
            </w:r>
          </w:p>
        </w:tc>
      </w:tr>
      <w:tr>
        <w:trPr>
          <w:trHeight w:val="21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Settled hedges</w:t>
            </w: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hedge ($/Mcf)</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ind w:right="295"/>
              <w:spacing w:after="0"/>
              <w:rPr>
                <w:sz w:val="20"/>
                <w:szCs w:val="20"/>
                <w:color w:val="auto"/>
              </w:rPr>
            </w:pPr>
            <w:r>
              <w:rPr>
                <w:rFonts w:ascii="Arial" w:cs="Arial" w:eastAsia="Arial" w:hAnsi="Arial"/>
                <w:sz w:val="17"/>
                <w:szCs w:val="17"/>
                <w:color w:val="auto"/>
              </w:rPr>
              <w:t>119%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rPr>
              <w:t>115%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346"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index and realized prices without hedge settlements were higher in the three months ended March 31,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prior-year period due to a recovery in oil demand from the severe demand decline caused by COVID-19 in 2020. Prices collapsed in March 2020 at the beginning of the pandemic and have since improved as a result of easing restrictions and the significant production curtailments by OPEC members and Russia. Further, most producers in other nations also curtailed production and significantly reduced their capital investments in response to COVID-19 in 2020, which continued into 2021.</w:t>
      </w:r>
    </w:p>
    <w:p>
      <w:pPr>
        <w:spacing w:after="0" w:line="212"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increased for the three months ended March 31, 2021 compared to the same period in 2020 as supply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outpaced demand, causing lower NGL prices in the first quarter of 2020. In the first quarter of 2021, producers continued to curtail production and the tighter supply resulted in higher benchmark prices and price realizations as compared to the same prior year period.</w:t>
      </w:r>
    </w:p>
    <w:p>
      <w:pPr>
        <w:spacing w:after="0" w:line="203" w:lineRule="exact"/>
        <w:rPr>
          <w:sz w:val="20"/>
          <w:szCs w:val="20"/>
          <w:color w:val="auto"/>
        </w:rPr>
      </w:pPr>
    </w:p>
    <w:p>
      <w:pPr>
        <w:jc w:val="both"/>
        <w:ind w:right="240" w:firstLine="324"/>
        <w:spacing w:after="0" w:line="266"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Our natural gas realized prices were higher in the three months ended March 31, 2021 than the comparable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due to increased natural gas demand in the nationwide markets. This was a significant change from the first quarter of 2020 in which demand decreased as a result of shelter-in-place orders related to COVID-19.</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74" w:lineRule="exact"/>
        <w:rPr>
          <w:sz w:val="20"/>
          <w:szCs w:val="20"/>
          <w:color w:val="auto"/>
        </w:rPr>
      </w:pPr>
    </w:p>
    <w:p>
      <w:pPr>
        <w:ind w:right="380" w:firstLine="324"/>
        <w:spacing w:after="0" w:line="253" w:lineRule="auto"/>
        <w:rPr>
          <w:sz w:val="20"/>
          <w:szCs w:val="20"/>
          <w:color w:val="auto"/>
        </w:rPr>
      </w:pPr>
      <w:r>
        <w:rPr>
          <w:rFonts w:ascii="Arial" w:cs="Arial" w:eastAsia="Arial" w:hAnsi="Arial"/>
          <w:sz w:val="18"/>
          <w:szCs w:val="18"/>
          <w:color w:val="auto"/>
        </w:rPr>
        <w:t>We adopted an accounting convenience date of October 31, 2020 for the application of fresh start accounting. As a result of the application of fresh start accounting and the implementation of the Plan, our results of operations for the Successor period may not be comparable with that of the Predecessor period.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7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on a per Boe basis for the three months ended March 31,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6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rPr>
              <w:t>Three months ended</w:t>
            </w:r>
          </w:p>
        </w:tc>
      </w:tr>
      <w:tr>
        <w:trPr>
          <w:trHeight w:val="229"/>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March 31,</w:t>
            </w:r>
          </w:p>
        </w:tc>
      </w:tr>
      <w:tr>
        <w:trPr>
          <w:trHeight w:val="223"/>
        </w:trPr>
        <w:tc>
          <w:tcPr>
            <w:tcW w:w="64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6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Energy operating costs</w:t>
            </w:r>
            <w:r>
              <w:rPr>
                <w:rFonts w:ascii="Arial" w:cs="Arial" w:eastAsia="Arial" w:hAnsi="Arial"/>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29"/>
        </w:trPr>
        <w:tc>
          <w:tcPr>
            <w:tcW w:w="6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Non-energy operating costs</w:t>
            </w:r>
            <w:r>
              <w:rPr>
                <w:rFonts w:ascii="Arial" w:cs="Arial" w:eastAsia="Arial" w:hAnsi="Arial"/>
                <w:sz w:val="23"/>
                <w:szCs w:val="23"/>
                <w:color w:val="auto"/>
                <w:vertAlign w:val="superscript"/>
              </w:rPr>
              <w:t>(b)</w:t>
            </w:r>
          </w:p>
        </w:tc>
        <w:tc>
          <w:tcPr>
            <w:tcW w:w="1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line="230" w:lineRule="exact"/>
              <w:rPr>
                <w:sz w:val="20"/>
                <w:szCs w:val="20"/>
                <w:color w:val="auto"/>
              </w:rPr>
            </w:pPr>
            <w:r>
              <w:rPr>
                <w:rFonts w:ascii="Arial" w:cs="Arial" w:eastAsia="Arial" w:hAnsi="Arial"/>
                <w:sz w:val="18"/>
                <w:szCs w:val="18"/>
                <w:color w:val="auto"/>
              </w:rPr>
              <w:t>Operating costs, excluding effects of PSC-type contracts</w:t>
            </w:r>
            <w:r>
              <w:rPr>
                <w:rFonts w:ascii="Arial" w:cs="Arial" w:eastAsia="Arial" w:hAnsi="Arial"/>
                <w:sz w:val="23"/>
                <w:szCs w:val="23"/>
                <w:color w:val="auto"/>
                <w:vertAlign w:val="superscript"/>
              </w:rPr>
              <w:t>(c)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16.48</w:t>
            </w:r>
          </w:p>
        </w:tc>
      </w:tr>
      <w:tr>
        <w:trPr>
          <w:trHeight w:val="229"/>
        </w:trPr>
        <w:tc>
          <w:tcPr>
            <w:tcW w:w="6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(d)(e)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29"/>
        </w:trPr>
        <w:tc>
          <w:tcPr>
            <w:tcW w:w="6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taxes other than on income</w:t>
            </w:r>
            <w:r>
              <w:rPr>
                <w:rFonts w:ascii="Arial" w:cs="Arial" w:eastAsia="Arial" w:hAnsi="Arial"/>
                <w:sz w:val="23"/>
                <w:szCs w:val="23"/>
                <w:color w:val="auto"/>
                <w:vertAlign w:val="superscript"/>
              </w:rPr>
              <w:t>(d)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bl>
    <w:p>
      <w:pPr>
        <w:spacing w:after="0" w:line="86" w:lineRule="exact"/>
        <w:rPr>
          <w:sz w:val="20"/>
          <w:szCs w:val="20"/>
          <w:color w:val="auto"/>
        </w:rPr>
      </w:pP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Energy operating costs include purchases of fuel gas and electricity used in our operations and internal costs to produce electricity used in our fields.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Non-energy operating costs equal total operating costs less energy operating costs and gas processing costs.</w:t>
      </w:r>
    </w:p>
    <w:p>
      <w:pPr>
        <w:spacing w:after="0" w:line="1" w:lineRule="exact"/>
        <w:rPr>
          <w:rFonts w:ascii="Arial" w:cs="Arial" w:eastAsia="Arial" w:hAnsi="Arial"/>
          <w:sz w:val="14"/>
          <w:szCs w:val="14"/>
          <w:color w:val="auto"/>
        </w:rPr>
      </w:pPr>
    </w:p>
    <w:p>
      <w:pPr>
        <w:ind w:left="500" w:right="140" w:hanging="330"/>
        <w:spacing w:after="0" w:line="241"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operating costs, which are for the full field, and reported volumes, which are only our net share, inflating the per barrel operating costs. These amounts represent our operating costs after adjusting for this difference.</w:t>
      </w: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corporate expenses.</w:t>
      </w:r>
    </w:p>
    <w:p>
      <w:pPr>
        <w:spacing w:after="0" w:line="1" w:lineRule="exact"/>
        <w:rPr>
          <w:rFonts w:ascii="Arial" w:cs="Arial" w:eastAsia="Arial" w:hAnsi="Arial"/>
          <w:sz w:val="14"/>
          <w:szCs w:val="14"/>
          <w:color w:val="auto"/>
        </w:rPr>
      </w:pPr>
    </w:p>
    <w:p>
      <w:pPr>
        <w:ind w:left="500" w:right="280" w:hanging="330"/>
        <w:spacing w:after="0" w:line="253"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Field depreciation, depletion and amortization decreased in the three months ended March 31, 2021 from the same period in 2020 primarily due to a decrease in the carrying value of our property, plant and equipment as a result of fair value adjustments recorded as part of fresh start accounting. See </w:t>
      </w:r>
      <w:r>
        <w:rPr>
          <w:rFonts w:ascii="Arial" w:cs="Arial" w:eastAsia="Arial" w:hAnsi="Arial"/>
          <w:sz w:val="14"/>
          <w:szCs w:val="14"/>
          <w:i w:val="1"/>
          <w:iCs w:val="1"/>
          <w:color w:val="auto"/>
        </w:rPr>
        <w:t>Part II, Item 8 –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Statements and Supplementary Data, Note 3 Fresh Start Accounting </w:t>
      </w:r>
      <w:r>
        <w:rPr>
          <w:rFonts w:ascii="Arial" w:cs="Arial" w:eastAsia="Arial" w:hAnsi="Arial"/>
          <w:sz w:val="14"/>
          <w:szCs w:val="14"/>
          <w:color w:val="auto"/>
        </w:rPr>
        <w:t>in our 2020 Annual Report for additional information on the fresh start valuation of our property,</w:t>
      </w:r>
      <w:r>
        <w:rPr>
          <w:rFonts w:ascii="Arial" w:cs="Arial" w:eastAsia="Arial" w:hAnsi="Arial"/>
          <w:sz w:val="14"/>
          <w:szCs w:val="14"/>
          <w:i w:val="1"/>
          <w:iCs w:val="1"/>
          <w:color w:val="auto"/>
        </w:rPr>
        <w:t xml:space="preserve"> </w:t>
      </w:r>
      <w:r>
        <w:rPr>
          <w:rFonts w:ascii="Arial" w:cs="Arial" w:eastAsia="Arial" w:hAnsi="Arial"/>
          <w:sz w:val="14"/>
          <w:szCs w:val="14"/>
          <w:color w:val="auto"/>
        </w:rPr>
        <w:t>plant and equipment.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7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following table presents our consolidated results of operations and key financial measures for the three months ended March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6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rPr>
              <w:t>Three months ended</w:t>
            </w:r>
          </w:p>
        </w:tc>
      </w:tr>
      <w:tr>
        <w:trPr>
          <w:trHeight w:val="230"/>
        </w:trPr>
        <w:tc>
          <w:tcPr>
            <w:tcW w:w="6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March 31,</w:t>
            </w:r>
          </w:p>
        </w:tc>
      </w:tr>
      <w:tr>
        <w:trPr>
          <w:trHeight w:val="223"/>
        </w:trPr>
        <w:tc>
          <w:tcPr>
            <w:tcW w:w="6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6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derivative (loss) gain from commodity contracts</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Trading revenue</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Trading costs</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cost of sales</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Reorganization items</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gain on early extinguishment of debt</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expenses</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Income tax</w:t>
            </w:r>
          </w:p>
        </w:tc>
        <w:tc>
          <w:tcPr>
            <w:tcW w:w="180" w:type="dxa"/>
            <w:vAlign w:val="bottom"/>
          </w:tcPr>
          <w:p>
            <w:pPr>
              <w:spacing w:after="0"/>
              <w:rPr>
                <w:sz w:val="19"/>
                <w:szCs w:val="19"/>
                <w:color w:val="auto"/>
              </w:rPr>
            </w:pPr>
          </w:p>
        </w:tc>
        <w:tc>
          <w:tcPr>
            <w:tcW w:w="2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2021 vs. 2020</w:t>
      </w:r>
    </w:p>
    <w:p>
      <w:pPr>
        <w:spacing w:after="0" w:line="252"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impact of settled hedges, were $432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which is an increase of $2 million compared to $430 million for the same period of 2020. The increase was due to higher realized prices, which was partially offset by lower production, as reflected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NGLs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Natural Gas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gridSpan w:val="3"/>
          </w:tcPr>
          <w:p>
            <w:pPr>
              <w:jc w:val="right"/>
              <w:ind w:right="89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2020</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430</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center"/>
              <w:ind w:left="670"/>
              <w:spacing w:after="0"/>
              <w:rPr>
                <w:sz w:val="20"/>
                <w:szCs w:val="20"/>
                <w:color w:val="auto"/>
              </w:rPr>
            </w:pPr>
            <w:r>
              <w:rPr>
                <w:rFonts w:ascii="Arial" w:cs="Arial" w:eastAsia="Arial" w:hAnsi="Arial"/>
                <w:sz w:val="18"/>
                <w:szCs w:val="18"/>
                <w:color w:val="auto"/>
                <w:w w:val="99"/>
              </w:rPr>
              <w:t>113</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9"/>
              </w:rPr>
              <w:t>(111)</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March 31, 2021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432</w:t>
            </w:r>
          </w:p>
        </w:tc>
      </w:tr>
      <w:tr>
        <w:trPr>
          <w:trHeight w:val="21"/>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and Prices</w:t>
      </w:r>
      <w:r>
        <w:rPr>
          <w:rFonts w:ascii="Arial" w:cs="Arial" w:eastAsia="Arial" w:hAnsi="Arial"/>
          <w:sz w:val="14"/>
          <w:szCs w:val="14"/>
          <w:color w:val="auto"/>
        </w:rPr>
        <w:t xml:space="preserve"> for index prices, realizations and production volumes for comparative periods.</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effect of settled hedges is not included in the table above. Payments for settled hedges were $ 39 million for the three months ended March 31, 2021 compared to proceeds of $98 million, including $63 million of proceeds from derivative contracts sold prior to maturity, for the same period of 2020. Including the effect of settled hedges, our oil, natural gas and NGL revenue decreased by $135 million or 26% compared to the same prior-year period.</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1" w:name="page32"/>
    <w:bookmarkEnd w:id="31"/>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Net derivative (loss) gain from commodity contracts </w:t>
      </w:r>
      <w:r>
        <w:rPr>
          <w:rFonts w:ascii="Arial" w:cs="Arial" w:eastAsia="Arial" w:hAnsi="Arial"/>
          <w:sz w:val="18"/>
          <w:szCs w:val="18"/>
          <w:color w:val="auto"/>
        </w:rPr>
        <w:t>— Net derivative loss from commodity contracts was $213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compared to a net gain of $79 million in the same period of 2020. The non-cash changes in the fair value of our outstanding derivatives resulted from the positions held at the end of each period as well as the relationship between contract prices and the associated forward curves.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rPr>
              <w:t>Three months</w:t>
            </w:r>
          </w:p>
        </w:tc>
      </w:tr>
      <w:tr>
        <w:trPr>
          <w:trHeight w:val="176"/>
        </w:trPr>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right w:val="single" w:sz="8" w:color="auto"/>
            </w:tcBorders>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8"/>
              </w:rPr>
              <w:t>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ended</w:t>
            </w:r>
          </w:p>
        </w:tc>
      </w:tr>
      <w:tr>
        <w:trPr>
          <w:trHeight w:val="229"/>
        </w:trPr>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7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7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(loss), excluding noncontrolling interest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99"/>
              </w:rPr>
              <w:t>(35)</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Non-cash derivative gain, noncontrolling interest</w:t>
            </w: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ind w:left="1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ind w:left="1110"/>
              <w:spacing w:after="0"/>
              <w:rPr>
                <w:sz w:val="20"/>
                <w:szCs w:val="20"/>
                <w:color w:val="auto"/>
              </w:rPr>
            </w:pPr>
            <w:r>
              <w:rPr>
                <w:rFonts w:ascii="Arial" w:cs="Arial" w:eastAsia="Arial" w:hAnsi="Arial"/>
                <w:sz w:val="18"/>
                <w:szCs w:val="18"/>
                <w:color w:val="auto"/>
                <w:w w:val="99"/>
              </w:rPr>
              <w:t>16</w:t>
            </w:r>
          </w:p>
        </w:tc>
      </w:tr>
      <w:tr>
        <w:trPr>
          <w:trHeight w:val="223"/>
        </w:trPr>
        <w:tc>
          <w:tcPr>
            <w:tcW w:w="7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left="1110"/>
              <w:spacing w:after="0"/>
              <w:rPr>
                <w:sz w:val="20"/>
                <w:szCs w:val="20"/>
                <w:color w:val="auto"/>
              </w:rPr>
            </w:pPr>
            <w:r>
              <w:rPr>
                <w:rFonts w:ascii="Arial" w:cs="Arial" w:eastAsia="Arial" w:hAnsi="Arial"/>
                <w:sz w:val="18"/>
                <w:szCs w:val="18"/>
                <w:color w:val="auto"/>
                <w:w w:val="99"/>
              </w:rPr>
              <w:t>(19)</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Net (payments) proceeds on settled commodity derivatives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ind w:left="1110"/>
              <w:spacing w:after="0"/>
              <w:rPr>
                <w:sz w:val="20"/>
                <w:szCs w:val="20"/>
                <w:color w:val="auto"/>
              </w:rPr>
            </w:pPr>
            <w:r>
              <w:rPr>
                <w:rFonts w:ascii="Arial" w:cs="Arial" w:eastAsia="Arial" w:hAnsi="Arial"/>
                <w:sz w:val="18"/>
                <w:szCs w:val="18"/>
                <w:color w:val="auto"/>
                <w:w w:val="99"/>
              </w:rPr>
              <w:t>35</w:t>
            </w:r>
          </w:p>
        </w:tc>
      </w:tr>
      <w:tr>
        <w:trPr>
          <w:trHeight w:val="229"/>
        </w:trPr>
        <w:tc>
          <w:tcPr>
            <w:tcW w:w="7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proceeds on derivative contracts sold prior to maturity</w:t>
            </w:r>
          </w:p>
        </w:tc>
        <w:tc>
          <w:tcPr>
            <w:tcW w:w="200" w:type="dxa"/>
            <w:vAlign w:val="bottom"/>
            <w:shd w:val="clear" w:color="auto" w:fill="CCEEFF"/>
          </w:tcPr>
          <w:p>
            <w:pPr>
              <w:spacing w:after="0"/>
              <w:rPr>
                <w:sz w:val="19"/>
                <w:szCs w:val="19"/>
                <w:color w:val="auto"/>
              </w:rPr>
            </w:pPr>
          </w:p>
        </w:tc>
        <w:tc>
          <w:tcPr>
            <w:tcW w:w="1720" w:type="dxa"/>
            <w:vAlign w:val="bottom"/>
            <w:tcBorders>
              <w:right w:val="single" w:sz="8" w:color="auto"/>
            </w:tcBorders>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99"/>
              </w:rPr>
              <w:t>63</w:t>
            </w:r>
          </w:p>
        </w:tc>
      </w:tr>
      <w:tr>
        <w:trPr>
          <w:trHeight w:val="263"/>
        </w:trPr>
        <w:tc>
          <w:tcPr>
            <w:tcW w:w="7400" w:type="dxa"/>
            <w:vAlign w:val="bottom"/>
          </w:tcPr>
          <w:p>
            <w:pPr>
              <w:ind w:left="260"/>
              <w:spacing w:after="0"/>
              <w:rPr>
                <w:sz w:val="20"/>
                <w:szCs w:val="20"/>
                <w:color w:val="auto"/>
              </w:rPr>
            </w:pPr>
            <w:r>
              <w:rPr>
                <w:rFonts w:ascii="Arial" w:cs="Arial" w:eastAsia="Arial" w:hAnsi="Arial"/>
                <w:sz w:val="18"/>
                <w:szCs w:val="18"/>
                <w:color w:val="auto"/>
              </w:rPr>
              <w:t>Net derivative (loss) gain from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center"/>
              <w:ind w:left="1110"/>
              <w:spacing w:after="0"/>
              <w:rPr>
                <w:sz w:val="20"/>
                <w:szCs w:val="20"/>
                <w:color w:val="auto"/>
              </w:rPr>
            </w:pPr>
            <w:r>
              <w:rPr>
                <w:rFonts w:ascii="Arial" w:cs="Arial" w:eastAsia="Arial" w:hAnsi="Arial"/>
                <w:sz w:val="18"/>
                <w:szCs w:val="18"/>
                <w:color w:val="auto"/>
                <w:w w:val="99"/>
              </w:rPr>
              <w:t>79</w:t>
            </w:r>
          </w:p>
        </w:tc>
      </w:tr>
    </w:tbl>
    <w:p>
      <w:pPr>
        <w:spacing w:after="0" w:line="305"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i w:val="1"/>
          <w:iCs w:val="1"/>
          <w:color w:val="auto"/>
        </w:rPr>
        <w:t xml:space="preserve">Trading revenue </w:t>
      </w:r>
      <w:r>
        <w:rPr>
          <w:rFonts w:ascii="Arial" w:cs="Arial" w:eastAsia="Arial" w:hAnsi="Arial"/>
          <w:sz w:val="18"/>
          <w:szCs w:val="18"/>
          <w:color w:val="auto"/>
        </w:rPr>
        <w:t>– Trading revenue was $98 million for the three months ended March 31, 2021, an increase of $53 million, or 118%</w:t>
      </w:r>
      <w:r>
        <w:rPr>
          <w:rFonts w:ascii="Arial" w:cs="Arial" w:eastAsia="Arial" w:hAnsi="Arial"/>
          <w:sz w:val="18"/>
          <w:szCs w:val="18"/>
          <w:i w:val="1"/>
          <w:iCs w:val="1"/>
          <w:color w:val="auto"/>
        </w:rPr>
        <w:t xml:space="preserve"> </w:t>
      </w:r>
      <w:r>
        <w:rPr>
          <w:rFonts w:ascii="Arial" w:cs="Arial" w:eastAsia="Arial" w:hAnsi="Arial"/>
          <w:sz w:val="18"/>
          <w:szCs w:val="18"/>
          <w:color w:val="auto"/>
        </w:rPr>
        <w:t>from $45 million during the same period of 2020. The increase was predominantly the result of higher volume and prices related to our natural gas trading activities. Our net profit from natural gas trading activities, after consideration of trading costs described below, was $37 million for the three months ended March 31, 2021 compared to $21 million for the same period of 2020.</w:t>
      </w:r>
    </w:p>
    <w:p>
      <w:pPr>
        <w:spacing w:after="0" w:line="207"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$20 million to $33 million in the first quarter of 2021 compared to $13 million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2020. There were lower electricity sales in the first quarter of 2020 as a result of planned major maintenance at the Elk Hills power plant.</w:t>
      </w:r>
    </w:p>
    <w:p>
      <w:pPr>
        <w:spacing w:after="0" w:line="203"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Operating costs for the three months ended March 31, 2021 were $164 million, which was a decrease of $28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15% from $192 million for the same period of 2020. The decrease was primarily attributable to efficiencies and streamlining of our operations, including headcount reductions in the second half of 2020 and in the first quarter of 2021.</w:t>
      </w:r>
    </w:p>
    <w:p>
      <w:pPr>
        <w:spacing w:after="0" w:line="203"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were $48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which was a decrease of $12 million from $60 million for the three months ended March 31, 2020. The decrease in G&amp;A expenses were attributable to efficiencies and streamlining of our operations, including a decrease of $7 million in employee related expenses as a result of workforce reductions.</w:t>
      </w:r>
    </w:p>
    <w:p>
      <w:pPr>
        <w:spacing w:after="0" w:line="207" w:lineRule="exact"/>
        <w:rPr>
          <w:sz w:val="20"/>
          <w:szCs w:val="20"/>
          <w:color w:val="auto"/>
        </w:rPr>
      </w:pPr>
    </w:p>
    <w:p>
      <w:pPr>
        <w:ind w:right="60" w:firstLine="324"/>
        <w:spacing w:after="0" w:line="242"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$67 million to $52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first quarter of 2021 compared to $119 million in the same period of 2020 was primarily due to a decrease in the carrying value of our property, plant and equipment as a result of fair value adjustments recorded as part of fresh start accounting.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3 Fresh Start Accounting </w:t>
      </w:r>
      <w:r>
        <w:rPr>
          <w:rFonts w:ascii="Arial" w:cs="Arial" w:eastAsia="Arial" w:hAnsi="Arial"/>
          <w:sz w:val="18"/>
          <w:szCs w:val="18"/>
          <w:color w:val="auto"/>
        </w:rPr>
        <w:t>in our 2020 Annual Report for additional information on the 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property, plant and equipment.</w:t>
      </w:r>
    </w:p>
    <w:p>
      <w:pPr>
        <w:spacing w:after="0" w:line="212" w:lineRule="exact"/>
        <w:rPr>
          <w:sz w:val="20"/>
          <w:szCs w:val="20"/>
          <w:color w:val="auto"/>
        </w:rPr>
      </w:pPr>
    </w:p>
    <w:p>
      <w:pPr>
        <w:ind w:right="40" w:firstLine="324"/>
        <w:spacing w:after="0" w:line="242"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Asset impairment charges for the three months ended March 31, 2021 were $ 3 million for the impairment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capitalized costs related to projects which were abandoned. For the same period in 2020, we recorded an impairment charge of $1.7 billion due to the sharp drop in commodity prices in March 2020, which included $ 1.5 billion related to certain of our proved properties and approximately $228 million related to unproved acreage that was no longer included in our development plans at that time.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 Financial Statements, Note 14 Asset Impairments </w:t>
      </w:r>
      <w:r>
        <w:rPr>
          <w:rFonts w:ascii="Arial" w:cs="Arial" w:eastAsia="Arial" w:hAnsi="Arial"/>
          <w:sz w:val="18"/>
          <w:szCs w:val="18"/>
          <w:color w:val="auto"/>
        </w:rPr>
        <w:t>for additional information.</w:t>
      </w:r>
    </w:p>
    <w:p>
      <w:pPr>
        <w:spacing w:after="0" w:line="212" w:lineRule="exact"/>
        <w:rPr>
          <w:sz w:val="20"/>
          <w:szCs w:val="20"/>
          <w:color w:val="auto"/>
        </w:rPr>
      </w:pPr>
    </w:p>
    <w:p>
      <w:pPr>
        <w:ind w:right="260" w:firstLine="324"/>
        <w:spacing w:after="0" w:line="250" w:lineRule="auto"/>
        <w:rPr>
          <w:sz w:val="20"/>
          <w:szCs w:val="20"/>
          <w:color w:val="auto"/>
        </w:rPr>
      </w:pPr>
      <w:r>
        <w:rPr>
          <w:rFonts w:ascii="Arial" w:cs="Arial" w:eastAsia="Arial" w:hAnsi="Arial"/>
          <w:sz w:val="18"/>
          <w:szCs w:val="18"/>
          <w:i w:val="1"/>
          <w:iCs w:val="1"/>
          <w:color w:val="auto"/>
        </w:rPr>
        <w:t xml:space="preserve">Trading costs </w:t>
      </w:r>
      <w:r>
        <w:rPr>
          <w:rFonts w:ascii="Arial" w:cs="Arial" w:eastAsia="Arial" w:hAnsi="Arial"/>
          <w:sz w:val="18"/>
          <w:szCs w:val="18"/>
          <w:color w:val="auto"/>
        </w:rPr>
        <w:t>– Natural gas purchases related to trading activities were $61 million for the three months ended March 31, 2021,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an increase of $37 million or 154% from $ 24 million for the same period in 2020. The change was predominantly the result of higher activity levels and prices related to natural gas trading activities.</w:t>
      </w:r>
    </w:p>
    <w:p>
      <w:pPr>
        <w:spacing w:after="0" w:line="204"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Other expenses, net was $30 million for the three months ended March 31, 2021, which was an increase of $14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$ 16 million during the same period of 2020. The increase was largely the result of a restructuring charge related to workforce reductions in the three months ended March 31, 2021.</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32" w:name="page33"/>
    <w:bookmarkEnd w:id="32"/>
    <w:p>
      <w:pPr>
        <w:ind w:right="20" w:firstLine="324"/>
        <w:spacing w:after="0" w:line="241"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$ 74 million to $13 million in the first quarter of 2021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$87 million in the same period of 2020 primarily due to a decrease in our overall level of debt upon our emergence from bankruptcy. Additionally, in the first quarter of 2021, we reduced the amount drawn on our Revolving Credit Facility and had no balance drawn for two months in the period. See </w:t>
      </w:r>
      <w:r>
        <w:rPr>
          <w:rFonts w:ascii="Arial" w:cs="Arial" w:eastAsia="Arial" w:hAnsi="Arial"/>
          <w:sz w:val="18"/>
          <w:szCs w:val="18"/>
          <w:i w:val="1"/>
          <w:iCs w:val="1"/>
          <w:color w:val="auto"/>
        </w:rPr>
        <w:t>Part II, Item 8 – Financial Statements and Supplementary Data, Note 2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Note 8 Debt </w:t>
      </w:r>
      <w:r>
        <w:rPr>
          <w:rFonts w:ascii="Arial" w:cs="Arial" w:eastAsia="Arial" w:hAnsi="Arial"/>
          <w:sz w:val="18"/>
          <w:szCs w:val="18"/>
          <w:color w:val="auto"/>
        </w:rPr>
        <w:t>in our 2020 Annual Report for additional information on the terms of the Plan, our emergence from bankruptcy and our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transactions.</w:t>
      </w:r>
    </w:p>
    <w:p>
      <w:pPr>
        <w:spacing w:after="0" w:line="211"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i w:val="1"/>
          <w:iCs w:val="1"/>
          <w:color w:val="auto"/>
        </w:rPr>
        <w:t xml:space="preserve">Other non-operating expense </w:t>
      </w:r>
      <w:r>
        <w:rPr>
          <w:rFonts w:ascii="Arial" w:cs="Arial" w:eastAsia="Arial" w:hAnsi="Arial"/>
          <w:sz w:val="18"/>
          <w:szCs w:val="18"/>
          <w:color w:val="auto"/>
        </w:rPr>
        <w:t>— Other non-operating expense decreased $13 million to $ 1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$14 million in the same period for 2020. The expense in the first quarter of 2020 was primarily a result of legal, professional and other fees associated with the preparation of the Chapter 11 Cases, which were incurred prior to our petition date, and abandoned transactions.</w:t>
      </w:r>
    </w:p>
    <w:p>
      <w:pPr>
        <w:spacing w:after="0" w:line="207" w:lineRule="exact"/>
        <w:rPr>
          <w:sz w:val="20"/>
          <w:szCs w:val="20"/>
          <w:color w:val="auto"/>
        </w:rPr>
      </w:pPr>
    </w:p>
    <w:p>
      <w:pPr>
        <w:ind w:right="2480" w:firstLine="324"/>
        <w:spacing w:after="0" w:line="260"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Upon emergence from bankruptcy, we acquired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ECR's member interests in the Ares JV; therefore, the allocation of net income to noncontrolling interest</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holders in the Successor period for the three months ended March 31, 2021 is lower than the Predecessor period for the three months ended March 31, 2020. See </w:t>
      </w:r>
      <w:r>
        <w:rPr>
          <w:rFonts w:ascii="Arial" w:cs="Arial" w:eastAsia="Arial" w:hAnsi="Arial"/>
          <w:sz w:val="18"/>
          <w:szCs w:val="18"/>
          <w:i w:val="1"/>
          <w:iCs w:val="1"/>
          <w:color w:val="auto"/>
        </w:rPr>
        <w:t>Part I, Item 1 – Financial Statements, Note 7 Joint Ventures</w:t>
      </w:r>
      <w:r>
        <w:rPr>
          <w:rFonts w:ascii="Arial" w:cs="Arial" w:eastAsia="Arial" w:hAnsi="Arial"/>
          <w:sz w:val="18"/>
          <w:szCs w:val="18"/>
          <w:color w:val="auto"/>
        </w:rPr>
        <w:t xml:space="preserve"> for additional information on the settlement terms of the Ares JV.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including changes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prices. Commodity price movements may also lead to changes in other variables in our business, including adjustments to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program. Our operating cash flow decreased 36%, or $81 million, to $147 million for the three months ended March 31, 2021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$228 million in the same period of 2020. The net change in operating cash flow includes decreases primarily from: (i) settlement payments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contracts in the first quarter of 2021 compared to proceeds received during the first quarter of 2020 and (ii) a large increase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 accounts receivable resulting from changes in entry and exit prices between the comparative quarters. These decreases were partially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offset by lower (i) operating costs primarily related to workforce reductions, (ii) interest payments on our long-term debt and (iii) payments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variable compensation as a result of changing from an annual payment in the first quarter of 2020 compared to quarterly payments in the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of 2021.</w:t>
      </w:r>
    </w:p>
    <w:p>
      <w:pPr>
        <w:spacing w:after="0" w:line="234"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Our net cash used in investing activities increased $8 million, or 67% from $12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to $20 million for the same period in 2021. Cash used in investing activities included $49 million for capital investment in the three months ended March 31, 2020 compared to $22 million in the three months ended March 31, 2021 due to lower activity levels in 2021. Capital investments were partially offset by $41 million related to royalty interest and non-core asset sales in the first quarter of 2020 as compared to proceeds of $2 million in the first quarter of 2021 for non-core asset sales.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net cash used in investing activities for the three months ended March 31, 2021 and 2020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rPr>
              <w:t>Three months ended March</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rPr>
              <w:t>Three months ended March</w:t>
            </w:r>
          </w:p>
        </w:tc>
      </w:tr>
      <w:tr>
        <w:trPr>
          <w:trHeight w:val="230"/>
        </w:trPr>
        <w:tc>
          <w:tcPr>
            <w:tcW w:w="5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31, 2021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31, 2020</w:t>
            </w:r>
          </w:p>
        </w:tc>
      </w:tr>
      <w:tr>
        <w:trPr>
          <w:trHeight w:val="169"/>
        </w:trPr>
        <w:tc>
          <w:tcPr>
            <w:tcW w:w="57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Changes in capital investment accruals</w:t>
            </w:r>
          </w:p>
        </w:tc>
        <w:tc>
          <w:tcPr>
            <w:tcW w:w="14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w:t>
            </w:r>
          </w:p>
        </w:tc>
        <w:tc>
          <w:tcPr>
            <w:tcW w:w="14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2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Our net cash used in financing activities of $25 million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included $14 million of distributions to noncontrolling interest holders and a net $11 million of cash used to repay long-term debt. See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1 – Financial Statements, Note 5 Debt </w:t>
      </w:r>
      <w:r>
        <w:rPr>
          <w:rFonts w:ascii="Arial" w:cs="Arial" w:eastAsia="Arial" w:hAnsi="Arial"/>
          <w:sz w:val="18"/>
          <w:szCs w:val="18"/>
          <w:color w:val="auto"/>
        </w:rPr>
        <w:t>for additional details about our debt.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right="100" w:firstLine="324"/>
        <w:spacing w:after="0" w:line="256" w:lineRule="auto"/>
        <w:rPr>
          <w:sz w:val="20"/>
          <w:szCs w:val="20"/>
          <w:color w:val="auto"/>
        </w:rPr>
      </w:pPr>
      <w:r>
        <w:rPr>
          <w:rFonts w:ascii="Arial" w:cs="Arial" w:eastAsia="Arial" w:hAnsi="Arial"/>
          <w:sz w:val="18"/>
          <w:szCs w:val="18"/>
          <w:color w:val="auto"/>
        </w:rPr>
        <w:t xml:space="preserve">Our net cash used in financing activities for the three months ended March 31, 2020 was $156 million and primarily included net repayments of $110 million on our debt obligations and $42 million in net distributions to noncontrolling interest holders.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8 Debt </w:t>
      </w:r>
      <w:r>
        <w:rPr>
          <w:rFonts w:ascii="Arial" w:cs="Arial" w:eastAsia="Arial" w:hAnsi="Arial"/>
          <w:sz w:val="18"/>
          <w:szCs w:val="18"/>
          <w:color w:val="auto"/>
        </w:rPr>
        <w:t>in our 2020 Annual Report for a description of our Second Lien Notes.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net cash used by financing activities for the three months ended March 31, 2021 and 2020 (in millions):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transactions,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repurchases</w:t>
      </w:r>
    </w:p>
    <w:p>
      <w:pPr>
        <w:spacing w:after="0" w:line="23" w:lineRule="exact"/>
        <w:rPr>
          <w:sz w:val="20"/>
          <w:szCs w:val="20"/>
          <w:color w:val="auto"/>
        </w:rPr>
      </w:pPr>
    </w:p>
    <w:p>
      <w:pPr>
        <w:ind w:left="20" w:right="1400"/>
        <w:spacing w:after="0" w:line="277" w:lineRule="auto"/>
        <w:rPr>
          <w:sz w:val="20"/>
          <w:szCs w:val="20"/>
          <w:color w:val="auto"/>
        </w:rPr>
      </w:pPr>
      <w:r>
        <w:rPr>
          <w:rFonts w:ascii="Arial" w:cs="Arial" w:eastAsia="Arial" w:hAnsi="Arial"/>
          <w:sz w:val="18"/>
          <w:szCs w:val="18"/>
          <w:color w:val="auto"/>
        </w:rPr>
        <w:t>Distributions to noncontrolling interest holders, net Other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cash used by financing activities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212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8"/>
                <w:szCs w:val="18"/>
                <w:b w:val="1"/>
                <w:bCs w:val="1"/>
                <w:color w:val="auto"/>
              </w:rPr>
              <w:t>Successor</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24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Three months ended March</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 March</w:t>
            </w:r>
          </w:p>
        </w:tc>
      </w:tr>
      <w:tr>
        <w:trPr>
          <w:trHeight w:val="230"/>
        </w:trPr>
        <w:tc>
          <w:tcPr>
            <w:tcW w:w="4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31, 2021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31, 2020</w:t>
            </w:r>
          </w:p>
        </w:tc>
      </w:tr>
      <w:tr>
        <w:trPr>
          <w:trHeight w:val="398"/>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center"/>
              <w:ind w:left="1550"/>
              <w:spacing w:after="0"/>
              <w:rPr>
                <w:sz w:val="20"/>
                <w:szCs w:val="20"/>
                <w:color w:val="auto"/>
              </w:rPr>
            </w:pPr>
            <w:r>
              <w:rPr>
                <w:rFonts w:ascii="Arial" w:cs="Arial" w:eastAsia="Arial" w:hAnsi="Arial"/>
                <w:sz w:val="18"/>
                <w:szCs w:val="18"/>
                <w:color w:val="auto"/>
                <w:w w:val="99"/>
              </w:rPr>
              <w:t>(11)</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440" w:type="dxa"/>
            <w:vAlign w:val="bottom"/>
          </w:tcPr>
          <w:p>
            <w:pPr>
              <w:spacing w:after="0"/>
              <w:rPr>
                <w:sz w:val="19"/>
                <w:szCs w:val="19"/>
                <w:color w:val="auto"/>
              </w:rPr>
            </w:pPr>
          </w:p>
        </w:tc>
        <w:tc>
          <w:tcPr>
            <w:tcW w:w="2120" w:type="dxa"/>
            <w:vAlign w:val="bottom"/>
            <w:tcBorders>
              <w:right w:val="single" w:sz="8" w:color="auto"/>
            </w:tcBorders>
            <w:gridSpan w:val="2"/>
          </w:tcPr>
          <w:p>
            <w:pPr>
              <w:jc w:val="center"/>
              <w:ind w:left="145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40" w:type="dxa"/>
            <w:vAlign w:val="bottom"/>
          </w:tcPr>
          <w:p>
            <w:pPr>
              <w:spacing w:after="0"/>
              <w:rPr>
                <w:sz w:val="19"/>
                <w:szCs w:val="19"/>
                <w:color w:val="auto"/>
              </w:rPr>
            </w:pPr>
          </w:p>
        </w:tc>
        <w:tc>
          <w:tcPr>
            <w:tcW w:w="2000" w:type="dxa"/>
            <w:vAlign w:val="bottom"/>
          </w:tcPr>
          <w:p>
            <w:pPr>
              <w:jc w:val="center"/>
              <w:ind w:left="1550"/>
              <w:spacing w:after="0"/>
              <w:rPr>
                <w:sz w:val="20"/>
                <w:szCs w:val="20"/>
                <w:color w:val="auto"/>
              </w:rPr>
            </w:pPr>
            <w:r>
              <w:rPr>
                <w:rFonts w:ascii="Arial" w:cs="Arial" w:eastAsia="Arial" w:hAnsi="Arial"/>
                <w:sz w:val="18"/>
                <w:szCs w:val="18"/>
                <w:color w:val="auto"/>
                <w:w w:val="99"/>
              </w:rPr>
              <w:t>(14)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440" w:type="dxa"/>
            <w:vAlign w:val="bottom"/>
          </w:tcPr>
          <w:p>
            <w:pPr>
              <w:spacing w:after="0"/>
              <w:rPr>
                <w:sz w:val="19"/>
                <w:szCs w:val="19"/>
                <w:color w:val="auto"/>
              </w:rPr>
            </w:pPr>
          </w:p>
        </w:tc>
        <w:tc>
          <w:tcPr>
            <w:tcW w:w="2120" w:type="dxa"/>
            <w:vAlign w:val="bottom"/>
            <w:tcBorders>
              <w:right w:val="single" w:sz="8" w:color="auto"/>
            </w:tcBorders>
            <w:gridSpan w:val="2"/>
          </w:tcPr>
          <w:p>
            <w:pPr>
              <w:jc w:val="center"/>
              <w:ind w:left="145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center"/>
              <w:ind w:left="1550"/>
              <w:spacing w:after="0"/>
              <w:rPr>
                <w:sz w:val="20"/>
                <w:szCs w:val="20"/>
                <w:color w:val="auto"/>
              </w:rPr>
            </w:pPr>
            <w:r>
              <w:rPr>
                <w:rFonts w:ascii="Arial" w:cs="Arial" w:eastAsia="Arial" w:hAnsi="Arial"/>
                <w:sz w:val="18"/>
                <w:szCs w:val="18"/>
                <w:color w:val="auto"/>
                <w:w w:val="99"/>
              </w:rPr>
              <w:t>(25)</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-770890</wp:posOffset>
            </wp:positionV>
            <wp:extent cx="711517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-479425</wp:posOffset>
            </wp:positionV>
            <wp:extent cx="711517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-187960</wp:posOffset>
            </wp:positionV>
            <wp:extent cx="71151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735" w:lineRule="exact"/>
        <w:rPr>
          <w:sz w:val="20"/>
          <w:szCs w:val="20"/>
          <w:color w:val="auto"/>
        </w:rPr>
      </w:pPr>
    </w:p>
    <w:p>
      <w:pPr>
        <w:sectPr>
          <w:pgSz w:w="11900" w:h="16838" w:orient="portrait"/>
          <w:cols w:equalWidth="0" w:num="2">
            <w:col w:w="5420" w:space="720"/>
            <w:col w:w="5100"/>
          </w:cols>
          <w:pgMar w:left="320" w:top="1151" w:right="339" w:bottom="1440" w:gutter="0" w:footer="0" w:header="0"/>
          <w:type w:val="continuous"/>
        </w:sectPr>
      </w:pPr>
    </w:p>
    <w:p>
      <w:pPr>
        <w:spacing w:after="0" w:line="7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primary sources of liquidity and capital resources are cash flows from operations, cash on hand and available borrowing capacity under our Revolving Credit Facility. We emerged from bankruptcy with a strong balance sheet and low leverage. We have substantially revamped our cost structure while maintaining sustainable operations. We consider our low leverage and ability to control costs to be a core strength and strategic advantage, which we are focused on maintaining.</w:t>
      </w:r>
    </w:p>
    <w:p>
      <w:pPr>
        <w:spacing w:after="0" w:line="23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At current commodity prices and our planned 2021 capital program described below, we expect to generate positive free cash flow, which may be used to (i) increase investments in our drilling program to accelerate value, (ii) pay dividends or buy back stock to the extent permitted under our Revolving Credit Facility and Senior Notes indenture, or (iii) maintain cash on our balance sheet. We may be required to begin paying income taxes if Brent prices remain above $60 per barrel for a sustained period. Our tax paying status depends on a number of factors, including but not limited to, potential legislation which could limit tax incentives for fossil fuels, the amount and type of our capital spend, cost structure and activity levels. We believe we have sufficient sources of cash to meet our obligations for the next twelve months. Based on the timing of our anticipated cash distributions to Benefit Street Partners (BSP) at current commodity prices, we believe the preferred interest held by BSP in our development joint venture could be automatically redeemed early in the fourth quarter of 2021.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 Item 1 – Financial Statements, Note 6 Joint Ventures </w:t>
      </w:r>
      <w:r>
        <w:rPr>
          <w:rFonts w:ascii="Arial" w:cs="Arial" w:eastAsia="Arial" w:hAnsi="Arial"/>
          <w:sz w:val="18"/>
          <w:szCs w:val="18"/>
          <w:color w:val="auto"/>
        </w:rPr>
        <w:t>for additional information on our BSP JV.</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Pr>
          <w:p>
            <w:pPr>
              <w:ind w:left="340"/>
              <w:spacing w:after="0"/>
              <w:rPr>
                <w:sz w:val="20"/>
                <w:szCs w:val="20"/>
                <w:color w:val="auto"/>
              </w:rPr>
            </w:pPr>
            <w:r>
              <w:rPr>
                <w:rFonts w:ascii="Arial" w:cs="Arial" w:eastAsia="Arial" w:hAnsi="Arial"/>
                <w:sz w:val="18"/>
                <w:szCs w:val="18"/>
                <w:color w:val="auto"/>
              </w:rPr>
              <w:t>The following table summarizes our liquidity (in millions):</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99"/>
        </w:trPr>
        <w:tc>
          <w:tcPr>
            <w:tcW w:w="69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Successor</w:t>
            </w:r>
          </w:p>
        </w:tc>
        <w:tc>
          <w:tcPr>
            <w:tcW w:w="1560" w:type="dxa"/>
            <w:vAlign w:val="bottom"/>
            <w:tcBorders>
              <w:bottom w:val="single" w:sz="8" w:color="auto"/>
            </w:tcBorders>
          </w:tcPr>
          <w:p>
            <w:pPr>
              <w:spacing w:after="0"/>
              <w:rPr>
                <w:sz w:val="24"/>
                <w:szCs w:val="24"/>
                <w:color w:val="auto"/>
              </w:rPr>
            </w:pPr>
          </w:p>
        </w:tc>
      </w:tr>
      <w:tr>
        <w:trPr>
          <w:trHeight w:val="214"/>
        </w:trPr>
        <w:tc>
          <w:tcPr>
            <w:tcW w:w="69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jc w:val="center"/>
              <w:ind w:right="470"/>
              <w:spacing w:after="0"/>
              <w:rPr>
                <w:sz w:val="20"/>
                <w:szCs w:val="20"/>
                <w:color w:val="auto"/>
              </w:rPr>
            </w:pPr>
            <w:r>
              <w:rPr>
                <w:rFonts w:ascii="Arial" w:cs="Arial" w:eastAsia="Arial" w:hAnsi="Arial"/>
                <w:sz w:val="18"/>
                <w:szCs w:val="18"/>
                <w:b w:val="1"/>
                <w:bCs w:val="1"/>
                <w:color w:val="auto"/>
              </w:rPr>
              <w:t>April 30,</w:t>
            </w:r>
          </w:p>
        </w:tc>
      </w:tr>
      <w:tr>
        <w:trPr>
          <w:trHeight w:val="239"/>
        </w:trPr>
        <w:tc>
          <w:tcPr>
            <w:tcW w:w="6920" w:type="dxa"/>
            <w:vAlign w:val="bottom"/>
          </w:tcPr>
          <w:p>
            <w:pPr>
              <w:spacing w:after="0"/>
              <w:rPr>
                <w:sz w:val="20"/>
                <w:szCs w:val="20"/>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r>
      <w:tr>
        <w:trPr>
          <w:trHeight w:val="183"/>
        </w:trPr>
        <w:tc>
          <w:tcPr>
            <w:tcW w:w="6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15"/>
                <w:szCs w:val="15"/>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Unrestricted cash</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123</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9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Borrowing capacity</w:t>
            </w:r>
            <w:r>
              <w:rPr>
                <w:rFonts w:ascii="Arial" w:cs="Arial" w:eastAsia="Arial" w:hAnsi="Arial"/>
                <w:sz w:val="23"/>
                <w:szCs w:val="23"/>
                <w:color w:val="auto"/>
                <w:vertAlign w:val="superscript"/>
              </w:rPr>
              <w:t>(a)</w:t>
            </w:r>
          </w:p>
        </w:tc>
        <w:tc>
          <w:tcPr>
            <w:tcW w:w="1560" w:type="dxa"/>
            <w:vAlign w:val="bottom"/>
            <w:shd w:val="clear" w:color="auto" w:fill="CCEEFF"/>
          </w:tcPr>
          <w:p>
            <w:pPr>
              <w:spacing w:after="0"/>
              <w:rPr>
                <w:sz w:val="19"/>
                <w:szCs w:val="19"/>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492</w:t>
            </w:r>
          </w:p>
        </w:tc>
      </w:tr>
      <w:tr>
        <w:trPr>
          <w:trHeight w:val="230"/>
        </w:trPr>
        <w:tc>
          <w:tcPr>
            <w:tcW w:w="6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Letters of credit outstanding</w:t>
            </w:r>
          </w:p>
        </w:tc>
        <w:tc>
          <w:tcPr>
            <w:tcW w:w="1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color w:val="auto"/>
                <w:w w:val="99"/>
              </w:rPr>
              <w:t>(125)</w:t>
            </w:r>
          </w:p>
        </w:tc>
      </w:tr>
      <w:tr>
        <w:trPr>
          <w:trHeight w:val="223"/>
        </w:trPr>
        <w:tc>
          <w:tcPr>
            <w:tcW w:w="69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Total availability</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367</w:t>
            </w:r>
          </w:p>
        </w:tc>
      </w:tr>
      <w:tr>
        <w:trPr>
          <w:trHeight w:val="216"/>
        </w:trPr>
        <w:tc>
          <w:tcPr>
            <w:tcW w:w="69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48"/>
        </w:trPr>
        <w:tc>
          <w:tcPr>
            <w:tcW w:w="6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99"/>
              </w:rPr>
              <w:t>490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60" w:right="60" w:hanging="328"/>
        <w:spacing w:after="0" w:line="279" w:lineRule="auto"/>
        <w:tabs>
          <w:tab w:leader="none" w:pos="647"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April 2021, the aggregate commitment of our lenders was reduced to $492 million based on the terms of our Revolving Credit Facility. See </w:t>
      </w:r>
      <w:r>
        <w:rPr>
          <w:rFonts w:ascii="Arial" w:cs="Arial" w:eastAsia="Arial" w:hAnsi="Arial"/>
          <w:sz w:val="14"/>
          <w:szCs w:val="14"/>
          <w:i w:val="1"/>
          <w:iCs w:val="1"/>
          <w:color w:val="auto"/>
        </w:rPr>
        <w:t>Part I, Item 1 –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Statements, Note 5 Debt </w:t>
      </w:r>
      <w:r>
        <w:rPr>
          <w:rFonts w:ascii="Arial" w:cs="Arial" w:eastAsia="Arial" w:hAnsi="Arial"/>
          <w:sz w:val="14"/>
          <w:szCs w:val="14"/>
          <w:color w:val="auto"/>
        </w:rPr>
        <w:t>for more information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7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To mitigate some of the risk inherent in the downward movement in oil prices, we may enter into various derivative instruments to hedge commodity price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5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 xml:space="preserve">Our Revolving Credit Facility requires us to maintain hedges on a notional amount of crude oil production as described in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8 Debt </w:t>
      </w:r>
      <w:r>
        <w:rPr>
          <w:rFonts w:ascii="Arial" w:cs="Arial" w:eastAsia="Arial" w:hAnsi="Arial"/>
          <w:sz w:val="18"/>
          <w:szCs w:val="18"/>
          <w:color w:val="auto"/>
        </w:rPr>
        <w:t>in our 2020 Annual Report. Unless otherwise indicated, we use the term “hedge”</w:t>
      </w:r>
      <w:r>
        <w:rPr>
          <w:rFonts w:ascii="Arial" w:cs="Arial" w:eastAsia="Arial" w:hAnsi="Arial"/>
          <w:sz w:val="18"/>
          <w:szCs w:val="18"/>
          <w:i w:val="1"/>
          <w:iCs w:val="1"/>
          <w:color w:val="auto"/>
        </w:rPr>
        <w:t xml:space="preserve"> </w:t>
      </w:r>
      <w:r>
        <w:rPr>
          <w:rFonts w:ascii="Arial" w:cs="Arial" w:eastAsia="Arial" w:hAnsi="Arial"/>
          <w:sz w:val="18"/>
          <w:szCs w:val="18"/>
          <w:color w:val="auto"/>
        </w:rPr>
        <w:t>to describe derivative instruments that are designed to achieve our hedging program goals, even though they are not accounted for as cash-flow or fair-value hedges. We did not have any commodity derivatives designated as accounting hedges as of and during the three months ended March 31, 2021.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April 30, 2021, we had the following Brent-based crude oil contracts: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Q2</w:t>
            </w: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Q3</w:t>
            </w: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1H</w:t>
            </w:r>
          </w:p>
        </w:tc>
        <w:tc>
          <w:tcPr>
            <w:tcW w:w="26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2H</w:t>
            </w:r>
          </w:p>
        </w:tc>
        <w:tc>
          <w:tcPr>
            <w:tcW w:w="160" w:type="dxa"/>
            <w:vAlign w:val="bottom"/>
          </w:tcPr>
          <w:p>
            <w:pPr>
              <w:spacing w:after="0"/>
              <w:rPr>
                <w:sz w:val="17"/>
                <w:szCs w:val="17"/>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January -</w:t>
            </w:r>
          </w:p>
        </w:tc>
      </w:tr>
      <w:tr>
        <w:trPr>
          <w:trHeight w:val="230"/>
        </w:trPr>
        <w:tc>
          <w:tcPr>
            <w:tcW w:w="3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October 2023</w:t>
            </w:r>
          </w:p>
        </w:tc>
      </w:tr>
      <w:tr>
        <w:trPr>
          <w:trHeight w:val="209"/>
        </w:trPr>
        <w:tc>
          <w:tcPr>
            <w:tcW w:w="372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58.01</w:t>
            </w:r>
          </w:p>
        </w:tc>
      </w:tr>
      <w:tr>
        <w:trPr>
          <w:trHeight w:val="216"/>
        </w:trPr>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17,758</w:t>
            </w:r>
          </w:p>
        </w:tc>
      </w:tr>
      <w:tr>
        <w:trPr>
          <w:trHeight w:val="229"/>
        </w:trPr>
        <w:tc>
          <w:tcPr>
            <w:tcW w:w="372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47.57</w:t>
            </w:r>
          </w:p>
        </w:tc>
      </w:tr>
    </w:tbl>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Capital Program</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capital program will be dynamic in response to oil market volatility while focusing on maintaining our oil production and strong liquidity and maximizing our free cash flow. We entered 2021 with an internally funded capital program of $200 million to $225 million. During the first quarter of 2021, the 2021 capital program was revised to $185 million to $210 million reflecting a reallocation of drilling capital to downhole maintenance, which provide efficiencies and faster payouts. Our current plan anticipates we will gradually raise quarterly capital investment throughout the year.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5" w:name="page36"/>
    <w:bookmarkEnd w:id="35"/>
    <w:p>
      <w:pPr>
        <w:jc w:val="both"/>
        <w:ind w:right="40" w:firstLine="324"/>
        <w:spacing w:after="0" w:line="256" w:lineRule="auto"/>
        <w:rPr>
          <w:sz w:val="20"/>
          <w:szCs w:val="20"/>
          <w:color w:val="auto"/>
        </w:rPr>
      </w:pPr>
      <w:r>
        <w:rPr>
          <w:rFonts w:ascii="Arial" w:cs="Arial" w:eastAsia="Arial" w:hAnsi="Arial"/>
          <w:sz w:val="18"/>
          <w:szCs w:val="18"/>
          <w:color w:val="auto"/>
        </w:rPr>
        <w:t>If commodity prices decline significantly from current levels, we may need to adjust our capital program in response to market conditions. Any curtailment of the development of our properties will lead to a decline in our production and may lower our reserves. A continued decline in our production and reserves would negatively impact our cash flow from operations and the value of our assets.</w:t>
      </w:r>
    </w:p>
    <w:p>
      <w:pPr>
        <w:spacing w:after="0" w:line="229"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amounts in the table below reflect components of our capital investment for the periods indicated, excluding changes in capital investment accruals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300" w:type="dxa"/>
            <w:vAlign w:val="bottom"/>
            <w:gridSpan w:val="2"/>
            <w:vMerge w:val="restart"/>
          </w:tcPr>
          <w:p>
            <w:pPr>
              <w:ind w:left="620"/>
              <w:spacing w:after="0"/>
              <w:rPr>
                <w:sz w:val="20"/>
                <w:szCs w:val="20"/>
                <w:color w:val="auto"/>
              </w:rPr>
            </w:pPr>
            <w:r>
              <w:rPr>
                <w:rFonts w:ascii="Arial" w:cs="Arial" w:eastAsia="Arial" w:hAnsi="Arial"/>
                <w:sz w:val="17"/>
                <w:szCs w:val="17"/>
                <w:b w:val="1"/>
                <w:bCs w:val="1"/>
                <w:color w:val="auto"/>
              </w:rPr>
              <w:t>2021 Target</w:t>
            </w:r>
          </w:p>
        </w:tc>
        <w:tc>
          <w:tcPr>
            <w:tcW w:w="2200" w:type="dxa"/>
            <w:vAlign w:val="bottom"/>
            <w:gridSpan w:val="2"/>
          </w:tcPr>
          <w:p>
            <w:pPr>
              <w:jc w:val="right"/>
              <w:ind w:right="175"/>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80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March 31, 2021</w:t>
            </w:r>
          </w:p>
        </w:tc>
        <w:tc>
          <w:tcPr>
            <w:tcW w:w="0" w:type="dxa"/>
            <w:vAlign w:val="bottom"/>
          </w:tcPr>
          <w:p>
            <w:pPr>
              <w:spacing w:after="0"/>
              <w:rPr>
                <w:sz w:val="1"/>
                <w:szCs w:val="1"/>
                <w:color w:val="auto"/>
              </w:rPr>
            </w:pPr>
          </w:p>
        </w:tc>
      </w:tr>
      <w:tr>
        <w:trPr>
          <w:trHeight w:val="85"/>
        </w:trPr>
        <w:tc>
          <w:tcPr>
            <w:tcW w:w="6740" w:type="dxa"/>
            <w:vAlign w:val="bottom"/>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Drilling</w:t>
            </w:r>
          </w:p>
        </w:tc>
        <w:tc>
          <w:tcPr>
            <w:tcW w:w="2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$105 - $120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4"/>
        </w:trPr>
        <w:tc>
          <w:tcPr>
            <w:tcW w:w="6740" w:type="dxa"/>
            <w:vAlign w:val="bottom"/>
          </w:tcPr>
          <w:p>
            <w:pPr>
              <w:ind w:left="20"/>
              <w:spacing w:after="0"/>
              <w:rPr>
                <w:sz w:val="20"/>
                <w:szCs w:val="20"/>
                <w:color w:val="auto"/>
              </w:rPr>
            </w:pPr>
            <w:r>
              <w:rPr>
                <w:rFonts w:ascii="Arial" w:cs="Arial" w:eastAsia="Arial" w:hAnsi="Arial"/>
                <w:sz w:val="17"/>
                <w:szCs w:val="17"/>
                <w:color w:val="auto"/>
              </w:rPr>
              <w:t>Capital workovers</w:t>
            </w:r>
          </w:p>
        </w:tc>
        <w:tc>
          <w:tcPr>
            <w:tcW w:w="2200" w:type="dxa"/>
            <w:vAlign w:val="bottom"/>
          </w:tcPr>
          <w:p>
            <w:pPr>
              <w:jc w:val="right"/>
              <w:spacing w:after="0"/>
              <w:rPr>
                <w:sz w:val="20"/>
                <w:szCs w:val="20"/>
                <w:color w:val="auto"/>
              </w:rPr>
            </w:pPr>
            <w:r>
              <w:rPr>
                <w:rFonts w:ascii="Arial" w:cs="Arial" w:eastAsia="Arial" w:hAnsi="Arial"/>
                <w:sz w:val="17"/>
                <w:szCs w:val="17"/>
                <w:color w:val="auto"/>
              </w:rPr>
              <w:t>35 - 40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Infrastructure, corporate and other</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45 - 50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2"/>
        </w:trPr>
        <w:tc>
          <w:tcPr>
            <w:tcW w:w="6740" w:type="dxa"/>
            <w:vAlign w:val="bottom"/>
          </w:tcPr>
          <w:p>
            <w:pPr>
              <w:ind w:left="140"/>
              <w:spacing w:after="0"/>
              <w:rPr>
                <w:sz w:val="20"/>
                <w:szCs w:val="20"/>
                <w:color w:val="auto"/>
              </w:rPr>
            </w:pPr>
            <w:r>
              <w:rPr>
                <w:rFonts w:ascii="Arial" w:cs="Arial" w:eastAsia="Arial" w:hAnsi="Arial"/>
                <w:sz w:val="17"/>
                <w:szCs w:val="17"/>
                <w:b w:val="1"/>
                <w:bCs w:val="1"/>
                <w:color w:val="auto"/>
              </w:rPr>
              <w:t>Total</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$185 - $210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2021 and December 31, 2020 were not material to our condensed consolidated balance sheets as of such dates.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determined that former lessees, including our former parent, Occidental Petroleum Corporation (Oxy) with an approximately 35% share, are responsible for accrued decommissioning obligations associated with these offshore platforms. Oxy notified us of the claim under the indemnification provisions of the Separation and Distribution Agreement between us and Oxy. We are currently evaluating this claim.</w:t>
      </w:r>
    </w:p>
    <w:p>
      <w:pPr>
        <w:spacing w:after="0" w:line="23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2 Accounting and Disclosure Changes</w:t>
      </w:r>
      <w:r>
        <w:rPr>
          <w:rFonts w:ascii="Arial" w:cs="Arial" w:eastAsia="Arial" w:hAnsi="Arial"/>
          <w:sz w:val="18"/>
          <w:szCs w:val="18"/>
          <w:color w:val="auto"/>
        </w:rPr>
        <w:t xml:space="preserve"> for a discussion of new accounting matters.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reserves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type curves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expected synergies from acquisitions and joint ventures</w:t>
            </w:r>
          </w:p>
        </w:tc>
      </w:tr>
    </w:tbl>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660" w:right="608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40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140"/>
          </w:cols>
          <w:pgMar w:left="320" w:top="1035" w:right="439" w:bottom="1440" w:gutter="0" w:footer="0" w:header="0"/>
        </w:sectPr>
      </w:pPr>
    </w:p>
    <w:p>
      <w:pPr>
        <w:spacing w:after="0" w:line="13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execute our business plan post-emergence;</w:t>
      </w:r>
    </w:p>
    <w:p>
      <w:pPr>
        <w:spacing w:after="0" w:line="20" w:lineRule="exact"/>
        <w:rPr>
          <w:rFonts w:ascii="Arial" w:cs="Arial" w:eastAsia="Arial" w:hAnsi="Arial"/>
          <w:sz w:val="17"/>
          <w:szCs w:val="17"/>
          <w:color w:val="auto"/>
        </w:rPr>
      </w:pPr>
    </w:p>
    <w:p>
      <w:pPr>
        <w:jc w:val="both"/>
        <w:ind w:left="660" w:right="62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volatility of commodity prices and the potential for sustained low oil, natural gas and natural gas liquids prices;</w:t>
      </w:r>
    </w:p>
    <w:p>
      <w:pPr>
        <w:spacing w:after="0" w:line="2" w:lineRule="exact"/>
        <w:rPr>
          <w:rFonts w:ascii="Arial" w:cs="Arial" w:eastAsia="Arial" w:hAnsi="Arial"/>
          <w:sz w:val="18"/>
          <w:szCs w:val="18"/>
          <w:color w:val="auto"/>
        </w:rPr>
      </w:pPr>
    </w:p>
    <w:p>
      <w:pPr>
        <w:ind w:left="660" w:right="40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of our recent emergence from bankruptcy on our business and relationships;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ind w:left="660" w:right="76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interest payments on our debt, debt repurchases or changes to our capital plan;</w:t>
      </w:r>
    </w:p>
    <w:p>
      <w:pPr>
        <w:spacing w:after="0" w:line="2" w:lineRule="exact"/>
        <w:rPr>
          <w:rFonts w:ascii="Arial" w:cs="Arial" w:eastAsia="Arial" w:hAnsi="Arial"/>
          <w:sz w:val="18"/>
          <w:szCs w:val="18"/>
          <w:color w:val="auto"/>
        </w:rPr>
      </w:pPr>
    </w:p>
    <w:p>
      <w:pPr>
        <w:ind w:left="660" w:right="62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2" w:lineRule="exact"/>
        <w:rPr>
          <w:rFonts w:ascii="Arial" w:cs="Arial" w:eastAsia="Arial" w:hAnsi="Arial"/>
          <w:sz w:val="18"/>
          <w:szCs w:val="18"/>
          <w:color w:val="auto"/>
        </w:rPr>
      </w:pPr>
    </w:p>
    <w:p>
      <w:pPr>
        <w:ind w:left="660" w:right="42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spacing w:after="0" w:line="1" w:lineRule="exact"/>
        <w:rPr>
          <w:rFonts w:ascii="Arial" w:cs="Arial" w:eastAsia="Arial" w:hAnsi="Arial"/>
          <w:sz w:val="18"/>
          <w:szCs w:val="18"/>
          <w:color w:val="auto"/>
        </w:rPr>
      </w:pPr>
    </w:p>
    <w:p>
      <w:pPr>
        <w:ind w:left="660" w:right="649" w:hanging="328"/>
        <w:spacing w:after="0" w:line="24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spacing w:after="0" w:line="1" w:lineRule="exact"/>
        <w:rPr>
          <w:rFonts w:ascii="Arial" w:cs="Arial" w:eastAsia="Arial" w:hAnsi="Arial"/>
          <w:sz w:val="17"/>
          <w:szCs w:val="17"/>
          <w:color w:val="auto"/>
        </w:rPr>
      </w:pPr>
    </w:p>
    <w:p>
      <w:pPr>
        <w:ind w:left="660" w:right="44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spacing w:after="0" w:line="1" w:lineRule="exact"/>
        <w:rPr>
          <w:rFonts w:ascii="Arial" w:cs="Arial" w:eastAsia="Arial" w:hAnsi="Arial"/>
          <w:sz w:val="18"/>
          <w:szCs w:val="18"/>
          <w:color w:val="auto"/>
        </w:rPr>
      </w:pPr>
    </w:p>
    <w:p>
      <w:pPr>
        <w:ind w:left="660" w:right="369" w:hanging="328"/>
        <w:spacing w:after="0" w:line="23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(GHGs) or other emissions, protection of health, safety and the environment, or transportation, marketing and sale of our products;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331" w:right="1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1"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 w:lineRule="exact"/>
        <w:rPr>
          <w:rFonts w:ascii="Arial" w:cs="Arial" w:eastAsia="Arial" w:hAnsi="Arial"/>
          <w:sz w:val="18"/>
          <w:szCs w:val="18"/>
          <w:color w:val="auto"/>
        </w:rPr>
      </w:pPr>
    </w:p>
    <w:p>
      <w:pPr>
        <w:ind w:left="331" w:right="26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business strategy;</w:t>
      </w:r>
    </w:p>
    <w:p>
      <w:pPr>
        <w:ind w:left="331" w:right="22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operating costs;</w:t>
      </w:r>
    </w:p>
    <w:p>
      <w:pPr>
        <w:spacing w:after="0" w:line="1" w:lineRule="exact"/>
        <w:rPr>
          <w:rFonts w:ascii="Arial" w:cs="Arial" w:eastAsia="Arial" w:hAnsi="Arial"/>
          <w:sz w:val="18"/>
          <w:szCs w:val="18"/>
          <w:color w:val="auto"/>
        </w:rPr>
      </w:pPr>
    </w:p>
    <w:p>
      <w:pPr>
        <w:ind w:left="331" w:right="4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ind w:left="331" w:right="110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 w:lineRule="exact"/>
        <w:rPr>
          <w:rFonts w:ascii="Arial" w:cs="Arial" w:eastAsia="Arial" w:hAnsi="Arial"/>
          <w:sz w:val="18"/>
          <w:szCs w:val="18"/>
          <w:color w:val="auto"/>
        </w:rPr>
      </w:pPr>
    </w:p>
    <w:p>
      <w:pPr>
        <w:ind w:left="331" w:right="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 w:lineRule="exact"/>
        <w:rPr>
          <w:rFonts w:ascii="Arial" w:cs="Arial" w:eastAsia="Arial" w:hAnsi="Arial"/>
          <w:sz w:val="18"/>
          <w:szCs w:val="18"/>
          <w:color w:val="auto"/>
        </w:rPr>
      </w:pPr>
    </w:p>
    <w:p>
      <w:pPr>
        <w:ind w:left="331" w:right="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2"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2"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and</w:t>
      </w:r>
    </w:p>
    <w:p>
      <w:pPr>
        <w:spacing w:after="0" w:line="1" w:lineRule="exact"/>
        <w:rPr>
          <w:rFonts w:ascii="Arial" w:cs="Arial" w:eastAsia="Arial" w:hAnsi="Arial"/>
          <w:sz w:val="18"/>
          <w:szCs w:val="18"/>
          <w:color w:val="auto"/>
        </w:rPr>
      </w:pPr>
    </w:p>
    <w:p>
      <w:pPr>
        <w:ind w:left="331" w:right="140" w:hanging="331"/>
        <w:spacing w:after="0" w:line="261"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available at www.crc.com.</w:t>
      </w:r>
    </w:p>
    <w:p>
      <w:pPr>
        <w:spacing w:after="0" w:line="200" w:lineRule="exact"/>
        <w:rPr>
          <w:sz w:val="20"/>
          <w:szCs w:val="20"/>
          <w:color w:val="auto"/>
        </w:rPr>
      </w:pPr>
    </w:p>
    <w:p>
      <w:pPr>
        <w:sectPr>
          <w:pgSz w:w="11900" w:h="16838" w:orient="portrait"/>
          <w:cols w:equalWidth="0" w:num="2">
            <w:col w:w="5509" w:space="720"/>
            <w:col w:w="4911"/>
          </w:cols>
          <w:pgMar w:left="320" w:top="1035" w:right="4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type w:val="continuous"/>
        </w:sectPr>
      </w:pPr>
    </w:p>
    <w:bookmarkStart w:id="37" w:name="page38"/>
    <w:bookmarkEnd w:id="37"/>
    <w:p>
      <w:pPr>
        <w:ind w:firstLine="324"/>
        <w:spacing w:after="0" w:line="251"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03" w:right="439" w:bottom="1440" w:gutter="0" w:footer="0" w:header="0"/>
        </w:sectPr>
      </w:pPr>
    </w:p>
    <w:bookmarkStart w:id="38" w:name="page39"/>
    <w:bookmarkEnd w:id="38"/>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 xml:space="preserve">For the three months ended March 31, 2021,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2020 Annual Report.</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74"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Our Chief Executive Officer and our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March 31, 2021.</w:t>
      </w:r>
    </w:p>
    <w:p>
      <w:pPr>
        <w:spacing w:after="0" w:line="16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March 31, 2021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6" w:right="459" w:bottom="1440" w:gutter="0" w:footer="0" w:header="0"/>
        </w:sectPr>
      </w:pPr>
    </w:p>
    <w:bookmarkStart w:id="39" w:name="page40"/>
    <w:bookmarkEnd w:id="39"/>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7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2020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2020 Annual Report. There were no material changes to those risk factors during the three months ended March 31, 2021.</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0" w:name="page41"/>
    <w:bookmarkEnd w:id="40"/>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ectPr>
          <w:pgSz w:w="11900" w:h="16838" w:orient="portrait"/>
          <w:cols w:equalWidth="0" w:num="1">
            <w:col w:w="11220"/>
          </w:cols>
          <w:pgMar w:left="320" w:top="886" w:right="35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80"/>
        <w:spacing w:after="0" w:line="246"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Amended and Restated Certificate of Incorporation of California Resources Corporation (filed as Exhibit 3.1 to Registrant’s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Registration Statement on Form 8-A filed October 27, 2020 and incorporated herein by reference).</w:t>
        </w:r>
      </w:hyperlink>
    </w:p>
    <w:p>
      <w:pPr>
        <w:spacing w:after="0" w:line="89" w:lineRule="exact"/>
        <w:rPr>
          <w:sz w:val="20"/>
          <w:szCs w:val="20"/>
          <w:color w:val="auto"/>
        </w:rPr>
      </w:pPr>
    </w:p>
    <w:p>
      <w:pPr>
        <w:ind w:right="600"/>
        <w:spacing w:after="0" w:line="246" w:lineRule="auto"/>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Amended and Restated Bylaws of California Resources Corporation (filed as Exhibit 3.2 to the Registrant’s Registration</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Statement on Form 8-A filed October 27, 2020 and incorporated herein by reference).</w:t>
        </w:r>
      </w:hyperlink>
    </w:p>
    <w:p>
      <w:pPr>
        <w:spacing w:after="0" w:line="75" w:lineRule="exact"/>
        <w:rPr>
          <w:sz w:val="20"/>
          <w:szCs w:val="20"/>
          <w:color w:val="auto"/>
        </w:rPr>
      </w:pPr>
    </w:p>
    <w:p>
      <w:pPr>
        <w:ind w:right="340"/>
        <w:spacing w:after="0" w:line="219" w:lineRule="auto"/>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Indenture, dated January 20, 2021, by and among California Resources Corporation, the guarantors and Wilmington Trust,</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National Association (filed as Exhibit 4.1 to the Registrant’s Current Report on Form 8-K filed January 21, 2021 and</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incorporated herein by reference).</w:t>
        </w:r>
      </w:hyperlink>
    </w:p>
    <w:p>
      <w:pPr>
        <w:spacing w:after="0" w:line="37" w:lineRule="exact"/>
        <w:rPr>
          <w:rFonts w:ascii="Arial" w:cs="Arial" w:eastAsia="Arial" w:hAnsi="Arial"/>
          <w:sz w:val="18"/>
          <w:szCs w:val="18"/>
          <w:u w:val="single" w:color="auto"/>
          <w:color w:val="0000FF"/>
        </w:rPr>
      </w:pPr>
    </w:p>
    <w:p>
      <w:pPr>
        <w:sectPr>
          <w:pgSz w:w="11900" w:h="16838" w:orient="portrait"/>
          <w:cols w:equalWidth="0" w:num="2">
            <w:col w:w="400" w:space="720"/>
            <w:col w:w="10100"/>
          </w:cols>
          <w:pgMar w:left="320" w:top="886"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4.2</w:t>
            </w:r>
          </w:p>
        </w:tc>
        <w:tc>
          <w:tcPr>
            <w:tcW w:w="10180" w:type="dxa"/>
            <w:vAlign w:val="bottom"/>
            <w:gridSpan w:val="23"/>
          </w:tcPr>
          <w:p>
            <w:pPr>
              <w:spacing w:after="0"/>
              <w:rPr>
                <w:rFonts w:ascii="Arial" w:cs="Arial" w:eastAsia="Arial" w:hAnsi="Arial"/>
                <w:sz w:val="18"/>
                <w:szCs w:val="18"/>
                <w:color w:val="0000FF"/>
              </w:rPr>
            </w:pPr>
            <w:hyperlink r:id="rId58">
              <w:r>
                <w:rPr>
                  <w:rFonts w:ascii="Arial" w:cs="Arial" w:eastAsia="Arial" w:hAnsi="Arial"/>
                  <w:sz w:val="18"/>
                  <w:szCs w:val="18"/>
                  <w:color w:val="0000FF"/>
                </w:rPr>
                <w:t>First Supplemental Indenture, dated January 20, 2021, by and among California Resources Corporation, the guarantors, Elk</w:t>
              </w:r>
            </w:hyperlink>
          </w:p>
        </w:tc>
      </w:tr>
      <w:tr>
        <w:trPr>
          <w:trHeight w:val="155"/>
        </w:trPr>
        <w:tc>
          <w:tcPr>
            <w:tcW w:w="1100" w:type="dxa"/>
            <w:vAlign w:val="bottom"/>
          </w:tcPr>
          <w:p>
            <w:pPr>
              <w:spacing w:after="0"/>
              <w:rPr>
                <w:sz w:val="13"/>
                <w:szCs w:val="13"/>
                <w:color w:val="auto"/>
              </w:rPr>
            </w:pPr>
          </w:p>
        </w:tc>
        <w:tc>
          <w:tcPr>
            <w:tcW w:w="988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58">
              <w:r>
                <w:rPr>
                  <w:rFonts w:ascii="Arial" w:cs="Arial" w:eastAsia="Arial" w:hAnsi="Arial"/>
                  <w:sz w:val="17"/>
                  <w:szCs w:val="17"/>
                  <w:color w:val="0000FF"/>
                </w:rPr>
                <w:t>Hills Power, LLC, EHP Midco Holding Company, LLC, EHP Topco Holding Company, LLC and Wilmington Trust, National</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9620" w:type="dxa"/>
            <w:vAlign w:val="bottom"/>
            <w:tcBorders>
              <w:top w:val="single" w:sz="8" w:color="0000FF"/>
            </w:tcBorders>
            <w:gridSpan w:val="10"/>
          </w:tcPr>
          <w:p>
            <w:pPr>
              <w:spacing w:after="0" w:line="157" w:lineRule="exact"/>
              <w:rPr>
                <w:rFonts w:ascii="Arial" w:cs="Arial" w:eastAsia="Arial" w:hAnsi="Arial"/>
                <w:sz w:val="18"/>
                <w:szCs w:val="18"/>
                <w:color w:val="0000FF"/>
              </w:rPr>
            </w:pPr>
            <w:hyperlink r:id="rId58">
              <w:r>
                <w:rPr>
                  <w:rFonts w:ascii="Arial" w:cs="Arial" w:eastAsia="Arial" w:hAnsi="Arial"/>
                  <w:sz w:val="18"/>
                  <w:szCs w:val="18"/>
                  <w:color w:val="0000FF"/>
                </w:rPr>
                <w:t>Association (filed as Exhibit 4.2 to the Registrant’s Current Report on Form 8-K filed January 21, 2021 and incorporated</w:t>
              </w:r>
            </w:hyperlink>
          </w:p>
        </w:tc>
        <w:tc>
          <w:tcPr>
            <w:tcW w:w="560" w:type="dxa"/>
            <w:vAlign w:val="bottom"/>
            <w:gridSpan w:val="13"/>
          </w:tcPr>
          <w:p>
            <w:pPr>
              <w:spacing w:after="0" w:line="157" w:lineRule="exact"/>
              <w:rPr>
                <w:rFonts w:ascii="Arial" w:cs="Arial" w:eastAsia="Arial" w:hAnsi="Arial"/>
                <w:sz w:val="18"/>
                <w:szCs w:val="18"/>
                <w:color w:val="0000FF"/>
              </w:rPr>
            </w:pPr>
            <w:hyperlink r:id="rId58">
              <w:r>
                <w:rPr>
                  <w:rFonts w:ascii="Arial" w:cs="Arial" w:eastAsia="Arial" w:hAnsi="Arial"/>
                  <w:sz w:val="18"/>
                  <w:szCs w:val="18"/>
                  <w:color w:val="0000FF"/>
                </w:rPr>
                <w:t>herein</w:t>
              </w:r>
            </w:hyperlink>
          </w:p>
        </w:tc>
      </w:tr>
      <w:tr>
        <w:trPr>
          <w:trHeight w:val="156"/>
        </w:trPr>
        <w:tc>
          <w:tcPr>
            <w:tcW w:w="110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gridSpan w:val="23"/>
          </w:tcPr>
          <w:p>
            <w:pPr>
              <w:spacing w:after="0"/>
              <w:rPr>
                <w:rFonts w:ascii="Arial" w:cs="Arial" w:eastAsia="Arial" w:hAnsi="Arial"/>
                <w:sz w:val="18"/>
                <w:szCs w:val="18"/>
                <w:color w:val="0000FF"/>
              </w:rPr>
            </w:pPr>
            <w:hyperlink r:id="rId59">
              <w:r>
                <w:rPr>
                  <w:rFonts w:ascii="Arial" w:cs="Arial" w:eastAsia="Arial" w:hAnsi="Arial"/>
                  <w:sz w:val="18"/>
                  <w:szCs w:val="18"/>
                  <w:color w:val="0000FF"/>
                </w:rPr>
                <w:t>California Resources Corporation 2021 Long-Term Incentive Plan (filed as Exhibit 10.1 to the Registrant’s Current Report on</w:t>
              </w:r>
            </w:hyperlink>
          </w:p>
        </w:tc>
      </w:tr>
      <w:tr>
        <w:trPr>
          <w:trHeight w:val="156"/>
        </w:trPr>
        <w:tc>
          <w:tcPr>
            <w:tcW w:w="1100" w:type="dxa"/>
            <w:vAlign w:val="bottom"/>
          </w:tcPr>
          <w:p>
            <w:pPr>
              <w:spacing w:after="0"/>
              <w:rPr>
                <w:sz w:val="13"/>
                <w:szCs w:val="13"/>
                <w:color w:val="auto"/>
              </w:rPr>
            </w:pPr>
          </w:p>
        </w:tc>
        <w:tc>
          <w:tcPr>
            <w:tcW w:w="94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Form 8-K filed January 22, 2021 and incorporated herein by reference).</w:t>
              </w:r>
            </w:hyperlink>
          </w:p>
        </w:tc>
        <w:tc>
          <w:tcPr>
            <w:tcW w:w="20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10180" w:type="dxa"/>
            <w:vAlign w:val="bottom"/>
            <w:gridSpan w:val="23"/>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Form of California Resources Corporation 2021 Long Term Incentive Plan Restricted Stock Unit Award for Non-Employee</w:t>
              </w:r>
            </w:hyperlink>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00" w:type="dxa"/>
            <w:vAlign w:val="bottom"/>
          </w:tcPr>
          <w:p>
            <w:pPr>
              <w:spacing w:after="0"/>
              <w:rPr>
                <w:sz w:val="13"/>
                <w:szCs w:val="13"/>
                <w:color w:val="auto"/>
              </w:rPr>
            </w:pPr>
          </w:p>
        </w:tc>
        <w:tc>
          <w:tcPr>
            <w:tcW w:w="10180" w:type="dxa"/>
            <w:vAlign w:val="bottom"/>
            <w:gridSpan w:val="23"/>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Directors Grant Agreement (filed as Exhibit 10.45 to the Registrant’s Annual Report on Form 10-K filed March 11, 2021 and</w:t>
              </w:r>
            </w:hyperlink>
          </w:p>
        </w:tc>
      </w:tr>
      <w:tr>
        <w:trPr>
          <w:trHeight w:val="156"/>
        </w:trPr>
        <w:tc>
          <w:tcPr>
            <w:tcW w:w="110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incorporated herein by reference).</w:t>
              </w:r>
            </w:hyperlink>
          </w:p>
        </w:tc>
        <w:tc>
          <w:tcPr>
            <w:tcW w:w="708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10180" w:type="dxa"/>
            <w:vAlign w:val="bottom"/>
            <w:gridSpan w:val="23"/>
          </w:tcPr>
          <w:p>
            <w:pPr>
              <w:spacing w:after="0"/>
              <w:rPr>
                <w:rFonts w:ascii="Arial" w:cs="Arial" w:eastAsia="Arial" w:hAnsi="Arial"/>
                <w:sz w:val="18"/>
                <w:szCs w:val="18"/>
                <w:color w:val="0000FF"/>
              </w:rPr>
            </w:pPr>
            <w:hyperlink r:id="rId61">
              <w:r>
                <w:rPr>
                  <w:rFonts w:ascii="Arial" w:cs="Arial" w:eastAsia="Arial" w:hAnsi="Arial"/>
                  <w:sz w:val="18"/>
                  <w:szCs w:val="18"/>
                  <w:color w:val="0000FF"/>
                </w:rPr>
                <w:t>Form of California Resources Corporation 2021 Long Term Incentive Plan Restricted Stock Unit Award Term and Conditions</w:t>
              </w:r>
            </w:hyperlink>
          </w:p>
        </w:tc>
      </w:tr>
      <w:tr>
        <w:trPr>
          <w:trHeight w:val="156"/>
        </w:trPr>
        <w:tc>
          <w:tcPr>
            <w:tcW w:w="110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(filed as Exhibit 10.46 to the Registrant’s Annual Report on Form 10-K filed March 11, 2021 and incorporated herein by</w:t>
              </w:r>
            </w:hyperlink>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94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reference).</w:t>
              </w:r>
            </w:hyperlink>
          </w:p>
        </w:tc>
        <w:tc>
          <w:tcPr>
            <w:tcW w:w="6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10180" w:type="dxa"/>
            <w:vAlign w:val="bottom"/>
            <w:gridSpan w:val="23"/>
          </w:tcPr>
          <w:p>
            <w:pPr>
              <w:spacing w:after="0"/>
              <w:rPr>
                <w:rFonts w:ascii="Arial" w:cs="Arial" w:eastAsia="Arial" w:hAnsi="Arial"/>
                <w:sz w:val="18"/>
                <w:szCs w:val="18"/>
                <w:color w:val="0000FF"/>
              </w:rPr>
            </w:pPr>
            <w:hyperlink r:id="rId62">
              <w:r>
                <w:rPr>
                  <w:rFonts w:ascii="Arial" w:cs="Arial" w:eastAsia="Arial" w:hAnsi="Arial"/>
                  <w:sz w:val="18"/>
                  <w:szCs w:val="18"/>
                  <w:color w:val="0000FF"/>
                </w:rPr>
                <w:t>Form of California Resources Corporation 2021 Long Term Incentive Plan Restricted Stock Unit Award Term and Conditions</w:t>
              </w:r>
            </w:hyperlink>
          </w:p>
        </w:tc>
      </w:tr>
      <w:tr>
        <w:trPr>
          <w:trHeight w:val="156"/>
        </w:trPr>
        <w:tc>
          <w:tcPr>
            <w:tcW w:w="110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(filed as Exhibit 10.47 to the Registrant’s Annual Report on Form 10-K filed March 11, 2021 and incorporated herein by</w:t>
              </w:r>
            </w:hyperlink>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94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reference).</w:t>
              </w:r>
            </w:hyperlink>
          </w:p>
        </w:tc>
        <w:tc>
          <w:tcPr>
            <w:tcW w:w="6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10180" w:type="dxa"/>
            <w:vAlign w:val="bottom"/>
            <w:gridSpan w:val="23"/>
          </w:tcPr>
          <w:p>
            <w:pPr>
              <w:spacing w:after="0"/>
              <w:rPr>
                <w:rFonts w:ascii="Arial" w:cs="Arial" w:eastAsia="Arial" w:hAnsi="Arial"/>
                <w:sz w:val="18"/>
                <w:szCs w:val="18"/>
                <w:color w:val="0000FF"/>
              </w:rPr>
            </w:pPr>
            <w:hyperlink r:id="rId63">
              <w:r>
                <w:rPr>
                  <w:rFonts w:ascii="Arial" w:cs="Arial" w:eastAsia="Arial" w:hAnsi="Arial"/>
                  <w:sz w:val="18"/>
                  <w:szCs w:val="18"/>
                  <w:color w:val="0000FF"/>
                </w:rPr>
                <w:t>Form of California Resources Corporation 2021 Long Term Incentive Plan Performance Stock Unit Award Term and Conditions</w:t>
              </w:r>
            </w:hyperlink>
          </w:p>
        </w:tc>
      </w:tr>
      <w:tr>
        <w:trPr>
          <w:trHeight w:val="156"/>
        </w:trPr>
        <w:tc>
          <w:tcPr>
            <w:tcW w:w="110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(filed as Exhibit 10.48 to the Registrant’s Annual Report on Form 10-K filed March 11, 2021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94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reference).</w:t>
              </w:r>
            </w:hyperlink>
          </w:p>
        </w:tc>
        <w:tc>
          <w:tcPr>
            <w:tcW w:w="64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10180" w:type="dxa"/>
            <w:vAlign w:val="bottom"/>
            <w:gridSpan w:val="23"/>
          </w:tcPr>
          <w:p>
            <w:pPr>
              <w:spacing w:after="0"/>
              <w:rPr>
                <w:rFonts w:ascii="Arial" w:cs="Arial" w:eastAsia="Arial" w:hAnsi="Arial"/>
                <w:sz w:val="18"/>
                <w:szCs w:val="18"/>
                <w:color w:val="0000FF"/>
              </w:rPr>
            </w:pPr>
            <w:hyperlink r:id="rId64">
              <w:r>
                <w:rPr>
                  <w:rFonts w:ascii="Arial" w:cs="Arial" w:eastAsia="Arial" w:hAnsi="Arial"/>
                  <w:sz w:val="18"/>
                  <w:szCs w:val="18"/>
                  <w:color w:val="0000FF"/>
                </w:rPr>
                <w:t>Employment Agreement by and between Mark A. McFarland and California Resources Corporation, dated March 22, 2021</w:t>
              </w:r>
            </w:hyperlink>
          </w:p>
        </w:tc>
      </w:tr>
      <w:tr>
        <w:trPr>
          <w:trHeight w:val="155"/>
        </w:trPr>
        <w:tc>
          <w:tcPr>
            <w:tcW w:w="110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(filed as Exhibit 10.1 to the Registrant's Current Report on Form 8-K filed March 22, 2021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10140" w:type="dxa"/>
            <w:vAlign w:val="bottom"/>
            <w:gridSpan w:val="21"/>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10180" w:type="dxa"/>
            <w:vAlign w:val="bottom"/>
            <w:gridSpan w:val="23"/>
          </w:tcPr>
          <w:p>
            <w:pPr>
              <w:spacing w:after="0"/>
              <w:rPr>
                <w:rFonts w:ascii="Arial" w:cs="Arial" w:eastAsia="Arial" w:hAnsi="Arial"/>
                <w:sz w:val="18"/>
                <w:szCs w:val="18"/>
                <w:color w:val="0000FF"/>
              </w:rPr>
            </w:pPr>
            <w:hyperlink r:id="rId65">
              <w:r>
                <w:rPr>
                  <w:rFonts w:ascii="Arial" w:cs="Arial" w:eastAsia="Arial" w:hAnsi="Arial"/>
                  <w:sz w:val="18"/>
                  <w:szCs w:val="18"/>
                  <w:color w:val="0000FF"/>
                </w:rPr>
                <w:t>First Amendment to the Credit Agreement, dated as of May 7, 2021, by and among California Resources Corporation, as the</w:t>
              </w:r>
            </w:hyperlink>
          </w:p>
        </w:tc>
      </w:tr>
      <w:tr>
        <w:trPr>
          <w:trHeight w:val="155"/>
        </w:trPr>
        <w:tc>
          <w:tcPr>
            <w:tcW w:w="110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Borrower, the several lenders from time to time parties thereto and Citibank, N.A., as Administrative Agent, Collateral Agent</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10120" w:type="dxa"/>
            <w:vAlign w:val="bottom"/>
            <w:tcBorders>
              <w:bottom w:val="single" w:sz="8" w:color="0000FF"/>
            </w:tcBorders>
            <w:gridSpan w:val="20"/>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and an Issuing Bank (filed as Exhibit 10.1 to the Registrant's Current Report on Form 8-K filed May 10, 2021 and incorporated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1660" w:type="dxa"/>
            <w:vAlign w:val="bottom"/>
            <w:tcBorders>
              <w:bottom w:val="single" w:sz="8" w:color="0000FF"/>
            </w:tcBorders>
            <w:gridSpan w:val="3"/>
          </w:tcPr>
          <w:p>
            <w:pPr>
              <w:spacing w:after="0" w:line="156" w:lineRule="exact"/>
              <w:rPr>
                <w:rFonts w:ascii="Arial" w:cs="Arial" w:eastAsia="Arial" w:hAnsi="Arial"/>
                <w:sz w:val="18"/>
                <w:szCs w:val="18"/>
                <w:color w:val="0000FF"/>
                <w:w w:val="98"/>
              </w:rPr>
            </w:pPr>
            <w:hyperlink r:id="rId65">
              <w:r>
                <w:rPr>
                  <w:rFonts w:ascii="Arial" w:cs="Arial" w:eastAsia="Arial" w:hAnsi="Arial"/>
                  <w:sz w:val="18"/>
                  <w:szCs w:val="18"/>
                  <w:color w:val="0000FF"/>
                  <w:w w:val="98"/>
                </w:rPr>
                <w:t>herein by reference.)</w:t>
              </w:r>
            </w:hyperlink>
          </w:p>
        </w:tc>
        <w:tc>
          <w:tcPr>
            <w:tcW w:w="850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642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Certification of CEO Pursuant to Section 302 of the Sarbanes-Oxley Act of 2002.</w:t>
              </w:r>
            </w:hyperlink>
          </w:p>
        </w:tc>
        <w:tc>
          <w:tcPr>
            <w:tcW w:w="3760" w:type="dxa"/>
            <w:vAlign w:val="bottom"/>
            <w:gridSpan w:val="16"/>
          </w:tcPr>
          <w:p>
            <w:pPr>
              <w:spacing w:after="0"/>
              <w:rPr>
                <w:sz w:val="22"/>
                <w:szCs w:val="22"/>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gridSpan w:val="2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CFO Pursuant to Section 302 of the Sarbanes-Oxley Act of 2002.</w:t>
              </w:r>
            </w:hyperlink>
          </w:p>
        </w:tc>
      </w:tr>
      <w:tr>
        <w:trPr>
          <w:trHeight w:val="20"/>
        </w:trPr>
        <w:tc>
          <w:tcPr>
            <w:tcW w:w="1100" w:type="dxa"/>
            <w:vAlign w:val="bottom"/>
          </w:tcPr>
          <w:p>
            <w:pPr>
              <w:spacing w:after="0" w:line="20" w:lineRule="exact"/>
              <w:rPr>
                <w:sz w:val="1"/>
                <w:szCs w:val="1"/>
                <w:color w:val="auto"/>
              </w:rPr>
            </w:pPr>
          </w:p>
        </w:tc>
        <w:tc>
          <w:tcPr>
            <w:tcW w:w="6400" w:type="dxa"/>
            <w:vAlign w:val="bottom"/>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0180" w:type="dxa"/>
            <w:vAlign w:val="bottom"/>
            <w:gridSpan w:val="2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Certifications of CEO and CFO Pursuant to Section 906 of the Sarbanes-Oxley Act of 2002.</w:t>
              </w:r>
            </w:hyperlink>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2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Inline XBRL Instance Document.</w:t>
            </w:r>
          </w:p>
        </w:tc>
        <w:tc>
          <w:tcPr>
            <w:tcW w:w="2900" w:type="dxa"/>
            <w:vAlign w:val="bottom"/>
            <w:gridSpan w:val="15"/>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7" w:lineRule="exact"/>
        <w:rPr>
          <w:sz w:val="20"/>
          <w:szCs w:val="20"/>
          <w:color w:val="auto"/>
        </w:rPr>
      </w:pPr>
    </w:p>
    <w:p>
      <w:pPr>
        <w:ind w:left="1120" w:hanging="1094"/>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280" w:type="dxa"/>
            <w:vAlign w:val="bottom"/>
            <w:gridSpan w:val="2"/>
          </w:tcPr>
          <w:p>
            <w:pPr>
              <w:ind w:left="1020"/>
              <w:spacing w:after="0"/>
              <w:rPr>
                <w:sz w:val="20"/>
                <w:szCs w:val="20"/>
                <w:color w:val="auto"/>
              </w:rPr>
            </w:pPr>
            <w:r>
              <w:rPr>
                <w:rFonts w:ascii="Arial" w:cs="Arial" w:eastAsia="Arial" w:hAnsi="Arial"/>
                <w:sz w:val="18"/>
                <w:szCs w:val="18"/>
                <w:color w:val="auto"/>
              </w:rPr>
              <w:t>CALIFORNIA RESOURCES CORPORATION</w:t>
            </w:r>
          </w:p>
        </w:tc>
      </w:tr>
      <w:tr>
        <w:trPr>
          <w:trHeight w:val="675"/>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340" w:type="dxa"/>
            <w:vAlign w:val="bottom"/>
          </w:tcPr>
          <w:p>
            <w:pPr>
              <w:ind w:left="240"/>
              <w:spacing w:after="0"/>
              <w:rPr>
                <w:sz w:val="20"/>
                <w:szCs w:val="20"/>
                <w:color w:val="auto"/>
              </w:rPr>
            </w:pPr>
            <w:r>
              <w:rPr>
                <w:rFonts w:ascii="Arial" w:cs="Arial" w:eastAsia="Arial" w:hAnsi="Arial"/>
                <w:sz w:val="18"/>
                <w:szCs w:val="18"/>
                <w:color w:val="auto"/>
              </w:rPr>
              <w:t>May 13, 2021</w:t>
            </w:r>
          </w:p>
        </w:tc>
        <w:tc>
          <w:tcPr>
            <w:tcW w:w="102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23"/>
        </w:trPr>
        <w:tc>
          <w:tcPr>
            <w:tcW w:w="7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bl>
    <w:p>
      <w:pPr>
        <w:spacing w:after="0" w:line="1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Vice President and Controller</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88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58"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660" w:right="360" w:hanging="328"/>
        <w:spacing w:after="0" w:line="248"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60" w:right="360" w:hanging="328"/>
        <w:spacing w:after="0" w:line="254" w:lineRule="auto"/>
        <w:tabs>
          <w:tab w:leader="none" w:pos="65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7"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Date: May 13, 2021</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8255</wp:posOffset>
            </wp:positionV>
            <wp:extent cx="2828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Mark A. (Mac) McFarland</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2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31"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May 13, 2021</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8255</wp:posOffset>
            </wp:positionV>
            <wp:extent cx="2880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8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2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connection with the Quarterly Report on Form 10-Q of California Resources Corporation (the “Company”) for the fiscal period ended March 31, 2021, as filed with the Securities and Exchange Commission on May 13, 2021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07"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(Mac) McFarland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13, 2021</w:t>
            </w:r>
          </w:p>
        </w:tc>
      </w:tr>
      <w:tr>
        <w:trPr>
          <w:trHeight w:val="432"/>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13, 2021</w:t>
            </w:r>
          </w:p>
        </w:tc>
      </w:tr>
    </w:tbl>
    <w:p>
      <w:pPr>
        <w:spacing w:after="0" w:line="200" w:lineRule="exact"/>
        <w:rPr>
          <w:sz w:val="20"/>
          <w:szCs w:val="20"/>
          <w:color w:val="auto"/>
        </w:rPr>
      </w:pPr>
    </w:p>
    <w:p>
      <w:pPr>
        <w:spacing w:after="0" w:line="23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6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2"/>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55" Type="http://schemas.openxmlformats.org/officeDocument/2006/relationships/hyperlink" Target="http://www.sec.gov/Archives/edgar/data/1609253/000160925320000137/a8aex31.htm" TargetMode="External"/><Relationship Id="rId56" Type="http://schemas.openxmlformats.org/officeDocument/2006/relationships/hyperlink" Target="http://www.sec.gov/Archives/edgar/data/1609253/000160925320000137/a8aex32.htm" TargetMode="External"/><Relationship Id="rId57" Type="http://schemas.openxmlformats.org/officeDocument/2006/relationships/hyperlink" Target="http://www.sec.gov/Archives/edgar/data/1609253/000160925321000010/a20200120ex41.htm" TargetMode="External"/><Relationship Id="rId58" Type="http://schemas.openxmlformats.org/officeDocument/2006/relationships/hyperlink" Target="http://www.sec.gov/Archives/edgar/data/1609253/000160925321000010/a20200120ex42.htm" TargetMode="External"/><Relationship Id="rId59" Type="http://schemas.openxmlformats.org/officeDocument/2006/relationships/hyperlink" Target="http://www.sec.gov/Archives/edgar/data/1609253/000160925321000014/a20210118ex101.htm" TargetMode="External"/><Relationship Id="rId60" Type="http://schemas.openxmlformats.org/officeDocument/2006/relationships/hyperlink" Target="http://www.sec.gov/Archives/edgar/data/1609253/000160925321000047/a2020yeex1045rsuawardagree.htm" TargetMode="External"/><Relationship Id="rId61" Type="http://schemas.openxmlformats.org/officeDocument/2006/relationships/hyperlink" Target="http://www.sec.gov/Archives/edgar/data/1609253/000160925321000047/a2020yeex1046restrictedsto.htm" TargetMode="External"/><Relationship Id="rId62" Type="http://schemas.openxmlformats.org/officeDocument/2006/relationships/hyperlink" Target="http://www.sec.gov/Archives/edgar/data/1609253/000160925321000047/a2020yeex1047restrictedsto.htm" TargetMode="External"/><Relationship Id="rId63" Type="http://schemas.openxmlformats.org/officeDocument/2006/relationships/hyperlink" Target="http://www.sec.gov/Archives/edgar/data/1609253/000160925321000047/a2020yeex1048performancest.htm" TargetMode="External"/><Relationship Id="rId64" Type="http://schemas.openxmlformats.org/officeDocument/2006/relationships/hyperlink" Target="http://www.sec.gov/Archives/edgar/data/1609253/000160925321000055/a20210322ex101.htm" TargetMode="External"/><Relationship Id="rId65" Type="http://schemas.openxmlformats.org/officeDocument/2006/relationships/hyperlink" Target="http://www.sec.gov/Archives/edgar/data/1609253/000160925321000068/a20210507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2021-05-13T16:02:05Z</dcterms:created>
  <dcterms:modified xsi:type="dcterms:W3CDTF">2021-05-13T16:02:05Z</dcterms:modified>
</cp:coreProperties>
</file>