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CALIFORNIA RESOURCES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13057Q206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16, 2018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13d-l(b)</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13d-l(c)</w:t>
      </w:r>
    </w:p>
    <w:p>
      <w:pPr>
        <w:spacing w:after="0" w:line="225"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13d-l(d)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tabs>
          <w:tab w:leader="none" w:pos="568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13057Q206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color w:val="auto"/>
        </w:rPr>
        <w:t>Page 2 of 5 Pages</w:t>
      </w:r>
    </w:p>
    <w:p>
      <w:pPr>
        <w:spacing w:after="0" w:line="175" w:lineRule="exact"/>
        <w:rPr>
          <w:sz w:val="20"/>
          <w:szCs w:val="20"/>
          <w:color w:val="auto"/>
        </w:rPr>
      </w:pPr>
    </w:p>
    <w:p>
      <w:pPr>
        <w:ind w:left="660" w:hanging="40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394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394325"/>
                    </a:xfrm>
                    <a:prstGeom prst="rect">
                      <a:avLst/>
                    </a:prstGeom>
                    <a:noFill/>
                  </pic:spPr>
                </pic:pic>
              </a:graphicData>
            </a:graphic>
          </wp:anchor>
        </w:drawing>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CHEVRON CORPORATION</w:t>
      </w:r>
    </w:p>
    <w:p>
      <w:pPr>
        <w:spacing w:after="0" w:line="24" w:lineRule="exact"/>
        <w:rPr>
          <w:sz w:val="20"/>
          <w:szCs w:val="20"/>
          <w:color w:val="auto"/>
        </w:rPr>
      </w:pPr>
    </w:p>
    <w:p>
      <w:pPr>
        <w:ind w:left="660" w:hanging="405"/>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60"/>
        <w:spacing w:after="0" w:line="207" w:lineRule="exact"/>
        <w:tabs>
          <w:tab w:leader="none" w:pos="26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Not Applicable</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(b) Not Applicable</w:t>
      </w:r>
    </w:p>
    <w:p>
      <w:pPr>
        <w:spacing w:after="0" w:line="270" w:lineRule="exact"/>
        <w:rPr>
          <w:sz w:val="20"/>
          <w:szCs w:val="20"/>
          <w:color w:val="auto"/>
        </w:rPr>
      </w:pPr>
    </w:p>
    <w:p>
      <w:pPr>
        <w:ind w:left="660" w:hanging="405"/>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hanging="405"/>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p>
      <w:pPr>
        <w:ind w:left="1980" w:hanging="446"/>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96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2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4"/>
              </w:rPr>
              <w:t>SHARES</w:t>
            </w:r>
          </w:p>
        </w:tc>
        <w:tc>
          <w:tcPr>
            <w:tcW w:w="340" w:type="dxa"/>
            <w:vAlign w:val="bottom"/>
            <w:vMerge w:val="continue"/>
          </w:tcPr>
          <w:p>
            <w:pPr>
              <w:spacing w:after="0"/>
              <w:rPr>
                <w:sz w:val="15"/>
                <w:szCs w:val="15"/>
                <w:color w:val="auto"/>
              </w:rPr>
            </w:pPr>
          </w:p>
        </w:tc>
        <w:tc>
          <w:tcPr>
            <w:tcW w:w="9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9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340" w:type="dxa"/>
            <w:vAlign w:val="bottom"/>
          </w:tcPr>
          <w:p>
            <w:pPr>
              <w:spacing w:after="0"/>
              <w:rPr>
                <w:sz w:val="18"/>
                <w:szCs w:val="18"/>
                <w:color w:val="auto"/>
              </w:rPr>
            </w:pPr>
          </w:p>
        </w:tc>
        <w:tc>
          <w:tcPr>
            <w:tcW w:w="9620" w:type="dxa"/>
            <w:vAlign w:val="bottom"/>
            <w:vMerge w:val="restart"/>
          </w:tcPr>
          <w:p>
            <w:pPr>
              <w:ind w:left="160"/>
              <w:spacing w:after="0"/>
              <w:rPr>
                <w:sz w:val="20"/>
                <w:szCs w:val="20"/>
                <w:color w:val="auto"/>
              </w:rPr>
            </w:pPr>
            <w:r>
              <w:rPr>
                <w:rFonts w:ascii="Arial" w:cs="Arial" w:eastAsia="Arial" w:hAnsi="Arial"/>
                <w:sz w:val="22"/>
                <w:szCs w:val="22"/>
                <w:color w:val="auto"/>
              </w:rPr>
              <w:t>1,950,000</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OWNED BY</w:t>
            </w:r>
          </w:p>
        </w:tc>
        <w:tc>
          <w:tcPr>
            <w:tcW w:w="340" w:type="dxa"/>
            <w:vAlign w:val="bottom"/>
          </w:tcPr>
          <w:p>
            <w:pPr>
              <w:spacing w:after="0"/>
              <w:rPr>
                <w:sz w:val="20"/>
                <w:szCs w:val="20"/>
                <w:color w:val="auto"/>
              </w:rPr>
            </w:pPr>
          </w:p>
        </w:tc>
        <w:tc>
          <w:tcPr>
            <w:tcW w:w="9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620" w:type="dxa"/>
            <w:vAlign w:val="bottom"/>
            <w:tcBorders>
              <w:top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PERSON</w:t>
            </w:r>
          </w:p>
        </w:tc>
        <w:tc>
          <w:tcPr>
            <w:tcW w:w="340" w:type="dxa"/>
            <w:vAlign w:val="bottom"/>
          </w:tcPr>
          <w:p>
            <w:pPr>
              <w:spacing w:after="0"/>
              <w:rPr>
                <w:sz w:val="20"/>
                <w:szCs w:val="20"/>
                <w:color w:val="auto"/>
              </w:rPr>
            </w:pPr>
          </w:p>
        </w:tc>
        <w:tc>
          <w:tcPr>
            <w:tcW w:w="9620" w:type="dxa"/>
            <w:vAlign w:val="bottom"/>
          </w:tcPr>
          <w:p>
            <w:pPr>
              <w:ind w:left="16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6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9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1,950,000</w:t>
      </w:r>
      <w:r>
        <w:rPr>
          <w:rFonts w:ascii="Arial" w:cs="Arial" w:eastAsia="Arial" w:hAnsi="Arial"/>
          <w:sz w:val="18"/>
          <w:szCs w:val="18"/>
          <w:color w:val="auto"/>
        </w:rPr>
        <w:t>(1)</w:t>
      </w:r>
    </w:p>
    <w:p>
      <w:pPr>
        <w:spacing w:after="0" w:line="24" w:lineRule="exact"/>
        <w:rPr>
          <w:sz w:val="20"/>
          <w:szCs w:val="20"/>
          <w:color w:val="auto"/>
        </w:rPr>
      </w:pPr>
    </w:p>
    <w:p>
      <w:pPr>
        <w:ind w:left="660" w:hanging="40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1,950,000</w:t>
      </w:r>
      <w:r>
        <w:rPr>
          <w:rFonts w:ascii="Arial" w:cs="Arial" w:eastAsia="Arial" w:hAnsi="Arial"/>
          <w:sz w:val="18"/>
          <w:szCs w:val="18"/>
          <w:color w:val="auto"/>
        </w:rPr>
        <w:t>(1)</w:t>
      </w:r>
    </w:p>
    <w:p>
      <w:pPr>
        <w:spacing w:after="0" w:line="24" w:lineRule="exact"/>
        <w:rPr>
          <w:sz w:val="20"/>
          <w:szCs w:val="20"/>
          <w:color w:val="auto"/>
        </w:rPr>
      </w:pPr>
    </w:p>
    <w:p>
      <w:pPr>
        <w:ind w:left="660" w:hanging="495"/>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4" w:lineRule="exact"/>
        <w:rPr>
          <w:sz w:val="20"/>
          <w:szCs w:val="20"/>
          <w:color w:val="auto"/>
        </w:rPr>
      </w:pPr>
    </w:p>
    <w:p>
      <w:pPr>
        <w:ind w:left="660" w:hanging="495"/>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4.04%</w:t>
      </w:r>
      <w:r>
        <w:rPr>
          <w:rFonts w:ascii="Arial" w:cs="Arial" w:eastAsia="Arial" w:hAnsi="Arial"/>
          <w:sz w:val="18"/>
          <w:szCs w:val="18"/>
          <w:color w:val="auto"/>
        </w:rPr>
        <w:t>(2)</w:t>
      </w:r>
    </w:p>
    <w:p>
      <w:pPr>
        <w:spacing w:after="0" w:line="24" w:lineRule="exact"/>
        <w:rPr>
          <w:sz w:val="20"/>
          <w:szCs w:val="20"/>
          <w:color w:val="auto"/>
        </w:rPr>
      </w:pPr>
    </w:p>
    <w:p>
      <w:pPr>
        <w:ind w:left="660" w:hanging="49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w:t>
      </w:r>
    </w:p>
    <w:p>
      <w:pPr>
        <w:spacing w:after="0" w:line="267" w:lineRule="exact"/>
        <w:rPr>
          <w:sz w:val="20"/>
          <w:szCs w:val="20"/>
          <w:color w:val="auto"/>
        </w:rPr>
      </w:pPr>
    </w:p>
    <w:p>
      <w:pPr>
        <w:ind w:left="460" w:right="320" w:hanging="452"/>
        <w:spacing w:after="0" w:line="256"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 xml:space="preserve">Represents 1,950,000 shares of common stock held by Chevron U.S.A. Inc., an indirect wholly-owned subsidiary of Chevron Corporation. Chevron Corporation does not own any shares of common stock in the Issuer. See </w:t>
      </w:r>
      <w:r>
        <w:rPr>
          <w:rFonts w:ascii="Arial" w:cs="Arial" w:eastAsia="Arial" w:hAnsi="Arial"/>
          <w:sz w:val="18"/>
          <w:szCs w:val="18"/>
          <w:u w:val="single" w:color="auto"/>
          <w:color w:val="auto"/>
        </w:rPr>
        <w:t>Item 7</w:t>
      </w:r>
      <w:r>
        <w:rPr>
          <w:rFonts w:ascii="Arial" w:cs="Arial" w:eastAsia="Arial" w:hAnsi="Arial"/>
          <w:sz w:val="18"/>
          <w:szCs w:val="18"/>
          <w:color w:val="auto"/>
        </w:rPr>
        <w:t xml:space="preserve"> for a description of the ownership relationship between Chevron Corporation and Chevron U.S.A. Inc.</w:t>
      </w:r>
    </w:p>
    <w:p>
      <w:pPr>
        <w:ind w:left="460" w:right="480" w:hanging="452"/>
        <w:spacing w:after="0" w:line="261"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Based upon 48,223,741 shares of Common Stock outstanding as of April 30, 2018, as reported in the Issuer’s Registration Statement on Form S-3 (Registration No. 333-224868) filed on May 11, 2018.</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CALIFORNIA RESOURCES CORPORATION</w:t>
      </w:r>
    </w:p>
    <w:p>
      <w:pPr>
        <w:spacing w:after="0" w:line="37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9200 OAKDALE AVE., SUITE 900, LOS ANGELES, CA 91311</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CHEVRON CORPORATION</w:t>
      </w:r>
    </w:p>
    <w:p>
      <w:pPr>
        <w:sectPr>
          <w:pgSz w:w="11900" w:h="16838" w:orient="portrait"/>
          <w:cols w:equalWidth="0" w:num="1">
            <w:col w:w="11440"/>
          </w:cols>
          <w:pgMar w:left="240" w:top="270" w:right="219" w:bottom="1440" w:gutter="0" w:footer="0" w:header="0"/>
        </w:sectPr>
      </w:pPr>
    </w:p>
    <w:bookmarkStart w:id="2" w:name="page3"/>
    <w:bookmarkEnd w:id="2"/>
    <w:p>
      <w:pPr>
        <w:spacing w:after="0"/>
        <w:tabs>
          <w:tab w:leader="none" w:pos="568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13057Q206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color w:val="auto"/>
        </w:rPr>
        <w:t>Page 3 of 5 Pages</w:t>
      </w:r>
    </w:p>
    <w:p>
      <w:pPr>
        <w:spacing w:after="0" w:line="158" w:lineRule="exact"/>
        <w:rPr>
          <w:sz w:val="20"/>
          <w:szCs w:val="20"/>
          <w:color w:val="auto"/>
        </w:rPr>
      </w:pPr>
    </w:p>
    <w:p>
      <w:pPr>
        <w:ind w:left="920" w:right="5700" w:hanging="466"/>
        <w:spacing w:after="0" w:line="488" w:lineRule="auto"/>
        <w:tabs>
          <w:tab w:leader="none" w:pos="898"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 or Principal Business Office or, if None, Residence: </w:t>
      </w:r>
      <w:r>
        <w:rPr>
          <w:rFonts w:ascii="Arial" w:cs="Arial" w:eastAsia="Arial" w:hAnsi="Arial"/>
          <w:sz w:val="16"/>
          <w:szCs w:val="16"/>
          <w:color w:val="auto"/>
        </w:rPr>
        <w:t>6001 BOLLINGER CANYON ROAD, SAN RAMON, CA 94583</w:t>
      </w:r>
    </w:p>
    <w:p>
      <w:pPr>
        <w:spacing w:after="0" w:line="156" w:lineRule="exact"/>
        <w:rPr>
          <w:rFonts w:ascii="Arial" w:cs="Arial" w:eastAsia="Arial" w:hAnsi="Arial"/>
          <w:sz w:val="16"/>
          <w:szCs w:val="16"/>
          <w:b w:val="1"/>
          <w:bCs w:val="1"/>
          <w:color w:val="auto"/>
        </w:rPr>
      </w:pPr>
    </w:p>
    <w:p>
      <w:pPr>
        <w:ind w:left="900" w:hanging="446"/>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DELAWARE</w:t>
      </w:r>
    </w:p>
    <w:p>
      <w:pPr>
        <w:spacing w:after="0" w:line="37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COMMON STOCK</w:t>
      </w:r>
    </w:p>
    <w:p>
      <w:pPr>
        <w:spacing w:after="0" w:line="369" w:lineRule="exact"/>
        <w:rPr>
          <w:rFonts w:ascii="Arial" w:cs="Arial" w:eastAsia="Arial" w:hAnsi="Arial"/>
          <w:sz w:val="18"/>
          <w:szCs w:val="18"/>
          <w:b w:val="1"/>
          <w:bCs w:val="1"/>
          <w:color w:val="auto"/>
        </w:rPr>
      </w:pPr>
    </w:p>
    <w:p>
      <w:pPr>
        <w:ind w:left="920" w:right="9240" w:hanging="466"/>
        <w:spacing w:after="0" w:line="445" w:lineRule="auto"/>
        <w:tabs>
          <w:tab w:leader="none" w:pos="898"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13057Q206</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§§240.13d-l(b) or 240.13d-2(b) or (c), check whether the person filing is a:</w:t>
      </w:r>
    </w:p>
    <w:p>
      <w:pPr>
        <w:spacing w:after="0" w:line="102" w:lineRule="exact"/>
        <w:rPr>
          <w:sz w:val="20"/>
          <w:szCs w:val="20"/>
          <w:color w:val="auto"/>
        </w:rPr>
      </w:pPr>
    </w:p>
    <w:p>
      <w:pPr>
        <w:ind w:left="880" w:hanging="413"/>
        <w:spacing w:after="0" w:line="207" w:lineRule="exact"/>
        <w:tabs>
          <w:tab w:leader="none" w:pos="880" w:val="left"/>
        </w:tabs>
        <w:numPr>
          <w:ilvl w:val="0"/>
          <w:numId w:val="18"/>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8"/>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8"/>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8"/>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8"/>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§240.13d-l(b)(l)(ii)(E);</w:t>
      </w:r>
    </w:p>
    <w:p>
      <w:pPr>
        <w:spacing w:after="0" w:line="117"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8"/>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§240.13d-l(b)(l)(ii)(F);</w:t>
      </w:r>
    </w:p>
    <w:p>
      <w:pPr>
        <w:spacing w:after="0" w:line="117"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8"/>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240.13d-l(b)(l)(ii)(G);</w:t>
      </w:r>
    </w:p>
    <w:p>
      <w:pPr>
        <w:spacing w:after="0" w:line="117"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8"/>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b w:val="1"/>
          <w:bCs w:val="1"/>
          <w:color w:val="auto"/>
        </w:rPr>
      </w:pPr>
    </w:p>
    <w:p>
      <w:pPr>
        <w:ind w:left="1360" w:right="520" w:hanging="893"/>
        <w:spacing w:after="0" w:line="239" w:lineRule="exact"/>
        <w:tabs>
          <w:tab w:leader="none" w:pos="887" w:val="left"/>
        </w:tabs>
        <w:numPr>
          <w:ilvl w:val="0"/>
          <w:numId w:val="18"/>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8"/>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§240.13d-l(b)(l)(ii)(J).</w:t>
      </w:r>
    </w:p>
    <w:p>
      <w:pPr>
        <w:spacing w:after="0" w:line="117"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8"/>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§240.13d-l(b)(l)(ii)(K).</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1,950,000</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4.04%</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(i)</w:t>
            </w:r>
          </w:p>
        </w:tc>
        <w:tc>
          <w:tcPr>
            <w:tcW w:w="3380" w:type="dxa"/>
            <w:vAlign w:val="bottom"/>
          </w:tcPr>
          <w:p>
            <w:pPr>
              <w:ind w:left="140"/>
              <w:spacing w:after="0"/>
              <w:rPr>
                <w:sz w:val="20"/>
                <w:szCs w:val="20"/>
                <w:color w:val="auto"/>
              </w:rPr>
            </w:pPr>
            <w:r>
              <w:rPr>
                <w:rFonts w:ascii="Arial" w:cs="Arial" w:eastAsia="Arial" w:hAnsi="Arial"/>
                <w:sz w:val="18"/>
                <w:szCs w:val="18"/>
                <w:b w:val="1"/>
                <w:bCs w:val="1"/>
                <w:color w:val="auto"/>
                <w:w w:val="96"/>
              </w:rPr>
              <w:t>Sole power to vote or to direct the vote</w:t>
            </w:r>
          </w:p>
        </w:tc>
        <w:tc>
          <w:tcPr>
            <w:tcW w:w="1780" w:type="dxa"/>
            <w:vAlign w:val="bottom"/>
          </w:tcPr>
          <w:p>
            <w:pPr>
              <w:jc w:val="right"/>
              <w:ind w:right="1530"/>
              <w:spacing w:after="0"/>
              <w:rPr>
                <w:sz w:val="20"/>
                <w:szCs w:val="20"/>
                <w:color w:val="auto"/>
              </w:rPr>
            </w:pPr>
            <w:r>
              <w:rPr>
                <w:rFonts w:ascii="Arial" w:cs="Arial" w:eastAsia="Arial" w:hAnsi="Arial"/>
                <w:sz w:val="18"/>
                <w:szCs w:val="18"/>
                <w:color w:val="auto"/>
              </w:rPr>
              <w:t>0</w:t>
            </w:r>
          </w:p>
        </w:tc>
      </w:tr>
      <w:tr>
        <w:trPr>
          <w:trHeight w:val="338"/>
        </w:trPr>
        <w:tc>
          <w:tcPr>
            <w:tcW w:w="420" w:type="dxa"/>
            <w:vAlign w:val="bottom"/>
          </w:tcPr>
          <w:p>
            <w:pPr>
              <w:spacing w:after="0"/>
              <w:rPr>
                <w:sz w:val="20"/>
                <w:szCs w:val="20"/>
                <w:color w:val="auto"/>
              </w:rPr>
            </w:pPr>
            <w:r>
              <w:rPr>
                <w:rFonts w:ascii="Arial" w:cs="Arial" w:eastAsia="Arial" w:hAnsi="Arial"/>
                <w:sz w:val="18"/>
                <w:szCs w:val="18"/>
                <w:b w:val="1"/>
                <w:bCs w:val="1"/>
                <w:color w:val="auto"/>
              </w:rPr>
              <w:t>(ii)</w:t>
            </w:r>
          </w:p>
        </w:tc>
        <w:tc>
          <w:tcPr>
            <w:tcW w:w="3380" w:type="dxa"/>
            <w:vAlign w:val="bottom"/>
          </w:tcPr>
          <w:p>
            <w:pPr>
              <w:ind w:left="140"/>
              <w:spacing w:after="0"/>
              <w:rPr>
                <w:sz w:val="20"/>
                <w:szCs w:val="20"/>
                <w:color w:val="auto"/>
              </w:rPr>
            </w:pPr>
            <w:r>
              <w:rPr>
                <w:rFonts w:ascii="Arial" w:cs="Arial" w:eastAsia="Arial" w:hAnsi="Arial"/>
                <w:sz w:val="18"/>
                <w:szCs w:val="18"/>
                <w:b w:val="1"/>
                <w:bCs w:val="1"/>
                <w:color w:val="auto"/>
                <w:w w:val="90"/>
              </w:rPr>
              <w:t>Shared power to vote or to direct the vote</w:t>
            </w:r>
          </w:p>
        </w:tc>
        <w:tc>
          <w:tcPr>
            <w:tcW w:w="1780" w:type="dxa"/>
            <w:vAlign w:val="bottom"/>
          </w:tcPr>
          <w:p>
            <w:pPr>
              <w:jc w:val="right"/>
              <w:ind w:right="810"/>
              <w:spacing w:after="0"/>
              <w:rPr>
                <w:sz w:val="20"/>
                <w:szCs w:val="20"/>
                <w:color w:val="auto"/>
              </w:rPr>
            </w:pPr>
            <w:r>
              <w:rPr>
                <w:rFonts w:ascii="Arial" w:cs="Arial" w:eastAsia="Arial" w:hAnsi="Arial"/>
                <w:sz w:val="18"/>
                <w:szCs w:val="18"/>
                <w:color w:val="auto"/>
              </w:rPr>
              <w:t>1,950,000</w:t>
            </w:r>
          </w:p>
        </w:tc>
      </w:tr>
      <w:tr>
        <w:trPr>
          <w:trHeight w:val="338"/>
        </w:trPr>
        <w:tc>
          <w:tcPr>
            <w:tcW w:w="420" w:type="dxa"/>
            <w:vAlign w:val="bottom"/>
          </w:tcPr>
          <w:p>
            <w:pPr>
              <w:spacing w:after="0"/>
              <w:rPr>
                <w:sz w:val="20"/>
                <w:szCs w:val="20"/>
                <w:color w:val="auto"/>
              </w:rPr>
            </w:pPr>
            <w:r>
              <w:rPr>
                <w:rFonts w:ascii="Arial" w:cs="Arial" w:eastAsia="Arial" w:hAnsi="Arial"/>
                <w:sz w:val="18"/>
                <w:szCs w:val="18"/>
                <w:b w:val="1"/>
                <w:bCs w:val="1"/>
                <w:color w:val="auto"/>
              </w:rPr>
              <w:t>(iii)</w:t>
            </w:r>
          </w:p>
        </w:tc>
        <w:tc>
          <w:tcPr>
            <w:tcW w:w="5160" w:type="dxa"/>
            <w:vAlign w:val="bottom"/>
            <w:gridSpan w:val="2"/>
          </w:tcPr>
          <w:p>
            <w:pPr>
              <w:ind w:left="140"/>
              <w:spacing w:after="0"/>
              <w:rPr>
                <w:sz w:val="20"/>
                <w:szCs w:val="20"/>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0</w:t>
            </w:r>
          </w:p>
        </w:tc>
      </w:tr>
      <w:tr>
        <w:trPr>
          <w:trHeight w:val="338"/>
        </w:trPr>
        <w:tc>
          <w:tcPr>
            <w:tcW w:w="420" w:type="dxa"/>
            <w:vAlign w:val="bottom"/>
          </w:tcPr>
          <w:p>
            <w:pPr>
              <w:spacing w:after="0"/>
              <w:rPr>
                <w:sz w:val="20"/>
                <w:szCs w:val="20"/>
                <w:color w:val="auto"/>
              </w:rPr>
            </w:pPr>
            <w:r>
              <w:rPr>
                <w:rFonts w:ascii="Arial" w:cs="Arial" w:eastAsia="Arial" w:hAnsi="Arial"/>
                <w:sz w:val="18"/>
                <w:szCs w:val="18"/>
                <w:b w:val="1"/>
                <w:bCs w:val="1"/>
                <w:color w:val="auto"/>
              </w:rPr>
              <w:t>(iv)</w:t>
            </w:r>
          </w:p>
        </w:tc>
        <w:tc>
          <w:tcPr>
            <w:tcW w:w="5160" w:type="dxa"/>
            <w:vAlign w:val="bottom"/>
            <w:gridSpan w:val="2"/>
          </w:tcPr>
          <w:p>
            <w:pPr>
              <w:ind w:left="140"/>
              <w:spacing w:after="0"/>
              <w:rPr>
                <w:sz w:val="20"/>
                <w:szCs w:val="20"/>
                <w:color w:val="auto"/>
              </w:rPr>
            </w:pPr>
            <w:r>
              <w:rPr>
                <w:rFonts w:ascii="Arial" w:cs="Arial" w:eastAsia="Arial" w:hAnsi="Arial"/>
                <w:sz w:val="18"/>
                <w:szCs w:val="18"/>
                <w:b w:val="1"/>
                <w:bCs w:val="1"/>
                <w:color w:val="auto"/>
                <w:w w:val="89"/>
              </w:rPr>
              <w:t xml:space="preserve">Shared power to dispose or to direct the disposition of  </w:t>
            </w:r>
            <w:r>
              <w:rPr>
                <w:rFonts w:ascii="Arial" w:cs="Arial" w:eastAsia="Arial" w:hAnsi="Arial"/>
                <w:sz w:val="18"/>
                <w:szCs w:val="18"/>
                <w:color w:val="auto"/>
                <w:w w:val="89"/>
              </w:rPr>
              <w:t>1,950,000</w:t>
            </w:r>
          </w:p>
        </w:tc>
      </w:tr>
    </w:tbl>
    <w:p>
      <w:pPr>
        <w:spacing w:after="0" w:line="34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20" w:right="1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 w:name="page4"/>
    <w:bookmarkEnd w:id="3"/>
    <w:p>
      <w:pPr>
        <w:spacing w:after="0"/>
        <w:tabs>
          <w:tab w:leader="none" w:pos="568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13057Q206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color w:val="auto"/>
        </w:rPr>
        <w:t>Page 4 of 5 Pages</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20" w:right="14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lists the identity of each applicable subsidiary of Chevron Corporation, the parent holding company that beneficially owns the</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Issuer’s securities:</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Chevron Corporation (Delaware)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Chevron Investments Inc. (Delaware)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Texaco Inc. (Delaware)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Chevron U.S.A. Holdings Inc. (Delaware)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Chevron U.S.A. Inc. (Pennsylvania)</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ectPr>
          <w:pgSz w:w="11900" w:h="16838" w:orient="portrait"/>
          <w:cols w:equalWidth="0" w:num="1">
            <w:col w:w="11420"/>
          </w:cols>
          <w:pgMar w:left="240" w:top="270" w:right="239" w:bottom="1440" w:gutter="0" w:footer="0" w:header="0"/>
        </w:sectPr>
      </w:pPr>
    </w:p>
    <w:bookmarkStart w:id="4" w:name="page5"/>
    <w:bookmarkEnd w:id="4"/>
    <w:p>
      <w:pPr>
        <w:spacing w:after="0"/>
        <w:tabs>
          <w:tab w:leader="none" w:pos="568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13057Q206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color w:val="auto"/>
        </w:rPr>
        <w:t>Page 5 of 5 Pages</w:t>
      </w:r>
    </w:p>
    <w:p>
      <w:pPr>
        <w:spacing w:after="0" w:line="158"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2018</w:t>
      </w:r>
    </w:p>
    <w:p>
      <w:pPr>
        <w:spacing w:after="0" w:line="248"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CHEVRON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Patricia E. Yarrington</w:t>
      </w:r>
    </w:p>
    <w:p>
      <w:pPr>
        <w:spacing w:after="0" w:line="23"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Patricia E. Yarringon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decimal"/>
      <w:start w:val="3"/>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9"/>
    </w:lvl>
  </w:abstractNum>
  <w:abstractNum w:abstractNumId="8">
    <w:nsid w:val="DED7263"/>
    <w:multiLevelType w:val="hybridMultilevel"/>
    <w:lvl w:ilvl="0">
      <w:lvlJc w:val="left"/>
      <w:lvlText w:val="%1."/>
      <w:numFmt w:val="decimal"/>
      <w:start w:val="10"/>
    </w:lvl>
  </w:abstractNum>
  <w:abstractNum w:abstractNumId="9">
    <w:nsid w:val="7FDCC233"/>
    <w:multiLevelType w:val="hybridMultilevel"/>
    <w:lvl w:ilvl="0">
      <w:lvlJc w:val="left"/>
      <w:lvlText w:val="%1."/>
      <w:numFmt w:val="decimal"/>
      <w:start w:val="11"/>
    </w:lvl>
  </w:abstractNum>
  <w:abstractNum w:abstractNumId="10">
    <w:nsid w:val="1BEFD79F"/>
    <w:multiLevelType w:val="hybridMultilevel"/>
    <w:lvl w:ilvl="0">
      <w:lvlJc w:val="left"/>
      <w:lvlText w:val="%1."/>
      <w:numFmt w:val="decimal"/>
      <w:start w:val="12"/>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lowerLetter"/>
      <w:start w:val="4"/>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2019-12-08T10:16:26Z</dcterms:created>
  <dcterms:modified xsi:type="dcterms:W3CDTF">2019-12-08T10:16:26Z</dcterms:modified>
</cp:coreProperties>
</file>