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06/11/2021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230,000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33.08  15,651,592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20" w:type="dxa"/>
            <w:vAlign w:val="bottom"/>
            <w:gridSpan w:val="11"/>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ASSF Operating Manager IV,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6"/>
          </w:tcPr>
          <w:p>
            <w:pPr>
              <w:spacing w:after="0" w:line="221" w:lineRule="exact"/>
              <w:rPr>
                <w:rFonts w:ascii="Arial" w:cs="Arial" w:eastAsia="Arial" w:hAnsi="Arial"/>
                <w:sz w:val="21"/>
                <w:szCs w:val="21"/>
                <w:color w:val="0000EE"/>
                <w:w w:val="91"/>
              </w:rPr>
            </w:pPr>
            <w:hyperlink r:id="rId18">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Holdco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Corp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Management GP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Voting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65" w:orient="portrait"/>
          <w:cols w:equalWidth="0" w:num="1">
            <w:col w:w="9979"/>
          </w:cols>
          <w:pgMar w:left="480" w:top="140" w:right="1440" w:bottom="0" w:gutter="0" w:footer="0" w:header="0"/>
        </w:sectPr>
      </w:pPr>
    </w:p>
    <w:p>
      <w:pPr>
        <w:ind w:left="100"/>
        <w:spacing w:after="0"/>
        <w:rPr>
          <w:rFonts w:ascii="Arial" w:cs="Arial" w:eastAsia="Arial" w:hAnsi="Arial"/>
          <w:sz w:val="19"/>
          <w:szCs w:val="19"/>
          <w:u w:val="single" w:color="auto"/>
          <w:color w:val="0000EE"/>
        </w:rPr>
      </w:pPr>
      <w:hyperlink r:id="rId23">
        <w:r>
          <w:rPr>
            <w:rFonts w:ascii="Arial" w:cs="Arial" w:eastAsia="Arial" w:hAnsi="Arial"/>
            <w:sz w:val="19"/>
            <w:szCs w:val="19"/>
            <w:u w:val="single" w:color="auto"/>
            <w:color w:val="0000EE"/>
          </w:rPr>
          <w:t>Ares Partners Holdco LLC</w:t>
        </w:r>
      </w:hyperlink>
    </w:p>
    <w:p>
      <w:pPr>
        <w:sectPr>
          <w:pgSz w:w="11900" w:h="16865" w:orient="portrait"/>
          <w:cols w:equalWidth="0" w:num="1">
            <w:col w:w="9979"/>
          </w:cols>
          <w:pgMar w:left="480" w:top="140" w:right="1440"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7"/>
                <w:szCs w:val="17"/>
                <w:color w:val="0000FF"/>
              </w:rPr>
              <w:t>2000 AVENUE OF THE STARS,</w:t>
            </w:r>
          </w:p>
        </w:tc>
        <w:tc>
          <w:tcPr>
            <w:tcW w:w="15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3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67"/>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00" w:type="dxa"/>
            <w:vAlign w:val="bottom"/>
          </w:tcPr>
          <w:p>
            <w:pPr>
              <w:ind w:left="120"/>
              <w:spacing w:after="0"/>
              <w:rPr>
                <w:sz w:val="20"/>
                <w:szCs w:val="20"/>
                <w:color w:val="auto"/>
              </w:rPr>
            </w:pPr>
            <w:r>
              <w:rPr>
                <w:rFonts w:ascii="Arial" w:cs="Arial" w:eastAsia="Arial" w:hAnsi="Arial"/>
                <w:sz w:val="17"/>
                <w:szCs w:val="17"/>
                <w:color w:val="0000FF"/>
              </w:rPr>
              <w:t>CA</w:t>
            </w:r>
          </w:p>
        </w:tc>
        <w:tc>
          <w:tcPr>
            <w:tcW w:w="1580" w:type="dxa"/>
            <w:vAlign w:val="bottom"/>
          </w:tcPr>
          <w:p>
            <w:pPr>
              <w:ind w:left="22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20"/>
              <w:spacing w:after="0"/>
              <w:rPr>
                <w:sz w:val="20"/>
                <w:szCs w:val="20"/>
                <w:color w:val="auto"/>
              </w:rPr>
            </w:pPr>
            <w:r>
              <w:rPr>
                <w:rFonts w:ascii="Arial" w:cs="Arial" w:eastAsia="Arial" w:hAnsi="Arial"/>
                <w:sz w:val="13"/>
                <w:szCs w:val="13"/>
                <w:color w:val="auto"/>
              </w:rPr>
              <w:t>(State)</w:t>
            </w:r>
          </w:p>
        </w:tc>
        <w:tc>
          <w:tcPr>
            <w:tcW w:w="158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45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14509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right="8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15,651,592 shares of Common Stock by reason of the direct or indirect beneficial ownership of such shares as follows: (i) ACOF AIV 1A directly holds 729,909 shares of Common Stock, (ii) ACOF AIV 1B directly holds 2,671,090 shares of Common Stock, (iii) ACOF AIV 2 directly holds 2,721,044 shares of Common Stock, (iv) AEOF AIV A-B directly holds 1,894,861 shares of Common Stock, (v) AEOF AIV C directly holds 804,524 shares of Common Stock, (vi) SSF AIV 1A directly holds 303,620 shares of Common Stock, (vii) SSF AIV 1B directly holds 270,693 shares of Common Stock, (viii) SSF AIV 2 directly holds 440,669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80"/>
          </w:cols>
          <w:pgMar w:left="500" w:top="432" w:right="519" w:bottom="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80" w:space="60"/>
            <w:col w:w="2140"/>
          </w:cols>
          <w:pgMar w:left="500" w:top="43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683967" TargetMode="External"/><Relationship Id="rId18" Type="http://schemas.openxmlformats.org/officeDocument/2006/relationships/hyperlink" Target="http://www.sec.gov/cgi-bin/browse-edgar?action=getcompany&amp;CIK=0001536937" TargetMode="External"/><Relationship Id="rId19" Type="http://schemas.openxmlformats.org/officeDocument/2006/relationships/hyperlink" Target="http://www.sec.gov/cgi-bin/browse-edgar?action=getcompany&amp;CIK=0001669983" TargetMode="External"/><Relationship Id="rId20" Type="http://schemas.openxmlformats.org/officeDocument/2006/relationships/hyperlink" Target="http://www.sec.gov/cgi-bin/browse-edgar?action=getcompany&amp;CIK=0001176948" TargetMode="External"/><Relationship Id="rId21" Type="http://schemas.openxmlformats.org/officeDocument/2006/relationships/hyperlink" Target="http://www.sec.gov/cgi-bin/browse-edgar?action=getcompany&amp;CIK=0001620264" TargetMode="External"/><Relationship Id="rId22" Type="http://schemas.openxmlformats.org/officeDocument/2006/relationships/hyperlink" Target="http://www.sec.gov/cgi-bin/browse-edgar?action=getcompany&amp;CIK=0001761656" TargetMode="External"/><Relationship Id="rId23"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2021-06-15T15:03:15Z</dcterms:created>
  <dcterms:modified xsi:type="dcterms:W3CDTF">2021-06-15T15:03:15Z</dcterms:modified>
</cp:coreProperties>
</file>