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10, 2026 </w:t>
      </w:r>
    </w:p>
    <w:p>
      <w:pPr>
        <w:pStyle w:val="TextBody"/>
        <w:bidi w:val="0"/>
        <w:spacing w:lineRule="auto" w:line="288" w:before="18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California Resources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601" w:type="dxa"/>
        <w:jc w:val="center"/>
        <w:tblInd w:w="0" w:type="dxa"/>
        <w:tblLayout w:type="fixed"/>
        <w:tblCellMar>
          <w:top w:w="28" w:type="dxa"/>
          <w:left w:w="28" w:type="dxa"/>
          <w:bottom w:w="28" w:type="dxa"/>
          <w:right w:w="28" w:type="dxa"/>
        </w:tblCellMar>
      </w:tblPr>
      <w:tblGrid>
        <w:gridCol w:w="986"/>
        <w:gridCol w:w="866"/>
        <w:gridCol w:w="875"/>
        <w:gridCol w:w="210"/>
        <w:gridCol w:w="210"/>
        <w:gridCol w:w="210"/>
        <w:gridCol w:w="197"/>
        <w:gridCol w:w="197"/>
        <w:gridCol w:w="201"/>
        <w:gridCol w:w="481"/>
        <w:gridCol w:w="481"/>
        <w:gridCol w:w="687"/>
      </w:tblGrid>
      <w:tr>
        <w:trPr/>
        <w:tc>
          <w:tcPr>
            <w:tcW w:w="98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001-36478</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46-5670947</w:t>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 World Trade Center</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1500</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 Beach</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90831</w:t>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(888) 848-4754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On August 10, 2026, California Resources Corporation (the “Company”) issued a press release announcing its financial condition and results of operations for the three and six months ended June 30, 2026. A copy of the press release is furnished as Exhibit 99.1 to this report on Form 8-K, and is incorporated herein by reference.</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pStyle w:val="TextBody"/>
        <w:bidi w:val="0"/>
        <w:spacing w:lineRule="auto" w:line="276" w:before="480" w:after="200"/>
        <w:ind w:left="0" w:right="0" w:hanging="144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05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2"/>
        <w:gridCol w:w="1942"/>
        <w:gridCol w:w="276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q2erex991.htm">
              <w:r>
                <w:rPr>
                  <w:rStyle w:val="InternetLink"/>
                  <w:rFonts w:ascii="Times New Roman;serif" w:hAnsi="Times New Roman;serif"/>
                  <w:b w:val="false"/>
                  <w:color w:val="0000FF"/>
                  <w:sz w:val="20"/>
                  <w:u w:val="single"/>
                </w:rPr>
                <w:t>Press release dated August 10,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400" w:after="283"/>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4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099" w:type="dxa"/>
        <w:jc w:val="center"/>
        <w:tblInd w:w="0" w:type="dxa"/>
        <w:tblLayout w:type="fixed"/>
        <w:tblCellMar>
          <w:top w:w="28" w:type="dxa"/>
          <w:left w:w="28" w:type="dxa"/>
          <w:bottom w:w="28" w:type="dxa"/>
          <w:right w:w="28" w:type="dxa"/>
        </w:tblCellMar>
      </w:tblPr>
      <w:tblGrid>
        <w:gridCol w:w="124"/>
        <w:gridCol w:w="109"/>
        <w:gridCol w:w="109"/>
        <w:gridCol w:w="323"/>
        <w:gridCol w:w="323"/>
        <w:gridCol w:w="323"/>
        <w:gridCol w:w="901"/>
        <w:gridCol w:w="901"/>
        <w:gridCol w:w="901"/>
        <w:gridCol w:w="901"/>
        <w:gridCol w:w="901"/>
        <w:gridCol w:w="1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 Resources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Preston</w:t>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7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Preston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788"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Strategy Officer and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10,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drawing>
          <wp:inline distT="0" distB="0" distL="0" distR="0">
            <wp:extent cx="2009775" cy="361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09775" cy="361950"/>
                    </a:xfrm>
                    <a:prstGeom prst="rect">
                      <a:avLst/>
                    </a:prstGeom>
                  </pic:spPr>
                </pic:pic>
              </a:graphicData>
            </a:graphic>
          </wp:inline>
        </w:drawing>
      </w:r>
      <w:r>
        <w:rPr>
          <w:color w:val="000000"/>
        </w:rPr>
        <w:t>                                </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 xml:space="preserve">California Resources Corporation Reports Second Quarter 2026 Financial and Operating Results </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i/>
          <w:color w:val="000000"/>
          <w:sz w:val="24"/>
        </w:rPr>
      </w:pPr>
      <w:r>
        <w:rPr>
          <w:rFonts w:ascii="Franklin Gothic Book;sans-serif" w:hAnsi="Franklin Gothic Book;sans-serif"/>
          <w:b w:val="false"/>
          <w:i/>
          <w:color w:val="000000"/>
          <w:sz w:val="24"/>
        </w:rPr>
        <w:t>Strengthens California's Leading Energy Platform Through Strategic Acquisition</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i/>
          <w:color w:val="000000"/>
          <w:sz w:val="24"/>
        </w:rPr>
      </w:pPr>
      <w:r>
        <w:rPr>
          <w:rFonts w:ascii="Franklin Gothic Book;sans-serif" w:hAnsi="Franklin Gothic Book;sans-serif"/>
          <w:b w:val="false"/>
          <w:i/>
          <w:color w:val="000000"/>
          <w:sz w:val="24"/>
        </w:rPr>
        <w:t>Sustainable Operational Efficiency Gains Enhance 2026 Outlook and Further Reduces Estimated Long-Term Maintenance Capital</w:t>
      </w:r>
    </w:p>
    <w:p>
      <w:pPr>
        <w:pStyle w:val="TextBody"/>
        <w:bidi w:val="0"/>
        <w:spacing w:before="0" w:after="0"/>
        <w:jc w:val="center"/>
        <w:rPr/>
      </w:pPr>
      <w:r>
        <w:rPr/>
      </w:r>
    </w:p>
    <w:p>
      <w:pPr>
        <w:pStyle w:val="TextBody"/>
        <w:bidi w:val="0"/>
        <w:spacing w:lineRule="auto" w:line="288" w:before="0" w:after="0"/>
        <w:jc w:val="both"/>
        <w:rPr/>
      </w:pPr>
      <w:r>
        <w:rPr>
          <w:rFonts w:ascii="Franklin Gothic Book;sans-serif" w:hAnsi="Franklin Gothic Book;sans-serif"/>
          <w:b/>
          <w:color w:val="000000"/>
          <w:sz w:val="24"/>
        </w:rPr>
        <w:t>LONG BEACH, Calif., August 10, 2026</w:t>
      </w:r>
      <w:r>
        <w:rPr>
          <w:color w:val="000000"/>
        </w:rPr>
        <w:t xml:space="preserve"> </w:t>
      </w:r>
      <w:r>
        <w:rPr>
          <w:rFonts w:ascii="Franklin Gothic Book;sans-serif" w:hAnsi="Franklin Gothic Book;sans-serif"/>
          <w:b w:val="false"/>
          <w:color w:val="000000"/>
          <w:sz w:val="24"/>
        </w:rPr>
        <w:t>- California Resources Corporation (NYSE: CRC) today reported its financial and operating results for the second quarter of 2026. The Company plans to host a conference call and webcast at 1 p.m. ET (10 a.m. PT) on Monday, August 10, 2026. Conference call details can be found within this release.</w:t>
      </w:r>
    </w:p>
    <w:p>
      <w:pPr>
        <w:pStyle w:val="TextBody"/>
        <w:bidi w:val="0"/>
        <w:spacing w:before="0" w:after="0"/>
        <w:jc w:val="both"/>
        <w:rPr/>
      </w:pPr>
      <w:r>
        <w:rPr/>
      </w:r>
    </w:p>
    <w:p>
      <w:pPr>
        <w:pStyle w:val="TextBody"/>
        <w:bidi w:val="0"/>
        <w:spacing w:lineRule="auto" w:line="312"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rPr>
        <w:t>Delivered average net production of 149 thousand barrels of oil equivalent per day (MBoe/d) (81% oil)</w:t>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shd w:fill="FFFFFF" w:val="clear"/>
        </w:rPr>
        <w:t xml:space="preserve">Reported net income of </w:t>
      </w:r>
      <w:r>
        <w:rPr>
          <w:rFonts w:ascii="Franklin Gothic Book;sans-serif" w:hAnsi="Franklin Gothic Book;sans-serif"/>
          <w:b w:val="false"/>
          <w:color w:val="000000"/>
          <w:sz w:val="24"/>
        </w:rPr>
        <w:t>$514</w:t>
      </w:r>
      <w:r>
        <w:rPr>
          <w:color w:val="000000"/>
          <w:shd w:fill="FFFFFF" w:val="clear"/>
        </w:rPr>
        <w:t xml:space="preserve"> </w:t>
      </w:r>
      <w:r>
        <w:rPr>
          <w:rFonts w:ascii="Franklin Gothic Book;sans-serif" w:hAnsi="Franklin Gothic Book;sans-serif"/>
          <w:b w:val="false"/>
          <w:color w:val="000000"/>
          <w:sz w:val="24"/>
          <w:shd w:fill="FFFFFF" w:val="clear"/>
        </w:rPr>
        <w:t>million which includes the non-cash gain</w:t>
      </w:r>
      <w:r>
        <w:rPr>
          <w:color w:val="000000"/>
        </w:rPr>
        <w:t xml:space="preserve"> </w:t>
      </w:r>
      <w:r>
        <w:rPr>
          <w:rFonts w:ascii="Franklin Gothic Book;sans-serif" w:hAnsi="Franklin Gothic Book;sans-serif"/>
          <w:b w:val="false"/>
          <w:color w:val="000000"/>
          <w:sz w:val="24"/>
        </w:rPr>
        <w:t>from changes in the fair value of outstanding commodity derivatives,</w:t>
      </w:r>
      <w:r>
        <w:rPr>
          <w:color w:val="000000"/>
          <w:shd w:fill="FFFFFF" w:val="clear"/>
        </w:rPr>
        <w:t xml:space="preserve"> </w:t>
      </w:r>
      <w:r>
        <w:rPr>
          <w:rFonts w:ascii="Franklin Gothic Book;sans-serif" w:hAnsi="Franklin Gothic Book;sans-serif"/>
          <w:b w:val="false"/>
          <w:color w:val="000000"/>
          <w:sz w:val="24"/>
          <w:shd w:fill="FFFFFF" w:val="clear"/>
        </w:rPr>
        <w:t>adjusted net income</w:t>
      </w:r>
      <w:r>
        <w:rPr>
          <w:rFonts w:ascii="Franklin Gothic Book;sans-serif" w:hAnsi="Franklin Gothic Book;sans-serif"/>
          <w:b w:val="false"/>
          <w:color w:val="000000"/>
          <w:sz w:val="16"/>
          <w:shd w:fill="FFFFFF" w:val="clear"/>
        </w:rPr>
        <w:t>1</w:t>
      </w:r>
      <w:r>
        <w:rPr>
          <w:color w:val="000000"/>
          <w:shd w:fill="FFFFFF" w:val="clear"/>
        </w:rPr>
        <w:t xml:space="preserve"> </w:t>
      </w:r>
      <w:r>
        <w:rPr>
          <w:rFonts w:ascii="Franklin Gothic Book;sans-serif" w:hAnsi="Franklin Gothic Book;sans-serif"/>
          <w:b w:val="false"/>
          <w:color w:val="000000"/>
          <w:sz w:val="24"/>
          <w:shd w:fill="FFFFFF" w:val="clear"/>
        </w:rPr>
        <w:t xml:space="preserve">of </w:t>
      </w:r>
      <w:r>
        <w:rPr>
          <w:rFonts w:ascii="Franklin Gothic Book;sans-serif" w:hAnsi="Franklin Gothic Book;sans-serif"/>
          <w:b w:val="false"/>
          <w:color w:val="000000"/>
          <w:sz w:val="24"/>
        </w:rPr>
        <w:t>$88</w:t>
      </w:r>
      <w:r>
        <w:rPr>
          <w:color w:val="000000"/>
          <w:shd w:fill="FFFFFF" w:val="clear"/>
        </w:rPr>
        <w:t xml:space="preserve"> </w:t>
      </w:r>
      <w:r>
        <w:rPr>
          <w:rFonts w:ascii="Franklin Gothic Book;sans-serif" w:hAnsi="Franklin Gothic Book;sans-serif"/>
          <w:b w:val="false"/>
          <w:color w:val="000000"/>
          <w:sz w:val="24"/>
          <w:shd w:fill="FFFFFF" w:val="clear"/>
        </w:rPr>
        <w:t>million and</w:t>
      </w:r>
      <w:r>
        <w:rPr>
          <w:color w:val="000000"/>
          <w:shd w:fill="FFFFFF" w:val="clear"/>
        </w:rPr>
        <w:t xml:space="preserve"> </w:t>
      </w:r>
      <w:r>
        <w:rPr>
          <w:rFonts w:ascii="Franklin Gothic Book;sans-serif" w:hAnsi="Franklin Gothic Book;sans-serif"/>
          <w:b w:val="false"/>
          <w:color w:val="000000"/>
          <w:sz w:val="24"/>
        </w:rPr>
        <w:t>$338</w:t>
      </w:r>
      <w:r>
        <w:rPr>
          <w:color w:val="000000"/>
          <w:shd w:fill="FFFFFF" w:val="clear"/>
        </w:rPr>
        <w:t xml:space="preserve"> </w:t>
      </w:r>
      <w:r>
        <w:rPr>
          <w:rFonts w:ascii="Franklin Gothic Book;sans-serif" w:hAnsi="Franklin Gothic Book;sans-serif"/>
          <w:b w:val="false"/>
          <w:color w:val="000000"/>
          <w:sz w:val="24"/>
          <w:shd w:fill="FFFFFF" w:val="clear"/>
        </w:rPr>
        <w:t>million of adjusted EBITDAX</w:t>
      </w:r>
      <w:r>
        <w:rPr>
          <w:rFonts w:ascii="Franklin Gothic Book;sans-serif" w:hAnsi="Franklin Gothic Book;sans-serif"/>
          <w:b w:val="false"/>
          <w:color w:val="000000"/>
          <w:sz w:val="16"/>
          <w:shd w:fill="FFFFFF" w:val="clear"/>
        </w:rPr>
        <w:t>1</w:t>
      </w:r>
    </w:p>
    <w:p>
      <w:pPr>
        <w:pStyle w:val="TextBody"/>
        <w:bidi w:val="0"/>
        <w:spacing w:lineRule="auto" w:line="312" w:before="0" w:after="0"/>
        <w:ind w:left="0" w:right="0" w:hanging="360"/>
        <w:jc w:val="both"/>
        <w:rPr/>
      </w:pPr>
      <w:r>
        <w:rPr>
          <w:color w:val="000000"/>
        </w:rPr>
        <w:t>•</w:t>
      </w:r>
      <w:r>
        <w:rPr>
          <w:rFonts w:ascii="Franklin Gothic Book;sans-serif" w:hAnsi="Franklin Gothic Book;sans-serif"/>
          <w:b w:val="false"/>
          <w:color w:val="000000"/>
          <w:sz w:val="24"/>
          <w:shd w:fill="FFFFFF" w:val="clear"/>
        </w:rPr>
        <w:t xml:space="preserve">Generated net cash provided by operating activities of </w:t>
      </w:r>
      <w:r>
        <w:rPr>
          <w:rFonts w:ascii="Franklin Gothic Book;sans-serif" w:hAnsi="Franklin Gothic Book;sans-serif"/>
          <w:b w:val="false"/>
          <w:color w:val="000000"/>
          <w:sz w:val="24"/>
        </w:rPr>
        <w:t>$263</w:t>
      </w:r>
      <w:r>
        <w:rPr>
          <w:color w:val="000000"/>
          <w:shd w:fill="FFFFFF" w:val="clear"/>
        </w:rPr>
        <w:t xml:space="preserve"> </w:t>
      </w:r>
      <w:r>
        <w:rPr>
          <w:rFonts w:ascii="Franklin Gothic Book;sans-serif" w:hAnsi="Franklin Gothic Book;sans-serif"/>
          <w:b w:val="false"/>
          <w:color w:val="000000"/>
          <w:sz w:val="24"/>
          <w:shd w:fill="FFFFFF" w:val="clear"/>
        </w:rPr>
        <w:t xml:space="preserve">million or </w:t>
      </w:r>
      <w:r>
        <w:rPr>
          <w:rFonts w:ascii="Franklin Gothic Book;sans-serif" w:hAnsi="Franklin Gothic Book;sans-serif"/>
          <w:b w:val="false"/>
          <w:color w:val="000000"/>
          <w:sz w:val="24"/>
        </w:rPr>
        <w:t>$300</w:t>
      </w:r>
      <w:r>
        <w:rPr>
          <w:color w:val="000000"/>
          <w:shd w:fill="FFFFFF" w:val="clear"/>
        </w:rPr>
        <w:t xml:space="preserve"> </w:t>
      </w:r>
      <w:r>
        <w:rPr>
          <w:rFonts w:ascii="Franklin Gothic Book;sans-serif" w:hAnsi="Franklin Gothic Book;sans-serif"/>
          <w:b w:val="false"/>
          <w:color w:val="000000"/>
          <w:sz w:val="24"/>
          <w:shd w:fill="FFFFFF" w:val="clear"/>
        </w:rPr>
        <w:t>million of net cash provided by operating activities before net changes in operating assets and liabilities</w:t>
      </w:r>
      <w:r>
        <w:rPr>
          <w:rFonts w:ascii="Franklin Gothic Book;sans-serif" w:hAnsi="Franklin Gothic Book;sans-serif"/>
          <w:b w:val="false"/>
          <w:color w:val="000000"/>
          <w:sz w:val="16"/>
        </w:rPr>
        <w:t>1</w:t>
      </w:r>
      <w:r>
        <w:rPr>
          <w:color w:val="000000"/>
          <w:shd w:fill="FFFFFF" w:val="clear"/>
        </w:rPr>
        <w:t xml:space="preserve"> </w:t>
      </w:r>
    </w:p>
    <w:p>
      <w:pPr>
        <w:pStyle w:val="TextBody"/>
        <w:bidi w:val="0"/>
        <w:spacing w:lineRule="auto" w:line="312" w:before="0" w:after="0"/>
        <w:ind w:left="0" w:right="0" w:hanging="360"/>
        <w:jc w:val="both"/>
        <w:rPr/>
      </w:pPr>
      <w:r>
        <w:rPr>
          <w:color w:val="000000"/>
        </w:rPr>
        <w:t>•</w:t>
      </w:r>
      <w:r>
        <w:rPr>
          <w:rFonts w:ascii="Franklin Gothic Book;sans-serif" w:hAnsi="Franklin Gothic Book;sans-serif"/>
          <w:b w:val="false"/>
          <w:color w:val="000000"/>
          <w:sz w:val="24"/>
        </w:rPr>
        <w:t>Delivered $114</w:t>
      </w:r>
      <w:r>
        <w:rPr>
          <w:color w:val="000000"/>
          <w:shd w:fill="FFFFFF" w:val="clear"/>
        </w:rPr>
        <w:t xml:space="preserve"> </w:t>
      </w:r>
      <w:r>
        <w:rPr>
          <w:rFonts w:ascii="Franklin Gothic Book;sans-serif" w:hAnsi="Franklin Gothic Book;sans-serif"/>
          <w:b w:val="false"/>
          <w:color w:val="000000"/>
          <w:sz w:val="24"/>
          <w:shd w:fill="FFFFFF" w:val="clear"/>
        </w:rPr>
        <w:t>million of free cash flow</w:t>
      </w:r>
      <w:r>
        <w:rPr>
          <w:rFonts w:ascii="Franklin Gothic Book;sans-serif" w:hAnsi="Franklin Gothic Book;sans-serif"/>
          <w:b w:val="false"/>
          <w:color w:val="000000"/>
          <w:sz w:val="16"/>
          <w:shd w:fill="FFFFFF" w:val="clear"/>
        </w:rPr>
        <w:t>1</w:t>
      </w:r>
      <w:r>
        <w:rPr>
          <w:color w:val="000000"/>
          <w:shd w:fill="FFFFFF" w:val="clear"/>
        </w:rPr>
        <w:t xml:space="preserve"> </w:t>
      </w:r>
      <w:r>
        <w:rPr>
          <w:rFonts w:ascii="Franklin Gothic Book;sans-serif" w:hAnsi="Franklin Gothic Book;sans-serif"/>
          <w:b w:val="false"/>
          <w:color w:val="000000"/>
          <w:sz w:val="24"/>
          <w:shd w:fill="FFFFFF" w:val="clear"/>
        </w:rPr>
        <w:t>or $151 million of free cash flow before net changes in operating assets and liabilities</w:t>
      </w:r>
      <w:r>
        <w:rPr>
          <w:rFonts w:ascii="Franklin Gothic Book;sans-serif" w:hAnsi="Franklin Gothic Book;sans-serif"/>
          <w:b w:val="false"/>
          <w:color w:val="000000"/>
          <w:sz w:val="16"/>
        </w:rPr>
        <w:t>1</w:t>
      </w:r>
    </w:p>
    <w:p>
      <w:pPr>
        <w:pStyle w:val="TextBody"/>
        <w:bidi w:val="0"/>
        <w:spacing w:lineRule="auto" w:line="312"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Returned $36 million to shareholders through dividends</w:t>
      </w:r>
      <w:r>
        <w:rPr>
          <w:rFonts w:ascii="Franklin Gothic Book;sans-serif" w:hAnsi="Franklin Gothic Book;sans-serif"/>
          <w:b w:val="false"/>
          <w:color w:val="000000"/>
          <w:sz w:val="16"/>
          <w:shd w:fill="FFFFFF" w:val="clear"/>
        </w:rPr>
        <w:t>2</w:t>
      </w:r>
    </w:p>
    <w:p>
      <w:pPr>
        <w:pStyle w:val="TextBody"/>
        <w:bidi w:val="0"/>
        <w:spacing w:lineRule="auto" w:line="312"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 xml:space="preserve">Ended the quarter with </w:t>
      </w:r>
      <w:r>
        <w:rPr>
          <w:rFonts w:ascii="Franklin Gothic Book;sans-serif" w:hAnsi="Franklin Gothic Book;sans-serif"/>
          <w:b w:val="false"/>
          <w:color w:val="000000"/>
          <w:sz w:val="24"/>
        </w:rPr>
        <w:t>$1,279</w:t>
      </w:r>
      <w:r>
        <w:rPr>
          <w:color w:val="000000"/>
          <w:shd w:fill="FFFFFF" w:val="clear"/>
        </w:rPr>
        <w:t xml:space="preserve"> </w:t>
      </w:r>
      <w:r>
        <w:rPr>
          <w:rFonts w:ascii="Franklin Gothic Book;sans-serif" w:hAnsi="Franklin Gothic Book;sans-serif"/>
          <w:b w:val="false"/>
          <w:color w:val="000000"/>
          <w:sz w:val="24"/>
          <w:shd w:fill="FFFFFF" w:val="clear"/>
        </w:rPr>
        <w:t xml:space="preserve">million in borrowing capacity and </w:t>
      </w:r>
      <w:r>
        <w:rPr>
          <w:rFonts w:ascii="Franklin Gothic Book;sans-serif" w:hAnsi="Franklin Gothic Book;sans-serif"/>
          <w:b w:val="false"/>
          <w:color w:val="000000"/>
          <w:sz w:val="24"/>
        </w:rPr>
        <w:t>$43</w:t>
      </w:r>
      <w:r>
        <w:rPr>
          <w:color w:val="000000"/>
          <w:shd w:fill="FFFFFF" w:val="clear"/>
        </w:rPr>
        <w:t xml:space="preserve"> </w:t>
      </w:r>
      <w:r>
        <w:rPr>
          <w:rFonts w:ascii="Franklin Gothic Book;sans-serif" w:hAnsi="Franklin Gothic Book;sans-serif"/>
          <w:b w:val="false"/>
          <w:color w:val="000000"/>
          <w:sz w:val="24"/>
          <w:shd w:fill="FFFFFF" w:val="clear"/>
        </w:rPr>
        <w:t>million in available cash and cash equivalents</w:t>
      </w:r>
      <w:r>
        <w:rPr>
          <w:rFonts w:ascii="Franklin Gothic Book;sans-serif" w:hAnsi="Franklin Gothic Book;sans-serif"/>
          <w:b w:val="false"/>
          <w:color w:val="000000"/>
          <w:sz w:val="16"/>
          <w:shd w:fill="FFFFFF" w:val="clear"/>
        </w:rPr>
        <w:t>3</w:t>
      </w:r>
      <w:r>
        <w:rPr>
          <w:rFonts w:ascii="Franklin Gothic Book;sans-serif" w:hAnsi="Franklin Gothic Book;sans-serif"/>
          <w:b w:val="false"/>
          <w:color w:val="000000"/>
          <w:sz w:val="24"/>
          <w:shd w:fill="FFFFFF" w:val="clear"/>
        </w:rPr>
        <w:t xml:space="preserve">, representing </w:t>
      </w:r>
      <w:r>
        <w:rPr>
          <w:rFonts w:ascii="Franklin Gothic Book;sans-serif" w:hAnsi="Franklin Gothic Book;sans-serif"/>
          <w:b w:val="false"/>
          <w:color w:val="000000"/>
          <w:sz w:val="24"/>
        </w:rPr>
        <w:t>$1,322</w:t>
      </w:r>
      <w:r>
        <w:rPr>
          <w:color w:val="000000"/>
          <w:shd w:fill="FFFFFF" w:val="clear"/>
        </w:rPr>
        <w:t xml:space="preserve"> </w:t>
      </w:r>
      <w:r>
        <w:rPr>
          <w:rFonts w:ascii="Franklin Gothic Book;sans-serif" w:hAnsi="Franklin Gothic Book;sans-serif"/>
          <w:b w:val="false"/>
          <w:color w:val="000000"/>
          <w:sz w:val="24"/>
          <w:shd w:fill="FFFFFF" w:val="clear"/>
        </w:rPr>
        <w:t>million of liquidity</w:t>
      </w:r>
      <w:r>
        <w:rPr>
          <w:rFonts w:ascii="Franklin Gothic Book;sans-serif" w:hAnsi="Franklin Gothic Book;sans-serif"/>
          <w:b w:val="false"/>
          <w:color w:val="000000"/>
          <w:sz w:val="16"/>
          <w:shd w:fill="FFFFFF" w:val="clear"/>
        </w:rPr>
        <w:t>1, 3</w:t>
      </w:r>
    </w:p>
    <w:p>
      <w:pPr>
        <w:pStyle w:val="TextBody"/>
        <w:bidi w:val="0"/>
        <w:spacing w:before="0" w:after="0"/>
        <w:jc w:val="both"/>
        <w:rPr/>
      </w:pPr>
      <w:r>
        <w:rPr/>
      </w:r>
    </w:p>
    <w:p>
      <w:pPr>
        <w:pStyle w:val="TextBody"/>
        <w:bidi w:val="0"/>
        <w:spacing w:lineRule="auto" w:line="312" w:before="0" w:after="0"/>
        <w:jc w:val="both"/>
        <w:rPr>
          <w:rFonts w:ascii="Franklin Gothic Book;sans-serif" w:hAnsi="Franklin Gothic Book;sans-serif"/>
          <w:b/>
          <w:color w:val="000000"/>
          <w:sz w:val="24"/>
          <w:u w:val="single"/>
          <w:shd w:fill="FFFFFF" w:val="clear"/>
        </w:rPr>
      </w:pPr>
      <w:r>
        <w:rPr>
          <w:rFonts w:ascii="Franklin Gothic Book;sans-serif" w:hAnsi="Franklin Gothic Book;sans-serif"/>
          <w:b/>
          <w:color w:val="000000"/>
          <w:sz w:val="24"/>
          <w:u w:val="single"/>
          <w:shd w:fill="FFFFFF" w:val="clear"/>
        </w:rPr>
        <w:t>Other Highlights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 xml:space="preserve">Announced the signing of a definitive purchase agreement </w:t>
      </w:r>
      <w:r>
        <w:rPr>
          <w:rFonts w:ascii="Franklin Gothic Book;sans-serif" w:hAnsi="Franklin Gothic Book;sans-serif"/>
          <w:b w:val="false"/>
          <w:color w:val="000000"/>
          <w:sz w:val="24"/>
        </w:rPr>
        <w:t>to acquire Crimson Midstream Holdings, LLC (“Crimson”) from CorEnergy Infrastructure Trust, Inc. for total cash consideration of $63 million, subject to customary adjustments</w:t>
      </w:r>
      <w:r>
        <w:rPr>
          <w:rFonts w:ascii="Franklin Gothic Book;sans-serif" w:hAnsi="Franklin Gothic Book;sans-serif"/>
          <w:b w:val="false"/>
          <w:i/>
          <w:color w:val="000000"/>
          <w:sz w:val="24"/>
        </w:rPr>
        <w:t xml:space="preserve">. </w:t>
      </w:r>
      <w:r>
        <w:rPr>
          <w:rFonts w:ascii="Franklin Gothic Book;sans-serif" w:hAnsi="Franklin Gothic Book;sans-serif"/>
          <w:b w:val="false"/>
          <w:color w:val="000000"/>
          <w:sz w:val="24"/>
        </w:rPr>
        <w:t>See</w:t>
      </w:r>
      <w:r>
        <w:rPr>
          <w:color w:val="000000"/>
        </w:rPr>
        <w:t xml:space="preserve"> </w:t>
      </w:r>
      <w:r>
        <w:rPr>
          <w:rFonts w:ascii="Franklin Gothic Book;sans-serif" w:hAnsi="Franklin Gothic Book;sans-serif"/>
          <w:b w:val="false"/>
          <w:i/>
          <w:color w:val="000000"/>
          <w:sz w:val="24"/>
          <w:shd w:fill="FFFFFF" w:val="clear"/>
        </w:rPr>
        <w:t>California Resources Corporation Expands Integrated California Energy Infrastructure</w:t>
      </w:r>
      <w:r>
        <w:rPr>
          <w:color w:val="000000"/>
        </w:rPr>
        <w:t xml:space="preserve"> </w:t>
      </w:r>
      <w:r>
        <w:rPr>
          <w:rFonts w:ascii="Franklin Gothic Book;sans-serif" w:hAnsi="Franklin Gothic Book;sans-serif"/>
          <w:b w:val="false"/>
          <w:i/>
          <w:color w:val="000000"/>
          <w:sz w:val="24"/>
          <w:shd w:fill="FFFFFF" w:val="clear"/>
        </w:rPr>
        <w:t>Platform</w:t>
      </w:r>
      <w:r>
        <w:rPr>
          <w:color w:val="000000"/>
        </w:rPr>
        <w:t xml:space="preserve"> </w:t>
      </w:r>
      <w:r>
        <w:rPr>
          <w:rFonts w:ascii="Franklin Gothic Book;sans-serif" w:hAnsi="Franklin Gothic Book;sans-serif"/>
          <w:b w:val="false"/>
          <w:i/>
          <w:color w:val="000000"/>
          <w:sz w:val="24"/>
        </w:rPr>
        <w:t>T</w:t>
      </w:r>
      <w:r>
        <w:rPr>
          <w:rFonts w:ascii="Franklin Gothic Book;sans-serif" w:hAnsi="Franklin Gothic Book;sans-serif"/>
          <w:b w:val="false"/>
          <w:i/>
          <w:color w:val="000000"/>
          <w:sz w:val="24"/>
          <w:shd w:fill="FFFFFF" w:val="clear"/>
        </w:rPr>
        <w:t>hrough Strategic Midstream Acquisition</w:t>
      </w:r>
      <w:r>
        <w:rPr>
          <w:color w:val="000000"/>
          <w:shd w:fill="FFFFFF" w:val="clear"/>
        </w:rPr>
        <w:t xml:space="preserve"> </w:t>
      </w:r>
      <w:r>
        <w:rPr>
          <w:rFonts w:ascii="Franklin Gothic Book;sans-serif" w:hAnsi="Franklin Gothic Book;sans-serif"/>
          <w:b w:val="false"/>
          <w:color w:val="000000"/>
          <w:sz w:val="24"/>
          <w:shd w:fill="FFFFFF" w:val="clear"/>
        </w:rPr>
        <w:t>for</w:t>
      </w:r>
      <w:r>
        <w:rPr>
          <w:color w:val="000000"/>
        </w:rPr>
        <w:t xml:space="preserve"> </w:t>
      </w:r>
      <w:r>
        <w:rPr>
          <w:rFonts w:ascii="Franklin Gothic Book;sans-serif" w:hAnsi="Franklin Gothic Book;sans-serif"/>
          <w:b w:val="false"/>
          <w:color w:val="000000"/>
          <w:sz w:val="24"/>
        </w:rPr>
        <w:t>additional information</w:t>
      </w:r>
    </w:p>
    <w:p>
      <w:pPr>
        <w:pStyle w:val="TextBody"/>
        <w:bidi w:val="0"/>
        <w:spacing w:lineRule="auto" w:line="312"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Lowered California long-term maintenance capital outlook by reducing drilling, completions and workover capital expectations by approximately 5% to a $450 million to $475 million range with six drilling rigs, compared to seven previously</w:t>
      </w:r>
    </w:p>
    <w:p>
      <w:pPr>
        <w:pStyle w:val="TextBody"/>
        <w:bidi w:val="0"/>
        <w:spacing w:lineRule="auto" w:line="312"/>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Optimized capital structure, reduced annual interest payments and extended maturities through recent $550 million offering of 7.250% senior notes due 2035 (2035 Senior Notes) and subsequent redemption of all remaining 8.250% senior notes due 2029 (2029 Senior Notes)</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w:t>
                      </w:r>
                    </w:p>
                  </w:txbxContent>
                </v:textbox>
                <w10:wrap type="none"/>
              </v:rect>
            </w:pict>
          </mc:Fallback>
        </mc:AlternateContent>
      </w:r>
    </w:p>
    <w:p>
      <w:pPr>
        <w:pStyle w:val="TextBody"/>
        <w:bidi w:val="0"/>
        <w:spacing w:lineRule="auto" w:line="312"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 xml:space="preserve">Announced the Golden Valley Technology Hub project, a proposed data center development in partnership with Beacon Data Centers (Beacon), at CRC's Elk Hills field. See </w:t>
      </w:r>
      <w:r>
        <w:rPr>
          <w:rFonts w:ascii="Franklin Gothic Book;sans-serif" w:hAnsi="Franklin Gothic Book;sans-serif"/>
          <w:b w:val="false"/>
          <w:i/>
          <w:color w:val="000000"/>
          <w:sz w:val="24"/>
          <w:shd w:fill="FFFFFF" w:val="clear"/>
        </w:rPr>
        <w:t>www.goldenvalleytechhub.com</w:t>
      </w:r>
      <w:r>
        <w:rPr>
          <w:color w:val="000000"/>
          <w:shd w:fill="FFFFFF" w:val="clear"/>
        </w:rPr>
        <w:t xml:space="preserve"> </w:t>
      </w:r>
      <w:r>
        <w:rPr>
          <w:rFonts w:ascii="Franklin Gothic Book;sans-serif" w:hAnsi="Franklin Gothic Book;sans-serif"/>
          <w:b w:val="false"/>
          <w:color w:val="000000"/>
          <w:sz w:val="24"/>
          <w:shd w:fill="FFFFFF" w:val="clear"/>
        </w:rPr>
        <w:t>for additional information</w:t>
      </w:r>
    </w:p>
    <w:p>
      <w:pPr>
        <w:pStyle w:val="TextBody"/>
        <w:bidi w:val="0"/>
        <w:spacing w:lineRule="auto" w:line="312"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Implemented more than 100% of the annual Berry merger synergy target, representing $103 million of annualized savings six months ahead of schedule</w:t>
      </w:r>
    </w:p>
    <w:p>
      <w:pPr>
        <w:pStyle w:val="TextBody"/>
        <w:bidi w:val="0"/>
        <w:spacing w:lineRule="auto" w:line="312"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Achieved first carbon dioxide (CO</w:t>
      </w:r>
      <w:r>
        <w:rPr>
          <w:rFonts w:ascii="Franklin Gothic Book;sans-serif" w:hAnsi="Franklin Gothic Book;sans-serif"/>
          <w:b w:val="false"/>
          <w:color w:val="000000"/>
          <w:sz w:val="16"/>
          <w:shd w:fill="FFFFFF" w:val="clear"/>
        </w:rPr>
        <w:t>2</w:t>
      </w:r>
      <w:r>
        <w:rPr>
          <w:rFonts w:ascii="Franklin Gothic Book;sans-serif" w:hAnsi="Franklin Gothic Book;sans-serif"/>
          <w:b w:val="false"/>
          <w:color w:val="000000"/>
          <w:sz w:val="24"/>
          <w:shd w:fill="FFFFFF" w:val="clear"/>
        </w:rPr>
        <w:t xml:space="preserve">) injection and revenue at Carbon TerraVault I (CTV I), California's inaugural carbon capture and storage (CCS) project. See </w:t>
      </w:r>
      <w:r>
        <w:rPr>
          <w:rFonts w:ascii="Franklin Gothic Book;sans-serif" w:hAnsi="Franklin Gothic Book;sans-serif"/>
          <w:b w:val="false"/>
          <w:i/>
          <w:color w:val="000000"/>
          <w:sz w:val="24"/>
        </w:rPr>
        <w:t>Carbon TerraVault Provides Second Quarter 2026 Update</w:t>
      </w:r>
      <w:r>
        <w:rPr>
          <w:color w:val="000000"/>
        </w:rPr>
        <w:t xml:space="preserve"> </w:t>
      </w:r>
      <w:r>
        <w:rPr>
          <w:rFonts w:ascii="Franklin Gothic Book;sans-serif" w:hAnsi="Franklin Gothic Book;sans-serif"/>
          <w:b w:val="false"/>
          <w:color w:val="000000"/>
          <w:sz w:val="24"/>
        </w:rPr>
        <w:t>for additional information</w:t>
      </w:r>
    </w:p>
    <w:p>
      <w:pPr>
        <w:pStyle w:val="TextBody"/>
        <w:bidi w:val="0"/>
        <w:spacing w:before="0" w:after="0"/>
        <w:jc w:val="both"/>
        <w:rPr/>
      </w:pPr>
      <w:r>
        <w:rPr/>
      </w:r>
    </w:p>
    <w:p>
      <w:pPr>
        <w:pStyle w:val="TextBody"/>
        <w:bidi w:val="0"/>
        <w:spacing w:lineRule="auto" w:line="312"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"Our teams are executing exceptionally well, delivering durable operational improvements across our asset base,” said Francisco Leon, CRC’s President and Chief Executive Officer. “Recent efficiency gains and continued Berry synergy capture are strengthening our long-term outlook. Specifically, we are now able to maintain flat California production with fewer rigs and less maintenance capital, creating operational and financial momentum into 2027 and beyond.</w:t>
      </w:r>
    </w:p>
    <w:p>
      <w:pPr>
        <w:pStyle w:val="TextBody"/>
        <w:bidi w:val="0"/>
        <w:spacing w:before="0" w:after="0"/>
        <w:jc w:val="left"/>
        <w:rPr/>
      </w:pPr>
      <w:r>
        <w:rPr/>
      </w:r>
    </w:p>
    <w:p>
      <w:pPr>
        <w:pStyle w:val="TextBody"/>
        <w:bidi w:val="0"/>
        <w:spacing w:lineRule="auto" w:line="288"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"Today, we also announced the planned acquisition of Crimson’s California pipeline systems and storage assets, a strategic infrastructure investment that strengthens our California platform. In parallel, our team continued to advance the Golden Valley Technology Hub with Beacon, leveraging CRC’s assets to meet California’s growing AI demand for reliable power. These developments strengthen CRC’s integrated energy platform, reinforce our commitment to California and create long-term value for our shareholders, Californians and the communities we serve.”</w:t>
      </w:r>
    </w:p>
    <w:p>
      <w:pPr>
        <w:pStyle w:val="TextBody"/>
        <w:bidi w:val="0"/>
        <w:spacing w:before="0" w:after="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Second Quarter 2026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Operating expenses and general and administrative expenses were in line with expectations reflecting solid execution and the ongoing capture of Berry merger-related synergies</w:t>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Invested total capital of $149 million including drilling, completions and workover capital</w:t>
      </w:r>
      <w:r>
        <w:rPr>
          <w:rFonts w:ascii="Franklin Gothic Book;sans-serif" w:hAnsi="Franklin Gothic Book;sans-serif"/>
          <w:b w:val="false"/>
          <w:color w:val="000000"/>
          <w:sz w:val="13"/>
        </w:rPr>
        <w:t>1</w:t>
      </w:r>
      <w:r>
        <w:rPr>
          <w:color w:val="000000"/>
        </w:rPr>
        <w:t xml:space="preserve"> </w:t>
      </w:r>
      <w:r>
        <w:rPr>
          <w:rFonts w:ascii="Franklin Gothic Book;sans-serif" w:hAnsi="Franklin Gothic Book;sans-serif"/>
          <w:b w:val="false"/>
          <w:color w:val="000000"/>
          <w:sz w:val="24"/>
        </w:rPr>
        <w:t>of $101 million; total capital was higher than initial expectations driven by a 25% increase in drilling activity across the California portfolio</w:t>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Built approximately 137 thousand barrels of oil (MBo) of inventory due to temporary takeaway constraints, equivalent to approximately 1.5 MBo/d, which, together with weaker differentials and higher operating and transportation costs, reduced second quarter adjusted EBITDAX</w:t>
      </w:r>
      <w:r>
        <w:rPr>
          <w:rFonts w:ascii="Franklin Gothic Book;sans-serif" w:hAnsi="Franklin Gothic Book;sans-serif"/>
          <w:b w:val="false"/>
          <w:color w:val="000000"/>
          <w:sz w:val="16"/>
        </w:rPr>
        <w:t>1</w:t>
      </w:r>
      <w:r>
        <w:rPr>
          <w:color w:val="000000"/>
        </w:rPr>
        <w:t xml:space="preserve"> </w:t>
      </w:r>
      <w:r>
        <w:rPr>
          <w:rFonts w:ascii="Franklin Gothic Book;sans-serif" w:hAnsi="Franklin Gothic Book;sans-serif"/>
          <w:b w:val="false"/>
          <w:color w:val="000000"/>
          <w:sz w:val="24"/>
        </w:rPr>
        <w:t>and net cash provided by operating activities before net changes in operating assets and liabilities</w:t>
      </w:r>
      <w:r>
        <w:rPr>
          <w:rFonts w:ascii="Franklin Gothic Book;sans-serif" w:hAnsi="Franklin Gothic Book;sans-serif"/>
          <w:b w:val="false"/>
          <w:color w:val="000000"/>
          <w:sz w:val="16"/>
        </w:rPr>
        <w:t>1</w:t>
      </w:r>
      <w:r>
        <w:rPr>
          <w:color w:val="000000"/>
        </w:rPr>
        <w:t xml:space="preserve"> </w:t>
      </w:r>
      <w:r>
        <w:rPr>
          <w:rFonts w:ascii="Franklin Gothic Book;sans-serif" w:hAnsi="Franklin Gothic Book;sans-serif"/>
          <w:b w:val="false"/>
          <w:color w:val="000000"/>
          <w:sz w:val="24"/>
        </w:rPr>
        <w:t>by approximately $25 million. The substantial majority of this inventory was sold in July 2026</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w:t>
                      </w:r>
                    </w:p>
                  </w:txbxContent>
                </v:textbox>
                <w10:wrap type="none"/>
              </v:rect>
            </w:pict>
          </mc:Fallback>
        </mc:AlternateContent>
      </w:r>
    </w:p>
    <w:p>
      <w:pPr>
        <w:pStyle w:val="TextBody"/>
        <w:bidi w:val="0"/>
        <w:spacing w:before="0" w:after="0"/>
        <w:jc w:val="both"/>
        <w:rPr/>
      </w:pPr>
      <w:r>
        <w:rPr/>
      </w:r>
    </w:p>
    <w:tbl>
      <w:tblPr>
        <w:tblW w:w="9384" w:type="dxa"/>
        <w:jc w:val="left"/>
        <w:tblInd w:w="0" w:type="dxa"/>
        <w:tblLayout w:type="fixed"/>
        <w:tblCellMar>
          <w:top w:w="28" w:type="dxa"/>
          <w:left w:w="28" w:type="dxa"/>
          <w:bottom w:w="28" w:type="dxa"/>
          <w:right w:w="28" w:type="dxa"/>
        </w:tblCellMar>
      </w:tblPr>
      <w:tblGrid>
        <w:gridCol w:w="2110"/>
        <w:gridCol w:w="1849"/>
        <w:gridCol w:w="1860"/>
        <w:gridCol w:w="109"/>
        <w:gridCol w:w="109"/>
        <w:gridCol w:w="109"/>
        <w:gridCol w:w="235"/>
        <w:gridCol w:w="685"/>
        <w:gridCol w:w="130"/>
        <w:gridCol w:w="109"/>
        <w:gridCol w:w="109"/>
        <w:gridCol w:w="109"/>
        <w:gridCol w:w="109"/>
        <w:gridCol w:w="109"/>
        <w:gridCol w:w="109"/>
        <w:gridCol w:w="215"/>
        <w:gridCol w:w="610"/>
        <w:gridCol w:w="119"/>
        <w:gridCol w:w="109"/>
        <w:gridCol w:w="109"/>
        <w:gridCol w:w="109"/>
        <w:gridCol w:w="109"/>
        <w:gridCol w:w="154"/>
      </w:tblGrid>
      <w:tr>
        <w:trPr/>
        <w:tc>
          <w:tcPr>
            <w:tcW w:w="2110"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Select Production, Price and Financial Results and Non-GAAP Measures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in millions except production and prices)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oil production per day (MBbl/d)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w:t>
            </w: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oil price without derivative settlements ($ per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91.55</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Realized oil price with derivative settlements ($ per Bbl)</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76.43</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NGL production per day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NGL price ($ per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49.62</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natural gas production per day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natural gas price ($ per 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total production per day (MBoe/d)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Margin from purchased commodities</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Electricity revenue net of electricity generation expenses</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gain (loss) from commodity sales derivatives</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operating expenses net of other revenue</w:t>
            </w:r>
            <w:r>
              <w:rPr>
                <w:rFonts w:ascii="Arial;sans-serif" w:hAnsi="Arial;sans-serif"/>
                <w:b w:val="false"/>
                <w:color w:val="000000"/>
                <w:sz w:val="10"/>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428"/>
        <w:gridCol w:w="2108"/>
        <w:gridCol w:w="2121"/>
        <w:gridCol w:w="109"/>
        <w:gridCol w:w="109"/>
        <w:gridCol w:w="109"/>
        <w:gridCol w:w="232"/>
        <w:gridCol w:w="678"/>
        <w:gridCol w:w="128"/>
        <w:gridCol w:w="109"/>
        <w:gridCol w:w="109"/>
        <w:gridCol w:w="109"/>
        <w:gridCol w:w="109"/>
        <w:gridCol w:w="109"/>
        <w:gridCol w:w="109"/>
        <w:gridCol w:w="217"/>
        <w:gridCol w:w="597"/>
        <w:gridCol w:w="120"/>
        <w:gridCol w:w="109"/>
        <w:gridCol w:w="109"/>
        <w:gridCol w:w="109"/>
        <w:gridCol w:w="109"/>
        <w:gridCol w:w="159"/>
      </w:tblGrid>
      <w:tr>
        <w:trPr/>
        <w:tc>
          <w:tcPr>
            <w:tcW w:w="2428"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Select Financial Statement Data and Non-GAAP Measures: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and shares in millions, except per share amounts)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operating revenues before net (loss) gain from commodity derivatives</w:t>
            </w:r>
            <w:r>
              <w:rPr>
                <w:rFonts w:ascii="Arial;sans-serif" w:hAnsi="Arial;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1,092</w:t>
            </w:r>
            <w:r>
              <w:rPr>
                <w:color w:val="000000"/>
              </w:rPr>
              <w:t>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Adjusted general and administrative expenses</w:t>
            </w:r>
            <w:r>
              <w:rPr>
                <w:rFonts w:ascii="Arial;sans-serif" w:hAnsi="Arial;sans-serif"/>
                <w:b w:val="false"/>
                <w:i/>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89</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on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Transportation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511</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and debt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Deferred 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(55)</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(50)</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89.3</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5.76</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net income</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net income per share</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0.99</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cash provided by operating activities before net changes in operating assets and liabilities</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EBITDAX</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Free cash flow</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2026 Guidance Highlights</w:t>
      </w:r>
    </w:p>
    <w:p>
      <w:pPr>
        <w:pStyle w:val="TextBody"/>
        <w:bidi w:val="0"/>
        <w:spacing w:before="0" w:after="0"/>
        <w:jc w:val="both"/>
        <w:rPr/>
      </w:pPr>
      <w:r>
        <w:rPr/>
      </w:r>
    </w:p>
    <w:p>
      <w:pPr>
        <w:pStyle w:val="TextBody"/>
        <w:bidi w:val="0"/>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CRC reaffirmed its full-year 2026 total capital outlook and reduced expected full-year 2026 drilling, completions and workover capital by $10 million to $370 million to $390 million while targeting approximately 1% entry-to-exit gross production growth. Stronger operating efficiencies across the portfolio, together with the impact of lower estimated oil prices on production-sharing contracts, provide increased confidence in achieving these targets and strengthen the Company’s long-term outlook.</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w:t>
                      </w:r>
                    </w:p>
                  </w:txbxContent>
                </v:textbox>
                <w10:wrap type="none"/>
              </v:rect>
            </w:pict>
          </mc:Fallback>
        </mc:AlternateContent>
      </w:r>
    </w:p>
    <w:p>
      <w:pPr>
        <w:pStyle w:val="TextBody"/>
        <w:bidi w:val="0"/>
        <w:spacing w:lineRule="auto" w:line="268" w:before="0" w:after="0"/>
        <w:ind w:left="0" w:right="0" w:firstLine="360"/>
        <w:jc w:val="both"/>
        <w:rPr/>
      </w:pPr>
      <w:r>
        <w:rPr>
          <w:rFonts w:ascii="Franklin Gothic Book;sans-serif" w:hAnsi="Franklin Gothic Book;sans-serif"/>
          <w:b w:val="false"/>
          <w:color w:val="000000"/>
          <w:sz w:val="24"/>
        </w:rPr>
        <w:t>CRC expects to operate an average of five rigs in California and one rig in Utah during the second half of 2026 and currently holds sufficient permits to support its 2026 capital program. The Company also continues to build its permit inventory in support of anticipated 2027 operations. Following the closing of the pending transaction, CRC expects to provide additional financial and operating guidance. The following table provides key current third-quarter and full-year 2026 financial and operating guidance</w:t>
      </w:r>
      <w:r>
        <w:rPr>
          <w:rFonts w:ascii="Franklin Gothic Book;sans-serif" w:hAnsi="Franklin Gothic Book;sans-serif"/>
          <w:b w:val="false"/>
          <w:color w:val="000000"/>
          <w:sz w:val="16"/>
        </w:rPr>
        <w:t>4</w:t>
      </w:r>
      <w:r>
        <w:rPr>
          <w:rFonts w:ascii="Franklin Gothic Book;sans-serif" w:hAnsi="Franklin Gothic Book;sans-serif"/>
          <w:b w:val="false"/>
          <w:color w:val="000000"/>
          <w:sz w:val="24"/>
        </w:rPr>
        <w:t>. See Attachment 2 for additional information.</w:t>
      </w:r>
    </w:p>
    <w:p>
      <w:pPr>
        <w:pStyle w:val="TextBody"/>
        <w:bidi w:val="0"/>
        <w:spacing w:before="0" w:after="0"/>
        <w:ind w:left="0" w:right="0" w:firstLine="360"/>
        <w:jc w:val="center"/>
        <w:rPr/>
      </w:pPr>
      <w:r>
        <w:rPr/>
      </w:r>
    </w:p>
    <w:tbl>
      <w:tblPr>
        <w:tblW w:w="4784" w:type="dxa"/>
        <w:jc w:val="center"/>
        <w:tblInd w:w="0" w:type="dxa"/>
        <w:tblLayout w:type="fixed"/>
        <w:tblCellMar>
          <w:top w:w="28" w:type="dxa"/>
          <w:left w:w="28" w:type="dxa"/>
          <w:bottom w:w="28" w:type="dxa"/>
          <w:right w:w="28" w:type="dxa"/>
        </w:tblCellMar>
      </w:tblPr>
      <w:tblGrid>
        <w:gridCol w:w="912"/>
        <w:gridCol w:w="802"/>
        <w:gridCol w:w="806"/>
        <w:gridCol w:w="324"/>
        <w:gridCol w:w="324"/>
        <w:gridCol w:w="326"/>
        <w:gridCol w:w="378"/>
        <w:gridCol w:w="378"/>
        <w:gridCol w:w="534"/>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CRC Guidance</w:t>
            </w:r>
          </w:p>
        </w:tc>
        <w:tc>
          <w:tcPr>
            <w:tcW w:w="9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3Q26E</w:t>
            </w:r>
          </w:p>
        </w:tc>
        <w:tc>
          <w:tcPr>
            <w:tcW w:w="12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Total Year</w:t>
            </w:r>
          </w:p>
          <w:p>
            <w:pPr>
              <w:pStyle w:val="TableContents"/>
              <w:bidi w:val="0"/>
              <w:spacing w:lineRule="auto" w:line="268" w:before="0" w:after="0"/>
              <w:ind w:left="0" w:right="0" w:firstLine="135"/>
              <w:jc w:val="center"/>
              <w:rPr>
                <w:rFonts w:ascii="Arial;sans-serif" w:hAnsi="Arial;sans-serif"/>
                <w:b/>
                <w:color w:val="000000"/>
                <w:sz w:val="16"/>
              </w:rPr>
            </w:pPr>
            <w:r>
              <w:rPr>
                <w:rFonts w:ascii="Arial;sans-serif" w:hAnsi="Arial;sans-serif"/>
                <w:b/>
                <w:color w:val="000000"/>
                <w:sz w:val="16"/>
              </w:rPr>
              <w:t>2026E</w:t>
            </w:r>
          </w:p>
        </w:tc>
      </w:tr>
      <w:tr>
        <w:trPr/>
        <w:tc>
          <w:tcPr>
            <w:tcW w:w="2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Net Production (MBoe/d)</w:t>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151 - 154</w:t>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150 - 155</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35"/>
              <w:jc w:val="left"/>
              <w:rPr>
                <w:rFonts w:ascii="Arial;sans-serif" w:hAnsi="Arial;sans-serif"/>
                <w:b w:val="false"/>
                <w:color w:val="000000"/>
                <w:sz w:val="16"/>
              </w:rPr>
            </w:pPr>
            <w:r>
              <w:rPr>
                <w:rFonts w:ascii="Arial;sans-serif" w:hAnsi="Arial;sans-serif"/>
                <w:b w:val="false"/>
                <w:color w:val="000000"/>
                <w:sz w:val="16"/>
              </w:rPr>
              <w:t>Percentage Oil</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35"/>
              <w:jc w:val="left"/>
              <w:rPr>
                <w:rFonts w:ascii="Arial;sans-serif" w:hAnsi="Arial;sans-serif"/>
                <w:b w:val="false"/>
                <w:color w:val="000000"/>
                <w:sz w:val="16"/>
              </w:rPr>
            </w:pPr>
            <w:r>
              <w:rPr>
                <w:rFonts w:ascii="Arial;sans-serif" w:hAnsi="Arial;sans-serif"/>
                <w:b w:val="false"/>
                <w:color w:val="000000"/>
                <w:sz w:val="16"/>
              </w:rPr>
              <w:t>Capital Investments ($ millions)</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$150 - $170</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$520 - $560</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EBITDAX</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millions)</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$285 - $325</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$1,200 - $1,300</w:t>
            </w:r>
          </w:p>
        </w:tc>
      </w:tr>
    </w:tbl>
    <w:p>
      <w:pPr>
        <w:pStyle w:val="TextBody"/>
        <w:bidi w:val="0"/>
        <w:spacing w:before="0" w:after="0"/>
        <w:jc w:val="left"/>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Shareholder Returns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rPr>
        <w:t xml:space="preserve">On August 10, 2026, CRC's Board of Directors declared a quarterly cash dividend of </w:t>
      </w:r>
      <w:r>
        <w:rPr>
          <w:rFonts w:ascii="Franklin Gothic Book;sans-serif" w:hAnsi="Franklin Gothic Book;sans-serif"/>
          <w:b w:val="false"/>
          <w:color w:val="000000"/>
          <w:sz w:val="24"/>
          <w:shd w:fill="FFFFFF" w:val="clear"/>
        </w:rPr>
        <w:t>$0.405</w:t>
      </w:r>
      <w:r>
        <w:rPr>
          <w:color w:val="000000"/>
        </w:rPr>
        <w:t xml:space="preserve"> </w:t>
      </w:r>
      <w:r>
        <w:rPr>
          <w:rFonts w:ascii="Franklin Gothic Book;sans-serif" w:hAnsi="Franklin Gothic Book;sans-serif"/>
          <w:b w:val="false"/>
          <w:color w:val="000000"/>
          <w:sz w:val="24"/>
        </w:rPr>
        <w:t>per share of common stock, payable to shareholders of record on September 4, 2026. The dividend is expected to be paid on September 18,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rPr>
        <w:t xml:space="preserve">In the second quarter 2026, CRC returned $36 million in dividends to shareholders. </w:t>
      </w:r>
      <w:r>
        <w:rPr>
          <w:rFonts w:ascii="Franklin Gothic Book;sans-serif" w:hAnsi="Franklin Gothic Book;sans-serif"/>
          <w:b w:val="false"/>
          <w:color w:val="000000"/>
          <w:sz w:val="24"/>
          <w:shd w:fill="FFFFFF" w:val="clear"/>
        </w:rPr>
        <w:t>Since 2021, the Company has returned approximately $1,655 million to shareholders, including $1,180 million in share repurchases and $475 million in dividends</w:t>
      </w:r>
      <w:r>
        <w:rPr>
          <w:rFonts w:ascii="Franklin Gothic Book;sans-serif" w:hAnsi="Franklin Gothic Book;sans-serif"/>
          <w:b w:val="false"/>
          <w:color w:val="000000"/>
          <w:sz w:val="16"/>
          <w:shd w:fill="FFFFFF" w:val="clear"/>
        </w:rPr>
        <w:t>2</w:t>
      </w:r>
      <w:r>
        <w:rPr>
          <w:rFonts w:ascii="Franklin Gothic Book;sans-serif" w:hAnsi="Franklin Gothic Book;sans-serif"/>
          <w:b w:val="false"/>
          <w:color w:val="000000"/>
          <w:sz w:val="24"/>
          <w:shd w:fill="FFFFFF" w:val="clear"/>
        </w:rPr>
        <w:t>.</w:t>
      </w:r>
    </w:p>
    <w:p>
      <w:pPr>
        <w:pStyle w:val="TextBody"/>
        <w:bidi w:val="0"/>
        <w:spacing w:before="0" w:after="0"/>
        <w:ind w:left="0" w:right="0" w:firstLine="36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Balance Sheet and Liquidity</w:t>
      </w:r>
    </w:p>
    <w:p>
      <w:pPr>
        <w:pStyle w:val="TextBody"/>
        <w:bidi w:val="0"/>
        <w:spacing w:before="0" w:after="0"/>
        <w:jc w:val="both"/>
        <w:rPr/>
      </w:pPr>
      <w:r>
        <w:rPr/>
      </w:r>
    </w:p>
    <w:p>
      <w:pPr>
        <w:pStyle w:val="TextBody"/>
        <w:bidi w:val="0"/>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In June 2026, CRC completed an offering of $550 million of 2035 Senior Notes. The proceeds, together with cash on hand, were used to redeem all $550 million of the Company’s outstanding 2029 Senior Notes for total consideration of $573 million. The redemption resulted in a $28 million loss on extinguishment of debt, including a $23 million premium paid and $5 million write-off of unamortized debt issuance costs, net of unamortized premium. Following this redemption, CRC had outstanding $750 million of 2034 Senior Notes and $550 million of 2035 Senior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rPr>
        <w:t>As of June 30, 2026, CRC had liquidity of $1,322 million</w:t>
      </w:r>
      <w:r>
        <w:rPr>
          <w:rFonts w:ascii="Franklin Gothic Book;sans-serif" w:hAnsi="Franklin Gothic Book;sans-serif"/>
          <w:b w:val="false"/>
          <w:color w:val="000000"/>
          <w:sz w:val="16"/>
        </w:rPr>
        <w:t>1,3</w:t>
      </w:r>
      <w:r>
        <w:rPr>
          <w:rFonts w:ascii="Franklin Gothic Book;sans-serif" w:hAnsi="Franklin Gothic Book;sans-serif"/>
          <w:b w:val="false"/>
          <w:color w:val="000000"/>
          <w:sz w:val="24"/>
        </w:rPr>
        <w:t>, consisting of $43 million in available cash and cash equivalents</w:t>
      </w:r>
      <w:r>
        <w:rPr>
          <w:rFonts w:ascii="Franklin Gothic Book;sans-serif" w:hAnsi="Franklin Gothic Book;sans-serif"/>
          <w:b w:val="false"/>
          <w:color w:val="000000"/>
          <w:sz w:val="16"/>
        </w:rPr>
        <w:t>3</w:t>
      </w:r>
      <w:r>
        <w:rPr>
          <w:color w:val="000000"/>
        </w:rPr>
        <w:t xml:space="preserve"> </w:t>
      </w:r>
      <w:r>
        <w:rPr>
          <w:rFonts w:ascii="Franklin Gothic Book;sans-serif" w:hAnsi="Franklin Gothic Book;sans-serif"/>
          <w:b w:val="false"/>
          <w:color w:val="000000"/>
          <w:sz w:val="24"/>
        </w:rPr>
        <w:t>and $1,279 million of available borrowing capacity under its Revolving Credit Faci</w:t>
      </w:r>
      <w:r>
        <w:rPr>
          <w:rFonts w:ascii="Franklin Gothic Book;sans-serif" w:hAnsi="Franklin Gothic Book;sans-serif"/>
          <w:b w:val="false"/>
          <w:color w:val="000000"/>
          <w:sz w:val="24"/>
          <w:shd w:fill="FFFFFF" w:val="clear"/>
        </w:rPr>
        <w:t>lity (which</w:t>
      </w:r>
      <w:r>
        <w:rPr>
          <w:color w:val="000000"/>
        </w:rPr>
        <w:t xml:space="preserve"> </w:t>
      </w:r>
      <w:r>
        <w:rPr>
          <w:rFonts w:ascii="Franklin Gothic Book;sans-serif" w:hAnsi="Franklin Gothic Book;sans-serif"/>
          <w:b w:val="false"/>
          <w:color w:val="000000"/>
          <w:sz w:val="24"/>
        </w:rPr>
        <w:t>reflects $1,460 million of borrowing capacity less $181 million of outstanding letters of credit and no balance outstanding on the Revolving Credit Facility).</w:t>
      </w:r>
    </w:p>
    <w:p>
      <w:pPr>
        <w:pStyle w:val="TextBody"/>
        <w:bidi w:val="0"/>
        <w:spacing w:before="0" w:after="0"/>
        <w:jc w:val="left"/>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Participation in Upcoming Investor Conferences</w:t>
      </w:r>
    </w:p>
    <w:p>
      <w:pPr>
        <w:pStyle w:val="TextBody"/>
        <w:bidi w:val="0"/>
        <w:spacing w:before="0" w:after="0"/>
        <w:jc w:val="left"/>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shd w:fill="FFFFFF" w:val="clear"/>
        </w:rPr>
      </w:pPr>
      <w:r>
        <w:rPr>
          <w:rFonts w:ascii="Franklin Gothic Book;sans-serif" w:hAnsi="Franklin Gothic Book;sans-serif"/>
          <w:b w:val="false"/>
          <w:color w:val="000000"/>
          <w:sz w:val="24"/>
          <w:shd w:fill="FFFFFF" w:val="clear"/>
        </w:rPr>
        <w:t xml:space="preserve">CRC is scheduled to participate in the following events in August and September 2026: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shd w:fill="FFFFFF" w:val="clear"/>
        </w:rPr>
        <w:t>Citi 2026 Natural Resources Conference, August 12 and 13, Las Vegas, NV</w:t>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Seaport 15th Annual Summer Investor Conference, August 18, Virtual</w:t>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Daniel Energy Partners, Executive Series, September 1 to 3, Pebble Beach, CA</w:t>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Barclays 40th Annual Energy-Power Conference, September 9 and 10, New York, NY</w:t>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NYSE Energy &amp; Utilities Investor Access Day, September 24, Virtual</w:t>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PEP Energy Conference 2026, September 29, Austin, TX</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w:t>
                      </w:r>
                    </w:p>
                  </w:txbxContent>
                </v:textbox>
                <w10:wrap type="none"/>
              </v:rect>
            </w:pict>
          </mc:Fallback>
        </mc:AlternateContent>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CRC’s presentation materials will be available on the day of the event on its website. See the Events and Presentations page under the Investor Relations section at www.crc.com.</w:t>
      </w:r>
    </w:p>
    <w:p>
      <w:pPr>
        <w:pStyle w:val="TextBody"/>
        <w:bidi w:val="0"/>
        <w:spacing w:before="0" w:after="0"/>
        <w:ind w:left="0" w:right="0" w:firstLine="360"/>
        <w:jc w:val="both"/>
        <w:rPr/>
      </w:pPr>
      <w:r>
        <w:rPr/>
      </w:r>
    </w:p>
    <w:p>
      <w:pPr>
        <w:pStyle w:val="TextBody"/>
        <w:bidi w:val="0"/>
        <w:spacing w:lineRule="auto" w:line="288" w:before="0" w:after="0"/>
        <w:jc w:val="both"/>
        <w:rPr>
          <w:rFonts w:ascii="Franklin Gothic Book;sans-serif" w:hAnsi="Franklin Gothic Book;sans-serif"/>
          <w:b/>
          <w:color w:val="000000"/>
          <w:sz w:val="24"/>
          <w:u w:val="single"/>
          <w:shd w:fill="FFFFFF" w:val="clear"/>
        </w:rPr>
      </w:pPr>
      <w:r>
        <w:rPr>
          <w:rFonts w:ascii="Franklin Gothic Book;sans-serif" w:hAnsi="Franklin Gothic Book;sans-serif"/>
          <w:b/>
          <w:color w:val="000000"/>
          <w:sz w:val="24"/>
          <w:u w:val="single"/>
          <w:shd w:fill="FFFFFF" w:val="clear"/>
        </w:rPr>
        <w:t>Conference Call Details</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Franklin Gothic Book;sans-serif" w:hAnsi="Franklin Gothic Book;sans-serif"/>
          <w:b w:val="false"/>
          <w:color w:val="000000"/>
          <w:sz w:val="24"/>
          <w:shd w:fill="FFFFFF" w:val="clear"/>
        </w:rPr>
        <w:t xml:space="preserve">A conference call and webcast is planned for 1 p.m. ET (10 a.m. PT) on Monday, August 10, 2026. To participate in the call, dial (877) 328-5505 (International calls dial +1 (412) 317-5421) or access via webcast at www.crc.com. Participants may also pre-register for the conference call at </w:t>
      </w:r>
      <w:r>
        <w:rPr>
          <w:rFonts w:ascii="Franklin Gothic Book;sans-serif" w:hAnsi="Franklin Gothic Book;sans-serif"/>
          <w:b w:val="false"/>
          <w:color w:val="000000"/>
          <w:sz w:val="24"/>
        </w:rPr>
        <w:t>https://dpregister.com/sreg/10209577/1041fba52bd</w:t>
      </w:r>
      <w:r>
        <w:rPr>
          <w:rFonts w:ascii="Franklin Gothic Book;sans-serif" w:hAnsi="Franklin Gothic Book;sans-serif"/>
          <w:b w:val="false"/>
          <w:color w:val="000000"/>
          <w:sz w:val="24"/>
          <w:shd w:fill="FFFFFF" w:val="clear"/>
        </w:rPr>
        <w:t>. A digital replay of the conference call will be available for approximately 90 days.</w:t>
      </w:r>
    </w:p>
    <w:p>
      <w:pPr>
        <w:pStyle w:val="TextBody"/>
        <w:bidi w:val="0"/>
        <w:spacing w:before="0" w:after="0"/>
        <w:jc w:val="left"/>
        <w:rPr/>
      </w:pPr>
      <w:r>
        <w:rPr/>
      </w:r>
    </w:p>
    <w:p>
      <w:pPr>
        <w:pStyle w:val="TextBody"/>
        <w:bidi w:val="0"/>
        <w:spacing w:lineRule="auto" w:line="288" w:before="0" w:after="0"/>
        <w:jc w:val="both"/>
        <w:rPr/>
      </w:pPr>
      <w:r>
        <w:rPr>
          <w:rFonts w:ascii="Franklin Gothic Book;sans-serif" w:hAnsi="Franklin Gothic Book;sans-serif"/>
          <w:b w:val="false"/>
          <w:color w:val="000000"/>
          <w:sz w:val="10"/>
        </w:rPr>
        <w:t xml:space="preserve">1 </w:t>
      </w:r>
      <w:r>
        <w:rPr>
          <w:rFonts w:ascii="Franklin Gothic Book;sans-serif" w:hAnsi="Franklin Gothic Book;sans-serif"/>
          <w:b w:val="false"/>
          <w:color w:val="000000"/>
          <w:sz w:val="16"/>
        </w:rPr>
        <w:t xml:space="preserve">See Attachment 3 for the non-GAAP financial measures of adjusted net income (loss), adjusted net income (loss) per share - basic and diluted, net cash provided by operating activities before net changes in operating assets and liabilities, adjusted EBITDAX, free cash flow, free cash flow before net changes in operating assets and liabilities, adjusted general and administrative expenses, total operating revenues before net (loss) gain from commodity derivatives, margin from purchased commodities, electricity revenue net of electricity generation expenses and other operating expenses net of other revenue, including reconciliations to the most directly comparable GAAP measure without unreasonable effort. See Attachment 2 for the 3Q26 and 2026 estimates of the non-GAAP measures of adjusted EBITDAX, adjusted general and administrative expenses, margin from purchased commodities, other operating expenses net of other revenue and electricity revenue net of electricity generation expenses, including reconciliations to its most directly comparable GAAP measure, without unreasonable effort. See Attachment 1 for a reconciliation of drilling completion and workover capital to total capital investments, and non-cash commodity derivative (loss) gain from combined derivatives to net (loss) gain from combined derivatives, reported under GAAP. </w:t>
      </w:r>
    </w:p>
    <w:p>
      <w:pPr>
        <w:pStyle w:val="TextBody"/>
        <w:bidi w:val="0"/>
        <w:spacing w:lineRule="auto" w:line="288" w:before="0" w:after="0"/>
        <w:jc w:val="both"/>
        <w:rPr/>
      </w:pPr>
      <w:r>
        <w:rPr>
          <w:rFonts w:ascii="Franklin Gothic Book;sans-serif" w:hAnsi="Franklin Gothic Book;sans-serif"/>
          <w:b w:val="false"/>
          <w:color w:val="000000"/>
          <w:sz w:val="10"/>
        </w:rPr>
        <w:t xml:space="preserve">2 </w:t>
      </w:r>
      <w:r>
        <w:rPr>
          <w:rFonts w:ascii="Franklin Gothic Book;sans-serif" w:hAnsi="Franklin Gothic Book;sans-serif"/>
          <w:b w:val="false"/>
          <w:color w:val="000000"/>
          <w:sz w:val="16"/>
          <w:shd w:fill="FFFFFF" w:val="clear"/>
        </w:rPr>
        <w:t>All of CRC’s future quarterly dividends and share repurchases are subject to commodity prices, debt agreement covenants and Board of Directors' approval. The total value of shares purchased excludes commissions and excise taxes. Commissions paid on share repurchases were not significant in all periods presented.</w:t>
      </w:r>
    </w:p>
    <w:p>
      <w:pPr>
        <w:pStyle w:val="TextBody"/>
        <w:bidi w:val="0"/>
        <w:spacing w:lineRule="auto" w:line="288" w:before="0" w:after="0"/>
        <w:jc w:val="both"/>
        <w:rPr/>
      </w:pPr>
      <w:r>
        <w:rPr>
          <w:rFonts w:ascii="Franklin Gothic Book;sans-serif" w:hAnsi="Franklin Gothic Book;sans-serif"/>
          <w:b w:val="false"/>
          <w:color w:val="000000"/>
          <w:sz w:val="10"/>
        </w:rPr>
        <w:t xml:space="preserve">3 </w:t>
      </w:r>
      <w:r>
        <w:rPr>
          <w:rFonts w:ascii="Franklin Gothic Book;sans-serif" w:hAnsi="Franklin Gothic Book;sans-serif"/>
          <w:b w:val="false"/>
          <w:color w:val="000000"/>
          <w:sz w:val="16"/>
        </w:rPr>
        <w:t>Excludes restricted cash of $13 million.</w:t>
      </w:r>
    </w:p>
    <w:p>
      <w:pPr>
        <w:pStyle w:val="TextBody"/>
        <w:bidi w:val="0"/>
        <w:spacing w:lineRule="auto" w:line="268" w:before="0" w:after="0"/>
        <w:jc w:val="both"/>
        <w:rPr/>
      </w:pPr>
      <w:r>
        <w:rPr>
          <w:rFonts w:ascii="Franklin Gothic Book;sans-serif" w:hAnsi="Franklin Gothic Book;sans-serif"/>
          <w:b w:val="false"/>
          <w:color w:val="000000"/>
          <w:sz w:val="10"/>
        </w:rPr>
        <w:t>4</w:t>
      </w:r>
      <w:r>
        <w:rPr>
          <w:color w:val="000000"/>
        </w:rPr>
        <w:t xml:space="preserve"> </w:t>
      </w:r>
      <w:r>
        <w:rPr>
          <w:rFonts w:ascii="Franklin Gothic Book;sans-serif" w:hAnsi="Franklin Gothic Book;sans-serif"/>
          <w:b w:val="false"/>
          <w:color w:val="000000"/>
          <w:sz w:val="16"/>
        </w:rPr>
        <w:t>3Q26 guidance assumes Brent price of $83.14 per barrel of oil, NGL realizations as a percentage of Brent consistent with prior years and a NYMEX gas price of $2.95 per mcf. Total year 2026 guidance assumes Brent price of $84.51 per barrel of oil, NGL realizations as a percentage of Brent consistent with prior years and a NYMEX gas price of $3.55 per mcf.</w:t>
      </w:r>
    </w:p>
    <w:p>
      <w:pPr>
        <w:pStyle w:val="TextBody"/>
        <w:bidi w:val="0"/>
        <w:spacing w:before="0" w:after="0"/>
        <w:jc w:val="both"/>
        <w:rPr/>
      </w:pPr>
      <w:r>
        <w:rPr/>
      </w:r>
    </w:p>
    <w:p>
      <w:pPr>
        <w:pStyle w:val="TextBody"/>
        <w:bidi w:val="0"/>
        <w:spacing w:lineRule="auto" w:line="288" w:before="0" w:after="0"/>
        <w:jc w:val="left"/>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About California Resources Corporation</w:t>
      </w:r>
    </w:p>
    <w:p>
      <w:pPr>
        <w:pStyle w:val="TextBody"/>
        <w:bidi w:val="0"/>
        <w:spacing w:before="0" w:after="0"/>
        <w:jc w:val="left"/>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California Resources Corporation (CRC) is an independent energy and carbon management company advancing the energy transition. CRC is committed to environmental stewardship while safely providing local, responsibly sourced energy. CRC is also focused on maximizing the value of its land, mineral ownership, and energy expertise for decarbonization by developing CCS and other emissions reducing projects. For more information about CRC, please visit www.crc.com.</w:t>
      </w:r>
    </w:p>
    <w:p>
      <w:pPr>
        <w:pStyle w:val="TextBody"/>
        <w:bidi w:val="0"/>
        <w:spacing w:before="0" w:after="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About Carbon TerraVault</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rPr>
        <w:t>Carbon TerraVault (CTV), CRC’s carbon management business, develops services to capture, transport and permanently store carbon dioxide (CO</w:t>
      </w:r>
      <w:r>
        <w:rPr>
          <w:rFonts w:ascii="Franklin Gothic Book;sans-serif" w:hAnsi="Franklin Gothic Book;sans-serif"/>
          <w:b w:val="false"/>
          <w:color w:val="000000"/>
          <w:sz w:val="16"/>
        </w:rPr>
        <w:t>2</w:t>
      </w:r>
      <w:r>
        <w:rPr>
          <w:rFonts w:ascii="Franklin Gothic Book;sans-serif" w:hAnsi="Franklin Gothic Book;sans-serif"/>
          <w:b w:val="false"/>
          <w:color w:val="000000"/>
          <w:sz w:val="24"/>
        </w:rPr>
        <w:t>) for its customers. CTV is advancing a portfolio of carbon capture and storage (CCS) projects, including CTV I, which is now operational and injecting CO</w:t>
      </w:r>
      <w:r>
        <w:rPr>
          <w:rFonts w:ascii="Franklin Gothic Book;sans-serif" w:hAnsi="Franklin Gothic Book;sans-serif"/>
          <w:b w:val="false"/>
          <w:color w:val="000000"/>
          <w:sz w:val="16"/>
        </w:rPr>
        <w:t>2</w:t>
      </w:r>
      <w:r>
        <w:rPr>
          <w:color w:val="000000"/>
        </w:rPr>
        <w:t xml:space="preserve"> </w:t>
      </w:r>
      <w:r>
        <w:rPr>
          <w:rFonts w:ascii="Franklin Gothic Book;sans-serif" w:hAnsi="Franklin Gothic Book;sans-serif"/>
          <w:b w:val="false"/>
          <w:color w:val="000000"/>
          <w:sz w:val="24"/>
        </w:rPr>
        <w:t>for permanent sequestration in a depleted reservoir deep underground. For more information, visit www.carbonterravault.com.</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5</w:t>
                      </w:r>
                    </w:p>
                  </w:txbxContent>
                </v:textbox>
                <w10:wrap type="none"/>
              </v:rect>
            </w:pict>
          </mc:Fallback>
        </mc:AlternateContent>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Forward-Looking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Information set forth in this communication, including financial estimates and statements as to the effects of the Berry Merger and the Crimson acquisition, constitute “forward-looking statements” within the meaning of the safe harbor provisions of the Private Securities Litigation Reform Act of 1995 and other securities laws. All statements other than historical facts are forward-looking statements, and include statements regarding the benefits of the Berry Merger and the Crimson acquisition, CRC's future financial position, business strategy, projected revenues, earnings, costs, capital expenditures and plans and objectives and intentions of management for the future. Words such as “expect,” “could,” “may,” “anticipate,” “intend,” “plan,” “ability,” “believe,” “seek,” “see,” “will,” “would,” “estimate,” “forecast,” “target,” “guidance,” “outlook,” “opportunity” or “strategy” or similar expressions are generally intended to identify forward-looking statements. These forward-looking statements are based upon the current beliefs and expectations of the management of CRC and are subject to risks and uncertainties that could cause actual results to differ materially from those expressed in, projected in, or implied by, such statements.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rPr>
        <w:t>Although CRC believes the expectations and forecasts reflected in its forward-looking statements are reasonable, they are inherently subject to numerous risks and uncertainties, most of which are difficult to predict and many of which are beyond its control. No assurance can be given that such forward-looking statements will be correct or achieved or that the assumptions are accurate or will not change over time. Particular uncertainties that could cause CRC’s actual results to be materially different than those expressed in its forward-looking statements are described in its most recent Annual Report on Form 10-K and its other periodic filings with the SEC. These factors include, but are not limited to: fluctuations in commodity prices; production levels and/or pricing by OPEC, OPEC+ or U.S. producers; government policy, war and political conditions and events; integration efforts and projected synergies and other benefits in connection with the Berry Merger, Crimson acquisition and other acquisitions; divestitures and joint ventures; regulatory actions and changes that affect the oil and gas industry generally and us in particular; the efforts of activists to delay or prevent oil and gas activities or the development of CRC’s carbon management segment; changes in business strategy and the ability and financial resources to execute our capital plan in a timely manner; lower-than-expected production; changes to estimates of reserves and related future cash flows; the recoverability of resources and unexpected geologic conditions; general economic conditions and trends; results from operations and competition in the industries in which it operates; CRC’s ability to realize the anticipated benefits from prior or future efforts to reduce costs; environmental risks and liability; the benefits contemplated by its energy transition strategies and initiatives; CRC’s ability to successfully identify, develop and finance carbon capture and storage projects, power projects and other renewable energy efforts; delays from government approvals and otherwise that could affect the timing of first injection of CO</w:t>
      </w:r>
      <w:r>
        <w:rPr>
          <w:rFonts w:ascii="Franklin Gothic Book;sans-serif" w:hAnsi="Franklin Gothic Book;sans-serif"/>
          <w:b w:val="false"/>
          <w:color w:val="000000"/>
          <w:sz w:val="16"/>
        </w:rPr>
        <w:t>2</w:t>
      </w:r>
      <w:r>
        <w:rPr>
          <w:rFonts w:ascii="Franklin Gothic Book;sans-serif" w:hAnsi="Franklin Gothic Book;sans-serif"/>
          <w:b w:val="false"/>
          <w:color w:val="000000"/>
          <w:sz w:val="24"/>
        </w:rPr>
        <w:t>; future dividends and share repurchases and de-leveraging efforts; and natural disasters, accidents, mechanical failures, power outages, labor difficulties, cybersecurity breaches or attacks or other catastrophic events.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6</w:t>
                      </w:r>
                    </w:p>
                  </w:txbxContent>
                </v:textbox>
                <w10:wrap type="none"/>
              </v:rect>
            </w:pict>
          </mc:Fallback>
        </mc:AlternateContent>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CRC cautions you not to place undue reliance on forward-looking statements contained in this document, which speak only as of the date hereof, and CRC is under no obligation, and expressly disclaims any obligation to update, alter or otherwise revise any forward-looking statements, whether as a result of new information, future events or otherwise. This communication may also contain information from third-party sources. This data may involve a number of assumptions and limitations, and CRC has not independently verified them and does not warrant the accuracy or completeness of such third-party information.</w:t>
      </w:r>
    </w:p>
    <w:p>
      <w:pPr>
        <w:pStyle w:val="TextBody"/>
        <w:bidi w:val="0"/>
        <w:spacing w:before="0" w:after="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Contacts:</w:t>
      </w:r>
    </w:p>
    <w:tbl>
      <w:tblPr>
        <w:tblW w:w="7785" w:type="dxa"/>
        <w:jc w:val="left"/>
        <w:tblInd w:w="0" w:type="dxa"/>
        <w:tblLayout w:type="fixed"/>
        <w:tblCellMar>
          <w:top w:w="28" w:type="dxa"/>
          <w:left w:w="28" w:type="dxa"/>
          <w:bottom w:w="28" w:type="dxa"/>
          <w:right w:w="28" w:type="dxa"/>
        </w:tblCellMar>
      </w:tblPr>
      <w:tblGrid>
        <w:gridCol w:w="1391"/>
        <w:gridCol w:w="1223"/>
        <w:gridCol w:w="1225"/>
        <w:gridCol w:w="1156"/>
        <w:gridCol w:w="1156"/>
        <w:gridCol w:w="1634"/>
      </w:tblGrid>
      <w:tr>
        <w:trPr/>
        <w:tc>
          <w:tcPr>
            <w:tcW w:w="13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Daniel Juck (Investor Relations)</w:t>
            </w:r>
          </w:p>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818-661-3700</w:t>
            </w:r>
          </w:p>
          <w:p>
            <w:pPr>
              <w:pStyle w:val="TableContents"/>
              <w:bidi w:val="0"/>
              <w:spacing w:lineRule="auto" w:line="268" w:before="0" w:after="0"/>
              <w:jc w:val="left"/>
              <w:rPr>
                <w:rFonts w:ascii="Franklin Gothic Book;sans-serif" w:hAnsi="Franklin Gothic Book;sans-serif"/>
                <w:b w:val="false"/>
                <w:color w:val="421BFF"/>
                <w:sz w:val="24"/>
                <w:u w:val="single"/>
              </w:rPr>
            </w:pPr>
            <w:r>
              <w:rPr>
                <w:rFonts w:ascii="Franklin Gothic Book;sans-serif" w:hAnsi="Franklin Gothic Book;sans-serif"/>
                <w:b w:val="false"/>
                <w:color w:val="421BFF"/>
                <w:sz w:val="24"/>
                <w:u w:val="single"/>
              </w:rPr>
              <w:t>CRC_IR@crc.com</w:t>
            </w:r>
          </w:p>
        </w:tc>
        <w:tc>
          <w:tcPr>
            <w:tcW w:w="39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Hailey Bonus (Media)</w:t>
            </w:r>
          </w:p>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714-874-7732</w:t>
            </w:r>
          </w:p>
          <w:p>
            <w:pPr>
              <w:pStyle w:val="TableContents"/>
              <w:bidi w:val="0"/>
              <w:spacing w:lineRule="auto" w:line="268" w:before="0" w:after="0"/>
              <w:jc w:val="left"/>
              <w:rPr>
                <w:rFonts w:ascii="Franklin Gothic Book;sans-serif" w:hAnsi="Franklin Gothic Book;sans-serif"/>
                <w:b w:val="false"/>
                <w:color w:val="421BFF"/>
                <w:sz w:val="24"/>
                <w:u w:val="single"/>
              </w:rPr>
            </w:pPr>
            <w:r>
              <w:rPr>
                <w:rFonts w:ascii="Franklin Gothic Book;sans-serif" w:hAnsi="Franklin Gothic Book;sans-serif"/>
                <w:b w:val="false"/>
                <w:color w:val="421BFF"/>
                <w:sz w:val="24"/>
                <w:u w:val="single"/>
              </w:rPr>
              <w:t>CRC.Communications@crc.com</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7</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384"/>
        <w:gridCol w:w="1029"/>
        <w:gridCol w:w="1033"/>
        <w:gridCol w:w="109"/>
        <w:gridCol w:w="109"/>
        <w:gridCol w:w="109"/>
        <w:gridCol w:w="199"/>
        <w:gridCol w:w="581"/>
        <w:gridCol w:w="260"/>
        <w:gridCol w:w="109"/>
        <w:gridCol w:w="109"/>
        <w:gridCol w:w="109"/>
        <w:gridCol w:w="196"/>
        <w:gridCol w:w="522"/>
        <w:gridCol w:w="256"/>
        <w:gridCol w:w="109"/>
        <w:gridCol w:w="109"/>
        <w:gridCol w:w="109"/>
        <w:gridCol w:w="212"/>
        <w:gridCol w:w="522"/>
        <w:gridCol w:w="278"/>
        <w:gridCol w:w="109"/>
        <w:gridCol w:w="109"/>
        <w:gridCol w:w="109"/>
        <w:gridCol w:w="196"/>
        <w:gridCol w:w="571"/>
        <w:gridCol w:w="256"/>
        <w:gridCol w:w="109"/>
        <w:gridCol w:w="109"/>
        <w:gridCol w:w="109"/>
        <w:gridCol w:w="196"/>
        <w:gridCol w:w="571"/>
        <w:gridCol w:w="308"/>
      </w:tblGrid>
      <w:tr>
        <w:trPr/>
        <w:tc>
          <w:tcPr>
            <w:tcW w:w="138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1</w:t>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STATEMENTS OF OPERATIONS, SELECT FINANCIAL INFORMATION</w:t>
            </w:r>
          </w:p>
        </w:tc>
      </w:tr>
      <w:tr>
        <w:trPr/>
        <w:tc>
          <w:tcPr>
            <w:tcW w:w="3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and shares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Oil, natural gas and natural gas liquids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1,056</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905</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702</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1,961</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1,516</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 (loss) from 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(848)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from marketing of purchased 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Electricity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operating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1,297</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w:t>
            </w: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978</w:t>
            </w:r>
            <w:r>
              <w:rPr>
                <w:color w:val="000000"/>
              </w:rPr>
              <w:t>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1,416</w:t>
            </w: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1,890</w:t>
            </w:r>
            <w:r>
              <w:rPr>
                <w:color w:val="000000"/>
              </w:rPr>
              <w:t> </w:t>
            </w:r>
          </w:p>
        </w:tc>
        <w:tc>
          <w:tcPr>
            <w:tcW w:w="3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295</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712</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611</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on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related to marketing of purchased 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 generation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Transportation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Accretion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on natural gas purchase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Measurement period adjustments,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786</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830</w:t>
            </w: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711</w:t>
            </w:r>
            <w:r>
              <w:rPr>
                <w:color w:val="000000"/>
              </w:rPr>
              <w:t>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1,616</w:t>
            </w: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1,437</w:t>
            </w:r>
            <w:r>
              <w:rPr>
                <w:color w:val="000000"/>
              </w:rPr>
              <w:t> </w:t>
            </w:r>
          </w:p>
        </w:tc>
        <w:tc>
          <w:tcPr>
            <w:tcW w:w="3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511</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(711)</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w:t>
            </w:r>
            <w:r>
              <w:rPr>
                <w:color w:val="000000"/>
              </w:rPr>
              <w:t>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(200)</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453</w:t>
            </w:r>
            <w:r>
              <w:rPr>
                <w:color w:val="000000"/>
              </w:rPr>
              <w:t> </w:t>
            </w:r>
          </w:p>
        </w:tc>
        <w:tc>
          <w:tcPr>
            <w:tcW w:w="3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Non-Operating (Expenses)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and debt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loss from unconsolidated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early extinguishment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non-operating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458</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(760)</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tax benefit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(70)</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(117)</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(711)</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w:t>
            </w:r>
            <w:r>
              <w:rPr>
                <w:color w:val="000000"/>
              </w:rPr>
              <w:t>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(197)</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287</w:t>
            </w:r>
            <w:r>
              <w:rPr>
                <w:color w:val="000000"/>
              </w:rPr>
              <w:t> </w:t>
            </w:r>
          </w:p>
        </w:tc>
        <w:tc>
          <w:tcPr>
            <w:tcW w:w="3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3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per share - basic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5.79</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5.76</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per share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0.99</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0.89</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net income per share - diluted</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0.99</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0.88</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88.8</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89.0</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89.8</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Weighted-average common shares outstanding - diluted</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89.3</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90.3</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2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27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83"/>
        <w:gridCol w:w="653"/>
        <w:gridCol w:w="660"/>
        <w:gridCol w:w="137"/>
        <w:gridCol w:w="137"/>
        <w:gridCol w:w="137"/>
        <w:gridCol w:w="267"/>
        <w:gridCol w:w="779"/>
        <w:gridCol w:w="148"/>
        <w:gridCol w:w="137"/>
        <w:gridCol w:w="137"/>
        <w:gridCol w:w="137"/>
        <w:gridCol w:w="299"/>
        <w:gridCol w:w="819"/>
        <w:gridCol w:w="156"/>
        <w:gridCol w:w="137"/>
        <w:gridCol w:w="137"/>
        <w:gridCol w:w="137"/>
        <w:gridCol w:w="278"/>
        <w:gridCol w:w="660"/>
        <w:gridCol w:w="155"/>
        <w:gridCol w:w="137"/>
        <w:gridCol w:w="137"/>
        <w:gridCol w:w="137"/>
        <w:gridCol w:w="271"/>
        <w:gridCol w:w="641"/>
        <w:gridCol w:w="150"/>
        <w:gridCol w:w="137"/>
        <w:gridCol w:w="137"/>
        <w:gridCol w:w="137"/>
        <w:gridCol w:w="269"/>
        <w:gridCol w:w="638"/>
        <w:gridCol w:w="224"/>
      </w:tblGrid>
      <w:tr>
        <w:trPr/>
        <w:tc>
          <w:tcPr>
            <w:tcW w:w="108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vAlign w:val="center"/>
          </w:tcPr>
          <w:p>
            <w:pPr>
              <w:pStyle w:val="TableContents"/>
              <w:bidi w:val="0"/>
              <w:spacing w:before="0" w:after="283"/>
              <w:jc w:val="left"/>
              <w:rPr>
                <w:sz w:val="4"/>
                <w:szCs w:val="4"/>
              </w:rPr>
            </w:pPr>
            <w:r>
              <w:rPr>
                <w:sz w:val="4"/>
                <w:szCs w:val="4"/>
              </w:rPr>
            </w:r>
          </w:p>
        </w:tc>
        <w:tc>
          <w:tcPr>
            <w:tcW w:w="7809" w:type="dxa"/>
            <w:gridSpan w:val="30"/>
            <w:tcBorders/>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 Data:</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w:t>
            </w: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w:t>
            </w: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(153)</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(289)</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(94)</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(149)</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(521)</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Select Balance Sheet Information:</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697</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938</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5,923</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5,905</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1,055</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1,050</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1,281</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1,283</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asset retirement obligations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923</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913</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3,402</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3,674</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(1) Adjusted net income per share - diluted for the three months ended March 31, 2026 is calculated using weighted average shares outstanding of 89.5 million shares. Adjusted net income per share - diluted for the six months ended June 30, 2026 is calculated using weighted average shares outstanding of 89.3 million shares. </w:t>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59"/>
        <w:gridCol w:w="1183"/>
        <w:gridCol w:w="1196"/>
        <w:gridCol w:w="109"/>
        <w:gridCol w:w="109"/>
        <w:gridCol w:w="109"/>
        <w:gridCol w:w="260"/>
        <w:gridCol w:w="580"/>
        <w:gridCol w:w="144"/>
        <w:gridCol w:w="109"/>
        <w:gridCol w:w="109"/>
        <w:gridCol w:w="109"/>
        <w:gridCol w:w="232"/>
        <w:gridCol w:w="576"/>
        <w:gridCol w:w="128"/>
        <w:gridCol w:w="109"/>
        <w:gridCol w:w="109"/>
        <w:gridCol w:w="109"/>
        <w:gridCol w:w="260"/>
        <w:gridCol w:w="580"/>
        <w:gridCol w:w="144"/>
        <w:gridCol w:w="109"/>
        <w:gridCol w:w="109"/>
        <w:gridCol w:w="109"/>
        <w:gridCol w:w="232"/>
        <w:gridCol w:w="576"/>
        <w:gridCol w:w="128"/>
        <w:gridCol w:w="109"/>
        <w:gridCol w:w="109"/>
        <w:gridCol w:w="109"/>
        <w:gridCol w:w="245"/>
        <w:gridCol w:w="545"/>
        <w:gridCol w:w="202"/>
      </w:tblGrid>
      <w:tr>
        <w:trPr/>
        <w:tc>
          <w:tcPr>
            <w:tcW w:w="135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8886" w:type="dxa"/>
            <w:gridSpan w:val="27"/>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GAINS AND LOSSES FROM COMMODITY DERIVATIVES</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3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gain (loss) from commodity sales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(792)</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(422)</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w:t>
            </w: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settlements and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(165)</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(221)</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gain (loss) from commodity sales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(848)</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w:t>
            </w: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(643)</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w:t>
            </w:r>
            <w:r>
              <w:rPr>
                <w:color w:val="000000"/>
              </w:rPr>
              <w:t>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(gain) loss from natural gas purchase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(gain) from natural gas purchase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gain (loss) from combined 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390</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(804)</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(414)</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Net settlements and premiums from combined derivatives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(190)</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(68)</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(258)</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gain (loss) from combined 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w:t>
            </w: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(872)</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w:t>
            </w: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(672)</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w:t>
            </w:r>
            <w:r>
              <w:rPr>
                <w:color w:val="000000"/>
              </w:rPr>
              <w:t>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9</w:t>
                      </w:r>
                    </w:p>
                  </w:txbxContent>
                </v:textbox>
                <w10:wrap type="none"/>
              </v:rect>
            </w:pict>
          </mc:Fallback>
        </mc:AlternateContent>
      </w:r>
    </w:p>
    <w:tbl>
      <w:tblPr>
        <w:tblW w:w="9072" w:type="dxa"/>
        <w:jc w:val="center"/>
        <w:tblInd w:w="0" w:type="dxa"/>
        <w:tblLayout w:type="fixed"/>
        <w:tblCellMar>
          <w:top w:w="28" w:type="dxa"/>
          <w:left w:w="28" w:type="dxa"/>
          <w:bottom w:w="28" w:type="dxa"/>
          <w:right w:w="28" w:type="dxa"/>
        </w:tblCellMar>
      </w:tblPr>
      <w:tblGrid>
        <w:gridCol w:w="839"/>
        <w:gridCol w:w="739"/>
        <w:gridCol w:w="746"/>
        <w:gridCol w:w="109"/>
        <w:gridCol w:w="109"/>
        <w:gridCol w:w="109"/>
        <w:gridCol w:w="277"/>
        <w:gridCol w:w="618"/>
        <w:gridCol w:w="154"/>
        <w:gridCol w:w="109"/>
        <w:gridCol w:w="109"/>
        <w:gridCol w:w="109"/>
        <w:gridCol w:w="262"/>
        <w:gridCol w:w="583"/>
        <w:gridCol w:w="145"/>
        <w:gridCol w:w="109"/>
        <w:gridCol w:w="109"/>
        <w:gridCol w:w="109"/>
        <w:gridCol w:w="315"/>
        <w:gridCol w:w="558"/>
        <w:gridCol w:w="177"/>
        <w:gridCol w:w="109"/>
        <w:gridCol w:w="109"/>
        <w:gridCol w:w="109"/>
        <w:gridCol w:w="262"/>
        <w:gridCol w:w="583"/>
        <w:gridCol w:w="145"/>
        <w:gridCol w:w="109"/>
        <w:gridCol w:w="109"/>
        <w:gridCol w:w="109"/>
        <w:gridCol w:w="258"/>
        <w:gridCol w:w="574"/>
        <w:gridCol w:w="202"/>
      </w:tblGrid>
      <w:tr>
        <w:trPr/>
        <w:tc>
          <w:tcPr>
            <w:tcW w:w="8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6394" w:type="dxa"/>
            <w:gridSpan w:val="21"/>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CAPITAL INVESTMENTS</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48" w:type="dxa"/>
            <w:gridSpan w:val="30"/>
            <w:tcBorders/>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Facilities</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Drilling and completions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Workovers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Oil and natural gas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w:t>
            </w:r>
            <w:r>
              <w:rPr>
                <w:color w:val="000000"/>
              </w:rPr>
              <w:t>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Carbon management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capital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w:t>
            </w:r>
            <w:r>
              <w:rPr>
                <w:color w:val="000000"/>
              </w:rPr>
              <w:t>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w:t>
            </w:r>
            <w:r>
              <w:rPr>
                <w:color w:val="000000"/>
              </w:rPr>
              <w:t>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w:t>
            </w:r>
            <w:r>
              <w:rPr>
                <w:color w:val="000000"/>
              </w:rPr>
              <w:t> </w:t>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072"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48" w:type="dxa"/>
            <w:gridSpan w:val="30"/>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922" w:type="dxa"/>
        <w:jc w:val="center"/>
        <w:tblInd w:w="0" w:type="dxa"/>
        <w:tblLayout w:type="fixed"/>
        <w:tblCellMar>
          <w:top w:w="28" w:type="dxa"/>
          <w:left w:w="28" w:type="dxa"/>
          <w:bottom w:w="28" w:type="dxa"/>
          <w:right w:w="28" w:type="dxa"/>
        </w:tblCellMar>
      </w:tblPr>
      <w:tblGrid>
        <w:gridCol w:w="1196"/>
        <w:gridCol w:w="1057"/>
        <w:gridCol w:w="1063"/>
        <w:gridCol w:w="125"/>
        <w:gridCol w:w="125"/>
        <w:gridCol w:w="125"/>
        <w:gridCol w:w="301"/>
        <w:gridCol w:w="878"/>
        <w:gridCol w:w="167"/>
        <w:gridCol w:w="125"/>
        <w:gridCol w:w="125"/>
        <w:gridCol w:w="125"/>
        <w:gridCol w:w="404"/>
        <w:gridCol w:w="1181"/>
        <w:gridCol w:w="226"/>
        <w:gridCol w:w="109"/>
        <w:gridCol w:w="109"/>
        <w:gridCol w:w="109"/>
        <w:gridCol w:w="109"/>
        <w:gridCol w:w="109"/>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3" w:type="dxa"/>
            <w:gridSpan w:val="15"/>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LIQUIDITY</w:t>
            </w:r>
          </w:p>
        </w:tc>
        <w:tc>
          <w:tcPr>
            <w:tcW w:w="699" w:type="dxa"/>
            <w:gridSpan w:val="6"/>
            <w:tcBorders/>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4606" w:type="dxa"/>
            <w:gridSpan w:val="18"/>
            <w:tcBorders/>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Available cash and cash equivalents</w:t>
            </w:r>
            <w:r>
              <w:rPr>
                <w:rFonts w:ascii="Arial;sans-serif" w:hAnsi="Arial;sans-serif"/>
                <w:b w:val="false"/>
                <w:color w:val="000000"/>
                <w:sz w:val="10"/>
              </w:rPr>
              <w:t>(1)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w:t>
            </w: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Revolving credit facility: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Borrowing capacity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1,460</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1,460</w:t>
            </w: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letters of credit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(181)</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Availability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1,279</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1,284</w:t>
            </w: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Liquidity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1,322</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1,401</w:t>
            </w: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(1) Excludes restricted cash of $13 million and $15 million at June 30, 2026 and December 31, 2025, respectively. </w:t>
            </w:r>
          </w:p>
        </w:tc>
        <w:tc>
          <w:tcPr>
            <w:tcW w:w="699" w:type="dxa"/>
            <w:gridSpan w:val="6"/>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10"/>
        <w:gridCol w:w="1489"/>
        <w:gridCol w:w="1498"/>
        <w:gridCol w:w="109"/>
        <w:gridCol w:w="109"/>
        <w:gridCol w:w="109"/>
        <w:gridCol w:w="390"/>
        <w:gridCol w:w="390"/>
        <w:gridCol w:w="391"/>
        <w:gridCol w:w="109"/>
        <w:gridCol w:w="109"/>
        <w:gridCol w:w="109"/>
        <w:gridCol w:w="536"/>
        <w:gridCol w:w="536"/>
        <w:gridCol w:w="538"/>
        <w:gridCol w:w="109"/>
        <w:gridCol w:w="109"/>
        <w:gridCol w:w="109"/>
        <w:gridCol w:w="510"/>
        <w:gridCol w:w="510"/>
        <w:gridCol w:w="726"/>
      </w:tblGrid>
      <w:tr>
        <w:trPr/>
        <w:tc>
          <w:tcPr>
            <w:tcW w:w="171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2</w:t>
            </w:r>
          </w:p>
        </w:tc>
      </w:tr>
      <w:tr>
        <w:trPr/>
        <w:tc>
          <w:tcPr>
            <w:tcW w:w="469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CRC GUIDANCE</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br/>
              <w:t>3Q26E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Oil and Natural Gas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Segment</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Carbon Management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Segment</w:t>
            </w:r>
          </w:p>
        </w:tc>
      </w:tr>
      <w:tr>
        <w:trPr/>
        <w:tc>
          <w:tcPr>
            <w:tcW w:w="46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production (MBoe/d)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151 - 154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oil production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 costs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$360 - $380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$360 - $380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 expenses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$82 - $92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 $16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$0 - $2</w:t>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Adjusted general and administrative expenses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$75 - $85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$12 - $16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$0 - $2</w:t>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 depletion and amortization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$126 - $138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$120 - $130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Capital investments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$150 - $170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$150 - $165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$0 - $2</w:t>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EBITDAX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$285 - $325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Margin from purchased commodities ($ millions) </w:t>
            </w:r>
            <w:r>
              <w:rPr>
                <w:rFonts w:ascii="Arial;sans-serif" w:hAnsi="Arial;sans-serif"/>
                <w:b w:val="false"/>
                <w:color w:val="000000"/>
                <w:sz w:val="10"/>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$11 -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Electricity revenue net of electricity generation expenses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$18 - $24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operating expenses net of other revenue ($ millions)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$20 - $32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$4 - $12</w:t>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Transportation costs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$30 - $35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$20 - $24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Taxes other than on income ($ millions)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$70 - $80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$62 - $68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and debt expense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$27 -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Brent ($/Bbl)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NYMEX ($/Mcf)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Price realization oil - % of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 - 94%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Price realization NGLs - % of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 - 54%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Price realization natural gas - % of NYMEX: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 - 103%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Current income tax provision ($ millions)</w:t>
            </w:r>
            <w:r>
              <w:rPr>
                <w:color w:val="000000"/>
              </w:rPr>
              <w:t xml:space="preserve"> </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 -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 - 37%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95"/>
        <w:gridCol w:w="1473"/>
        <w:gridCol w:w="1483"/>
        <w:gridCol w:w="109"/>
        <w:gridCol w:w="109"/>
        <w:gridCol w:w="109"/>
        <w:gridCol w:w="411"/>
        <w:gridCol w:w="411"/>
        <w:gridCol w:w="413"/>
        <w:gridCol w:w="109"/>
        <w:gridCol w:w="109"/>
        <w:gridCol w:w="109"/>
        <w:gridCol w:w="533"/>
        <w:gridCol w:w="533"/>
        <w:gridCol w:w="535"/>
        <w:gridCol w:w="109"/>
        <w:gridCol w:w="109"/>
        <w:gridCol w:w="109"/>
        <w:gridCol w:w="507"/>
        <w:gridCol w:w="507"/>
        <w:gridCol w:w="723"/>
      </w:tblGrid>
      <w:tr>
        <w:trPr/>
        <w:tc>
          <w:tcPr>
            <w:tcW w:w="1695"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CRC GUIDANCE</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Consolidated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Oil and Natural Gas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Segment</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Carbon Management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Segment</w:t>
            </w:r>
          </w:p>
        </w:tc>
      </w:tr>
      <w:tr>
        <w:trPr/>
        <w:tc>
          <w:tcPr>
            <w:tcW w:w="46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production (MBoe/d)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150 - 155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oil production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 costs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$1,425 - $1,475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$1,425 - $1,475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 expenses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$365 - $385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$51 - $63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$4 - 10</w:t>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Adjusted general and administrative expenses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$335 - $350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$51 - $63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$4 - 10</w:t>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 depletion and amortization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$520 - $540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$500 - $510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Capital investments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$520 - $560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$505 - $530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$10 - $18</w:t>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EBITDAX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$1,200 - $1,300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Margin from purchased commodities ($ millions) </w:t>
            </w:r>
            <w:r>
              <w:rPr>
                <w:rFonts w:ascii="Arial;sans-serif" w:hAnsi="Arial;sans-serif"/>
                <w:b w:val="false"/>
                <w:color w:val="000000"/>
                <w:sz w:val="10"/>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$50 - $65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Electricity revenue net of electricity generation expenses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$20 - $40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operating expenses net of other revenue ($ millions)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$135 - $145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$20 - $30</w:t>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Transportation costs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$115 - $125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$75 - $85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Taxes other than on income ($ millions)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$272 - $282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$240 - $246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and debt expense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$115 - $125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Brent ($/Bbl)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NYMEX ($/Mcf)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Price realization oil - % of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 - 96%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Price realization NGLs - % of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 - 57%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Price realization natural gas - % of NYMEX: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 - 85%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Current income tax provision ($ millions) </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 -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 - 37%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10"/>
        </w:rPr>
        <w:t xml:space="preserve">(1) </w:t>
      </w:r>
      <w:r>
        <w:rPr>
          <w:rFonts w:ascii="Arial;sans-serif" w:hAnsi="Arial;sans-serif"/>
          <w:b w:val="false"/>
          <w:color w:val="000000"/>
          <w:sz w:val="16"/>
        </w:rPr>
        <w:t>Margin from purchased commodities is calculated as the difference between revenue from marketing of purchased commodities and costs related to marketing of purchased commodities, and excludes costs of transportation.</w:t>
      </w:r>
    </w:p>
    <w:p>
      <w:pPr>
        <w:pStyle w:val="TextBody"/>
        <w:bidi w:val="0"/>
        <w:spacing w:lineRule="auto" w:line="268" w:before="0" w:after="0"/>
        <w:jc w:val="both"/>
        <w:rPr/>
      </w:pPr>
      <w:r>
        <w:rPr>
          <w:rFonts w:ascii="Arial;sans-serif" w:hAnsi="Arial;sans-serif"/>
          <w:b w:val="false"/>
          <w:color w:val="000000"/>
          <w:sz w:val="10"/>
        </w:rPr>
        <w:t xml:space="preserve">(2) </w:t>
      </w:r>
      <w:r>
        <w:rPr>
          <w:rFonts w:ascii="Arial;sans-serif" w:hAnsi="Arial;sans-serif"/>
          <w:b w:val="false"/>
          <w:color w:val="000000"/>
          <w:sz w:val="16"/>
        </w:rPr>
        <w:t>Other operating revenue and expenses, net is calculated as the difference between other revenue and other operating expenses, net and includes exploration expense and CMB expenses. CMB expenses includes lease cost for sequestration easements, advocacy, and other startup related costs.</w:t>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See Attachment 3 for management's disclosure of its use of these non-GAAP measures and how these measures provide useful information to investors about CRC's results of operations and financial condition.</w:t>
      </w:r>
    </w:p>
    <w:p>
      <w:pPr>
        <w:pStyle w:val="TextBody"/>
        <w:bidi w:val="0"/>
        <w:spacing w:lineRule="auto" w:line="268" w:before="0" w:after="0"/>
        <w:jc w:val="both"/>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Current income tax composition is subject to variability and depends on a number of factors, including but not limited to, final taxable income determinations, the availability and utilization of net operating loss carryforwards (NOLs), applicable tax credits, and other differences between book and taxable income. Accordingly, the current provision may vary from period to period and should not be viewed as indicative of future tax obligations.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color w:val="000000"/>
          <w:sz w:val="16"/>
        </w:rPr>
      </w:pPr>
      <w:r>
        <w:rPr>
          <w:rFonts w:ascii="Arial;sans-serif" w:hAnsi="Arial;sans-serif"/>
          <w:b/>
          <w:color w:val="000000"/>
          <w:sz w:val="16"/>
        </w:rPr>
        <w:t>FORWARD LOOKING NON-GAAP RECONCILIATIONS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29"/>
        <w:gridCol w:w="1333"/>
        <w:gridCol w:w="1344"/>
        <w:gridCol w:w="109"/>
        <w:gridCol w:w="109"/>
        <w:gridCol w:w="109"/>
        <w:gridCol w:w="196"/>
        <w:gridCol w:w="331"/>
        <w:gridCol w:w="109"/>
        <w:gridCol w:w="109"/>
        <w:gridCol w:w="109"/>
        <w:gridCol w:w="109"/>
        <w:gridCol w:w="196"/>
        <w:gridCol w:w="331"/>
        <w:gridCol w:w="109"/>
        <w:gridCol w:w="109"/>
        <w:gridCol w:w="109"/>
        <w:gridCol w:w="109"/>
        <w:gridCol w:w="201"/>
        <w:gridCol w:w="339"/>
        <w:gridCol w:w="111"/>
        <w:gridCol w:w="111"/>
        <w:gridCol w:w="111"/>
        <w:gridCol w:w="111"/>
        <w:gridCol w:w="201"/>
        <w:gridCol w:w="339"/>
        <w:gridCol w:w="111"/>
        <w:gridCol w:w="109"/>
        <w:gridCol w:w="109"/>
        <w:gridCol w:w="109"/>
        <w:gridCol w:w="213"/>
        <w:gridCol w:w="443"/>
        <w:gridCol w:w="118"/>
        <w:gridCol w:w="118"/>
        <w:gridCol w:w="118"/>
        <w:gridCol w:w="118"/>
        <w:gridCol w:w="213"/>
        <w:gridCol w:w="263"/>
        <w:gridCol w:w="180"/>
      </w:tblGrid>
      <w:tr>
        <w:trPr/>
        <w:tc>
          <w:tcPr>
            <w:tcW w:w="152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3Q26E</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Oil and Natural Gas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Segment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Carbon Management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Segment</w:t>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Equity-settled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656"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412" w:type="dxa"/>
        <w:jc w:val="left"/>
        <w:tblInd w:w="0" w:type="dxa"/>
        <w:tblLayout w:type="fixed"/>
        <w:tblCellMar>
          <w:top w:w="28" w:type="dxa"/>
          <w:left w:w="28" w:type="dxa"/>
          <w:bottom w:w="28" w:type="dxa"/>
          <w:right w:w="28" w:type="dxa"/>
        </w:tblCellMar>
      </w:tblPr>
      <w:tblGrid>
        <w:gridCol w:w="1446"/>
        <w:gridCol w:w="1275"/>
        <w:gridCol w:w="1284"/>
        <w:gridCol w:w="109"/>
        <w:gridCol w:w="109"/>
        <w:gridCol w:w="109"/>
        <w:gridCol w:w="196"/>
        <w:gridCol w:w="331"/>
        <w:gridCol w:w="109"/>
        <w:gridCol w:w="109"/>
        <w:gridCol w:w="109"/>
        <w:gridCol w:w="109"/>
        <w:gridCol w:w="196"/>
        <w:gridCol w:w="331"/>
        <w:gridCol w:w="109"/>
        <w:gridCol w:w="109"/>
        <w:gridCol w:w="109"/>
        <w:gridCol w:w="109"/>
        <w:gridCol w:w="154"/>
      </w:tblGrid>
      <w:tr>
        <w:trPr/>
        <w:tc>
          <w:tcPr>
            <w:tcW w:w="144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Consolidated </w:t>
            </w:r>
          </w:p>
        </w:tc>
        <w:tc>
          <w:tcPr>
            <w:tcW w:w="481" w:type="dxa"/>
            <w:gridSpan w:val="4"/>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3Q26E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Revenue from marketing of purchased commodities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Costs related to marketing of purchased commodities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Margin from purchased commodities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12</w:t>
                      </w:r>
                    </w:p>
                  </w:txbxContent>
                </v:textbox>
                <w10:wrap type="none"/>
              </v:rect>
            </w:pict>
          </mc:Fallback>
        </mc:AlternateContent>
      </w:r>
    </w:p>
    <w:tbl>
      <w:tblPr>
        <w:tblW w:w="6231" w:type="dxa"/>
        <w:jc w:val="left"/>
        <w:tblInd w:w="0" w:type="dxa"/>
        <w:tblLayout w:type="fixed"/>
        <w:tblCellMar>
          <w:top w:w="28" w:type="dxa"/>
          <w:left w:w="28" w:type="dxa"/>
          <w:bottom w:w="28" w:type="dxa"/>
          <w:right w:w="28" w:type="dxa"/>
        </w:tblCellMar>
      </w:tblPr>
      <w:tblGrid>
        <w:gridCol w:w="1381"/>
        <w:gridCol w:w="1219"/>
        <w:gridCol w:w="1224"/>
        <w:gridCol w:w="109"/>
        <w:gridCol w:w="109"/>
        <w:gridCol w:w="109"/>
        <w:gridCol w:w="196"/>
        <w:gridCol w:w="331"/>
        <w:gridCol w:w="109"/>
        <w:gridCol w:w="109"/>
        <w:gridCol w:w="109"/>
        <w:gridCol w:w="109"/>
        <w:gridCol w:w="196"/>
        <w:gridCol w:w="331"/>
        <w:gridCol w:w="109"/>
        <w:gridCol w:w="109"/>
        <w:gridCol w:w="109"/>
        <w:gridCol w:w="109"/>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Consolidated </w:t>
            </w:r>
          </w:p>
        </w:tc>
        <w:tc>
          <w:tcPr>
            <w:tcW w:w="481" w:type="dxa"/>
            <w:gridSpan w:val="4"/>
            <w:tcBorders/>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3Q26E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operating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Other operating expenses net of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75"/>
        <w:gridCol w:w="1280"/>
        <w:gridCol w:w="1291"/>
        <w:gridCol w:w="109"/>
        <w:gridCol w:w="109"/>
        <w:gridCol w:w="109"/>
        <w:gridCol w:w="196"/>
        <w:gridCol w:w="421"/>
        <w:gridCol w:w="109"/>
        <w:gridCol w:w="109"/>
        <w:gridCol w:w="109"/>
        <w:gridCol w:w="109"/>
        <w:gridCol w:w="196"/>
        <w:gridCol w:w="421"/>
        <w:gridCol w:w="109"/>
        <w:gridCol w:w="109"/>
        <w:gridCol w:w="109"/>
        <w:gridCol w:w="109"/>
        <w:gridCol w:w="201"/>
        <w:gridCol w:w="339"/>
        <w:gridCol w:w="111"/>
        <w:gridCol w:w="111"/>
        <w:gridCol w:w="111"/>
        <w:gridCol w:w="111"/>
        <w:gridCol w:w="201"/>
        <w:gridCol w:w="339"/>
        <w:gridCol w:w="111"/>
        <w:gridCol w:w="109"/>
        <w:gridCol w:w="109"/>
        <w:gridCol w:w="109"/>
        <w:gridCol w:w="221"/>
        <w:gridCol w:w="272"/>
        <w:gridCol w:w="123"/>
        <w:gridCol w:w="123"/>
        <w:gridCol w:w="123"/>
        <w:gridCol w:w="123"/>
        <w:gridCol w:w="221"/>
        <w:gridCol w:w="374"/>
        <w:gridCol w:w="184"/>
      </w:tblGrid>
      <w:tr>
        <w:trPr/>
        <w:tc>
          <w:tcPr>
            <w:tcW w:w="14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2"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2026E</w:t>
            </w:r>
          </w:p>
        </w:tc>
      </w:tr>
      <w:tr>
        <w:trPr/>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Oil and Natural Gas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Segment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Carbon Management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Segment</w:t>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Equity-settled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92" w:type="dxa"/>
        <w:jc w:val="left"/>
        <w:tblInd w:w="0" w:type="dxa"/>
        <w:tblLayout w:type="fixed"/>
        <w:tblCellMar>
          <w:top w:w="28" w:type="dxa"/>
          <w:left w:w="28" w:type="dxa"/>
          <w:bottom w:w="28" w:type="dxa"/>
          <w:right w:w="28" w:type="dxa"/>
        </w:tblCellMar>
      </w:tblPr>
      <w:tblGrid>
        <w:gridCol w:w="1446"/>
        <w:gridCol w:w="1275"/>
        <w:gridCol w:w="1284"/>
        <w:gridCol w:w="109"/>
        <w:gridCol w:w="109"/>
        <w:gridCol w:w="109"/>
        <w:gridCol w:w="196"/>
        <w:gridCol w:w="421"/>
        <w:gridCol w:w="109"/>
        <w:gridCol w:w="109"/>
        <w:gridCol w:w="109"/>
        <w:gridCol w:w="109"/>
        <w:gridCol w:w="196"/>
        <w:gridCol w:w="421"/>
        <w:gridCol w:w="109"/>
        <w:gridCol w:w="109"/>
        <w:gridCol w:w="109"/>
        <w:gridCol w:w="109"/>
        <w:gridCol w:w="154"/>
      </w:tblGrid>
      <w:tr>
        <w:trPr/>
        <w:tc>
          <w:tcPr>
            <w:tcW w:w="144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Consolidated </w:t>
            </w:r>
          </w:p>
        </w:tc>
        <w:tc>
          <w:tcPr>
            <w:tcW w:w="481" w:type="dxa"/>
            <w:gridSpan w:val="4"/>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Revenue from marketing of purchased commodities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Costs related to marketing of purchased commodities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Margin from purchased commodities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411" w:type="dxa"/>
        <w:jc w:val="left"/>
        <w:tblInd w:w="0" w:type="dxa"/>
        <w:tblLayout w:type="fixed"/>
        <w:tblCellMar>
          <w:top w:w="28" w:type="dxa"/>
          <w:left w:w="28" w:type="dxa"/>
          <w:bottom w:w="28" w:type="dxa"/>
          <w:right w:w="28" w:type="dxa"/>
        </w:tblCellMar>
      </w:tblPr>
      <w:tblGrid>
        <w:gridCol w:w="1381"/>
        <w:gridCol w:w="1219"/>
        <w:gridCol w:w="1224"/>
        <w:gridCol w:w="109"/>
        <w:gridCol w:w="109"/>
        <w:gridCol w:w="109"/>
        <w:gridCol w:w="196"/>
        <w:gridCol w:w="421"/>
        <w:gridCol w:w="109"/>
        <w:gridCol w:w="109"/>
        <w:gridCol w:w="109"/>
        <w:gridCol w:w="109"/>
        <w:gridCol w:w="196"/>
        <w:gridCol w:w="421"/>
        <w:gridCol w:w="109"/>
        <w:gridCol w:w="109"/>
        <w:gridCol w:w="109"/>
        <w:gridCol w:w="109"/>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Consolidated </w:t>
            </w:r>
          </w:p>
        </w:tc>
        <w:tc>
          <w:tcPr>
            <w:tcW w:w="481" w:type="dxa"/>
            <w:gridSpan w:val="4"/>
            <w:tcBorders/>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operating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Other operating expenses net of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21"/>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164"/>
      </w:tblGrid>
      <w:tr>
        <w:trPr/>
        <w:tc>
          <w:tcPr>
            <w:tcW w:w="4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7"/>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3</w:t>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27"/>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NON-GAAP RECONCILIATIONS</w:t>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 xml:space="preserve">To supplement the presentation of its financial results prepared in accordance with U.S. generally accepted accounting principles (GAAP), management uses certain non-GAAP measures to assess its financial condition, results of operations and cash flows. These measures are also widely used by the industry, the investment community and CRC's lenders. Although these are non-GAAP measures, the amounts included in the calculations were computed in accordance with GAAP. Certain items excluded from these non-GAAP measures are significant components in understanding and assessing CRC's financial performance, such as CRC's cost of capital and tax structure, as well as the effect of acquisition and development costs of CRC's assets. Management believes that the non-GAAP measures presented, when viewed in combination with CRC's financial and operating results prepared in accordance with GAAP, provide a more complete understanding of the factors and trends affecting the Company's performance. The non-GAAP measures presented herein may not be comparable to other similarly titled measures of other companies. Below are additional disclosures regarding each of these non-GAAP measures, including reconciliations to their most directly comparable GAAP measure where applicable. </w:t>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42"/>
        <w:gridCol w:w="185"/>
        <w:gridCol w:w="185"/>
        <w:gridCol w:w="169"/>
        <w:gridCol w:w="169"/>
        <w:gridCol w:w="169"/>
        <w:gridCol w:w="304"/>
        <w:gridCol w:w="747"/>
        <w:gridCol w:w="169"/>
        <w:gridCol w:w="169"/>
        <w:gridCol w:w="169"/>
        <w:gridCol w:w="169"/>
        <w:gridCol w:w="304"/>
        <w:gridCol w:w="783"/>
        <w:gridCol w:w="169"/>
        <w:gridCol w:w="169"/>
        <w:gridCol w:w="169"/>
        <w:gridCol w:w="169"/>
        <w:gridCol w:w="304"/>
        <w:gridCol w:w="747"/>
        <w:gridCol w:w="169"/>
        <w:gridCol w:w="169"/>
        <w:gridCol w:w="169"/>
        <w:gridCol w:w="169"/>
        <w:gridCol w:w="304"/>
        <w:gridCol w:w="783"/>
        <w:gridCol w:w="169"/>
        <w:gridCol w:w="169"/>
        <w:gridCol w:w="169"/>
        <w:gridCol w:w="169"/>
        <w:gridCol w:w="304"/>
        <w:gridCol w:w="747"/>
        <w:gridCol w:w="255"/>
      </w:tblGrid>
      <w:tr>
        <w:trPr/>
        <w:tc>
          <w:tcPr>
            <w:tcW w:w="104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 (LOSS)</w:t>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Adjusted net income (loss) and adjusted net income (loss) per share are non-GAAP measures. CRC defines adjusted net income as net income excluding the effects of significant transactions and events that affect earnings but vary widely and unpredictably in nature, timing and amount. These events may recur, even across successive reporting periods. Management believes these non-GAAP measures provide useful information to the industry and the investment community interested in comparing CRC's 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and net income attributable to common stock per share to the non-GAAP financial measures of adjusted net income and adjusted net income per share.</w:t>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 except per share amounts)</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w:t>
            </w: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(711)</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w:t>
            </w: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(197)</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287</w:t>
            </w:r>
            <w:r>
              <w:rPr>
                <w:color w:val="000000"/>
              </w:rPr>
              <w:t> </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Unusual, infrequent and other items:</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derivative (gain) loss on Brent based commodity contracts</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792</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422</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(162)</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derivative (gain) loss on natural gas derivative contracts</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41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41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 and termination costs</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Merger-related costs</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41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early extinguishment of debt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Offshore platform expense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Litigation and settlements</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Measurement period adjustments, net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unusual, infrequent and other items</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(341)</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869</w:t>
            </w: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(103)</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528</w:t>
            </w: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(127)</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tax (benefit) provision of adjustments at the combined tax rate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(79)</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(164)</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w:t>
            </w: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w:t>
            </w: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w:t>
            </w:r>
            <w:r>
              <w:rPr>
                <w:color w:val="000000"/>
              </w:rPr>
              <w:t> </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(loss) per share – basic</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5.79</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(8.02)</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(2.22)</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w:t>
            </w: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(loss) per share – diluted</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5.76</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(8.02)</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(2.22)</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w:t>
            </w: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net income per share – basic</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0.99</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0.89</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w:t>
            </w: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net income per share – diluted</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0.99</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0.88</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w:t>
            </w: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37"/>
        <w:gridCol w:w="158"/>
        <w:gridCol w:w="158"/>
        <w:gridCol w:w="158"/>
        <w:gridCol w:w="158"/>
        <w:gridCol w:w="158"/>
        <w:gridCol w:w="285"/>
        <w:gridCol w:w="831"/>
        <w:gridCol w:w="158"/>
        <w:gridCol w:w="158"/>
        <w:gridCol w:w="158"/>
        <w:gridCol w:w="158"/>
        <w:gridCol w:w="285"/>
        <w:gridCol w:w="860"/>
        <w:gridCol w:w="158"/>
        <w:gridCol w:w="158"/>
        <w:gridCol w:w="158"/>
        <w:gridCol w:w="158"/>
        <w:gridCol w:w="285"/>
        <w:gridCol w:w="831"/>
        <w:gridCol w:w="158"/>
        <w:gridCol w:w="158"/>
        <w:gridCol w:w="158"/>
        <w:gridCol w:w="158"/>
        <w:gridCol w:w="285"/>
        <w:gridCol w:w="831"/>
        <w:gridCol w:w="158"/>
        <w:gridCol w:w="158"/>
        <w:gridCol w:w="158"/>
        <w:gridCol w:w="158"/>
        <w:gridCol w:w="285"/>
        <w:gridCol w:w="831"/>
        <w:gridCol w:w="241"/>
      </w:tblGrid>
      <w:tr>
        <w:trPr/>
        <w:tc>
          <w:tcPr>
            <w:tcW w:w="10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w:t>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CRC defines adjusted EBITDAX as earnings before interest expense; income taxes; depreciation, depletion and amortization; exploration expense; other unusual, infrequent and out-of-period items; and other non-cash items. CRC believes this measure provides useful information in assessing its financial condition, results of operations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w:t>
            </w:r>
          </w:p>
          <w:p>
            <w:pPr>
              <w:pStyle w:val="TableContents"/>
              <w:bidi w:val="0"/>
              <w:spacing w:before="0" w:after="0"/>
              <w:jc w:val="both"/>
              <w:rPr/>
            </w:pPr>
            <w:r>
              <w:rPr/>
            </w:r>
          </w:p>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These materials include forward-looking non-GAAP financial measures, including adjusted EBITDAX. CRC is unable to provide a reconciliation of such forward-looking non-GAAP measures to the most directly comparable forward-looking GAAP financial measures because certain information needed to reconcile these measures is dependent on future events, many of which are outside of CRC’s control and cannot be reasonably predicted at this time. These items include, but are not limited to, changes in working capital, the timing and amount of capital accruals, and other non-cash or unusual items. Accordingly, a quantitative reconciliation is not available without unreasonable efforts.</w:t>
            </w:r>
          </w:p>
          <w:p>
            <w:pPr>
              <w:pStyle w:val="TableContents"/>
              <w:bidi w:val="0"/>
              <w:spacing w:before="0" w:after="0"/>
              <w:jc w:val="both"/>
              <w:rPr/>
            </w:pPr>
            <w:r>
              <w:rPr/>
            </w:r>
          </w:p>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The following table represents a reconciliation of the GAAP financial measures of net income and net cash provided by operating activities to the non-GAAP financial measure of adjusted EBITDAX. CRC has included non-GAAP measures of adjusted EBITDAX for its oil and gas segment and its carbon management segment below. Management believes these segment non-GAAP measures are useful for investors to understand the results of our core businesses. </w:t>
            </w:r>
          </w:p>
          <w:p>
            <w:pPr>
              <w:pStyle w:val="TableContents"/>
              <w:bidi w:val="0"/>
              <w:spacing w:before="0" w:after="0"/>
              <w:jc w:val="both"/>
              <w:rPr/>
            </w:pPr>
            <w:r>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 except per BOE amounts)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Net (loss) income </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(711)</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(197)</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287</w:t>
            </w:r>
            <w:r>
              <w:rPr>
                <w:color w:val="000000"/>
              </w:rPr>
              <w:t>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debt expense</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tax (benefit) provision</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(49)</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loss from unconsolidated subsidiaries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Exploration expense</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Unusual, infrequent and other items </w:t>
            </w:r>
            <w:r>
              <w:rPr>
                <w:rFonts w:ascii="Arial;sans-serif" w:hAnsi="Arial;sans-serif"/>
                <w:b w:val="false"/>
                <w:color w:val="000000"/>
                <w:sz w:val="10"/>
              </w:rPr>
              <w:t>(1)</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869</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528</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items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Accretion expense</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Stock-based compensation</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Pension and post-retirement benefits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304</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324</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642</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w:t>
            </w:r>
            <w:r>
              <w:rPr>
                <w:color w:val="000000"/>
              </w:rPr>
              <w:t>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interest payments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interest received</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income taxes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Exploration expense</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Working capital changes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216</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304</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324</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642</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w:t>
            </w:r>
            <w:r>
              <w:rPr>
                <w:color w:val="000000"/>
              </w:rPr>
              <w:t>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(loss) income per Boe</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37.93</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(51.19)</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13.78</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(7.18)</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11.42</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 per Boe</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24.94</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21.89</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25.95</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23.40</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25.93</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See Adjusted Net Income (Loss) reconciliation.</w:t>
            </w:r>
          </w:p>
        </w:tc>
      </w:tr>
    </w:tbl>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38"/>
        <w:gridCol w:w="432"/>
        <w:gridCol w:w="350"/>
        <w:gridCol w:w="167"/>
        <w:gridCol w:w="167"/>
        <w:gridCol w:w="167"/>
        <w:gridCol w:w="302"/>
        <w:gridCol w:w="673"/>
        <w:gridCol w:w="167"/>
        <w:gridCol w:w="167"/>
        <w:gridCol w:w="167"/>
        <w:gridCol w:w="167"/>
        <w:gridCol w:w="302"/>
        <w:gridCol w:w="673"/>
        <w:gridCol w:w="167"/>
        <w:gridCol w:w="163"/>
        <w:gridCol w:w="163"/>
        <w:gridCol w:w="163"/>
        <w:gridCol w:w="294"/>
        <w:gridCol w:w="655"/>
        <w:gridCol w:w="163"/>
        <w:gridCol w:w="163"/>
        <w:gridCol w:w="163"/>
        <w:gridCol w:w="163"/>
        <w:gridCol w:w="294"/>
        <w:gridCol w:w="858"/>
        <w:gridCol w:w="163"/>
        <w:gridCol w:w="163"/>
        <w:gridCol w:w="163"/>
        <w:gridCol w:w="163"/>
        <w:gridCol w:w="294"/>
        <w:gridCol w:w="655"/>
        <w:gridCol w:w="256"/>
      </w:tblGrid>
      <w:tr>
        <w:trPr/>
        <w:tc>
          <w:tcPr>
            <w:tcW w:w="103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106" w:type="dxa"/>
            <w:gridSpan w:val="15"/>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ADJUSTED EBITDAX</w:t>
            </w:r>
          </w:p>
        </w:tc>
        <w:tc>
          <w:tcPr>
            <w:tcW w:w="4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000000"/>
                <w:sz w:val="16"/>
              </w:rPr>
              <w:t xml:space="preserve">This measure should be read in conjunction with Note 16 </w:t>
            </w:r>
            <w:r>
              <w:rPr>
                <w:rFonts w:ascii="Arial;sans-serif" w:hAnsi="Arial;sans-serif"/>
                <w:b w:val="false"/>
                <w:i/>
                <w:color w:val="000000"/>
                <w:sz w:val="16"/>
              </w:rPr>
              <w:t>Segment Information</w:t>
            </w:r>
            <w:r>
              <w:rPr>
                <w:color w:val="000000"/>
              </w:rPr>
              <w:t xml:space="preserve"> </w:t>
            </w:r>
            <w:r>
              <w:rPr>
                <w:rFonts w:ascii="Arial;sans-serif" w:hAnsi="Arial;sans-serif"/>
                <w:b w:val="false"/>
                <w:color w:val="000000"/>
                <w:sz w:val="16"/>
              </w:rPr>
              <w:t>in CRC’s 2025 Annual Report. A reconciliation of the non-GAAP measure of segment adjusted EBITDAX cannot be reconciled to the comparable measure of operating cash flow prepared in accordance with GAAP without unreasonable effort.</w:t>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Oil and Natural Gas Segment</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 millions)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427</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w:t>
            </w:r>
            <w:r>
              <w:rPr>
                <w:color w:val="000000"/>
              </w:rPr>
              <w:t>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711</w:t>
            </w:r>
            <w:r>
              <w:rPr>
                <w:color w:val="000000"/>
              </w:rPr>
              <w:t>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460</w:t>
            </w: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Exploration expense</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expense</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income items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 - Oil and Natural Gas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608</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w:t>
            </w:r>
            <w:r>
              <w:rPr>
                <w:color w:val="000000"/>
              </w:rPr>
              <w:t>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1,050</w:t>
            </w:r>
            <w:r>
              <w:rPr>
                <w:color w:val="000000"/>
              </w:rPr>
              <w:t>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768</w:t>
            </w: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Carbon Management Segment</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loss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on contingent liability (related to Carbon TerraVault JV)</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loss from unconsolidated subsidiary</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 - Carbon Management</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5099" w:type="dxa"/>
            <w:gridSpan w:val="18"/>
            <w:tcBorders/>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8385" w:type="dxa"/>
            <w:gridSpan w:val="30"/>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24"/>
        <w:gridCol w:w="478"/>
        <w:gridCol w:w="331"/>
        <w:gridCol w:w="176"/>
        <w:gridCol w:w="176"/>
        <w:gridCol w:w="176"/>
        <w:gridCol w:w="317"/>
        <w:gridCol w:w="706"/>
        <w:gridCol w:w="176"/>
        <w:gridCol w:w="176"/>
        <w:gridCol w:w="176"/>
        <w:gridCol w:w="176"/>
        <w:gridCol w:w="358"/>
        <w:gridCol w:w="613"/>
        <w:gridCol w:w="176"/>
        <w:gridCol w:w="176"/>
        <w:gridCol w:w="176"/>
        <w:gridCol w:w="176"/>
        <w:gridCol w:w="317"/>
        <w:gridCol w:w="706"/>
        <w:gridCol w:w="176"/>
        <w:gridCol w:w="176"/>
        <w:gridCol w:w="176"/>
        <w:gridCol w:w="176"/>
        <w:gridCol w:w="317"/>
        <w:gridCol w:w="706"/>
        <w:gridCol w:w="176"/>
        <w:gridCol w:w="176"/>
        <w:gridCol w:w="176"/>
        <w:gridCol w:w="176"/>
        <w:gridCol w:w="317"/>
        <w:gridCol w:w="706"/>
        <w:gridCol w:w="265"/>
      </w:tblGrid>
      <w:tr>
        <w:trPr/>
        <w:tc>
          <w:tcPr>
            <w:tcW w:w="72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FREE CASH FLOW</w:t>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 xml:space="preserve">Management uses free cash flow, which is defined by CRC as net cash provided by operating activities less capital investments, as a measure of liquidity. The following table presents a reconciliation of CRC's net cash provided by operating activities to free cash flow. </w:t>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w:t>
            </w: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investments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(149)</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(111)</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Free cash flow</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240</w:t>
            </w:r>
            <w:r>
              <w:rPr>
                <w:color w:val="000000"/>
              </w:rPr>
              <w:t>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672" w:type="dxa"/>
            <w:gridSpan w:val="30"/>
            <w:tcBorders/>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672" w:type="dxa"/>
            <w:gridSpan w:val="30"/>
            <w:tcBorders/>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672" w:type="dxa"/>
            <w:gridSpan w:val="30"/>
            <w:tcBorders/>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11"/>
        <w:gridCol w:w="382"/>
        <w:gridCol w:w="382"/>
        <w:gridCol w:w="170"/>
        <w:gridCol w:w="170"/>
        <w:gridCol w:w="170"/>
        <w:gridCol w:w="306"/>
        <w:gridCol w:w="682"/>
        <w:gridCol w:w="170"/>
        <w:gridCol w:w="170"/>
        <w:gridCol w:w="170"/>
        <w:gridCol w:w="170"/>
        <w:gridCol w:w="306"/>
        <w:gridCol w:w="682"/>
        <w:gridCol w:w="170"/>
        <w:gridCol w:w="170"/>
        <w:gridCol w:w="170"/>
        <w:gridCol w:w="170"/>
        <w:gridCol w:w="306"/>
        <w:gridCol w:w="682"/>
        <w:gridCol w:w="170"/>
        <w:gridCol w:w="170"/>
        <w:gridCol w:w="170"/>
        <w:gridCol w:w="170"/>
        <w:gridCol w:w="306"/>
        <w:gridCol w:w="682"/>
        <w:gridCol w:w="170"/>
        <w:gridCol w:w="170"/>
        <w:gridCol w:w="170"/>
        <w:gridCol w:w="170"/>
        <w:gridCol w:w="306"/>
        <w:gridCol w:w="682"/>
        <w:gridCol w:w="260"/>
      </w:tblGrid>
      <w:tr>
        <w:trPr/>
        <w:tc>
          <w:tcPr>
            <w:tcW w:w="101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FREE CASH FLOW BEFORE NET CHANGES IN OPERATING ASSETS AND LIABILITIES</w:t>
            </w:r>
          </w:p>
        </w:tc>
      </w:tr>
      <w:tr>
        <w:trPr/>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 xml:space="preserve">Management uses free cash flow before changes in operating assets and liabilities, which is defined by CRC as net cash provided by operating activities less net changes in operating assets and liabilities and capital investments, as a measure of liquidity. The following table presents a reconciliation of CRC's net cash provided by operating activities to free cash flow before net changes in operating assets and liabilities. </w:t>
            </w:r>
          </w:p>
        </w:tc>
      </w:tr>
      <w:tr>
        <w:trPr/>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changes in operating assets and liabilities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provided by operating activities before net changes in operating assets and liabilities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221</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473</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investments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(149)</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(131)</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(280)</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(111)</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Free cash flow before net changes in operating assets and liabilities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w:t>
            </w:r>
            <w:r>
              <w:rPr>
                <w:color w:val="000000"/>
              </w:rPr>
              <w:t>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w:t>
            </w:r>
            <w:r>
              <w:rPr>
                <w:color w:val="000000"/>
              </w:rPr>
              <w:t>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w:t>
            </w:r>
            <w:r>
              <w:rPr>
                <w:color w:val="000000"/>
              </w:rPr>
              <w:t>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w:t>
            </w:r>
            <w:r>
              <w:rPr>
                <w:color w:val="000000"/>
              </w:rPr>
              <w:t> </w:t>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74"/>
        <w:gridCol w:w="584"/>
        <w:gridCol w:w="333"/>
        <w:gridCol w:w="167"/>
        <w:gridCol w:w="167"/>
        <w:gridCol w:w="167"/>
        <w:gridCol w:w="300"/>
        <w:gridCol w:w="738"/>
        <w:gridCol w:w="167"/>
        <w:gridCol w:w="167"/>
        <w:gridCol w:w="167"/>
        <w:gridCol w:w="167"/>
        <w:gridCol w:w="300"/>
        <w:gridCol w:w="738"/>
        <w:gridCol w:w="167"/>
        <w:gridCol w:w="167"/>
        <w:gridCol w:w="167"/>
        <w:gridCol w:w="167"/>
        <w:gridCol w:w="300"/>
        <w:gridCol w:w="738"/>
        <w:gridCol w:w="167"/>
        <w:gridCol w:w="167"/>
        <w:gridCol w:w="167"/>
        <w:gridCol w:w="167"/>
        <w:gridCol w:w="300"/>
        <w:gridCol w:w="738"/>
        <w:gridCol w:w="167"/>
        <w:gridCol w:w="167"/>
        <w:gridCol w:w="167"/>
        <w:gridCol w:w="167"/>
        <w:gridCol w:w="300"/>
        <w:gridCol w:w="738"/>
        <w:gridCol w:w="251"/>
      </w:tblGrid>
      <w:tr>
        <w:trPr/>
        <w:tc>
          <w:tcPr>
            <w:tcW w:w="67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GENERAL &amp; ADMINISTRATIVE EXPENSES</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16"/>
              </w:rPr>
            </w:pPr>
            <w:r>
              <w:rPr>
                <w:rFonts w:ascii="Arial;sans-serif" w:hAnsi="Arial;sans-serif"/>
                <w:b w:val="false"/>
                <w:color w:val="000000"/>
                <w:sz w:val="16"/>
              </w:rPr>
              <w:t xml:space="preserve">Management uses a measure called adjusted general and administrative (G&amp;A) expenses and adjusted G&amp;A per BOE to provide useful information to investors interested in comparing CRC's costs between periods and performance to its peers. </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w:t>
            </w:r>
            <w:r>
              <w:rPr>
                <w:color w:val="000000"/>
              </w:rPr>
              <w:t>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G&amp;A expenses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w:t>
            </w:r>
            <w:r>
              <w:rPr>
                <w:color w:val="000000"/>
              </w:rPr>
              <w:t>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G&amp;A per BOE</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7.16</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7.63</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6.33</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7.40</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6.01</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G&amp;A per BOE</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6.57</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7.13</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5.77</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6.85</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5.49</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8614" w:type="dxa"/>
            <w:gridSpan w:val="30"/>
            <w:tcBorders/>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8614" w:type="dxa"/>
            <w:gridSpan w:val="30"/>
            <w:tcBorders/>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8614" w:type="dxa"/>
            <w:gridSpan w:val="30"/>
            <w:tcBorders/>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8614" w:type="dxa"/>
            <w:gridSpan w:val="30"/>
            <w:tcBorders/>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8614" w:type="dxa"/>
            <w:gridSpan w:val="30"/>
            <w:tcBorders/>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95"/>
        <w:gridCol w:w="647"/>
        <w:gridCol w:w="567"/>
        <w:gridCol w:w="154"/>
        <w:gridCol w:w="154"/>
        <w:gridCol w:w="154"/>
        <w:gridCol w:w="277"/>
        <w:gridCol w:w="809"/>
        <w:gridCol w:w="154"/>
        <w:gridCol w:w="154"/>
        <w:gridCol w:w="154"/>
        <w:gridCol w:w="154"/>
        <w:gridCol w:w="277"/>
        <w:gridCol w:w="617"/>
        <w:gridCol w:w="154"/>
        <w:gridCol w:w="154"/>
        <w:gridCol w:w="154"/>
        <w:gridCol w:w="154"/>
        <w:gridCol w:w="277"/>
        <w:gridCol w:w="617"/>
        <w:gridCol w:w="154"/>
        <w:gridCol w:w="154"/>
        <w:gridCol w:w="154"/>
        <w:gridCol w:w="154"/>
        <w:gridCol w:w="277"/>
        <w:gridCol w:w="809"/>
        <w:gridCol w:w="154"/>
        <w:gridCol w:w="154"/>
        <w:gridCol w:w="154"/>
        <w:gridCol w:w="154"/>
        <w:gridCol w:w="277"/>
        <w:gridCol w:w="809"/>
        <w:gridCol w:w="224"/>
      </w:tblGrid>
      <w:tr>
        <w:trPr/>
        <w:tc>
          <w:tcPr>
            <w:tcW w:w="79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OPERATING REVENUES BEFORE NET (LOSS) GAIN FROM COMMODITY DERIVATIVES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Management uses a measure called total operating revenues before net (loss) gain from commodity derivatives, which is calculated as the difference between total operating revenues less net (loss) gain from commodity derivatives. </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1,297</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978</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1,890</w:t>
            </w:r>
            <w:r>
              <w:rPr>
                <w:color w:val="000000"/>
              </w:rPr>
              <w:t>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Less: Net gain (loss) from commodity derivatives </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w:t>
            </w: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 before net gain (loss) from commodity derivatives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967</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821</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2,059</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1,727</w:t>
            </w:r>
            <w:r>
              <w:rPr>
                <w:color w:val="000000"/>
              </w:rPr>
              <w:t>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19"/>
        <w:gridCol w:w="545"/>
        <w:gridCol w:w="410"/>
        <w:gridCol w:w="183"/>
        <w:gridCol w:w="183"/>
        <w:gridCol w:w="183"/>
        <w:gridCol w:w="370"/>
        <w:gridCol w:w="583"/>
        <w:gridCol w:w="183"/>
        <w:gridCol w:w="183"/>
        <w:gridCol w:w="183"/>
        <w:gridCol w:w="183"/>
        <w:gridCol w:w="370"/>
        <w:gridCol w:w="583"/>
        <w:gridCol w:w="183"/>
        <w:gridCol w:w="183"/>
        <w:gridCol w:w="183"/>
        <w:gridCol w:w="183"/>
        <w:gridCol w:w="370"/>
        <w:gridCol w:w="583"/>
        <w:gridCol w:w="183"/>
        <w:gridCol w:w="183"/>
        <w:gridCol w:w="183"/>
        <w:gridCol w:w="183"/>
        <w:gridCol w:w="370"/>
        <w:gridCol w:w="583"/>
        <w:gridCol w:w="183"/>
        <w:gridCol w:w="183"/>
        <w:gridCol w:w="183"/>
        <w:gridCol w:w="183"/>
        <w:gridCol w:w="330"/>
        <w:gridCol w:w="734"/>
        <w:gridCol w:w="278"/>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MARGIN FROM PURCHASED COMMODITIES</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Management uses a measure called margin from purchased commodities, which is calculated as the difference between revenue from purchased commodities and costs related to purchased commodities. This non-GAAP measure excludes transportation costs. </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Revenue from purchased commodities</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w:t>
            </w:r>
            <w:r>
              <w:rPr>
                <w:color w:val="000000"/>
              </w:rPr>
              <w:t>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Costs related to purchased commodities</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(91)</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Margin from purchased commodities</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93"/>
        <w:gridCol w:w="669"/>
        <w:gridCol w:w="608"/>
        <w:gridCol w:w="176"/>
        <w:gridCol w:w="176"/>
        <w:gridCol w:w="176"/>
        <w:gridCol w:w="410"/>
        <w:gridCol w:w="473"/>
        <w:gridCol w:w="176"/>
        <w:gridCol w:w="176"/>
        <w:gridCol w:w="176"/>
        <w:gridCol w:w="176"/>
        <w:gridCol w:w="352"/>
        <w:gridCol w:w="560"/>
        <w:gridCol w:w="176"/>
        <w:gridCol w:w="176"/>
        <w:gridCol w:w="176"/>
        <w:gridCol w:w="176"/>
        <w:gridCol w:w="352"/>
        <w:gridCol w:w="560"/>
        <w:gridCol w:w="176"/>
        <w:gridCol w:w="176"/>
        <w:gridCol w:w="176"/>
        <w:gridCol w:w="176"/>
        <w:gridCol w:w="352"/>
        <w:gridCol w:w="560"/>
        <w:gridCol w:w="176"/>
        <w:gridCol w:w="176"/>
        <w:gridCol w:w="176"/>
        <w:gridCol w:w="176"/>
        <w:gridCol w:w="352"/>
        <w:gridCol w:w="560"/>
        <w:gridCol w:w="260"/>
      </w:tblGrid>
      <w:tr>
        <w:trPr/>
        <w:tc>
          <w:tcPr>
            <w:tcW w:w="7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ELECTRICITY REVENUE NET OF ELECTRICITY GENERATION EXPENSES</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Management uses a measure called electricity revenue net of electricity generation expenses, which is calculated as the difference between electricity revenue and electricity generation expenses. </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Electricity revenue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Electricity generation expenses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Electricity revenue net of electricity generation expenses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23"/>
        <w:gridCol w:w="636"/>
        <w:gridCol w:w="628"/>
        <w:gridCol w:w="175"/>
        <w:gridCol w:w="175"/>
        <w:gridCol w:w="175"/>
        <w:gridCol w:w="347"/>
        <w:gridCol w:w="556"/>
        <w:gridCol w:w="175"/>
        <w:gridCol w:w="175"/>
        <w:gridCol w:w="175"/>
        <w:gridCol w:w="175"/>
        <w:gridCol w:w="347"/>
        <w:gridCol w:w="556"/>
        <w:gridCol w:w="175"/>
        <w:gridCol w:w="175"/>
        <w:gridCol w:w="175"/>
        <w:gridCol w:w="175"/>
        <w:gridCol w:w="347"/>
        <w:gridCol w:w="556"/>
        <w:gridCol w:w="175"/>
        <w:gridCol w:w="175"/>
        <w:gridCol w:w="175"/>
        <w:gridCol w:w="175"/>
        <w:gridCol w:w="315"/>
        <w:gridCol w:w="701"/>
        <w:gridCol w:w="175"/>
        <w:gridCol w:w="175"/>
        <w:gridCol w:w="175"/>
        <w:gridCol w:w="175"/>
        <w:gridCol w:w="347"/>
        <w:gridCol w:w="556"/>
        <w:gridCol w:w="265"/>
      </w:tblGrid>
      <w:tr>
        <w:trPr/>
        <w:tc>
          <w:tcPr>
            <w:tcW w:w="7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OTHER OPERATING EXPENSES NET OF OTHER REVENUE</w:t>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Management uses a measure called other operating expenses net of other revenue, which is calculated as the difference between other operating expenses, net and other revenue.</w:t>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expenses, net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revenue</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operating expenses net of other revenue</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w:t>
            </w:r>
            <w:r>
              <w:rPr>
                <w:color w:val="000000"/>
              </w:rPr>
              <w:t>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18</w:t>
                      </w:r>
                    </w:p>
                  </w:txbxContent>
                </v:textbox>
                <w10:wrap type="none"/>
              </v:rect>
            </w:pict>
          </mc:Fallback>
        </mc:AlternateContent>
      </w:r>
    </w:p>
    <w:tbl>
      <w:tblPr>
        <w:tblW w:w="9281" w:type="dxa"/>
        <w:jc w:val="center"/>
        <w:tblInd w:w="0" w:type="dxa"/>
        <w:tblLayout w:type="fixed"/>
        <w:tblCellMar>
          <w:top w:w="28" w:type="dxa"/>
          <w:left w:w="28" w:type="dxa"/>
          <w:bottom w:w="28" w:type="dxa"/>
          <w:right w:w="28" w:type="dxa"/>
        </w:tblCellMar>
      </w:tblPr>
      <w:tblGrid>
        <w:gridCol w:w="917"/>
        <w:gridCol w:w="808"/>
        <w:gridCol w:w="810"/>
        <w:gridCol w:w="109"/>
        <w:gridCol w:w="109"/>
        <w:gridCol w:w="109"/>
        <w:gridCol w:w="349"/>
        <w:gridCol w:w="349"/>
        <w:gridCol w:w="351"/>
        <w:gridCol w:w="109"/>
        <w:gridCol w:w="109"/>
        <w:gridCol w:w="109"/>
        <w:gridCol w:w="329"/>
        <w:gridCol w:w="329"/>
        <w:gridCol w:w="331"/>
        <w:gridCol w:w="109"/>
        <w:gridCol w:w="109"/>
        <w:gridCol w:w="109"/>
        <w:gridCol w:w="349"/>
        <w:gridCol w:w="349"/>
        <w:gridCol w:w="351"/>
        <w:gridCol w:w="109"/>
        <w:gridCol w:w="109"/>
        <w:gridCol w:w="109"/>
        <w:gridCol w:w="329"/>
        <w:gridCol w:w="329"/>
        <w:gridCol w:w="331"/>
        <w:gridCol w:w="109"/>
        <w:gridCol w:w="109"/>
        <w:gridCol w:w="109"/>
        <w:gridCol w:w="303"/>
        <w:gridCol w:w="303"/>
        <w:gridCol w:w="429"/>
      </w:tblGrid>
      <w:tr>
        <w:trPr/>
        <w:tc>
          <w:tcPr>
            <w:tcW w:w="9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9281" w:type="dxa"/>
            <w:gridSpan w:val="3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4</w:t>
            </w:r>
          </w:p>
        </w:tc>
      </w:tr>
      <w:tr>
        <w:trPr/>
        <w:tc>
          <w:tcPr>
            <w:tcW w:w="2535"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PRODUCTION STATISTICS</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Production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Oil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Uinta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Basins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NGLs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Natural Gas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Sacramento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Uinta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Basins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w:t>
            </w:r>
            <w:r>
              <w:rPr>
                <w:color w:val="000000"/>
              </w:rPr>
              <w:t> </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Production (MBoe/d)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w:t>
            </w:r>
            <w:r>
              <w:rPr>
                <w:color w:val="000000"/>
              </w:rPr>
              <w:t> </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6746" w:type="dxa"/>
            <w:gridSpan w:val="30"/>
            <w:tcBorders/>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bl>
    <w:tbl>
      <w:tblPr>
        <w:tblW w:w="9956" w:type="dxa"/>
        <w:jc w:val="center"/>
        <w:tblInd w:w="0" w:type="dxa"/>
        <w:tblLayout w:type="fixed"/>
        <w:tblCellMar>
          <w:top w:w="28" w:type="dxa"/>
          <w:left w:w="28" w:type="dxa"/>
          <w:bottom w:w="28" w:type="dxa"/>
          <w:right w:w="28" w:type="dxa"/>
        </w:tblCellMar>
      </w:tblPr>
      <w:tblGrid>
        <w:gridCol w:w="1162"/>
        <w:gridCol w:w="1023"/>
        <w:gridCol w:w="1025"/>
        <w:gridCol w:w="109"/>
        <w:gridCol w:w="109"/>
        <w:gridCol w:w="109"/>
        <w:gridCol w:w="349"/>
        <w:gridCol w:w="349"/>
        <w:gridCol w:w="351"/>
        <w:gridCol w:w="109"/>
        <w:gridCol w:w="109"/>
        <w:gridCol w:w="109"/>
        <w:gridCol w:w="329"/>
        <w:gridCol w:w="329"/>
        <w:gridCol w:w="331"/>
        <w:gridCol w:w="109"/>
        <w:gridCol w:w="109"/>
        <w:gridCol w:w="109"/>
        <w:gridCol w:w="349"/>
        <w:gridCol w:w="349"/>
        <w:gridCol w:w="351"/>
        <w:gridCol w:w="109"/>
        <w:gridCol w:w="109"/>
        <w:gridCol w:w="109"/>
        <w:gridCol w:w="329"/>
        <w:gridCol w:w="329"/>
        <w:gridCol w:w="331"/>
        <w:gridCol w:w="109"/>
        <w:gridCol w:w="109"/>
        <w:gridCol w:w="109"/>
        <w:gridCol w:w="303"/>
        <w:gridCol w:w="303"/>
        <w:gridCol w:w="429"/>
      </w:tblGrid>
      <w:tr>
        <w:trPr/>
        <w:tc>
          <w:tcPr>
            <w:tcW w:w="11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6746" w:type="dxa"/>
            <w:gridSpan w:val="30"/>
            <w:tcBorders/>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Gross Operated and Net Non-Operated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Production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Oil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Uinta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Basins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w:t>
            </w:r>
            <w:r>
              <w:rPr>
                <w:color w:val="000000"/>
              </w:rPr>
              <w:t> </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NGLs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Uinta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Basins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Natural Gas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Sacramento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Uinta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Basins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w:t>
            </w:r>
            <w:r>
              <w:rPr>
                <w:color w:val="000000"/>
              </w:rPr>
              <w:t> </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Gross Production (MBoe/d)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4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6"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26"/>
        <w:gridCol w:w="1078"/>
        <w:gridCol w:w="1083"/>
        <w:gridCol w:w="109"/>
        <w:gridCol w:w="109"/>
        <w:gridCol w:w="109"/>
        <w:gridCol w:w="197"/>
        <w:gridCol w:w="576"/>
        <w:gridCol w:w="258"/>
        <w:gridCol w:w="109"/>
        <w:gridCol w:w="109"/>
        <w:gridCol w:w="109"/>
        <w:gridCol w:w="196"/>
        <w:gridCol w:w="571"/>
        <w:gridCol w:w="256"/>
        <w:gridCol w:w="109"/>
        <w:gridCol w:w="109"/>
        <w:gridCol w:w="109"/>
        <w:gridCol w:w="197"/>
        <w:gridCol w:w="576"/>
        <w:gridCol w:w="258"/>
        <w:gridCol w:w="109"/>
        <w:gridCol w:w="109"/>
        <w:gridCol w:w="109"/>
        <w:gridCol w:w="196"/>
        <w:gridCol w:w="571"/>
        <w:gridCol w:w="256"/>
        <w:gridCol w:w="109"/>
        <w:gridCol w:w="109"/>
        <w:gridCol w:w="109"/>
        <w:gridCol w:w="196"/>
        <w:gridCol w:w="571"/>
        <w:gridCol w:w="308"/>
      </w:tblGrid>
      <w:tr>
        <w:trPr/>
        <w:tc>
          <w:tcPr>
            <w:tcW w:w="122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5</w:t>
            </w:r>
          </w:p>
        </w:tc>
      </w:tr>
      <w:tr>
        <w:trPr/>
        <w:tc>
          <w:tcPr>
            <w:tcW w:w="3387"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PRICE STATISTICS</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Oil ($ per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 derivative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76.43</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69.37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66.73</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72.88</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69.39</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without derivative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91.55</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74.53</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65.07</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82.97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69.34</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NGLs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49.62</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44.98</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42.41</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47.29</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48.60</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without derivative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2.72</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Index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Brent oil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96.87</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77.90</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66.76</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87.38</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70.84</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WTI oil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92.79</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71.93</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63.74</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82.36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67.58</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NYMEX average monthly settled price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2.90</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5.04</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3.44</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3.55</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Realized Prices as Percentage of Index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 derivative settlements as a percentage of Brent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without derivative settlements as a percentage of Brent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 derivative settlements as a percentage of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without derivative settlements as a percentage of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NGLs as a percentage of Brent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NGLs as a percentage of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with derivative settlements as a percentage of NYMEX contract month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without derivative settlements as a percentage of NYMEX contract month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before="0" w:after="0"/>
        <w:jc w:val="left"/>
        <w:rPr/>
      </w:pPr>
      <w:r>
        <w:rPr/>
      </w:r>
    </w:p>
    <w:p>
      <w:pPr>
        <w:pStyle w:val="TextBody"/>
        <w:bidi w:val="0"/>
        <w:spacing w:before="0" w:after="0"/>
        <w:jc w:val="left"/>
        <w:rPr/>
      </w:pPr>
      <w:r>
        <w:rPr/>
      </w:r>
    </w:p>
    <w:tbl>
      <w:tblPr>
        <w:tblW w:w="311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20</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32"/>
        <w:gridCol w:w="1054"/>
        <w:gridCol w:w="1061"/>
        <w:gridCol w:w="109"/>
        <w:gridCol w:w="109"/>
        <w:gridCol w:w="109"/>
        <w:gridCol w:w="346"/>
        <w:gridCol w:w="346"/>
        <w:gridCol w:w="348"/>
        <w:gridCol w:w="109"/>
        <w:gridCol w:w="109"/>
        <w:gridCol w:w="109"/>
        <w:gridCol w:w="346"/>
        <w:gridCol w:w="346"/>
        <w:gridCol w:w="348"/>
        <w:gridCol w:w="109"/>
        <w:gridCol w:w="109"/>
        <w:gridCol w:w="109"/>
        <w:gridCol w:w="350"/>
        <w:gridCol w:w="350"/>
        <w:gridCol w:w="351"/>
        <w:gridCol w:w="109"/>
        <w:gridCol w:w="109"/>
        <w:gridCol w:w="109"/>
        <w:gridCol w:w="184"/>
        <w:gridCol w:w="184"/>
        <w:gridCol w:w="188"/>
        <w:gridCol w:w="109"/>
        <w:gridCol w:w="109"/>
        <w:gridCol w:w="109"/>
        <w:gridCol w:w="214"/>
        <w:gridCol w:w="214"/>
        <w:gridCol w:w="218"/>
        <w:gridCol w:w="109"/>
        <w:gridCol w:w="109"/>
        <w:gridCol w:w="109"/>
        <w:gridCol w:w="162"/>
        <w:gridCol w:w="162"/>
        <w:gridCol w:w="239"/>
      </w:tblGrid>
      <w:tr>
        <w:trPr/>
        <w:tc>
          <w:tcPr>
            <w:tcW w:w="123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6</w:t>
            </w:r>
          </w:p>
        </w:tc>
      </w:tr>
      <w:tr>
        <w:trPr/>
        <w:tc>
          <w:tcPr>
            <w:tcW w:w="3347"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SECOND QUARTER 2026 DRILLING ACTIVITY</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San Joaquin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 Angeles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Sacramento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Uinta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Wells Drilled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Development 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r>
      <w:tr>
        <w:trPr/>
        <w:tc>
          <w:tcPr>
            <w:tcW w:w="3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Waterflood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w:t>
            </w:r>
          </w:p>
        </w:tc>
      </w:tr>
      <w:tr>
        <w:trPr/>
        <w:tc>
          <w:tcPr>
            <w:tcW w:w="3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Steamflood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w:t>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w:t>
            </w:r>
            <w:r>
              <w:rPr>
                <w:color w:val="000000"/>
              </w:rPr>
              <w:t xml:space="preserve">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w:t>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steam injectors and drilled but uncompleted wells, which are not included in the SEC definition of wells drilled.</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Franklin Gothic Book">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7625</Words>
  <Characters>39334</Characters>
  <CharactersWithSpaces>45685</CharactersWithSpaces>
  <Paragraphs>2330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