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Weiss Charles F.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Public Affairs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</w:tcPr>
          <w:p>
            <w:pPr>
              <w:ind w:left="18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12/08/2014</w:t>
            </w:r>
          </w:p>
        </w:tc>
        <w:tc>
          <w:tcPr>
            <w:tcW w:w="3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3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515,152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515,152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515,152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will vest in three equal annual installments beginning on November 30, 2015. The original Form 4, filed December 8, 2014, inadvertently indicated a 2017 initial vesting date, which is corrected in this amendment. The remainder of the original Form 4 remains unchanged.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11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2019-12-18T20:09:54Z</dcterms:created>
  <dcterms:modified xsi:type="dcterms:W3CDTF">2019-12-18T20:09:54Z</dcterms:modified>
</cp:coreProperties>
</file>