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2026</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4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5"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latest practicable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March 31, 2026 was 88,794,901.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(Loss)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57"/>
        </w:trPr>
        <w:tc>
          <w:tcPr>
            <w:tcW w:w="960" w:type="dxa"/>
            <w:vAlign w:val="bottom"/>
          </w:tcPr>
          <w:p>
            <w:pPr>
              <w:spacing w:after="0"/>
              <w:rPr>
                <w:sz w:val="22"/>
                <w:szCs w:val="22"/>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General</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Regulatory Updates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Statements of Operations Analysis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Results of Our Oil and Natural Gas Operations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Results of Our Carbon Management Segment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Liquidity and Capital Resources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4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r>
      <w:tr>
        <w:trPr>
          <w:trHeight w:val="270"/>
        </w:trPr>
        <w:tc>
          <w:tcPr>
            <w:tcW w:w="96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4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5</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Disclosures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82"/>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7540" w:type="dxa"/>
            <w:vAlign w:val="bottom"/>
          </w:tcPr>
          <w:p>
            <w:pPr>
              <w:ind w:left="180"/>
              <w:spacing w:after="0"/>
              <w:rPr>
                <w:sz w:val="20"/>
                <w:szCs w:val="20"/>
                <w:color w:val="auto"/>
              </w:rPr>
            </w:pPr>
            <w:r>
              <w:rPr>
                <w:rFonts w:ascii="Arial" w:cs="Arial" w:eastAsia="Arial" w:hAnsi="Arial"/>
                <w:sz w:val="18"/>
                <w:szCs w:val="18"/>
                <w:color w:val="auto"/>
              </w:rPr>
              <w:t>Exhibits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890" w:right="1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 </w:t>
      </w:r>
      <w:r>
        <w:rPr>
          <w:rFonts w:ascii="Arial" w:cs="Arial" w:eastAsia="Arial" w:hAnsi="Arial"/>
          <w:sz w:val="18"/>
          <w:szCs w:val="18"/>
          <w:color w:val="auto"/>
        </w:rPr>
        <w:t>- Assembly Bill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w:t>
      </w:r>
      <w:r>
        <w:rPr>
          <w:rFonts w:ascii="Arial" w:cs="Arial" w:eastAsia="Arial" w:hAnsi="Arial"/>
          <w:sz w:val="18"/>
          <w:szCs w:val="18"/>
          <w:color w:val="auto"/>
        </w:rPr>
        <w:t>- Aera Energy LLC.</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Merger </w:t>
      </w:r>
      <w:r>
        <w:rPr>
          <w:rFonts w:ascii="Arial" w:cs="Arial" w:eastAsia="Arial" w:hAnsi="Arial"/>
          <w:sz w:val="18"/>
          <w:szCs w:val="18"/>
          <w:color w:val="auto"/>
        </w:rPr>
        <w:t>- The transactions contemplated by the definitive agreement and plan of merger entered into on February 7, 2024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 all the ownership interests in Aera in an all-stock transaction.</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Berry </w:t>
      </w:r>
      <w:r>
        <w:rPr>
          <w:rFonts w:ascii="Arial" w:cs="Arial" w:eastAsia="Arial" w:hAnsi="Arial"/>
          <w:sz w:val="18"/>
          <w:szCs w:val="18"/>
          <w:color w:val="auto"/>
        </w:rPr>
        <w:t>- Berry Corporation (bry).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Berry Merger </w:t>
      </w:r>
      <w:r>
        <w:rPr>
          <w:rFonts w:ascii="Arial" w:cs="Arial" w:eastAsia="Arial" w:hAnsi="Arial"/>
          <w:sz w:val="18"/>
          <w:szCs w:val="18"/>
          <w:color w:val="auto"/>
        </w:rPr>
        <w:t>- The transactions contemplated by the definitive agreement and plan of merger entered into on September 14,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combine with Berry in an all-stock transaction.</w:t>
      </w: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Brookfield </w:t>
      </w:r>
      <w:r>
        <w:rPr>
          <w:rFonts w:ascii="Arial" w:cs="Arial" w:eastAsia="Arial" w:hAnsi="Arial"/>
          <w:sz w:val="18"/>
          <w:szCs w:val="18"/>
          <w:color w:val="auto"/>
        </w:rPr>
        <w:t>- BGTF Sierra Aggregator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CAISO </w:t>
      </w:r>
      <w:r>
        <w:rPr>
          <w:rFonts w:ascii="Arial" w:cs="Arial" w:eastAsia="Arial" w:hAnsi="Arial"/>
          <w:sz w:val="18"/>
          <w:szCs w:val="18"/>
          <w:color w:val="auto"/>
        </w:rPr>
        <w:t>- California Independent System Operator.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Carbon TerraVault JV </w:t>
      </w:r>
      <w:r>
        <w:rPr>
          <w:rFonts w:ascii="Arial" w:cs="Arial" w:eastAsia="Arial" w:hAnsi="Arial"/>
          <w:sz w:val="18"/>
          <w:szCs w:val="18"/>
          <w:color w:val="auto"/>
        </w:rPr>
        <w:t>- A joint venture between our wholly-owned subsidiary Carbon TerraVault I, LLC with Brookfield for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a carbon management business in California.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KMTPA </w:t>
      </w:r>
      <w:r>
        <w:rPr>
          <w:rFonts w:ascii="Arial" w:cs="Arial" w:eastAsia="Arial" w:hAnsi="Arial"/>
          <w:sz w:val="18"/>
          <w:szCs w:val="18"/>
          <w:color w:val="auto"/>
        </w:rPr>
        <w:t>- Thousand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 w:name="page5"/>
    <w:bookmarkEnd w:id="4"/>
    <w:p>
      <w:pPr>
        <w:ind w:left="328" w:right="280" w:hanging="328"/>
        <w:spacing w:after="0" w:line="26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right="6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Net Zero </w:t>
      </w:r>
      <w:r>
        <w:rPr>
          <w:rFonts w:ascii="Arial" w:cs="Arial" w:eastAsia="Arial" w:hAnsi="Arial"/>
          <w:sz w:val="18"/>
          <w:szCs w:val="18"/>
          <w:color w:val="auto"/>
        </w:rPr>
        <w:t>- Refers to our net zero emissions goal adopted by our Board of Directors in May 2025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achieving at least an 80% reduction of absolute Scope 1 and 2 GHG emissions and neutralizing the remaining Scope 1 and 2 emissions to achieve Net Zero by 2045.</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 </w:t>
      </w:r>
      <w:r>
        <w:rPr>
          <w:rFonts w:ascii="Arial" w:cs="Arial" w:eastAsia="Arial" w:hAnsi="Arial"/>
          <w:sz w:val="18"/>
          <w:szCs w:val="18"/>
          <w:color w:val="auto"/>
        </w:rPr>
        <w:t>- Senate Bill.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2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FINANCIAL INFORMATION</w:t>
            </w: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b w:val="1"/>
                <w:bCs w:val="1"/>
                <w:color w:val="auto"/>
              </w:rPr>
              <w:t>Condensed Consolidated Balance Sheets</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9"/>
              </w:rPr>
              <w:t>As of March 31, 2026 and December 31, 2025</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color w:val="auto"/>
                <w:w w:val="99"/>
              </w:rPr>
              <w:t>(in millions, except share data)</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color w:val="auto"/>
                <w:w w:val="98"/>
              </w:rPr>
              <w:t>(audited)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Receivable from affiliate</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 net</w:t>
            </w:r>
          </w:p>
        </w:tc>
        <w:tc>
          <w:tcPr>
            <w:tcW w:w="30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INVESTMENT IN UNCONSOLIDATED SUBSIDIARIES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NONCURRENT ASSETS</w:t>
            </w:r>
          </w:p>
        </w:tc>
        <w:tc>
          <w:tcPr>
            <w:tcW w:w="30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gridSpan w:val="2"/>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780" w:type="dxa"/>
            <w:vAlign w:val="bottom"/>
            <w:gridSpan w:val="3"/>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commodity derivative contracts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Accrued liabilities</w:t>
            </w:r>
          </w:p>
        </w:tc>
        <w:tc>
          <w:tcPr>
            <w:tcW w:w="3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Long-term debt, net</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Asset retirement obligations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Deferred tax liabilities</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80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March 31, 2026 and December 31, 2025</w:t>
            </w:r>
          </w:p>
        </w:tc>
        <w:tc>
          <w:tcPr>
            <w:tcW w:w="3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Common stock (200,000,000 shares authorized at $0.01 par value) (110,905,146 and</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5"/>
          </w:tcPr>
          <w:p>
            <w:pPr>
              <w:ind w:left="480"/>
              <w:spacing w:after="0" w:line="176" w:lineRule="exact"/>
              <w:rPr>
                <w:sz w:val="20"/>
                <w:szCs w:val="20"/>
                <w:color w:val="auto"/>
              </w:rPr>
            </w:pPr>
            <w:r>
              <w:rPr>
                <w:rFonts w:ascii="Arial" w:cs="Arial" w:eastAsia="Arial" w:hAnsi="Arial"/>
                <w:sz w:val="18"/>
                <w:szCs w:val="18"/>
                <w:color w:val="auto"/>
              </w:rPr>
              <w:t>110,645,691 shares issued; 88,794,901 and 88,754,165 shares outstanding at March 31,</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2026 and December 31, 2025)</w:t>
            </w: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Treasury stock (22,110,245 shares held at cost at March 31, 2026 and 21,891,526 shares</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held at cost at December 31, 2025)</w:t>
            </w:r>
          </w:p>
        </w:tc>
        <w:tc>
          <w:tcPr>
            <w:tcW w:w="3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-95885</wp:posOffset>
            </wp:positionV>
            <wp:extent cx="2177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 w:name="page7"/>
    <w:bookmarkEnd w:id="6"/>
    <w:p>
      <w:pPr>
        <w:jc w:val="center"/>
        <w:ind w:left="340" w:right="278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(unaudited) For the three months ended March 31, 2026 and 2025 </w:t>
      </w:r>
      <w:r>
        <w:rPr>
          <w:rFonts w:ascii="Arial" w:cs="Arial" w:eastAsia="Arial" w:hAnsi="Arial"/>
          <w:sz w:val="18"/>
          <w:szCs w:val="18"/>
          <w:color w:val="auto"/>
        </w:rPr>
        <w:t>(dollars in millions, except share and per share data; shares in millions)</w:t>
      </w:r>
    </w:p>
    <w:p>
      <w:pPr>
        <w:jc w:val="center"/>
        <w:ind w:left="8200"/>
        <w:spacing w:after="0" w:line="225" w:lineRule="auto"/>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natural gas and natural gas liquids sales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Net (loss) gain from commodity sales derivatives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from marketing of purchased commodities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Electricity revenue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revenues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and amortization</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Taxes other than on income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related to marketing of purchased commodities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Electricity generation expenses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costs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(gain) from natural gas purchase derivatives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Measurement period adjustments, net</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6"/>
        </w:trPr>
        <w:tc>
          <w:tcPr>
            <w:tcW w:w="8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Interest and debt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Equity loss from unconsolidated subsidiaries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non-operating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share</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(8.02)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75"/>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190"/>
        </w:trPr>
        <w:tc>
          <w:tcPr>
            <w:tcW w:w="8220" w:type="dxa"/>
            <w:vAlign w:val="bottom"/>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1"/>
        </w:trPr>
        <w:tc>
          <w:tcPr>
            <w:tcW w:w="8220" w:type="dxa"/>
            <w:vAlign w:val="bottom"/>
          </w:tcPr>
          <w:p>
            <w:pPr>
              <w:ind w:left="5580"/>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ind w:left="340" w:right="206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(Loss) Income (unaudited) For the three months ended March 31, 2026 and 2025 </w:t>
      </w:r>
      <w:r>
        <w:rPr>
          <w:rFonts w:ascii="Arial" w:cs="Arial" w:eastAsia="Arial" w:hAnsi="Arial"/>
          <w:sz w:val="18"/>
          <w:szCs w:val="18"/>
          <w:color w:val="auto"/>
        </w:rPr>
        <w:t>(in millions)</w:t>
      </w:r>
    </w:p>
    <w:p>
      <w:pPr>
        <w:spacing w:after="0" w:line="200" w:lineRule="exact"/>
        <w:rPr>
          <w:sz w:val="20"/>
          <w:szCs w:val="20"/>
          <w:color w:val="auto"/>
        </w:rPr>
      </w:pPr>
    </w:p>
    <w:p>
      <w:pPr>
        <w:spacing w:after="0" w:line="248"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0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2025</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080" w:type="dxa"/>
            <w:vAlign w:val="bottom"/>
          </w:tcPr>
          <w:p>
            <w:pPr>
              <w:ind w:left="20"/>
              <w:spacing w:after="0" w:line="230" w:lineRule="exact"/>
              <w:rPr>
                <w:sz w:val="20"/>
                <w:szCs w:val="20"/>
                <w:color w:val="auto"/>
              </w:rPr>
            </w:pPr>
            <w:r>
              <w:rPr>
                <w:rFonts w:ascii="Arial" w:cs="Arial" w:eastAsia="Arial" w:hAnsi="Arial"/>
                <w:sz w:val="18"/>
                <w:szCs w:val="18"/>
                <w:color w:val="auto"/>
              </w:rPr>
              <w:t>Other comprehensive income (loss)</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cost credit included in net periodic benefit cost, net of tax</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7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800" w:firstLine="8"/>
        <w:spacing w:after="0" w:line="506" w:lineRule="auto"/>
        <w:tabs>
          <w:tab w:leader="none" w:pos="216" w:val="left"/>
        </w:tabs>
        <w:numPr>
          <w:ilvl w:val="0"/>
          <w:numId w:val="5"/>
        </w:numPr>
        <w:rPr>
          <w:rFonts w:ascii="Arial" w:cs="Arial" w:eastAsia="Arial" w:hAnsi="Arial"/>
          <w:sz w:val="14"/>
          <w:szCs w:val="14"/>
          <w:color w:val="auto"/>
        </w:rPr>
      </w:pPr>
      <w:r>
        <w:rPr>
          <w:rFonts w:ascii="Arial" w:cs="Arial" w:eastAsia="Arial" w:hAnsi="Arial"/>
          <w:sz w:val="14"/>
          <w:szCs w:val="14"/>
          <w:color w:val="auto"/>
        </w:rPr>
        <w:t>Tax effects of the amortization of prior service cost credit were insignificant for the three months ended March 31, 2026 and 2025. The accompanying notes are an integral part of these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jc w:val="center"/>
        <w:ind w:left="340" w:right="246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Stockholders' Equity (unaudited) For the three months ended March 31, 2026 and 2025 </w:t>
      </w:r>
      <w:r>
        <w:rPr>
          <w:rFonts w:ascii="Arial" w:cs="Arial" w:eastAsia="Arial" w:hAnsi="Arial"/>
          <w:sz w:val="18"/>
          <w:szCs w:val="18"/>
          <w:color w:val="auto"/>
        </w:rPr>
        <w:t>(in millions)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 2026</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4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2025</w:t>
            </w: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5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5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Shares cancelled for taxes</w:t>
            </w:r>
          </w:p>
        </w:tc>
        <w:tc>
          <w:tcPr>
            <w:tcW w:w="5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loss, net of tax</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31, 2026</w:t>
            </w: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3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3"/>
                <w:szCs w:val="13"/>
                <w:color w:val="auto"/>
              </w:rPr>
            </w:pPr>
          </w:p>
        </w:tc>
        <w:tc>
          <w:tcPr>
            <w:tcW w:w="9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2024</w:t>
            </w: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of common stock</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Cash dividend</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cancelled for taxes</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4"/>
                <w:szCs w:val="14"/>
                <w:b w:val="1"/>
                <w:bCs w:val="1"/>
                <w:color w:val="auto"/>
              </w:rPr>
              <w:t>Balance, March 31, 2025</w:t>
            </w: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2,580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8"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Three months ended</w:t>
      </w:r>
    </w:p>
    <w:p>
      <w:pPr>
        <w:jc w:val="center"/>
        <w:ind w:left="808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income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depletion and amortization</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Deferred income tax (benefit) provision</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(gain) from commodity derivatives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Net settlements from commodity derivatives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on early extinguishment of debt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Other non-cash charges to income, net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changes in operating assets and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investments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Changes in accrued capital investments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Distribution from unconsolidated subsidiary</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Revolving Credit Facility</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Repayments of Revolving Credit Facility</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2034 Senior Notes, net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Repurchases of common stock</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dividends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Dividend equivalents on equity-settled awards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8100" w:type="dxa"/>
            <w:vAlign w:val="bottom"/>
          </w:tcPr>
          <w:p>
            <w:pPr>
              <w:ind w:left="100"/>
              <w:spacing w:after="0"/>
              <w:rPr>
                <w:sz w:val="20"/>
                <w:szCs w:val="20"/>
                <w:color w:val="auto"/>
              </w:rPr>
            </w:pPr>
            <w:r>
              <w:rPr>
                <w:rFonts w:ascii="Arial" w:cs="Arial" w:eastAsia="Arial" w:hAnsi="Arial"/>
                <w:sz w:val="16"/>
                <w:szCs w:val="16"/>
                <w:color w:val="auto"/>
              </w:rPr>
              <w:t>Shares cancelled for taxes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8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Debt redemption</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Decrease in 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equivalents—beginning of period</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4"/>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equivalents—end of period</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-78740</wp:posOffset>
            </wp:positionV>
            <wp:extent cx="1988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ind w:left="340" w:right="2520"/>
        <w:spacing w:after="0" w:line="273" w:lineRule="auto"/>
        <w:rPr>
          <w:sz w:val="20"/>
          <w:szCs w:val="20"/>
          <w:color w:val="auto"/>
        </w:rPr>
      </w:pPr>
      <w:r>
        <w:rPr>
          <w:rFonts w:ascii="Arial" w:cs="Arial" w:eastAsia="Arial" w:hAnsi="Arial"/>
          <w:sz w:val="18"/>
          <w:szCs w:val="18"/>
          <w:b w:val="1"/>
          <w:bCs w:val="1"/>
          <w:color w:val="auto"/>
        </w:rPr>
        <w:t>CALIFORNIA RESOURCES CORPORATION AND SUBSIDIARIES Notes to the Condensed Consolidated Financial Statements (Unaudited) March 31, 2026</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On December 18, 2025, pursuant to the Agreement and Plan of Merger, dated as of September 14, 2025 (the Berry Merger Agreement), we obtained all of the ownership interests in Berry Corporation (bry) (Berry) in an all-stock transaction (Berry Merger). Our consolidated results of operations for the three months ended March 31, 2026 include the full-quarter results of Berry, while the comparable prior-year period does not include any results of Berry. Accordingly, the Berry Merger significantly impacts the comparability of our financial results for the three months ended March 31, 2026 as compared to the same period in 2025. See </w:t>
      </w:r>
      <w:r>
        <w:rPr>
          <w:rFonts w:ascii="Arial" w:cs="Arial" w:eastAsia="Arial" w:hAnsi="Arial"/>
          <w:sz w:val="18"/>
          <w:szCs w:val="18"/>
          <w:i w:val="1"/>
          <w:iCs w:val="1"/>
          <w:color w:val="auto"/>
        </w:rPr>
        <w:t>Note 2, Business Combination</w:t>
      </w:r>
      <w:r>
        <w:rPr>
          <w:rFonts w:ascii="Arial" w:cs="Arial" w:eastAsia="Arial" w:hAnsi="Arial"/>
          <w:sz w:val="18"/>
          <w:szCs w:val="18"/>
          <w:color w:val="auto"/>
        </w:rPr>
        <w:t>, for additional information.</w:t>
      </w:r>
    </w:p>
    <w:p>
      <w:pPr>
        <w:spacing w:after="0" w:line="20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as of the date presented.</w:t>
      </w:r>
    </w:p>
    <w:p>
      <w:pPr>
        <w:spacing w:after="0" w:line="18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initially recognized either at cost, as is the case with Carbon TerraVault JV HoldCo, LLC, or at fair value if acquired in a business combination, as was the case for Midway Sunset Cogeneration Company. These investments are then adjusted for our proportionate share of income or loss in addition to contributions and distributions.</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2025 (2025 Annual Report).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cash equivalents and on-balance sheet financial instruments, other than debt, approximate fair value.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the fair value of our debt.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but not Adopted Accounting and Disclosure Changes</w:t>
      </w:r>
    </w:p>
    <w:p>
      <w:pPr>
        <w:spacing w:after="0" w:line="250"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November 2024, the FASB issued new disclosure requirements to enhance disclosure of certain costs and expenses. The rules are effective for fiscal years beginning after December 15, 2026 and interim periods beginning after December 15, 2027, early adoption is permitted. We expect that the adoption of these rules will impact our disclosures and have no impact to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BUSINESS COMBINATION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Berry Merger</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September 14, 2025, we entered into an agreement to combine with Berry in the Berry Merger. Berry was an independent upstream energy company that explored for and produced oil and natural gas in California, primarily in the San Joaquin basin, and in the Uinta basin in Utah. Berry also provided well servicing and abandonment services, which is included in our oil and natural gas segment. The Berry Merger added high quality, oil-weighted, mostly conventional proved developed reserves and sustainable cash flows to our operations.</w:t>
      </w:r>
    </w:p>
    <w:p>
      <w:pPr>
        <w:spacing w:after="0" w:line="2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Pursuant to the Berry Merger Agreement, on the effective date of the merger, December 18, 2025, we issued 5,572,115 shares of our common stock, which was calculated as 0.0718 shares of our common stock for each outstanding share of Berry stock as of December 17, 2025. As of December 18, 2025, and immediately following the closing of the Berry Merger, the former Berry stockholders owned 6% of CRC. We paid cash or issued replacement equity awards in settlement of certain Berry restricted and performance units. Upon closing of the Berry Merger, Berry's outstanding debt was repaid and the underlying credit agreements were terminated. We repaid a significant portion of this indebtedness with proceeds from our 2034 Senior Notes. For more information on the 2034 Senior Notes, refer to </w:t>
      </w:r>
      <w:r>
        <w:rPr>
          <w:rFonts w:ascii="Arial" w:cs="Arial" w:eastAsia="Arial" w:hAnsi="Arial"/>
          <w:sz w:val="18"/>
          <w:szCs w:val="18"/>
          <w:i w:val="1"/>
          <w:iCs w:val="1"/>
          <w:color w:val="auto"/>
        </w:rPr>
        <w:t>Note</w:t>
      </w:r>
      <w:r>
        <w:rPr>
          <w:rFonts w:ascii="Arial" w:cs="Arial" w:eastAsia="Arial" w:hAnsi="Arial"/>
          <w:sz w:val="18"/>
          <w:szCs w:val="18"/>
          <w:color w:val="auto"/>
        </w:rPr>
        <w:t xml:space="preserve"> 4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the date of this filing, our assessment of the fair value of assets acquired and liabilities assumed remains preliminary. Certain data necessary to complete the purchase price allocation is not yet available, and includes, but is not limited to, final appraisals of Berry's property, plant and equipment, evaluation of Berry's materials and supplies inventory, valuation of certain assets and liabilities, determination of Berry's asset retirement obligations and preparation of tax returns that will provide underlying tax basis of the assets acquired and liabilities assumed.</w:t>
      </w:r>
    </w:p>
    <w:p>
      <w:pPr>
        <w:spacing w:after="0" w:line="206"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We expect to complete the purchase price allocation during the 12-month period subsequent to the Berry Merger closing date and adjustments may be made to the provisional amounts recorded as of March 31, 2026.</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measured assets and liabilities at acquisition date fair value on a nonrecurring basis.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consideration transferred: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9"/>
              </w:rPr>
              <w:t>Merger Consideration</w:t>
            </w:r>
          </w:p>
        </w:tc>
      </w:tr>
      <w:tr>
        <w:trPr>
          <w:trHeight w:val="146"/>
        </w:trPr>
        <w:tc>
          <w:tcPr>
            <w:tcW w:w="8520" w:type="dxa"/>
            <w:vAlign w:val="bottom"/>
          </w:tcPr>
          <w:p>
            <w:pPr>
              <w:spacing w:after="0"/>
              <w:rPr>
                <w:sz w:val="12"/>
                <w:szCs w:val="12"/>
                <w:color w:val="auto"/>
              </w:rPr>
            </w:pPr>
          </w:p>
        </w:tc>
        <w:tc>
          <w:tcPr>
            <w:tcW w:w="27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(in millions, except share and per share</w:t>
            </w:r>
          </w:p>
        </w:tc>
      </w:tr>
      <w:tr>
        <w:trPr>
          <w:trHeight w:val="185"/>
        </w:trPr>
        <w:tc>
          <w:tcPr>
            <w:tcW w:w="8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tcPr>
          <w:p>
            <w:pPr>
              <w:jc w:val="center"/>
              <w:ind w:right="172"/>
              <w:spacing w:after="0"/>
              <w:rPr>
                <w:sz w:val="20"/>
                <w:szCs w:val="20"/>
                <w:color w:val="auto"/>
              </w:rPr>
            </w:pPr>
            <w:r>
              <w:rPr>
                <w:rFonts w:ascii="Arial" w:cs="Arial" w:eastAsia="Arial" w:hAnsi="Arial"/>
                <w:sz w:val="14"/>
                <w:szCs w:val="14"/>
                <w:color w:val="auto"/>
              </w:rPr>
              <w:t>data)</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of common stock</w:t>
            </w:r>
          </w:p>
        </w:tc>
        <w:tc>
          <w:tcPr>
            <w:tcW w:w="2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5,572,115</w:t>
            </w:r>
          </w:p>
        </w:tc>
      </w:tr>
      <w:tr>
        <w:trPr>
          <w:trHeight w:val="22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per share fair value on December 17, 2025</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r>
      <w:tr>
        <w:trPr>
          <w:trHeight w:val="223"/>
        </w:trPr>
        <w:tc>
          <w:tcPr>
            <w:tcW w:w="8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Fair value of share consideration</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color w:val="auto"/>
              </w:rPr>
              <w:t>Settlement of Berry debt</w:t>
            </w:r>
          </w:p>
        </w:tc>
        <w:tc>
          <w:tcPr>
            <w:tcW w:w="2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520" w:type="dxa"/>
            <w:vAlign w:val="bottom"/>
          </w:tcPr>
          <w:p>
            <w:pPr>
              <w:ind w:left="28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1"/>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right="520" w:firstLine="324"/>
        <w:spacing w:after="0" w:line="287" w:lineRule="auto"/>
        <w:rPr>
          <w:sz w:val="20"/>
          <w:szCs w:val="20"/>
          <w:color w:val="auto"/>
        </w:rPr>
      </w:pPr>
      <w:r>
        <w:rPr>
          <w:rFonts w:ascii="Arial" w:cs="Arial" w:eastAsia="Arial" w:hAnsi="Arial"/>
          <w:sz w:val="18"/>
          <w:szCs w:val="18"/>
          <w:color w:val="auto"/>
        </w:rPr>
        <w:t>The following table presents the preliminary purchase price allocation to the identifiable assets acquired and the liabilities assumed based on their estimated fair values as of the closing date of the Berry Merger: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Preliminary Purchase</w:t>
            </w: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51"/>
              <w:spacing w:after="0"/>
              <w:rPr>
                <w:sz w:val="20"/>
                <w:szCs w:val="20"/>
                <w:color w:val="auto"/>
              </w:rPr>
            </w:pPr>
            <w:r>
              <w:rPr>
                <w:rFonts w:ascii="Arial" w:cs="Arial" w:eastAsia="Arial" w:hAnsi="Arial"/>
                <w:sz w:val="18"/>
                <w:szCs w:val="18"/>
                <w:b w:val="1"/>
                <w:bCs w:val="1"/>
                <w:color w:val="auto"/>
                <w:w w:val="99"/>
              </w:rPr>
              <w:t>Preliminary Purchase</w:t>
            </w: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2"/>
          </w:tcPr>
          <w:p>
            <w:pPr>
              <w:jc w:val="center"/>
              <w:ind w:right="260"/>
              <w:spacing w:after="0" w:line="183" w:lineRule="exact"/>
              <w:rPr>
                <w:sz w:val="20"/>
                <w:szCs w:val="20"/>
                <w:color w:val="auto"/>
              </w:rPr>
            </w:pPr>
            <w:r>
              <w:rPr>
                <w:rFonts w:ascii="Arial" w:cs="Arial" w:eastAsia="Arial" w:hAnsi="Arial"/>
                <w:sz w:val="18"/>
                <w:szCs w:val="18"/>
                <w:b w:val="1"/>
                <w:bCs w:val="1"/>
                <w:color w:val="auto"/>
              </w:rPr>
              <w:t>Price as of December</w:t>
            </w:r>
          </w:p>
        </w:tc>
        <w:tc>
          <w:tcPr>
            <w:tcW w:w="320" w:type="dxa"/>
            <w:vAlign w:val="bottom"/>
          </w:tcPr>
          <w:p>
            <w:pPr>
              <w:spacing w:after="0"/>
              <w:rPr>
                <w:sz w:val="15"/>
                <w:szCs w:val="15"/>
                <w:color w:val="auto"/>
              </w:rPr>
            </w:pPr>
          </w:p>
        </w:tc>
        <w:tc>
          <w:tcPr>
            <w:tcW w:w="1840" w:type="dxa"/>
            <w:vAlign w:val="bottom"/>
            <w:vMerge w:val="restart"/>
          </w:tcPr>
          <w:p>
            <w:pPr>
              <w:jc w:val="center"/>
              <w:ind w:right="251"/>
              <w:spacing w:after="0"/>
              <w:rPr>
                <w:sz w:val="20"/>
                <w:szCs w:val="20"/>
                <w:color w:val="auto"/>
              </w:rPr>
            </w:pPr>
            <w:r>
              <w:rPr>
                <w:rFonts w:ascii="Arial" w:cs="Arial" w:eastAsia="Arial" w:hAnsi="Arial"/>
                <w:sz w:val="18"/>
                <w:szCs w:val="18"/>
                <w:b w:val="1"/>
                <w:bCs w:val="1"/>
                <w:color w:val="auto"/>
              </w:rPr>
              <w:t>Adjustments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Pr>
          <w:p>
            <w:pPr>
              <w:jc w:val="center"/>
              <w:ind w:right="51"/>
              <w:spacing w:after="0" w:line="183" w:lineRule="exact"/>
              <w:rPr>
                <w:sz w:val="20"/>
                <w:szCs w:val="20"/>
                <w:color w:val="auto"/>
              </w:rPr>
            </w:pPr>
            <w:r>
              <w:rPr>
                <w:rFonts w:ascii="Arial" w:cs="Arial" w:eastAsia="Arial" w:hAnsi="Arial"/>
                <w:sz w:val="18"/>
                <w:szCs w:val="18"/>
                <w:b w:val="1"/>
                <w:bCs w:val="1"/>
                <w:color w:val="auto"/>
              </w:rPr>
              <w:t>Price as of March 31,</w:t>
            </w:r>
          </w:p>
        </w:tc>
        <w:tc>
          <w:tcPr>
            <w:tcW w:w="0" w:type="dxa"/>
            <w:vAlign w:val="bottom"/>
          </w:tcPr>
          <w:p>
            <w:pPr>
              <w:spacing w:after="0"/>
              <w:rPr>
                <w:sz w:val="1"/>
                <w:szCs w:val="1"/>
                <w:color w:val="auto"/>
              </w:rPr>
            </w:pPr>
          </w:p>
        </w:tc>
      </w:tr>
      <w:tr>
        <w:trPr>
          <w:trHeight w:val="235"/>
        </w:trPr>
        <w:tc>
          <w:tcPr>
            <w:tcW w:w="4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9"/>
              </w:rPr>
              <w:t>31, 2025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9"/>
              </w:rPr>
              <w:t>2026</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6"/>
                <w:szCs w:val="16"/>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2020" w:type="dxa"/>
            <w:vAlign w:val="bottom"/>
          </w:tcPr>
          <w:p>
            <w:pPr>
              <w:jc w:val="center"/>
              <w:ind w:right="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Unaudited Pro Forma Financial Information</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The following supplemental unaudited pro forma financial information presents the total operating revenue, net income and earnings per share for the three months ended March 31, 2025 as if the Berry Merger had occurred on January 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right="153"/>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2025</w:t>
            </w:r>
          </w:p>
        </w:tc>
      </w:tr>
      <w:tr>
        <w:trPr>
          <w:trHeight w:val="232"/>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jc w:val="center"/>
              <w:ind w:right="153"/>
              <w:spacing w:after="0"/>
              <w:rPr>
                <w:sz w:val="20"/>
                <w:szCs w:val="20"/>
                <w:color w:val="auto"/>
              </w:rPr>
            </w:pPr>
            <w:r>
              <w:rPr>
                <w:rFonts w:ascii="Arial" w:cs="Arial" w:eastAsia="Arial" w:hAnsi="Arial"/>
                <w:sz w:val="14"/>
                <w:szCs w:val="14"/>
                <w:color w:val="auto"/>
              </w:rPr>
              <w:t>(in millions, except per share amounts)</w:t>
            </w:r>
          </w:p>
        </w:tc>
      </w:tr>
      <w:tr>
        <w:trPr>
          <w:trHeight w:val="23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6"/>
        </w:trPr>
        <w:tc>
          <w:tcPr>
            <w:tcW w:w="7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39"/>
        </w:trPr>
        <w:tc>
          <w:tcPr>
            <w:tcW w:w="78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20" w:firstLine="324"/>
        <w:spacing w:after="0" w:line="254"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Berry Merger been completed on January 1, 2025, nor is it necessarily indicative of future operating results of the combined entity. The pro forma financial information for the three months ended March 31, 2025 is a result of combining our three months statements of operations with Berry's pre-merger results for the three months ended March 31, 2025 and the pro forma adjustments include estimates and assumptions based on currently available information. The pro forma results do not reflect any cost savings anticipated as a result of the Berry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Berry Merger. Management believes the estimates and assumptions are reasonable, and the relative effects of the Berry Merger are properly reflected. Future results may vary significantly from the results reflected in the following pro forma information.</w:t>
      </w:r>
    </w:p>
    <w:p>
      <w:pPr>
        <w:spacing w:after="0" w:line="20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INVESTMENT IN UNCONSOLIDATED SUBSIDIARIES AND RELATED PARTY TRANSACTIONS</w:t>
      </w:r>
    </w:p>
    <w:p>
      <w:pPr>
        <w:spacing w:after="0" w:line="252" w:lineRule="exact"/>
        <w:rPr>
          <w:sz w:val="20"/>
          <w:szCs w:val="20"/>
          <w:color w:val="auto"/>
        </w:rPr>
      </w:pPr>
    </w:p>
    <w:p>
      <w:pPr>
        <w:ind w:right="640" w:firstLine="324"/>
        <w:spacing w:after="0" w:line="318" w:lineRule="auto"/>
        <w:rPr>
          <w:sz w:val="20"/>
          <w:szCs w:val="20"/>
          <w:color w:val="auto"/>
        </w:rPr>
      </w:pPr>
      <w:r>
        <w:rPr>
          <w:rFonts w:ascii="Arial" w:cs="Arial" w:eastAsia="Arial" w:hAnsi="Arial"/>
          <w:sz w:val="17"/>
          <w:szCs w:val="17"/>
          <w:color w:val="auto"/>
        </w:rPr>
        <w:t>As of March 31, 2026 and December 31, 2025, our investments in unconsolidated subsidiaries was $102 million and $111 million, respectively. The following tables present changes to our investment in unconsolidated subsidiaries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8"/>
              </w:rPr>
              <w:t>Carbon TerraVault JV</w:t>
            </w:r>
          </w:p>
        </w:tc>
        <w:tc>
          <w:tcPr>
            <w:tcW w:w="1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192"/>
              <w:spacing w:after="0"/>
              <w:rPr>
                <w:sz w:val="20"/>
                <w:szCs w:val="20"/>
                <w:color w:val="auto"/>
              </w:rPr>
            </w:pPr>
            <w:r>
              <w:rPr>
                <w:rFonts w:ascii="Arial" w:cs="Arial" w:eastAsia="Arial" w:hAnsi="Arial"/>
                <w:sz w:val="18"/>
                <w:szCs w:val="18"/>
                <w:b w:val="1"/>
                <w:bCs w:val="1"/>
                <w:color w:val="auto"/>
                <w:w w:val="99"/>
              </w:rPr>
              <w:t>Midway Sunset</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Cogeneration Company</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900" w:type="dxa"/>
            <w:vAlign w:val="bottom"/>
          </w:tcPr>
          <w:p>
            <w:pPr>
              <w:jc w:val="center"/>
              <w:ind w:right="19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(distributions)</w:t>
            </w:r>
          </w:p>
        </w:tc>
        <w:tc>
          <w:tcPr>
            <w:tcW w:w="1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Investment, March 31, 2026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the preliminary purchase price allocation</w:t>
            </w:r>
          </w:p>
        </w:tc>
        <w:tc>
          <w:tcPr>
            <w:tcW w:w="16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Investment, March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In August 2022, we entered into a joint venture with BGTF Sierra Aggregator LLC (Brookfield) for the further development of a carbon management business in California (Carbon TerraVault JV). We hold a 51% interest in the Carbon TerraVault JV and Brookfield holds a 49% interest. The Carbon TerraVault JV holds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Brookfield has contributed $92 million to date. The remaining amount of Brookfield's initial investment is based on the permitted storage capacity, subject to certain contractual adjustments. This remaining amount will be contributed to the joint venture upon entering into contracts for the injection of specified volumes with respect to the 26R reservoir.</w:t>
      </w:r>
    </w:p>
    <w:p>
      <w:pPr>
        <w:spacing w:after="0" w:line="21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Although we determined that the Carbon TerraVault JV is a variable interest entity (VIE),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right="20" w:firstLine="324"/>
        <w:spacing w:after="0" w:line="274" w:lineRule="auto"/>
        <w:rPr>
          <w:sz w:val="20"/>
          <w:szCs w:val="20"/>
          <w:color w:val="auto"/>
        </w:rPr>
      </w:pPr>
      <w:r>
        <w:rPr>
          <w:rFonts w:ascii="Arial" w:cs="Arial" w:eastAsia="Arial" w:hAnsi="Arial"/>
          <w:sz w:val="17"/>
          <w:szCs w:val="17"/>
          <w:color w:val="auto"/>
        </w:rPr>
        <w:t>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$120 million at March 31, 2026 and $117 million at December 31, 2025,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condensed consolidated balance sheet relates solely to the initial investment by Brookfield and does not include capital contributions made for ongoing development activities of the 26R reservoir.</w:t>
      </w:r>
    </w:p>
    <w:p>
      <w:pPr>
        <w:spacing w:after="0" w:line="19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33"/>
        </w:trPr>
        <w:tc>
          <w:tcPr>
            <w:tcW w:w="7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Receivable from affiliate</w:t>
            </w:r>
            <w:r>
              <w:rPr>
                <w:rFonts w:ascii="Arial" w:cs="Arial" w:eastAsia="Arial" w:hAnsi="Arial"/>
                <w:sz w:val="23"/>
                <w:szCs w:val="23"/>
                <w:color w:val="auto"/>
                <w:vertAlign w:val="superscript"/>
              </w:rPr>
              <w:t>(a)</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7420" w:type="dxa"/>
            <w:vAlign w:val="bottom"/>
          </w:tcPr>
          <w:p>
            <w:pPr>
              <w:ind w:left="2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(b)</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4" w:lineRule="exact"/>
        <w:rPr>
          <w:sz w:val="20"/>
          <w:szCs w:val="20"/>
          <w:color w:val="auto"/>
        </w:rPr>
      </w:pPr>
    </w:p>
    <w:p>
      <w:pPr>
        <w:ind w:left="340" w:right="20" w:hanging="332"/>
        <w:spacing w:after="0" w:line="261"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At March 31, 2026, the amount of $7 million includes the remaining $4 million of Brookfield's first and second installments of their initial investment which is available to us and $3 million related to the Master Service Agreement (MSA) and vendor reimbursements. At December 31, 2025, the amount of $14 million includes $8 million remaining of Brookfield's first and second installment of their initial investment which is available to us and $6 million related to the MSA and vendor reimbursements.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long-term liabilities include the contingent liability related to the Carbon TerraVault JV put and call rights.</w:t>
      </w:r>
    </w:p>
    <w:p>
      <w:pPr>
        <w:spacing w:after="0" w:line="234"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We recognized a loss of $1 million for both the three months ended March 31, 2026 and 2025 related to our investment in the Carbon TerraVault JV.</w:t>
      </w:r>
    </w:p>
    <w:p>
      <w:pPr>
        <w:spacing w:after="0" w:line="11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also performing well abandonment work at our Elk Hills field to prepare our 26R reservoir for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During the three months ended March 31, 2026 and 2025, we performed well abandonment work and sought reimbursement for an insignificant amount and $2 million, respectively, from the Carbon TerraVault JV. We recorded these reimbursements as a reduction to property, plant and equipment, net on our condensed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Midway Sunset Cogeneration Company</w:t>
      </w:r>
    </w:p>
    <w:p>
      <w:pPr>
        <w:spacing w:after="0" w:line="25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Aera Merger led to our partial ownership of Midway Sunset Cogeneration Company, which is a partnership designed to own, manage, and operate a cogeneration facility in Kern County, California. We hold a 50% interest in Midway Sunset Cogeneration Company and an affiliate of Middle River Power, LLC (MRP), holds a 50% interest. We determined that Midway Sunset Cogeneration Company is a voting interest entity, where we share decision-making power with MRP on all matters that most significantly impact the economic performance of Midway Sunset Cogeneration Company. Therefore, we account for our investment in Midway Sunset Cogeneration Company under the equity method of accounting. There are no significant transactions between us and Midway Sunset Cogeneration Company.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the three months ended March 31, 2026, we received a distribution of $10 million from the Midway Sunset Cogeneration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7"/>
        </w:trPr>
        <w:tc>
          <w:tcPr>
            <w:tcW w:w="3460" w:type="dxa"/>
            <w:vAlign w:val="bottom"/>
          </w:tcPr>
          <w:p>
            <w:pPr>
              <w:spacing w:after="0"/>
              <w:rPr>
                <w:sz w:val="20"/>
                <w:szCs w:val="20"/>
                <w:color w:val="auto"/>
              </w:rPr>
            </w:pPr>
            <w:r>
              <w:rPr>
                <w:rFonts w:ascii="Arial" w:cs="Arial" w:eastAsia="Arial" w:hAnsi="Arial"/>
                <w:sz w:val="18"/>
                <w:szCs w:val="18"/>
                <w:b w:val="1"/>
                <w:bCs w:val="1"/>
                <w:color w:val="auto"/>
              </w:rPr>
              <w:t>NOTE 4  DEBT</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51"/>
        </w:trPr>
        <w:tc>
          <w:tcPr>
            <w:tcW w:w="9380" w:type="dxa"/>
            <w:vAlign w:val="bottom"/>
            <w:gridSpan w:val="9"/>
          </w:tcPr>
          <w:p>
            <w:pPr>
              <w:ind w:left="340"/>
              <w:spacing w:after="0"/>
              <w:rPr>
                <w:sz w:val="20"/>
                <w:szCs w:val="20"/>
                <w:color w:val="auto"/>
              </w:rPr>
            </w:pPr>
            <w:r>
              <w:rPr>
                <w:rFonts w:ascii="Arial" w:cs="Arial" w:eastAsia="Arial" w:hAnsi="Arial"/>
                <w:sz w:val="18"/>
                <w:szCs w:val="18"/>
                <w:color w:val="auto"/>
              </w:rPr>
              <w:t>As of March 31, 2026 and December 31, 2025, our long-term debt consisted of the following:</w:t>
            </w:r>
          </w:p>
        </w:tc>
        <w:tc>
          <w:tcPr>
            <w:tcW w:w="1860" w:type="dxa"/>
            <w:vAlign w:val="bottom"/>
          </w:tcPr>
          <w:p>
            <w:pPr>
              <w:spacing w:after="0"/>
              <w:rPr>
                <w:sz w:val="24"/>
                <w:szCs w:val="24"/>
                <w:color w:val="auto"/>
              </w:rPr>
            </w:pPr>
          </w:p>
        </w:tc>
      </w:tr>
      <w:tr>
        <w:trPr>
          <w:trHeight w:val="490"/>
        </w:trPr>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5"/>
        </w:trPr>
        <w:tc>
          <w:tcPr>
            <w:tcW w:w="3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r>
      <w:tr>
        <w:trPr>
          <w:trHeight w:val="232"/>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4"/>
          </w:tcPr>
          <w:p>
            <w:pPr>
              <w:jc w:val="right"/>
              <w:ind w:right="129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80"/>
        </w:trPr>
        <w:tc>
          <w:tcPr>
            <w:tcW w:w="3460" w:type="dxa"/>
            <w:vAlign w:val="bottom"/>
            <w:shd w:val="clear" w:color="auto" w:fill="CCEEFF"/>
          </w:tcPr>
          <w:p>
            <w:pPr>
              <w:ind w:left="40"/>
              <w:spacing w:after="0" w:line="180" w:lineRule="exact"/>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CEEFF"/>
          </w:tcPr>
          <w:p>
            <w:pPr>
              <w:jc w:val="right"/>
              <w:ind w:right="70"/>
              <w:spacing w:after="0" w:line="180"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120"/>
              <w:spacing w:after="0" w:line="180" w:lineRule="exact"/>
              <w:rPr>
                <w:sz w:val="20"/>
                <w:szCs w:val="20"/>
                <w:color w:val="auto"/>
              </w:rPr>
            </w:pPr>
            <w:r>
              <w:rPr>
                <w:rFonts w:ascii="Arial" w:cs="Arial" w:eastAsia="Arial" w:hAnsi="Arial"/>
                <w:sz w:val="18"/>
                <w:szCs w:val="18"/>
                <w:color w:val="auto"/>
                <w:w w:val="99"/>
              </w:rPr>
              <w:t>SOFR plus 2.50%-3.50%</w:t>
            </w:r>
          </w:p>
        </w:tc>
        <w:tc>
          <w:tcPr>
            <w:tcW w:w="186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rPr>
              <w:t>March 16, 2029</w:t>
            </w:r>
          </w:p>
        </w:tc>
      </w:tr>
      <w:tr>
        <w:trPr>
          <w:trHeight w:val="243"/>
        </w:trPr>
        <w:tc>
          <w:tcPr>
            <w:tcW w:w="3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line="243" w:lineRule="exact"/>
              <w:rPr>
                <w:sz w:val="20"/>
                <w:szCs w:val="20"/>
                <w:color w:val="auto"/>
              </w:rPr>
            </w:pPr>
            <w:r>
              <w:rPr>
                <w:rFonts w:ascii="Arial" w:cs="Arial" w:eastAsia="Arial" w:hAnsi="Arial"/>
                <w:sz w:val="18"/>
                <w:szCs w:val="18"/>
                <w:color w:val="auto"/>
                <w:w w:val="97"/>
              </w:rPr>
              <w:t>ABR plus 1.50%-2.50%</w:t>
            </w:r>
            <w:r>
              <w:rPr>
                <w:rFonts w:ascii="Arial" w:cs="Arial" w:eastAsia="Arial" w:hAnsi="Arial"/>
                <w:sz w:val="23"/>
                <w:szCs w:val="23"/>
                <w:color w:val="auto"/>
                <w:w w:val="97"/>
                <w:vertAlign w:val="superscript"/>
              </w:rPr>
              <w:t>(a)</w:t>
            </w:r>
          </w:p>
        </w:tc>
        <w:tc>
          <w:tcPr>
            <w:tcW w:w="1860" w:type="dxa"/>
            <w:vAlign w:val="bottom"/>
            <w:shd w:val="clear" w:color="auto" w:fill="CCEEFF"/>
          </w:tcPr>
          <w:p>
            <w:pPr>
              <w:spacing w:after="0"/>
              <w:rPr>
                <w:sz w:val="21"/>
                <w:szCs w:val="2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2029 Senior Notes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w:t>
            </w:r>
          </w:p>
        </w:tc>
        <w:tc>
          <w:tcPr>
            <w:tcW w:w="232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8.250%</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June 15, 2029</w:t>
            </w: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2034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7.000%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January 15, 2034</w:t>
            </w:r>
          </w:p>
        </w:tc>
      </w:tr>
      <w:tr>
        <w:trPr>
          <w:trHeight w:val="223"/>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Principal amount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168"/>
        </w:trPr>
        <w:tc>
          <w:tcPr>
            <w:tcW w:w="3460" w:type="dxa"/>
            <w:vAlign w:val="bottom"/>
            <w:shd w:val="clear" w:color="auto" w:fill="CCEEFF"/>
          </w:tcPr>
          <w:p>
            <w:pPr>
              <w:ind w:left="40"/>
              <w:spacing w:after="0" w:line="168" w:lineRule="exact"/>
              <w:rPr>
                <w:sz w:val="20"/>
                <w:szCs w:val="20"/>
                <w:color w:val="auto"/>
              </w:rPr>
            </w:pPr>
            <w:r>
              <w:rPr>
                <w:rFonts w:ascii="Arial" w:cs="Arial" w:eastAsia="Arial" w:hAnsi="Arial"/>
                <w:sz w:val="18"/>
                <w:szCs w:val="18"/>
                <w:color w:val="auto"/>
              </w:rPr>
              <w:t>Unamortized debt discount and issuance</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8"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8"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23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29"/>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premium</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248"/>
        </w:trPr>
        <w:tc>
          <w:tcPr>
            <w:tcW w:w="3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40" w:right="160" w:hanging="332"/>
        <w:spacing w:after="0" w:line="285"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Note 15 Subsequent Events</w:t>
      </w:r>
      <w:r>
        <w:rPr>
          <w:rFonts w:ascii="Arial" w:cs="Arial" w:eastAsia="Arial" w:hAnsi="Arial"/>
          <w:sz w:val="14"/>
          <w:szCs w:val="14"/>
          <w:color w:val="auto"/>
        </w:rPr>
        <w:t xml:space="preserve"> for more information on a recent amendment to the Revolving Credit Facility that reduced our interest rate pricing by 25 basis points and an additional 10 basis point incremental savings through the elimination of the SOFR credit spread adjustment.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Our Amended and Restated Credit Agreement, dated April 26, 2023 (Revolving Credit Facility), consists of a senior revolving loan facility with an aggregate commitment of $1.46 billion. The amount we are able to borrow under our Revolving Credit Facility is limited to the amount of these commitments. Our Revolving Credit Facility also includes a sub-limit of $300 million for the issuance of letters of credit. As of March 31, 2026, $184 million letters of credit were issued to support ordinary course marketing, insurance, regulatory and other matters. As of March 31, 2026, we had $ 1,251 million of availability on our Revolving Credit Facility after taking into account $184 million in letters of credit outstanding and a $ 25 million borrowing. Our borrowing base of $1.5 billion is redetermined semi-annually and was re-affirmed in April 2026 as part of our recent amendment.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more information on a recent amendment to our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As shown in the table below, we estimate the fair value of our fixed rate 2029 Senior Notes and 2034 Senior Notes based on known prices from market transactions (using Level 1 inputs on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32"/>
        </w:trPr>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4"/>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2029 Senior Notes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30"/>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2034 Senior Notes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Long-Term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2034 Senior Notes and Follow-On Offering</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October 8, 2025 we completed a private offering of $400 million in an aggregate principal amount of 7.000% senior notes due 2034 (2034 Senior Notes). The terms of the 2034 Senior Notes are governed by the Indenture, dated as of October 8, 2025, by and among us, the guarantors and Wilmington Trust, National Association, as trustee, as amended and supplemented by the First Supplemental Indenture, dated as of January 16, 2026 (2034 Senior Notes Indenture).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right="80" w:firstLine="324"/>
        <w:spacing w:after="0" w:line="262" w:lineRule="auto"/>
        <w:rPr>
          <w:sz w:val="20"/>
          <w:szCs w:val="20"/>
          <w:color w:val="auto"/>
        </w:rPr>
      </w:pPr>
      <w:r>
        <w:rPr>
          <w:rFonts w:ascii="Arial" w:cs="Arial" w:eastAsia="Arial" w:hAnsi="Arial"/>
          <w:sz w:val="18"/>
          <w:szCs w:val="18"/>
          <w:color w:val="auto"/>
        </w:rPr>
        <w:t>On March 23, 2026, we completed a follow-on offering of an additional $350 million in aggregate principal of 2034 Senior Notes. The net proceeds from this offering of $347 million, after $2 million of debt premium and $5 million of debt issuance costs, were used to redeem a portion of our 8.250% senior unsecured notes due 2029 (2029 Senior Notes). The 2034 Senior Notes issued on March 23, 2026 are governed under the 2034 Senior Notes Indenture.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Senior Notes Redemption</w:t>
      </w:r>
    </w:p>
    <w:p>
      <w:pPr>
        <w:spacing w:after="0" w:line="250"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In March 2026, we redeemed $350 million in face value of our 2029 Senior Notes for $367 million, resulting in a loss on extinguishment of debt in the amount of $21 million, which includes a $17 million premium paid and $4 million write-off of unamortized debt issuance costs. Following the redemption, $550 million in principal amount of the 2029 Senior Notes remained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March 31, 2026, we were in compliance with all financial and other debt covenants under our Revolving Credit Facility, 2029 Senior Notes and 2034 Senior Notes.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party to various legal and/or regulatory proceedings from time to time arising in the ordinary course of business. We accrue reserves for currently outstanding lawsuits, claims and proceedings when we determine it is probable that a liability has been incurred and the liability can be reasonably estimated. Reserve balances for these items at March 31, 2026 and December 31, 2025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March 31, 2026, we had a liability of approximately $18 million included in accrued liabilities in our condensed consolidated balance sheet related to this abandonment work. For the three months ended March 31, 2026, other operating expenses, net on our condensed consolidated statement of operations includes $10 million, for our ongoing share of maintenance costs and well abandonment work. We continue to challenge the BSEE order.</w:t>
      </w:r>
    </w:p>
    <w:p>
      <w:pPr>
        <w:spacing w:after="0" w:line="2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2023 and 2024, the California Geologic Energy Management Division (CalGEM) plugged and abandoned approximately 120 "orphaned" oil and gas wells located in Cat Canyon, Santa Barbara County, at an aggregate cost of approximately $25 million. A subsidiary of our predecessor entity sold these wells to the defunct operator prior to CRC's formation and are therefore in our chain of title. CalGEM is seeking to recover these costs from us due to our prior operatorship of the wells, and we are disputing these claims. In connection with this dispute, we were required to remit approximately $25 million to CalGEM under protest pending the outcome of this matter. We have filed a complaint against CalGEM to reclaim the $25 million that we paid in June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enter into commodity derivative contracts to help protect our cash flows, margins and capital program from the volatility of commodity prices. We primarily hedge a portion of our forecasted oil production and a portion of our purchased natural gas used in our steamflood operations. We did not have any derivative instruments designated as accounting hedges as of and for the three months ended March 31, 2026 and 2025. Unless otherwise indicated, we use the term "hedge" to describe derivative instruments that are designed to implement our hedging strategy.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Derivative Contracts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contracts for our forecasted oil production as of March 31, 2026: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7"/>
                <w:szCs w:val="17"/>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83.51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39"/>
        </w:trPr>
        <w:tc>
          <w:tcPr>
            <w:tcW w:w="556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68.20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2026, we also held the following swaps to hedge purchased natural gas used in our operations as shown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8"/>
                <w:szCs w:val="18"/>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SoCal Border</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 per day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Weighted-average price per 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NWPL Rockies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 per day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39"/>
        </w:trPr>
        <w:tc>
          <w:tcPr>
            <w:tcW w:w="5560" w:type="dxa"/>
            <w:vAlign w:val="bottom"/>
          </w:tcPr>
          <w:p>
            <w:pPr>
              <w:ind w:left="140"/>
              <w:spacing w:after="0"/>
              <w:rPr>
                <w:sz w:val="20"/>
                <w:szCs w:val="20"/>
                <w:color w:val="auto"/>
              </w:rPr>
            </w:pPr>
            <w:r>
              <w:rPr>
                <w:rFonts w:ascii="Arial" w:cs="Arial" w:eastAsia="Arial" w:hAnsi="Arial"/>
                <w:sz w:val="18"/>
                <w:szCs w:val="18"/>
                <w:color w:val="auto"/>
              </w:rPr>
              <w:t>Weighted-average price per 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the three months ended March 31, 2026, we also had a limited number of derivative contracts related to our natural gas marketing activities that were intended to lock in locational price spreads. These derivative contracts were not significant to our results of operations or financial statements taken as a whole.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shown in the tables above are as follows:</w:t>
      </w:r>
    </w:p>
    <w:p>
      <w:pPr>
        <w:spacing w:after="0" w:line="23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5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225"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Three months ended</w:t>
      </w:r>
    </w:p>
    <w:p>
      <w:pPr>
        <w:jc w:val="center"/>
        <w:ind w:left="6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2025</w:t>
            </w:r>
          </w:p>
        </w:tc>
      </w:tr>
      <w:tr>
        <w:trPr>
          <w:trHeight w:val="233"/>
        </w:trPr>
        <w:tc>
          <w:tcPr>
            <w:tcW w:w="6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60" w:type="dxa"/>
            <w:vAlign w:val="bottom"/>
            <w:gridSpan w:val="3"/>
          </w:tcPr>
          <w:p>
            <w:pPr>
              <w:jc w:val="right"/>
              <w:ind w:right="250"/>
              <w:spacing w:after="0"/>
              <w:rPr>
                <w:sz w:val="20"/>
                <w:szCs w:val="20"/>
                <w:color w:val="auto"/>
              </w:rPr>
            </w:pPr>
            <w:r>
              <w:rPr>
                <w:rFonts w:ascii="Arial" w:cs="Arial" w:eastAsia="Arial" w:hAnsi="Arial"/>
                <w:sz w:val="14"/>
                <w:szCs w:val="14"/>
                <w:color w:val="auto"/>
              </w:rPr>
              <w:t>(in millions)</w:t>
            </w:r>
          </w:p>
        </w:tc>
        <w:tc>
          <w:tcPr>
            <w:tcW w:w="1700" w:type="dxa"/>
            <w:vAlign w:val="bottom"/>
          </w:tcPr>
          <w:p>
            <w:pPr>
              <w:spacing w:after="0"/>
              <w:rPr>
                <w:sz w:val="20"/>
                <w:szCs w:val="20"/>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 gain from commodity sales derivatives</w:t>
            </w:r>
          </w:p>
        </w:tc>
        <w:tc>
          <w:tcPr>
            <w:tcW w:w="16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settlements and premiums</w:t>
            </w:r>
          </w:p>
        </w:tc>
        <w:tc>
          <w:tcPr>
            <w:tcW w:w="1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gain from commodity sales derivatives</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We report gains and losses on our commodity derivative contracts related to purchases of natural gas in operating expenses on our condensed consolidated statements of operations as shown in the table below:</w:t>
      </w:r>
    </w:p>
    <w:p>
      <w:pPr>
        <w:spacing w:after="0" w:line="207" w:lineRule="exact"/>
        <w:rPr>
          <w:sz w:val="20"/>
          <w:szCs w:val="20"/>
          <w:color w:val="auto"/>
        </w:rPr>
      </w:pPr>
    </w:p>
    <w:p>
      <w:pPr>
        <w:jc w:val="center"/>
        <w:ind w:left="6420"/>
        <w:spacing w:after="0"/>
        <w:rPr>
          <w:sz w:val="20"/>
          <w:szCs w:val="20"/>
          <w:color w:val="auto"/>
        </w:rPr>
      </w:pPr>
      <w:r>
        <w:rPr>
          <w:rFonts w:ascii="Arial" w:cs="Arial" w:eastAsia="Arial" w:hAnsi="Arial"/>
          <w:sz w:val="18"/>
          <w:szCs w:val="18"/>
          <w:b w:val="1"/>
          <w:bCs w:val="1"/>
          <w:color w:val="auto"/>
        </w:rPr>
        <w:t>Three months ended</w:t>
      </w:r>
    </w:p>
    <w:p>
      <w:pPr>
        <w:jc w:val="center"/>
        <w:ind w:left="6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4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2025</w:t>
            </w:r>
          </w:p>
        </w:tc>
      </w:tr>
      <w:tr>
        <w:trPr>
          <w:trHeight w:val="233"/>
        </w:trPr>
        <w:tc>
          <w:tcPr>
            <w:tcW w:w="6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80" w:type="dxa"/>
            <w:vAlign w:val="bottom"/>
            <w:gridSpan w:val="3"/>
          </w:tcPr>
          <w:p>
            <w:pPr>
              <w:jc w:val="right"/>
              <w:ind w:right="250"/>
              <w:spacing w:after="0"/>
              <w:rPr>
                <w:sz w:val="20"/>
                <w:szCs w:val="20"/>
                <w:color w:val="auto"/>
              </w:rPr>
            </w:pPr>
            <w:r>
              <w:rPr>
                <w:rFonts w:ascii="Arial" w:cs="Arial" w:eastAsia="Arial" w:hAnsi="Arial"/>
                <w:sz w:val="14"/>
                <w:szCs w:val="14"/>
                <w:color w:val="auto"/>
              </w:rPr>
              <w:t>(in millions)</w:t>
            </w:r>
          </w:p>
        </w:tc>
        <w:tc>
          <w:tcPr>
            <w:tcW w:w="1700" w:type="dxa"/>
            <w:vAlign w:val="bottom"/>
          </w:tcPr>
          <w:p>
            <w:pPr>
              <w:spacing w:after="0"/>
              <w:rPr>
                <w:sz w:val="20"/>
                <w:szCs w:val="20"/>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 (gain) from natural gas purchase derivatives</w:t>
            </w:r>
          </w:p>
        </w:tc>
        <w:tc>
          <w:tcPr>
            <w:tcW w:w="172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7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(gain) from natural gas purchase derivatives</w:t>
            </w: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March 31, 2026 and December 31, 2025.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2026</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14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180"/>
              <w:spacing w:after="0" w:line="177"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20" w:type="dxa"/>
            <w:vAlign w:val="bottom"/>
            <w:tcBorders>
              <w:top w:val="single" w:sz="8" w:color="auto"/>
            </w:tcBorders>
            <w:vMerge w:val="restart"/>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5"/>
        </w:trPr>
        <w:tc>
          <w:tcPr>
            <w:tcW w:w="21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39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December 31, 2025</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16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3"/>
          </w:tcPr>
          <w:p>
            <w:pPr>
              <w:jc w:val="right"/>
              <w:ind w:right="18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00" w:type="dxa"/>
            <w:vAlign w:val="bottom"/>
            <w:tcBorders>
              <w:top w:val="single" w:sz="8" w:color="auto"/>
            </w:tcBorders>
            <w:vMerge w:val="restart"/>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40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our income tax (benefit) provision and effective tax rate:</w:t>
      </w:r>
    </w:p>
    <w:p>
      <w:pPr>
        <w:spacing w:after="0" w:line="279"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Three months ended</w:t>
      </w:r>
    </w:p>
    <w:p>
      <w:pPr>
        <w:jc w:val="center"/>
        <w:ind w:left="73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r>
      <w:tr>
        <w:trPr>
          <w:trHeight w:val="192"/>
        </w:trPr>
        <w:tc>
          <w:tcPr>
            <w:tcW w:w="7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spacing w:after="0"/>
              <w:rPr>
                <w:sz w:val="16"/>
                <w:szCs w:val="16"/>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r>
      <w:tr>
        <w:trPr>
          <w:trHeight w:val="237"/>
        </w:trPr>
        <w:tc>
          <w:tcPr>
            <w:tcW w:w="7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(benefit) provision</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effective tax rate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3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income tax (benefit) provision for interim periods is determined by applying an estimated annual effective tax rate to (loss) income before income taxes with the result adjusted for discrete items, if any, in the relevant period. Our annual effective tax rate for the three months ended March 31, 2026 differed from the U.S. statutory rate of 21% primarily due to nondeductible compensation and tax credits. For the three months ended March 31, 2025, the difference between the U.S. statutory rate of 21% and our effective tax rate is primarily due to state taxes.</w:t>
      </w:r>
    </w:p>
    <w:p>
      <w:pPr>
        <w:spacing w:after="0" w:line="206"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SEGMENT INFORMATION</w:t>
      </w:r>
    </w:p>
    <w:p>
      <w:pPr>
        <w:spacing w:after="0" w:line="252" w:lineRule="exact"/>
        <w:rPr>
          <w:sz w:val="20"/>
          <w:szCs w:val="20"/>
          <w:color w:val="auto"/>
        </w:rPr>
      </w:pPr>
    </w:p>
    <w:p>
      <w:pPr>
        <w:ind w:right="160" w:firstLine="324"/>
        <w:spacing w:after="0" w:line="244" w:lineRule="auto"/>
        <w:rPr>
          <w:sz w:val="20"/>
          <w:szCs w:val="20"/>
          <w:color w:val="auto"/>
        </w:rPr>
      </w:pPr>
      <w:r>
        <w:rPr>
          <w:rFonts w:ascii="Arial" w:cs="Arial" w:eastAsia="Arial" w:hAnsi="Arial"/>
          <w:sz w:val="18"/>
          <w:szCs w:val="18"/>
          <w:color w:val="auto"/>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primarily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Our oil and natural gas segment operates assets located in California and Utah. Our carbon management segment operates exclusively in California.</w:t>
      </w:r>
    </w:p>
    <w:p>
      <w:pPr>
        <w:spacing w:after="0" w:line="21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Revenues related to sales of produced natural gas to our Elk Hills power plant are included in oil, natural gas and natural gas liquids sales in the table below. Direct labor-related costs are allocated to our reportable segments based on job function and activity. General and administrative expenses are allocated to a segment if they directly support a segment's activities. We do not allocate income taxes to our segments. We use proportionate consolidation to account for our share of oil and natural gas producing activities.</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20" w:name="page21"/>
    <w:bookmarkEnd w:id="20"/>
    <w:p>
      <w:pPr>
        <w:ind w:right="860" w:firstLine="324"/>
        <w:spacing w:after="0" w:line="287" w:lineRule="auto"/>
        <w:rPr>
          <w:sz w:val="20"/>
          <w:szCs w:val="20"/>
          <w:color w:val="auto"/>
        </w:rPr>
      </w:pPr>
      <w:r>
        <w:rPr>
          <w:rFonts w:ascii="Arial" w:cs="Arial" w:eastAsia="Arial" w:hAnsi="Arial"/>
          <w:sz w:val="18"/>
          <w:szCs w:val="18"/>
          <w:color w:val="auto"/>
        </w:rPr>
        <w:t>The following tables provide segment profit or loss and reconciliations of segment profit or loss to total operating revenues and consolidated income before income taxes for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6"/>
          </w:tcPr>
          <w:p>
            <w:pPr>
              <w:jc w:val="center"/>
              <w:ind w:left="519"/>
              <w:spacing w:after="0"/>
              <w:rPr>
                <w:sz w:val="20"/>
                <w:szCs w:val="20"/>
                <w:color w:val="auto"/>
              </w:rPr>
            </w:pPr>
            <w:r>
              <w:rPr>
                <w:rFonts w:ascii="Arial" w:cs="Arial" w:eastAsia="Arial" w:hAnsi="Arial"/>
                <w:sz w:val="16"/>
                <w:szCs w:val="16"/>
                <w:b w:val="1"/>
                <w:bCs w:val="1"/>
                <w:color w:val="auto"/>
              </w:rPr>
              <w:t>Three months ended March 31, 2026</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40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Total Reportable</w:t>
            </w:r>
          </w:p>
        </w:tc>
        <w:tc>
          <w:tcPr>
            <w:tcW w:w="2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Corporate/Eliminations/Other</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3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3"/>
          </w:tcPr>
          <w:p>
            <w:pPr>
              <w:jc w:val="center"/>
              <w:ind w:right="759"/>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natural gas liquids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revenues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40" w:hanging="332"/>
        <w:spacing w:after="0" w:line="285"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revenues and income includes net loss from commodity derivatives, revenue from marketing of purchased commodities, electricity sales and unallocated interest and other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rPr>
              <w:t>Three months ended March 31, 2026</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Carbon</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4"/>
              </w:rPr>
              <w:t>Total</w:t>
            </w:r>
          </w:p>
        </w:tc>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Reportable</w:t>
            </w:r>
          </w:p>
        </w:tc>
        <w:tc>
          <w:tcPr>
            <w:tcW w:w="2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Corporate/Eliminations/Other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Segments</w:t>
            </w:r>
          </w:p>
        </w:tc>
        <w:tc>
          <w:tcPr>
            <w:tcW w:w="100" w:type="dxa"/>
            <w:vAlign w:val="bottom"/>
          </w:tcPr>
          <w:p>
            <w:pPr>
              <w:spacing w:after="0"/>
              <w:rPr>
                <w:sz w:val="18"/>
                <w:szCs w:val="18"/>
                <w:color w:val="auto"/>
              </w:rPr>
            </w:pPr>
          </w:p>
        </w:tc>
        <w:tc>
          <w:tcPr>
            <w:tcW w:w="23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3"/>
          </w:tcPr>
          <w:p>
            <w:pPr>
              <w:jc w:val="center"/>
              <w:ind w:right="699"/>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348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Loss from investment in unconsolidated</w:t>
            </w:r>
          </w:p>
        </w:tc>
        <w:tc>
          <w:tcPr>
            <w:tcW w:w="2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subsidiaries</w:t>
            </w: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Net loss on natural gas purchase derivatives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Other non-operating expenses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Costs related to marketing of purchased</w:t>
            </w:r>
          </w:p>
        </w:tc>
        <w:tc>
          <w:tcPr>
            <w:tcW w:w="2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commodities</w:t>
            </w:r>
          </w:p>
        </w:tc>
        <w:tc>
          <w:tcPr>
            <w:tcW w:w="2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Electricity generation expenses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Segment profit or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60" w:hanging="332"/>
        <w:spacing w:after="0" w:line="273"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segment expenses for our oil and natural gas segment includes transportation costs, accretion expense, and other operating expenses, net. Other segment expenses for our carbon management segment primarily includes operating lease costs. Other segment expenses for Corporate/Eliminations/Other includes transportation costs from marketing activities, severance as well as merger and integration costs that are not allocated to a segment.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rPr>
              <w:t>Three months ended March 31, 2025</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40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Total Reportable</w:t>
            </w:r>
          </w:p>
        </w:tc>
        <w:tc>
          <w:tcPr>
            <w:tcW w:w="2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Corporate/Eliminations/Other</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3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3"/>
          </w:tcPr>
          <w:p>
            <w:pPr>
              <w:jc w:val="center"/>
              <w:ind w:right="799"/>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Oil, natural gas and NGL sales to external</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center"/>
              <w:ind w:left="319"/>
              <w:spacing w:after="0"/>
              <w:rPr>
                <w:sz w:val="20"/>
                <w:szCs w:val="20"/>
                <w:color w:val="auto"/>
              </w:rPr>
            </w:pPr>
            <w:r>
              <w:rPr>
                <w:rFonts w:ascii="Arial" w:cs="Arial" w:eastAsia="Arial" w:hAnsi="Arial"/>
                <w:sz w:val="16"/>
                <w:szCs w:val="16"/>
                <w:color w:val="auto"/>
                <w:w w:val="98"/>
              </w:rPr>
              <w:t>(14)</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customers</w:t>
            </w: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Pr>
          <w:p>
            <w:pPr>
              <w:jc w:val="center"/>
              <w:ind w:left="339"/>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revenues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120" w:hanging="332"/>
        <w:spacing w:after="0" w:line="305"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revenues and income includes net gain from commodity derivatives, revenue from marketing of purchased commodities, electricity revenue and unallocated interest and other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6"/>
                <w:szCs w:val="16"/>
                <w:b w:val="1"/>
                <w:bCs w:val="1"/>
                <w:color w:val="auto"/>
              </w:rPr>
              <w:t>Three months ended March 31, 2025</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Carbon</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Total</w:t>
            </w: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Reportable</w:t>
            </w:r>
          </w:p>
        </w:tc>
        <w:tc>
          <w:tcPr>
            <w:tcW w:w="2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Corporate/Eliminations/Other</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Gas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Management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3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3"/>
          </w:tcPr>
          <w:p>
            <w:pPr>
              <w:jc w:val="center"/>
              <w:ind w:right="799"/>
              <w:spacing w:after="0"/>
              <w:rPr>
                <w:sz w:val="20"/>
                <w:szCs w:val="20"/>
                <w:color w:val="auto"/>
              </w:rPr>
            </w:pPr>
            <w:r>
              <w:rPr>
                <w:rFonts w:ascii="Arial" w:cs="Arial" w:eastAsia="Arial" w:hAnsi="Arial"/>
                <w:sz w:val="16"/>
                <w:szCs w:val="16"/>
                <w:color w:val="auto"/>
              </w:rPr>
              <w:t>(in millions)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50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Loss from investment in unconsolidated</w:t>
            </w: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subsidiary</w:t>
            </w: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line="162" w:lineRule="exact"/>
              <w:rPr>
                <w:sz w:val="20"/>
                <w:szCs w:val="20"/>
                <w:color w:val="auto"/>
              </w:rPr>
            </w:pPr>
            <w:r>
              <w:rPr>
                <w:rFonts w:ascii="Arial" w:cs="Arial" w:eastAsia="Arial" w:hAnsi="Arial"/>
                <w:sz w:val="16"/>
                <w:szCs w:val="16"/>
                <w:color w:val="auto"/>
              </w:rPr>
              <w:t>Net (gain) loss on natural gas purchase</w:t>
            </w:r>
          </w:p>
        </w:tc>
        <w:tc>
          <w:tcPr>
            <w:tcW w:w="2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derivatives</w:t>
            </w:r>
          </w:p>
        </w:tc>
        <w:tc>
          <w:tcPr>
            <w:tcW w:w="2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Other non-operating expenses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Costs related to marketing of purchased</w:t>
            </w:r>
          </w:p>
        </w:tc>
        <w:tc>
          <w:tcPr>
            <w:tcW w:w="2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commodities</w:t>
            </w:r>
          </w:p>
        </w:tc>
        <w:tc>
          <w:tcPr>
            <w:tcW w:w="2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140"/>
              <w:spacing w:after="0"/>
              <w:rPr>
                <w:sz w:val="20"/>
                <w:szCs w:val="20"/>
                <w:color w:val="auto"/>
              </w:rPr>
            </w:pPr>
            <w:r>
              <w:rPr>
                <w:rFonts w:ascii="Arial" w:cs="Arial" w:eastAsia="Arial" w:hAnsi="Arial"/>
                <w:sz w:val="16"/>
                <w:szCs w:val="16"/>
                <w:color w:val="auto"/>
              </w:rPr>
              <w:t>Electricity generation expenses</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Segment profit or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60" w:hanging="332"/>
        <w:spacing w:after="0" w:line="273"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segment expenses for our oil and natural gas segment includes transportation costs, accretion expense, and other operating expenses, net. Other segment expenses for our carbon management segment primarily includes operating lease costs. Other segment expenses for Corporate/Eliminations/Other includes transportation costs from marketing activities and other operating expenses, net that are not allocated to a segment.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 w:name="page23"/>
    <w:bookmarkEnd w:id="22"/>
    <w:p>
      <w:pPr>
        <w:ind w:right="100" w:firstLine="324"/>
        <w:spacing w:after="0" w:line="262" w:lineRule="auto"/>
        <w:rPr>
          <w:sz w:val="20"/>
          <w:szCs w:val="20"/>
          <w:color w:val="auto"/>
        </w:rPr>
      </w:pPr>
      <w:r>
        <w:rPr>
          <w:rFonts w:ascii="Arial" w:cs="Arial" w:eastAsia="Arial" w:hAnsi="Arial"/>
          <w:sz w:val="18"/>
          <w:szCs w:val="18"/>
          <w:color w:val="auto"/>
        </w:rPr>
        <w:t xml:space="preserve">The following table provides capital investment by segment and a reconciliation to our consolidated capital investment for the three months ended March 31, 2026 and 2025. We do not provide total assets by segment because it is not used by our Chief Operating Decision Maker. See </w:t>
      </w:r>
      <w:r>
        <w:rPr>
          <w:rFonts w:ascii="Arial" w:cs="Arial" w:eastAsia="Arial" w:hAnsi="Arial"/>
          <w:sz w:val="18"/>
          <w:szCs w:val="18"/>
          <w:i w:val="1"/>
          <w:iCs w:val="1"/>
          <w:color w:val="auto"/>
        </w:rPr>
        <w:t>Note 3 Investment in Unconsolidated Subsidiaries and Related Party Transactions</w:t>
      </w:r>
      <w:r>
        <w:rPr>
          <w:rFonts w:ascii="Arial" w:cs="Arial" w:eastAsia="Arial" w:hAnsi="Arial"/>
          <w:sz w:val="18"/>
          <w:szCs w:val="18"/>
          <w:color w:val="auto"/>
        </w:rPr>
        <w:t xml:space="preserve"> for information on our investment in the Carbon TerraVault JV, which is part of our carbon management segment.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Oil and Natural Gas</w:t>
            </w:r>
          </w:p>
        </w:tc>
        <w:tc>
          <w:tcPr>
            <w:tcW w:w="1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340"/>
              <w:spacing w:after="0"/>
              <w:rPr>
                <w:sz w:val="20"/>
                <w:szCs w:val="20"/>
                <w:color w:val="auto"/>
              </w:rPr>
            </w:pPr>
            <w:r>
              <w:rPr>
                <w:rFonts w:ascii="Arial" w:cs="Arial" w:eastAsia="Arial" w:hAnsi="Arial"/>
                <w:sz w:val="18"/>
                <w:szCs w:val="18"/>
                <w:b w:val="1"/>
                <w:bCs w:val="1"/>
                <w:color w:val="auto"/>
              </w:rPr>
              <w:t>Carbon</w:t>
            </w:r>
          </w:p>
        </w:tc>
        <w:tc>
          <w:tcPr>
            <w:tcW w:w="1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Corporate and Other</w:t>
            </w:r>
          </w:p>
        </w:tc>
        <w:tc>
          <w:tcPr>
            <w:tcW w:w="10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80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Management</w:t>
            </w:r>
          </w:p>
        </w:tc>
        <w:tc>
          <w:tcPr>
            <w:tcW w:w="80" w:type="dxa"/>
            <w:vAlign w:val="bottom"/>
          </w:tcPr>
          <w:p>
            <w:pPr>
              <w:spacing w:after="0"/>
              <w:rPr>
                <w:sz w:val="21"/>
                <w:szCs w:val="21"/>
                <w:color w:val="auto"/>
              </w:rPr>
            </w:pPr>
          </w:p>
        </w:tc>
        <w:tc>
          <w:tcPr>
            <w:tcW w:w="180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3"/>
          </w:tcPr>
          <w:p>
            <w:pPr>
              <w:ind w:left="124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2026</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color w:val="auto"/>
              </w:rPr>
              <w:t>Three months ended March 31, 2025</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Board of Directors authorized a Share Repurchase Program to acquire up to $1.78 billion of our common stock through December 31, 2027. The total value of shares that may yet be purchased under the Share Repurchase Program totaled $600 million as of March 31, 2026.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share repurchases,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 Number of Shares</w:t>
            </w:r>
          </w:p>
        </w:tc>
        <w:tc>
          <w:tcPr>
            <w:tcW w:w="1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Total Value of Shares</w:t>
            </w:r>
          </w:p>
        </w:tc>
        <w:tc>
          <w:tcPr>
            <w:tcW w:w="2180" w:type="dxa"/>
            <w:vAlign w:val="bottom"/>
            <w:gridSpan w:val="2"/>
          </w:tcPr>
          <w:p>
            <w:pPr>
              <w:jc w:val="right"/>
              <w:ind w:right="15"/>
              <w:spacing w:after="0"/>
              <w:rPr>
                <w:sz w:val="20"/>
                <w:szCs w:val="20"/>
                <w:color w:val="auto"/>
              </w:rPr>
            </w:pPr>
            <w:r>
              <w:rPr>
                <w:rFonts w:ascii="Arial" w:cs="Arial" w:eastAsia="Arial" w:hAnsi="Arial"/>
                <w:sz w:val="18"/>
                <w:szCs w:val="18"/>
                <w:b w:val="1"/>
                <w:bCs w:val="1"/>
                <w:color w:val="auto"/>
              </w:rPr>
              <w:t>Average Price Paid per</w:t>
            </w:r>
          </w:p>
        </w:tc>
      </w:tr>
      <w:tr>
        <w:trPr>
          <w:trHeight w:val="235"/>
        </w:trPr>
        <w:tc>
          <w:tcPr>
            <w:tcW w:w="45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99"/>
              </w:rPr>
              <w:t>Purchased</w:t>
            </w: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r>
      <w:tr>
        <w:trPr>
          <w:trHeight w:val="228"/>
        </w:trPr>
        <w:tc>
          <w:tcPr>
            <w:tcW w:w="454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color w:val="auto"/>
              </w:rPr>
              <w:t>(number of shares)</w:t>
            </w:r>
          </w:p>
        </w:tc>
        <w:tc>
          <w:tcPr>
            <w:tcW w:w="140" w:type="dxa"/>
            <w:vAlign w:val="bottom"/>
          </w:tcPr>
          <w:p>
            <w:pPr>
              <w:spacing w:after="0"/>
              <w:rPr>
                <w:sz w:val="19"/>
                <w:szCs w:val="19"/>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r>
      <w:tr>
        <w:trPr>
          <w:trHeight w:val="62"/>
        </w:trPr>
        <w:tc>
          <w:tcPr>
            <w:tcW w:w="45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Three months ended March 31, 2025</w:t>
            </w:r>
          </w:p>
        </w:tc>
        <w:tc>
          <w:tcPr>
            <w:tcW w:w="2160" w:type="dxa"/>
            <w:vAlign w:val="bottom"/>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44.00</w:t>
            </w:r>
          </w:p>
        </w:tc>
      </w:tr>
    </w:tbl>
    <w:p>
      <w:pPr>
        <w:spacing w:after="0" w:line="76" w:lineRule="exact"/>
        <w:rPr>
          <w:sz w:val="20"/>
          <w:szCs w:val="20"/>
          <w:color w:val="auto"/>
        </w:rPr>
      </w:pPr>
    </w:p>
    <w:p>
      <w:pPr>
        <w:ind w:right="420"/>
        <w:spacing w:after="0" w:line="305" w:lineRule="auto"/>
        <w:rPr>
          <w:sz w:val="20"/>
          <w:szCs w:val="20"/>
          <w:color w:val="auto"/>
        </w:rPr>
      </w:pPr>
      <w:r>
        <w:rPr>
          <w:rFonts w:ascii="Arial" w:cs="Arial" w:eastAsia="Arial" w:hAnsi="Arial"/>
          <w:sz w:val="14"/>
          <w:szCs w:val="14"/>
          <w:color w:val="auto"/>
        </w:rPr>
        <w:t>Note: The total value of shares purchased includes accrued excise taxes, which are generally paid in the year following the share repurchase. Commissions paid on share repurchases were not significant in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declared the following cash dividends for each of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Total Dividend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8"/>
                <w:szCs w:val="18"/>
                <w:b w:val="1"/>
                <w:bCs w:val="1"/>
                <w:color w:val="auto"/>
              </w:rPr>
              <w:t>Rate Per Share</w:t>
            </w:r>
          </w:p>
        </w:tc>
      </w:tr>
      <w:tr>
        <w:trPr>
          <w:trHeight w:val="192"/>
        </w:trPr>
        <w:tc>
          <w:tcPr>
            <w:tcW w:w="6780" w:type="dxa"/>
            <w:vAlign w:val="bottom"/>
          </w:tcPr>
          <w:p>
            <w:pPr>
              <w:spacing w:after="0"/>
              <w:rPr>
                <w:sz w:val="16"/>
                <w:szCs w:val="16"/>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6"/>
              <w:spacing w:after="0"/>
              <w:rPr>
                <w:sz w:val="20"/>
                <w:szCs w:val="20"/>
                <w:color w:val="auto"/>
              </w:rPr>
            </w:pPr>
            <w:r>
              <w:rPr>
                <w:rFonts w:ascii="Arial" w:cs="Arial" w:eastAsia="Arial" w:hAnsi="Arial"/>
                <w:sz w:val="14"/>
                <w:szCs w:val="14"/>
                <w:color w:val="auto"/>
              </w:rPr>
              <w:t>per share)</w:t>
            </w:r>
          </w:p>
        </w:tc>
      </w:tr>
      <w:tr>
        <w:trPr>
          <w:trHeight w:val="23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2026</w:t>
            </w:r>
          </w:p>
        </w:tc>
        <w:tc>
          <w:tcPr>
            <w:tcW w:w="1800" w:type="dxa"/>
            <w:vAlign w:val="bottom"/>
            <w:shd w:val="clear" w:color="auto" w:fill="CCEEFF"/>
          </w:tcPr>
          <w:p>
            <w:pPr>
              <w:jc w:val="right"/>
              <w:ind w:right="16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0.4050</w:t>
            </w: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color w:val="auto"/>
              </w:rPr>
              <w:t>Three months ended March 31, 2025</w:t>
            </w:r>
          </w:p>
        </w:tc>
        <w:tc>
          <w:tcPr>
            <w:tcW w:w="1800" w:type="dxa"/>
            <w:vAlign w:val="bottom"/>
          </w:tcPr>
          <w:p>
            <w:pPr>
              <w:jc w:val="right"/>
              <w:ind w:right="161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0.3875</w:t>
            </w:r>
          </w:p>
        </w:tc>
      </w:tr>
    </w:tbl>
    <w:p>
      <w:pPr>
        <w:spacing w:after="0" w:line="29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In addition to dividends on our common stock shown in the table above, we paid $ 2 million of dividend equivalents on equity-settled stock-based compensation awards in the three months ended March 31, 2026 and $1 million of dividend equivalents in the three months ended March 31, 2025. Future cash dividends, and the establishment of record and payment dates, are subject to final determination by our Board of Directors each quarter after reviewing our financial performance and position.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information on future cash dividends.</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months ended March 31, 2026 and 2025. Our restricted stock unit (RSU) and performance stock unit (PSU) awards are not considered participating securities since the dividend rights on unvested shares are forfeitable.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3" w:name="page24"/>
    <w:bookmarkEnd w:id="23"/>
    <w:p>
      <w:pPr>
        <w:ind w:right="12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2026 and 2025:</w:t>
      </w:r>
    </w:p>
    <w:p>
      <w:pPr>
        <w:spacing w:after="0" w:line="27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Three months ended</w:t>
      </w:r>
    </w:p>
    <w:p>
      <w:pPr>
        <w:jc w:val="center"/>
        <w:ind w:left="78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r>
      <w:tr>
        <w:trPr>
          <w:trHeight w:val="228"/>
        </w:trPr>
        <w:tc>
          <w:tcPr>
            <w:tcW w:w="7820" w:type="dxa"/>
            <w:vAlign w:val="bottom"/>
          </w:tcPr>
          <w:p>
            <w:pPr>
              <w:spacing w:after="0"/>
              <w:rPr>
                <w:sz w:val="19"/>
                <w:szCs w:val="19"/>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color w:val="auto"/>
              </w:rPr>
              <w:t>(in millions, except per-share amounts)</w:t>
            </w:r>
          </w:p>
        </w:tc>
        <w:tc>
          <w:tcPr>
            <w:tcW w:w="440" w:type="dxa"/>
            <w:vAlign w:val="bottom"/>
          </w:tcPr>
          <w:p>
            <w:pPr>
              <w:spacing w:after="0"/>
              <w:rPr>
                <w:sz w:val="19"/>
                <w:szCs w:val="19"/>
                <w:color w:val="auto"/>
              </w:rPr>
            </w:pPr>
          </w:p>
        </w:tc>
      </w:tr>
      <w:tr>
        <w:trPr>
          <w:trHeight w:val="23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7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r>
      <w:tr>
        <w:trPr>
          <w:trHeight w:val="22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90.6</w:t>
            </w:r>
          </w:p>
        </w:tc>
      </w:tr>
      <w:tr>
        <w:trPr>
          <w:trHeight w:val="250"/>
        </w:trPr>
        <w:tc>
          <w:tcPr>
            <w:tcW w:w="78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Performance stock units</w:t>
            </w:r>
          </w:p>
        </w:tc>
        <w:tc>
          <w:tcPr>
            <w:tcW w:w="1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78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248"/>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shares</w:t>
            </w:r>
          </w:p>
        </w:tc>
        <w:tc>
          <w:tcPr>
            <w:tcW w:w="1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91.2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Basic</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1.27</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1.26</w:t>
            </w:r>
          </w:p>
        </w:tc>
      </w:tr>
    </w:tbl>
    <w:p>
      <w:pPr>
        <w:spacing w:after="0" w:line="31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EPS in periods of losses:</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right="2580"/>
        <w:spacing w:after="0" w:line="289" w:lineRule="auto"/>
        <w:rPr>
          <w:sz w:val="20"/>
          <w:szCs w:val="20"/>
          <w:color w:val="auto"/>
        </w:rPr>
      </w:pPr>
      <w:r>
        <w:rPr>
          <w:rFonts w:ascii="Arial" w:cs="Arial" w:eastAsia="Arial" w:hAnsi="Arial"/>
          <w:sz w:val="18"/>
          <w:szCs w:val="18"/>
          <w:color w:val="auto"/>
        </w:rPr>
        <w:t>Shares issuable upon settlement of RSUs Shares issuable upon settlement of PSUs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antidilutive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jc w:val="center"/>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2025</w:t>
            </w:r>
          </w:p>
        </w:tc>
      </w:tr>
      <w:tr>
        <w:trPr>
          <w:trHeight w:val="188"/>
        </w:trPr>
        <w:tc>
          <w:tcPr>
            <w:tcW w:w="2960" w:type="dxa"/>
            <w:vAlign w:val="bottom"/>
            <w:gridSpan w:val="3"/>
          </w:tcPr>
          <w:p>
            <w:pPr>
              <w:ind w:left="1920"/>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16"/>
                <w:szCs w:val="16"/>
                <w:color w:val="auto"/>
              </w:rPr>
            </w:pPr>
          </w:p>
        </w:tc>
      </w:tr>
      <w:tr>
        <w:trPr>
          <w:trHeight w:val="232"/>
        </w:trPr>
        <w:tc>
          <w:tcPr>
            <w:tcW w:w="2240" w:type="dxa"/>
            <w:vAlign w:val="bottom"/>
          </w:tcPr>
          <w:p>
            <w:pPr>
              <w:ind w:left="19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35"/>
        </w:trPr>
        <w:tc>
          <w:tcPr>
            <w:tcW w:w="22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r>
      <w:tr>
        <w:trPr>
          <w:trHeight w:val="223"/>
        </w:trPr>
        <w:tc>
          <w:tcPr>
            <w:tcW w:w="22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-479425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80"/>
          </w:cols>
          <w:pgMar w:left="320" w:top="11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24" w:name="page25"/>
    <w:bookmarkEnd w:id="24"/>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2026 and 2025:</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Service cost - benefits earned during the period</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 on projected benefit obligation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prior service cost credit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periodic benefit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Service cost - benefits earned during the period</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 on projected benefit obligation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net actuarial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prior service cost credit</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periodic benefit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4860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9"/>
              </w:rPr>
              <w:t>Pension</w:t>
            </w: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210"/>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8"/>
              </w:rPr>
              <w:t>Benefit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Benefit</w:t>
            </w:r>
          </w:p>
        </w:tc>
      </w:tr>
      <w:tr>
        <w:trPr>
          <w:trHeight w:val="444"/>
        </w:trPr>
        <w:tc>
          <w:tcPr>
            <w:tcW w:w="360" w:type="dxa"/>
            <w:vAlign w:val="bottom"/>
          </w:tcPr>
          <w:p>
            <w:pPr>
              <w:spacing w:after="0"/>
              <w:rPr>
                <w:sz w:val="24"/>
                <w:szCs w:val="24"/>
                <w:color w:val="auto"/>
              </w:rPr>
            </w:pPr>
          </w:p>
        </w:tc>
        <w:tc>
          <w:tcPr>
            <w:tcW w:w="1960" w:type="dxa"/>
            <w:vAlign w:val="bottom"/>
            <w:gridSpan w:val="3"/>
          </w:tcPr>
          <w:p>
            <w:pPr>
              <w:jc w:val="center"/>
              <w:ind w:left="1152"/>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24"/>
                <w:szCs w:val="24"/>
                <w:color w:val="auto"/>
              </w:rPr>
            </w:pPr>
          </w:p>
        </w:tc>
      </w:tr>
      <w:tr>
        <w:trPr>
          <w:trHeight w:val="232"/>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30"/>
        </w:trPr>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29"/>
        </w:trPr>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35"/>
        </w:trPr>
        <w:tc>
          <w:tcPr>
            <w:tcW w:w="3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(2)</w:t>
            </w:r>
          </w:p>
        </w:tc>
      </w:tr>
      <w:tr>
        <w:trPr>
          <w:trHeight w:val="223"/>
        </w:trPr>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588"/>
        </w:trPr>
        <w:tc>
          <w:tcPr>
            <w:tcW w:w="3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18"/>
                <w:szCs w:val="18"/>
                <w:b w:val="1"/>
                <w:bCs w:val="1"/>
                <w:color w:val="auto"/>
                <w:w w:val="99"/>
              </w:rPr>
              <w:t>2025</w:t>
            </w:r>
          </w:p>
        </w:tc>
        <w:tc>
          <w:tcPr>
            <w:tcW w:w="1600" w:type="dxa"/>
            <w:vAlign w:val="bottom"/>
            <w:tcBorders>
              <w:bottom w:val="single" w:sz="8" w:color="auto"/>
            </w:tcBorders>
          </w:tcPr>
          <w:p>
            <w:pPr>
              <w:spacing w:after="0"/>
              <w:rPr>
                <w:sz w:val="19"/>
                <w:szCs w:val="19"/>
                <w:color w:val="auto"/>
              </w:rPr>
            </w:pPr>
          </w:p>
        </w:tc>
      </w:tr>
      <w:tr>
        <w:trPr>
          <w:trHeight w:val="169"/>
        </w:trPr>
        <w:tc>
          <w:tcPr>
            <w:tcW w:w="360" w:type="dxa"/>
            <w:vAlign w:val="bottom"/>
          </w:tcPr>
          <w:p>
            <w:pPr>
              <w:spacing w:after="0"/>
              <w:rPr>
                <w:sz w:val="14"/>
                <w:szCs w:val="14"/>
                <w:color w:val="auto"/>
              </w:rPr>
            </w:pPr>
          </w:p>
        </w:tc>
        <w:tc>
          <w:tcPr>
            <w:tcW w:w="1660" w:type="dxa"/>
            <w:vAlign w:val="bottom"/>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w w:val="99"/>
              </w:rPr>
              <w:t>Pension</w:t>
            </w:r>
          </w:p>
        </w:tc>
        <w:tc>
          <w:tcPr>
            <w:tcW w:w="300" w:type="dxa"/>
            <w:vAlign w:val="bottom"/>
          </w:tcPr>
          <w:p>
            <w:pPr>
              <w:spacing w:after="0"/>
              <w:rPr>
                <w:sz w:val="14"/>
                <w:szCs w:val="14"/>
                <w:color w:val="auto"/>
              </w:rPr>
            </w:pPr>
          </w:p>
        </w:tc>
        <w:tc>
          <w:tcPr>
            <w:tcW w:w="160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8"/>
              </w:rPr>
              <w:t>Benefit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Benefit</w:t>
            </w:r>
          </w:p>
        </w:tc>
      </w:tr>
      <w:tr>
        <w:trPr>
          <w:trHeight w:val="228"/>
        </w:trPr>
        <w:tc>
          <w:tcPr>
            <w:tcW w:w="360" w:type="dxa"/>
            <w:vAlign w:val="bottom"/>
          </w:tcPr>
          <w:p>
            <w:pPr>
              <w:spacing w:after="0"/>
              <w:rPr>
                <w:sz w:val="19"/>
                <w:szCs w:val="19"/>
                <w:color w:val="auto"/>
              </w:rPr>
            </w:pPr>
          </w:p>
        </w:tc>
        <w:tc>
          <w:tcPr>
            <w:tcW w:w="1960" w:type="dxa"/>
            <w:vAlign w:val="bottom"/>
            <w:gridSpan w:val="3"/>
          </w:tcPr>
          <w:p>
            <w:pPr>
              <w:jc w:val="center"/>
              <w:ind w:left="1152"/>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19"/>
                <w:szCs w:val="19"/>
                <w:color w:val="auto"/>
              </w:rPr>
            </w:pPr>
          </w:p>
        </w:tc>
      </w:tr>
      <w:tr>
        <w:trPr>
          <w:trHeight w:val="232"/>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30"/>
        </w:trPr>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30"/>
        </w:trPr>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29"/>
        </w:trPr>
        <w:tc>
          <w:tcPr>
            <w:tcW w:w="3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35"/>
        </w:trPr>
        <w:tc>
          <w:tcPr>
            <w:tcW w:w="3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0" w:type="dxa"/>
            <w:vAlign w:val="bottom"/>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23"/>
        </w:trPr>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center"/>
              <w:ind w:left="1250"/>
              <w:spacing w:after="0"/>
              <w:rPr>
                <w:sz w:val="20"/>
                <w:szCs w:val="20"/>
                <w:color w:val="auto"/>
              </w:rPr>
            </w:pPr>
            <w:r>
              <w:rPr>
                <w:rFonts w:ascii="Arial" w:cs="Arial" w:eastAsia="Arial" w:hAnsi="Arial"/>
                <w:sz w:val="18"/>
                <w:szCs w:val="18"/>
                <w:color w:val="auto"/>
                <w:w w:val="99"/>
              </w:rPr>
              <w:t>(1)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-2656840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-2365375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-2073910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-916305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-624840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-333375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890" w:right="339" w:bottom="1440" w:gutter="0" w:footer="0" w:header="0"/>
          <w:type w:val="continuous"/>
        </w:sectPr>
      </w:pPr>
    </w:p>
    <w:p>
      <w:pPr>
        <w:spacing w:after="0" w:line="105"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Contributions to our pension benefit plans were insignificant during the three months ended March 31, 2026 and the three months ended March 31, 2025. We do not expect to need to make any contributions to our qualified pension plans to satisfy minimum funding requirements during the remainder of 2026. We expect to contribute an insignificant amount to fund our non-qualified pension benefit distributions during the remainder of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SUPPLEMENTAL ACCOUNT BALANCES</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 Cash and cash equivalents includes restricted cash of $15 million at both March 31, 2026 and December 31,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cash primarily includes funds held in an escrow account established to secure oil field well and infrastructure abandonment and habitat restoration at an oil and gas field previously owned by Aera. The Aera Merger Agreement provides that 50% of the amount of released funds exceeding the cumulative abandonment and habitat restoration expenditures from January 1, 2024 onward is payable to the prior owners of Aera. We do not expect this return of excess cash to be significant.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5" w:name="page26"/>
    <w:bookmarkEnd w:id="25"/>
    <w:p>
      <w:pPr>
        <w:ind w:right="1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We derive most of our revenue from sales of oil, natural gas and natural gas liquids, with the remaining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from sales of electricity and revenue from resource adequacy contracts in addition to revenue from marketing activities related to storage and managing excess pipeline capacity. The following table provides disaggregated revenue for sales of produced oil, natural gas and natural gas liquids to customers:</w:t>
      </w:r>
    </w:p>
    <w:p>
      <w:pPr>
        <w:spacing w:after="0" w:line="23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33"/>
        </w:trPr>
        <w:tc>
          <w:tcPr>
            <w:tcW w:w="7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w:t>
            </w: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Oil, natural gas and natural gas liquids sales</w:t>
            </w: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1"/>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spacing w:after="0" w:line="23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32"/>
        </w:trPr>
        <w:tc>
          <w:tcPr>
            <w:tcW w:w="7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w:t>
            </w: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Revenue from marketing of purchased commodities</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 Materials and supplies, which primarily consist of well equipment and tubular goods used in our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Inventory, by category,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7"/>
        </w:trPr>
        <w:tc>
          <w:tcPr>
            <w:tcW w:w="72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color w:val="auto"/>
              </w:rPr>
              <w:t>— Other current assets, net include the following:</w:t>
            </w:r>
          </w:p>
        </w:tc>
        <w:tc>
          <w:tcPr>
            <w:tcW w:w="1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34"/>
        </w:trPr>
        <w:tc>
          <w:tcPr>
            <w:tcW w:w="7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80" w:type="dxa"/>
            <w:vAlign w:val="bottom"/>
          </w:tcPr>
          <w:p>
            <w:pPr>
              <w:spacing w:after="0"/>
              <w:rPr>
                <w:sz w:val="20"/>
                <w:szCs w:val="20"/>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33"/>
        </w:trPr>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20"/>
                <w:szCs w:val="20"/>
                <w:color w:val="auto"/>
              </w:rPr>
            </w:pPr>
          </w:p>
        </w:tc>
      </w:tr>
      <w:tr>
        <w:trPr>
          <w:trHeight w:val="233"/>
        </w:trPr>
        <w:tc>
          <w:tcPr>
            <w:tcW w:w="72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Greenhouse gas allowances</w:t>
            </w: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1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 net</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580" w:hanging="332"/>
        <w:spacing w:after="0" w:line="305"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due from joint interest partners include $1 million and $2 million of allowances for credit losses for the three months ended March 31, 2026 and 2025,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noncurrent assets </w:t>
            </w:r>
            <w:r>
              <w:rPr>
                <w:rFonts w:ascii="Arial" w:cs="Arial" w:eastAsia="Arial" w:hAnsi="Arial"/>
                <w:sz w:val="18"/>
                <w:szCs w:val="18"/>
                <w:color w:val="auto"/>
              </w:rPr>
              <w:t>— Other noncurrent assets include the following:</w:t>
            </w: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200" w:type="dxa"/>
            <w:vAlign w:val="bottom"/>
          </w:tcPr>
          <w:p>
            <w:pPr>
              <w:spacing w:after="0"/>
              <w:rPr>
                <w:sz w:val="24"/>
                <w:szCs w:val="24"/>
                <w:color w:val="auto"/>
              </w:rPr>
            </w:pPr>
          </w:p>
        </w:tc>
        <w:tc>
          <w:tcPr>
            <w:tcW w:w="150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Deferred financing costs - Revolving Credit Facility</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Emission reduction credits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pension</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Postretirement plan</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 xml:space="preserve">Accrued liabilities </w:t>
            </w:r>
            <w:r>
              <w:rPr>
                <w:rFonts w:ascii="Arial" w:cs="Arial" w:eastAsia="Arial" w:hAnsi="Arial"/>
                <w:sz w:val="18"/>
                <w:szCs w:val="18"/>
                <w:color w:val="auto"/>
              </w:rPr>
              <w:t>— Accrued liabilities include the following:</w:t>
            </w: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72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200" w:type="dxa"/>
            <w:vAlign w:val="bottom"/>
          </w:tcPr>
          <w:p>
            <w:pPr>
              <w:spacing w:after="0"/>
              <w:rPr>
                <w:sz w:val="24"/>
                <w:szCs w:val="24"/>
                <w:color w:val="auto"/>
              </w:rPr>
            </w:pPr>
          </w:p>
        </w:tc>
        <w:tc>
          <w:tcPr>
            <w:tcW w:w="150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32"/>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 current portion</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Interest</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Premiums due on commodity derivative contracts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payments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Greenhouse gas liability</w:t>
            </w:r>
          </w:p>
        </w:tc>
        <w:tc>
          <w:tcPr>
            <w:tcW w:w="15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Signal Hill offshore platform expense accrual</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7"/>
        </w:trPr>
        <w:tc>
          <w:tcPr>
            <w:tcW w:w="7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long-term liabilities </w:t>
            </w:r>
            <w:r>
              <w:rPr>
                <w:rFonts w:ascii="Arial" w:cs="Arial" w:eastAsia="Arial" w:hAnsi="Arial"/>
                <w:sz w:val="18"/>
                <w:szCs w:val="18"/>
                <w:color w:val="auto"/>
              </w:rPr>
              <w:t>— Other long-term liabilities include the following:</w:t>
            </w: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82"/>
        </w:trPr>
        <w:tc>
          <w:tcPr>
            <w:tcW w:w="72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Contingent liability</w:t>
            </w:r>
            <w:r>
              <w:rPr>
                <w:rFonts w:ascii="Arial" w:cs="Arial" w:eastAsia="Arial" w:hAnsi="Arial"/>
                <w:sz w:val="23"/>
                <w:szCs w:val="23"/>
                <w:color w:val="auto"/>
                <w:vertAlign w:val="superscript"/>
              </w:rPr>
              <w:t>(a)</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1"/>
        </w:trPr>
        <w:tc>
          <w:tcPr>
            <w:tcW w:w="7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3 Investment in Unconsolidated Subsidiaries and Related Party Transactions</w:t>
      </w:r>
      <w:r>
        <w:rPr>
          <w:rFonts w:ascii="Arial" w:cs="Arial" w:eastAsia="Arial" w:hAnsi="Arial"/>
          <w:sz w:val="14"/>
          <w:szCs w:val="14"/>
          <w:color w:val="auto"/>
        </w:rPr>
        <w:t xml:space="preserve"> for information on the contingent liability related to the Carbon TerraVault JV.</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condensed consolidated statements of cash flows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r>
      <w:tr>
        <w:trPr>
          <w:trHeight w:val="223"/>
        </w:trPr>
        <w:tc>
          <w:tcPr>
            <w:tcW w:w="7200" w:type="dxa"/>
            <w:vAlign w:val="bottom"/>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8"/>
        </w:trPr>
        <w:tc>
          <w:tcPr>
            <w:tcW w:w="7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40" w:type="dxa"/>
            <w:vAlign w:val="bottom"/>
            <w:gridSpan w:val="3"/>
          </w:tcPr>
          <w:p>
            <w:pPr>
              <w:jc w:val="right"/>
              <w:ind w:right="109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9"/>
                <w:szCs w:val="19"/>
                <w:color w:val="auto"/>
              </w:rPr>
            </w:pPr>
          </w:p>
        </w:tc>
      </w:tr>
      <w:tr>
        <w:trPr>
          <w:trHeight w:val="238"/>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net of amounts capitalized</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Contributions to the Carbon TerraVault JV</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shares for stock-based compensation awards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Dividend equivalents for stock-based compensation awards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Excise tax on share repurchases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designated certain of our subsidiaries as Unrestricted Subsidiaries under the indenture governing our 2029 Senior Notes (2029 Senior Notes Indenture) and 2034 Senior Notes (2034 Senior Notes Indenture). Unrestricted Subsidiaries (as defined in the 2029 Senior Notes Indenture and 2034 Senior Notes Indenture) are subject to fewer restrictions under the indentures. We are required under the 2029 Senior Notes Indenture and 2034 Senior Notes Indenture to present the financial condition and results of operations of CRC and its Restricted Subsidiaries (as defined in the 2029 Senior Notes Indenture and 2034 Senior Notes Indenture) separate from the financial condition and results of operations of its Unrestricted Subsidiaries. The following condensed consolidating balance sheets as of March 31, 2026 and December 31, 2025 and the condensed consolidating statements of operations for the three months ended March 31, 2026 and 2025,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 In the three months ended March 31, 2026, we adjusted the Unrestricted Subsidiaries under the 2029 Senior Notes Indenture and the 2034 Senior Notes Indenture. The Unrestricted Subsidiaries and Restricted Subsidiaries for prior periods have not been conformed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2026 and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As of March 31, 2026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Combined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110"/>
              <w:spacing w:after="0" w:line="183" w:lineRule="exact"/>
              <w:rPr>
                <w:sz w:val="20"/>
                <w:szCs w:val="20"/>
                <w:color w:val="auto"/>
              </w:rPr>
            </w:pPr>
            <w:r>
              <w:rPr>
                <w:rFonts w:ascii="Arial" w:cs="Arial" w:eastAsia="Arial" w:hAnsi="Arial"/>
                <w:sz w:val="18"/>
                <w:szCs w:val="18"/>
                <w:b w:val="1"/>
                <w:bCs w:val="1"/>
                <w:color w:val="auto"/>
              </w:rPr>
              <w:t>Unrestricted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Subsidiaries</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restart"/>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(17,565)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(17,565)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 contracts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(17,565)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(17,565)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5"/>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jc w:val="center"/>
              <w:ind w:left="1050"/>
              <w:spacing w:after="0"/>
              <w:rPr>
                <w:sz w:val="20"/>
                <w:szCs w:val="20"/>
                <w:color w:val="auto"/>
              </w:rPr>
            </w:pPr>
            <w:r>
              <w:rPr>
                <w:rFonts w:ascii="Arial" w:cs="Arial" w:eastAsia="Arial" w:hAnsi="Arial"/>
                <w:sz w:val="18"/>
                <w:szCs w:val="18"/>
                <w:b w:val="1"/>
                <w:bCs w:val="1"/>
                <w:color w:val="auto"/>
                <w:w w:val="99"/>
              </w:rPr>
              <w:t>As of December 31, 2025</w:t>
            </w: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Parent</w:t>
            </w:r>
          </w:p>
        </w:tc>
        <w:tc>
          <w:tcPr>
            <w:tcW w:w="100" w:type="dxa"/>
            <w:vAlign w:val="bottom"/>
            <w:gridSpan w:val="2"/>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60" w:type="dxa"/>
            <w:vAlign w:val="bottom"/>
          </w:tcPr>
          <w:p>
            <w:pPr>
              <w:spacing w:after="0"/>
              <w:rPr>
                <w:sz w:val="15"/>
                <w:szCs w:val="15"/>
                <w:color w:val="auto"/>
              </w:rPr>
            </w:pPr>
          </w:p>
        </w:tc>
        <w:tc>
          <w:tcPr>
            <w:tcW w:w="1460" w:type="dxa"/>
            <w:vAlign w:val="bottom"/>
            <w:gridSpan w:val="4"/>
          </w:tcPr>
          <w:p>
            <w:pPr>
              <w:jc w:val="center"/>
              <w:ind w:right="260"/>
              <w:spacing w:after="0" w:line="183"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gridSpan w:val="2"/>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rPr>
              <w:t>Subsidiaries</w:t>
            </w:r>
          </w:p>
        </w:tc>
        <w:tc>
          <w:tcPr>
            <w:tcW w:w="8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5,857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vMerge w:val="restart"/>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3"/>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 contracts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Amounts due to (from) affiliates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20" w:type="dxa"/>
            <w:vAlign w:val="bottom"/>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25,044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(24,627)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auto"/>
                <w:w w:val="99"/>
              </w:rPr>
              <w:t>Condensed Consolidating Statement of Operations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78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auto"/>
                <w:w w:val="99"/>
              </w:rPr>
              <w:t>For the three months ended March 31, 2026 and 2025</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3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jc w:val="center"/>
              <w:ind w:right="320"/>
              <w:spacing w:after="0"/>
              <w:rPr>
                <w:sz w:val="20"/>
                <w:szCs w:val="20"/>
                <w:color w:val="auto"/>
              </w:rPr>
            </w:pPr>
            <w:r>
              <w:rPr>
                <w:rFonts w:ascii="Arial" w:cs="Arial" w:eastAsia="Arial" w:hAnsi="Arial"/>
                <w:sz w:val="18"/>
                <w:szCs w:val="18"/>
                <w:b w:val="1"/>
                <w:bCs w:val="1"/>
                <w:color w:val="auto"/>
                <w:w w:val="99"/>
              </w:rPr>
              <w:t>Three months ended March 31, 2026</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Combined</w:t>
            </w: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160" w:type="dxa"/>
            <w:vAlign w:val="bottom"/>
          </w:tcPr>
          <w:p>
            <w:pPr>
              <w:spacing w:after="0"/>
              <w:rPr>
                <w:sz w:val="15"/>
                <w:szCs w:val="15"/>
                <w:color w:val="auto"/>
              </w:rPr>
            </w:pPr>
          </w:p>
        </w:tc>
        <w:tc>
          <w:tcPr>
            <w:tcW w:w="1460" w:type="dxa"/>
            <w:vAlign w:val="bottom"/>
            <w:gridSpan w:val="4"/>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gridSpan w:val="2"/>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9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5"/>
        </w:trPr>
        <w:tc>
          <w:tcPr>
            <w:tcW w:w="3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Three months ended March 31, 2025</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4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40"/>
              <w:spacing w:after="0" w:line="183"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Eliminations</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9"/>
              </w:rPr>
              <w:t>(25)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left="870"/>
              <w:spacing w:after="0"/>
              <w:rPr>
                <w:sz w:val="20"/>
                <w:szCs w:val="20"/>
                <w:color w:val="auto"/>
              </w:rPr>
            </w:pPr>
            <w:r>
              <w:rPr>
                <w:rFonts w:ascii="Arial" w:cs="Arial" w:eastAsia="Arial" w:hAnsi="Arial"/>
                <w:sz w:val="18"/>
                <w:szCs w:val="18"/>
                <w:color w:val="auto"/>
                <w:w w:val="99"/>
              </w:rPr>
              <w:t>(25)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56"/>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1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left="8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110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Ninth Amendment to the Revolving Credit Facility</w:t>
      </w:r>
    </w:p>
    <w:p>
      <w:pPr>
        <w:spacing w:after="0" w:line="250"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On April 14, 2026, we entered into the ninth amendment to our Revolving Credit Facility to, among other things, amend the pricing grid to reduce interest margin by 0.25%, remove the 0.10% Term SOFR adjustment, and other technical amendments. Our borrowing base of $1.5 billion was reaffirmed as part of this amendment.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25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On May 5, 2026, our Board of Directors declared a quarterly cash dividend of $0.4050 per share of common stock. The dividend is payable to shareholders of record at the close of business on May 29, 2026 and is expected to be paid on June 18,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Our operating results, and those of the oil and natural gas industry, are heavily influenced by commodity prices. Oil and natural gas prices and differentials can fluctuate significantly due to various market-related factors, making it challenging to predict realized prices reliably. We may respond to changing economic conditions by adjusting the amount and allocation of our capital program or by pursuing additional cost reductions. Significant changes in oil and natural gas prices may also affect the quantities of reserves that we can economically produce over the longer term.</w:t>
      </w:r>
    </w:p>
    <w:p>
      <w:pPr>
        <w:spacing w:after="0" w:line="206"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Global oil prices increased significantly towards the end of the three months ended March 31, 2026 and continuing to date through the second quarter due to military conflicts and geopolitical tensions. In March 2026, oil prices escalated sharply as Middle East crude and product flows from the region were interrupted due to damage to regional energy infrastructure and the effective closure of the Strait of Hormuz. Additionally, oil prices were affected to a lesser extent by Ukrainian military strikes that significantly impacted Russian export capabilities. We expect oil prices to remain volatile as these geopolitical circumstances continue to evolve. Refer to </w:t>
      </w:r>
      <w:r>
        <w:rPr>
          <w:rFonts w:ascii="Arial" w:cs="Arial" w:eastAsia="Arial" w:hAnsi="Arial"/>
          <w:sz w:val="18"/>
          <w:szCs w:val="18"/>
          <w:i w:val="1"/>
          <w:iCs w:val="1"/>
          <w:color w:val="auto"/>
        </w:rPr>
        <w:t>Results of Our Oil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Natural Gas Operations, Production, Prices and Realizations </w:t>
      </w:r>
      <w:r>
        <w:rPr>
          <w:rFonts w:ascii="Arial" w:cs="Arial" w:eastAsia="Arial" w:hAnsi="Arial"/>
          <w:sz w:val="18"/>
          <w:szCs w:val="18"/>
          <w:color w:val="auto"/>
        </w:rPr>
        <w:t>below for information on our realized prices.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18"/>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59.14</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and Inflation</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continued to experience relatively flat pricing from our suppliers during the first three months of 2026 compared to the prior year. U.S. tariff policy regarding both country of origin and material type remains highly uncertain and subject to future changes. During 2025, the United States significantly expanded tariff rates on imported goods, including increasing Section 232 tariffs on steel and aluminum to 50% and adding copper at the same rate. In February 2026, the Supreme Court ruled that the President's use of emergency powers under the International Emergency Economic Powers Act to impose country-specific "reciprocal" tariffs was unconstitutional; however, Section 232 metals tariffs were not affected by this ruling. In April 2026, the Federal government further restructured the Section 232 metals tariffs establishing a tiered rate structure based on metal content and applying tariffs to the full customs value of imported articles rather than only the embedded metal content.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ind w:right="120" w:firstLine="324"/>
        <w:spacing w:after="0" w:line="257" w:lineRule="auto"/>
        <w:rPr>
          <w:sz w:val="20"/>
          <w:szCs w:val="20"/>
          <w:color w:val="auto"/>
        </w:rPr>
      </w:pPr>
      <w:r>
        <w:rPr>
          <w:rFonts w:ascii="Arial" w:cs="Arial" w:eastAsia="Arial" w:hAnsi="Arial"/>
          <w:sz w:val="18"/>
          <w:szCs w:val="18"/>
          <w:color w:val="auto"/>
        </w:rPr>
        <w:t xml:space="preserve">These expanded and restructured tariff rates are expected to increase our cost of oilfield goods and extend delivery lead times over the longer term. The shift to full-value assessment for derivative articles, in particular, may increase duty burdens on certain imported components and assemblies beyond prior levels. Overall, we expect a slight impact from tariffs on our supply chain in 2026. We believe we can mitigate a portion of these cost increases through bulk purchases, domestic sourcing, and ongoing review of product classifications and supplier origin. However, the evolving nature of tariff policy </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the potential for future modifications, legal challenges, and new product inclusions — creates continued uncertainty that may limit our ability to fully offset these impacts.</w:t>
      </w:r>
    </w:p>
    <w:p>
      <w:pPr>
        <w:spacing w:after="0" w:line="209"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High fuel costs are adversely impacting transportation and equipment prices, and high oil prices are impacting oil-based products such as chemicals and lubricants. At current oil prices, we expect these costs to increase by $6 million to $8 million for the remainder of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Arrangements</w:t>
      </w:r>
    </w:p>
    <w:p>
      <w:pPr>
        <w:spacing w:after="0" w:line="25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early 2026 Valero ceased purchasing crude oil for its Benicia refinery and it is reported that the refinery ceased operations in April 2026. While we have historically sold a portion of our crude oil to this refinery, we have not experienced difficulty in selling our production to the remaining refineries in California or any negative impact on pricing or realizations as a result of this closure.</w:t>
      </w:r>
    </w:p>
    <w:p>
      <w:pPr>
        <w:spacing w:after="0" w:line="198"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In March 2026, the United States Secretary of Energy issued an order under the authority of the Defense Production Act of 1950 directing Sable Offshore Corp. (Sable) to restart oil and gas production at the San Ynez Unit, located in Federal offshore waters, and to facilitate the movement of offshore crude oil into California via the Las Flores pipeline. The State of California and other non-governmental organizations have filed suit against the United States Secretary of Energy and Sable, the owner of the San Ynez Unit, to block transportation of this crude oil into California. However, Sable has indicated that it is currently producing crude oil and has the potential to increase production to approximately 60,000 barrels per day. We expect that this additional production could strain existing pipeline transportation capacity required to reach refiners, which could require us to find alternative routes to market that may be limited or more costly. In addition, we expect that this production will have the potential to compete with our crude oil production in the California refining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 Permitting</w:t>
      </w:r>
    </w:p>
    <w:p>
      <w:pPr>
        <w:spacing w:after="0" w:line="25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During the three months ended March 31, 2026, we received permits for 66 new oil and gas wells, 21 workovers and 2 sidetracks. We currently hold sufficient permits to support a seven rig program, which includes 6 rigs in California and 1 rig in Utah, in the second half of 2026.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Injection</w:t>
      </w:r>
    </w:p>
    <w:p>
      <w:pPr>
        <w:spacing w:after="0" w:line="25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operations in the Wilmington Oil Field use injection wells to reinject produced water under approved waterflooding plans. CalGEM has issued a directive to reduce the injection well pressure in a gradual manner in accordance with a five-year injection reduction work plan. The first phase of reduction commenced July 1, 2024, and a second reduction began in January 2025. We expect that the next phase of reduction will remain on hold until the fall of 2026 while we evaluate the impact of the previously implemented reductions together with CalGEM. We currently estimate a negligible impact on production and reserves under the existing work plan. However, material changes to the existing plan could require revisions to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 Cap-and-Invest (AB 1207 and SB 840)</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January 2026, the California Air Resources Board released proposed amendments to update its existing Cap-and-Invest program. The rulemaking process is ongoing, and the final terms and requirements of any proposed amendments have not yet been determined. We are actively monitoring these developments and potential impacts to our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jc w:val="both"/>
        <w:ind w:right="560" w:firstLine="324"/>
        <w:spacing w:after="0" w:line="291" w:lineRule="auto"/>
        <w:rPr>
          <w:sz w:val="20"/>
          <w:szCs w:val="20"/>
          <w:color w:val="auto"/>
        </w:rPr>
      </w:pPr>
      <w:r>
        <w:rPr>
          <w:rFonts w:ascii="Arial" w:cs="Arial" w:eastAsia="Arial" w:hAnsi="Arial"/>
          <w:sz w:val="17"/>
          <w:szCs w:val="17"/>
          <w:color w:val="auto"/>
        </w:rPr>
        <w:t xml:space="preserve">Our consolidated results of operations include the results of Berry beginning on December 18, 2025, the closing date of the Berry Merger. For more information on the Berry Merger, see </w:t>
      </w:r>
      <w:r>
        <w:rPr>
          <w:rFonts w:ascii="Arial" w:cs="Arial" w:eastAsia="Arial" w:hAnsi="Arial"/>
          <w:sz w:val="17"/>
          <w:szCs w:val="17"/>
          <w:i w:val="1"/>
          <w:iCs w:val="1"/>
          <w:color w:val="auto"/>
        </w:rPr>
        <w:t>Part I, Item 1 – Financial Statements, Note 2 Business Combination</w:t>
      </w:r>
      <w:r>
        <w:rPr>
          <w:rFonts w:ascii="Arial" w:cs="Arial" w:eastAsia="Arial" w:hAnsi="Arial"/>
          <w:sz w:val="17"/>
          <w:szCs w:val="17"/>
          <w:color w:val="auto"/>
        </w:rPr>
        <w:t>. The Berry Merger affected the comparability of our financial results for the three months ended March 31, 2026 to the prior comparative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2026 compared to December 31, 2025</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operating revenues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2026</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December 31, 2025</w:t>
            </w:r>
          </w:p>
        </w:tc>
      </w:tr>
      <w:tr>
        <w:trPr>
          <w:trHeight w:val="232"/>
        </w:trPr>
        <w:tc>
          <w:tcPr>
            <w:tcW w:w="6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20"/>
                <w:szCs w:val="20"/>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liquids sales</w:t>
            </w:r>
          </w:p>
        </w:tc>
        <w:tc>
          <w:tcPr>
            <w:tcW w:w="18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(loss) gain from commodity sales derivatives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Electricity revenue</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86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6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Oil, natural gas and natural gas liquids sales </w:t>
      </w:r>
      <w:r>
        <w:rPr>
          <w:rFonts w:ascii="Arial" w:cs="Arial" w:eastAsia="Arial" w:hAnsi="Arial"/>
          <w:sz w:val="18"/>
          <w:szCs w:val="18"/>
          <w:color w:val="auto"/>
        </w:rPr>
        <w:t>— Oil, natural gas and natural gas liquids sales, excluding the effects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on our commodity derivative contracts, were $905 million for the three months ended March 31, 2026, which was an increase of $226 million compared to $679 million for the three months ended December 31, 2025. Oil, natural gas and natural gas liquids sales included $131 million and $18 million for the three months ended March 31, 2026 and December 31, 2025, respectively, related to sales of additional production from the Berry properties following the completion of the Berry Merger on December 18, 2025.</w:t>
      </w:r>
    </w:p>
    <w:p>
      <w:pPr>
        <w:spacing w:after="0" w:line="206"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shows changes in oil, natural gas and natural gas liquids sales for the three months ended March 31, 2026 compared to the three months ended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Operations</w:t>
            </w:r>
          </w:p>
        </w:tc>
      </w:tr>
      <w:tr>
        <w:trPr>
          <w:trHeight w:val="233"/>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2025</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 and other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intersegment revenues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2026</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Net (loss) gain from commodity sales derivatives — </w:t>
      </w:r>
      <w:r>
        <w:rPr>
          <w:rFonts w:ascii="Arial" w:cs="Arial" w:eastAsia="Arial" w:hAnsi="Arial"/>
          <w:sz w:val="18"/>
          <w:szCs w:val="18"/>
          <w:color w:val="auto"/>
        </w:rPr>
        <w:t>We report gains and losses on our derivative contracts related to sales of our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activities in operating revenues. Net loss from commodity sales derivatives was $848 million for the three months ended March 31, 2026 compared to a net gain of $126 million for the three months ended December 31, 2025. The change primarily resulted from the non-cash changes in the fair value of our outstanding commodity derivatives from the positions held at the end of each measurement period. Oil prices significantly increased as of March 31, 2026 compared to December 31, 2025. For instance, the Brent forward curve for the twelve months following March 31, 2026 increased by approximately 40% to $83.66 compared to $60.30 at December 31, 2025. As of March 31, 2026, we have hedges on approximately 65% of our expected oil production for the remainder of 2026 at a weighted average floor price of $64.99. Gains and losses from our commodity derivative contracts are shown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December 31, 2025</w:t>
            </w:r>
          </w:p>
        </w:tc>
      </w:tr>
      <w:tr>
        <w:trPr>
          <w:trHeight w:val="192"/>
        </w:trPr>
        <w:tc>
          <w:tcPr>
            <w:tcW w:w="6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6"/>
                <w:szCs w:val="16"/>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 gain from commodity sales derivatives</w:t>
            </w:r>
          </w:p>
        </w:tc>
        <w:tc>
          <w:tcPr>
            <w:tcW w:w="18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settlements and premiums</w:t>
            </w:r>
          </w:p>
        </w:tc>
        <w:tc>
          <w:tcPr>
            <w:tcW w:w="1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gain from commodity sales derivatives</w:t>
            </w:r>
          </w:p>
        </w:tc>
        <w:tc>
          <w:tcPr>
            <w:tcW w:w="1860" w:type="dxa"/>
            <w:vAlign w:val="bottom"/>
            <w:tcBorders>
              <w:bottom w:val="single" w:sz="8" w:color="auto"/>
            </w:tcBorders>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Revenue from marketing of purchased commodities </w:t>
      </w:r>
      <w:r>
        <w:rPr>
          <w:rFonts w:ascii="Arial" w:cs="Arial" w:eastAsia="Arial" w:hAnsi="Arial"/>
          <w:sz w:val="18"/>
          <w:szCs w:val="18"/>
          <w:color w:val="auto"/>
        </w:rPr>
        <w:t>— Revenue from marketing of purchased commodities was $41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compared to $60 million for the three months ended December 31, 2025. The decrease was related to lower natural gas prices in California resulting from high storage levels.</w:t>
      </w:r>
    </w:p>
    <w:p>
      <w:pPr>
        <w:spacing w:after="0" w:line="19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Electricity revenue </w:t>
      </w:r>
      <w:r>
        <w:rPr>
          <w:rFonts w:ascii="Arial" w:cs="Arial" w:eastAsia="Arial" w:hAnsi="Arial"/>
          <w:sz w:val="18"/>
          <w:szCs w:val="18"/>
          <w:color w:val="auto"/>
        </w:rPr>
        <w:t>— Electricity revenue decreased by $ 41 million to $11 million for the three months ended March 31, 2026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$52 million for the three months ended December 31, 2025. This decrease was primarily a result of reduced resource adequacy revenues as well as less electricity generated in response to market conditions during the three months ended March 31, 2026 compared to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ind w:right="120" w:firstLine="324"/>
        <w:spacing w:after="0" w:line="287" w:lineRule="auto"/>
        <w:rPr>
          <w:sz w:val="20"/>
          <w:szCs w:val="20"/>
          <w:color w:val="auto"/>
        </w:rPr>
      </w:pPr>
      <w:r>
        <w:rPr>
          <w:rFonts w:ascii="Arial" w:cs="Arial" w:eastAsia="Arial" w:hAnsi="Arial"/>
          <w:sz w:val="18"/>
          <w:szCs w:val="18"/>
          <w:color w:val="auto"/>
        </w:rPr>
        <w:t>The following table presents our consolidated operating and non-operating expenses and income for the three months ended March 31, 2026 and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2026</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December 31, 2025</w:t>
            </w:r>
          </w:p>
        </w:tc>
      </w:tr>
      <w:tr>
        <w:trPr>
          <w:trHeight w:val="228"/>
        </w:trPr>
        <w:tc>
          <w:tcPr>
            <w:tcW w:w="6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9"/>
                <w:szCs w:val="19"/>
                <w:color w:val="auto"/>
              </w:rPr>
            </w:pPr>
          </w:p>
        </w:tc>
      </w:tr>
      <w:tr>
        <w:trPr>
          <w:trHeight w:val="238"/>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8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Costs related to marketing of purchased commodities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loss from natural gas purchase derivatives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1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23"/>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(loss) income</w:t>
            </w:r>
          </w:p>
        </w:tc>
        <w:tc>
          <w:tcPr>
            <w:tcW w:w="1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6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Interest and debt expense, net</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Equity loss from unconsolidated subsidiaries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(Loss) income before income taxes</w:t>
            </w:r>
          </w:p>
        </w:tc>
        <w:tc>
          <w:tcPr>
            <w:tcW w:w="1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186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firstLine="324"/>
        <w:spacing w:after="0" w:line="273" w:lineRule="auto"/>
        <w:rPr>
          <w:sz w:val="20"/>
          <w:szCs w:val="20"/>
          <w:color w:val="auto"/>
        </w:rPr>
      </w:pPr>
      <w:r>
        <w:rPr>
          <w:rFonts w:ascii="Arial" w:cs="Arial" w:eastAsia="Arial" w:hAnsi="Arial"/>
          <w:sz w:val="18"/>
          <w:szCs w:val="18"/>
          <w:b w:val="1"/>
          <w:bCs w:val="1"/>
          <w:i w:val="1"/>
          <w:iCs w:val="1"/>
          <w:color w:val="auto"/>
        </w:rPr>
        <w:t xml:space="preserve">Operating costs </w:t>
      </w:r>
      <w:r>
        <w:rPr>
          <w:rFonts w:ascii="Arial" w:cs="Arial" w:eastAsia="Arial" w:hAnsi="Arial"/>
          <w:sz w:val="18"/>
          <w:szCs w:val="18"/>
          <w:color w:val="auto"/>
        </w:rPr>
        <w:t>— The following table presents our operating costs for the three months ended March 31, 2026 and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2026</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December 31, 2025</w:t>
            </w:r>
          </w:p>
        </w:tc>
      </w:tr>
      <w:tr>
        <w:trPr>
          <w:trHeight w:val="228"/>
        </w:trPr>
        <w:tc>
          <w:tcPr>
            <w:tcW w:w="6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9"/>
                <w:szCs w:val="19"/>
                <w:color w:val="auto"/>
              </w:rPr>
            </w:pPr>
          </w:p>
        </w:tc>
      </w:tr>
      <w:tr>
        <w:trPr>
          <w:trHeight w:val="62"/>
        </w:trPr>
        <w:tc>
          <w:tcPr>
            <w:tcW w:w="64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20" w:type="dxa"/>
            <w:vAlign w:val="bottom"/>
          </w:tcPr>
          <w:p>
            <w:pPr>
              <w:spacing w:after="0"/>
              <w:rPr>
                <w:sz w:val="5"/>
                <w:szCs w:val="5"/>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Operating costs</w:t>
            </w:r>
          </w:p>
        </w:tc>
        <w:tc>
          <w:tcPr>
            <w:tcW w:w="190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64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20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March 31, 2026 were $110 million, which was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$9 million from $101 million for the three months ended December 31, 2025 primarily due to the addition of the effect of the Berry properties as part of the Berry Merger. Excluding the Berry properties, energy operating costs decreased as a result of lower natural gas prices in the three months ended March 31, 2026 compared to the three months ended December 31,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firstLine="324"/>
        <w:spacing w:after="0" w:line="259"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March 31, 2026 were $250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$ 30 million from $220 million for the three months ended December 31, 2025 primarily due to the addition of the Berry properties following the Berry Merger. Excluding the Berry properties, non-energy operating costs decreased for the three months ended March 31, 2026 compared to the three months ended December 31, 2025 primarily due to lower compensation-related costs and less workover and surface maintenance activity.</w:t>
      </w:r>
    </w:p>
    <w:p>
      <w:pPr>
        <w:spacing w:after="0" w:line="2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(G&amp;A) expenses were $106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compared to $95 million for the three months ended December 31, 2025. The increase primarily resulted from the Berry Merger including $12 million from higher compensation-related costs related to the addition of the Berry workforce and $3 million of incremental insurance cost. Additionally, cash-settled stock-based compensation expense increased by $7 million due to higher value on our incentive awards resulting from an increase in our stock price at March 31, 2026 compared to December 31, 2025. We also had higher legal costs in the three months ended March 31, 2026 compared to the three months ended December 31, 2025. Offsetting these increases, compensation-related expenses decreased $10 million in the three months ended March 31, 2026 compared to the three months ended December 31, 2025 due to the reduction of annual incentive compensation accruals.</w:t>
      </w:r>
    </w:p>
    <w:p>
      <w:pPr>
        <w:ind w:firstLine="324"/>
        <w:spacing w:after="0" w:line="253"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incentive awards based on our stock price on the vesting date and accounting rules require that we adjust our obligation for unvested awards to the amount that would be paid using our stock price at the end of each reporting period. Consequently, any future increases in our stock price will result in additional cash-settled stock-based compensation expense. Similarly, any future decrease in our stock price will result in lower compensation expense. Equity-settled stock-based compensation awards are not similarly adjusted for changes in our stock price. General and administrative expenses for equity-settled stock-based compensation, was approximately $7 million for the three months ended March 31, 2026 and $6 million for the three months ended December 31, 2025.</w:t>
      </w:r>
    </w:p>
    <w:p>
      <w:pPr>
        <w:spacing w:after="0" w:line="210"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b w:val="1"/>
          <w:bCs w:val="1"/>
          <w:i w:val="1"/>
          <w:iCs w:val="1"/>
          <w:color w:val="auto"/>
        </w:rPr>
        <w:t xml:space="preserve">Asset impairment </w:t>
      </w:r>
      <w:r>
        <w:rPr>
          <w:rFonts w:ascii="Arial" w:cs="Arial" w:eastAsia="Arial" w:hAnsi="Arial"/>
          <w:sz w:val="18"/>
          <w:szCs w:val="18"/>
          <w:color w:val="auto"/>
        </w:rPr>
        <w:t>— We did not record an asset impairment in the three months ended March 31, 2026. We recognized an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impairment during the three months ended December 31, 2025 of $ 57 million related to the write-down of our proved natural gas properties in the Sacramento basin. For more information, refer to </w:t>
      </w:r>
      <w:r>
        <w:rPr>
          <w:rFonts w:ascii="Arial" w:cs="Arial" w:eastAsia="Arial" w:hAnsi="Arial"/>
          <w:sz w:val="18"/>
          <w:szCs w:val="18"/>
          <w:i w:val="1"/>
          <w:iCs w:val="1"/>
          <w:color w:val="auto"/>
        </w:rPr>
        <w:t>Part II, Item 8 – Financial Statements and Supplementary Data, Note 3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Plant and Equipment </w:t>
      </w:r>
      <w:r>
        <w:rPr>
          <w:rFonts w:ascii="Arial" w:cs="Arial" w:eastAsia="Arial" w:hAnsi="Arial"/>
          <w:sz w:val="18"/>
          <w:szCs w:val="18"/>
          <w:color w:val="auto"/>
        </w:rPr>
        <w:t>in our 2025 Annual Report for more information.</w:t>
      </w:r>
    </w:p>
    <w:p>
      <w:pPr>
        <w:spacing w:after="0" w:line="20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Taxes other than on income </w:t>
      </w:r>
      <w:r>
        <w:rPr>
          <w:rFonts w:ascii="Arial" w:cs="Arial" w:eastAsia="Arial" w:hAnsi="Arial"/>
          <w:sz w:val="18"/>
          <w:szCs w:val="18"/>
          <w:color w:val="auto"/>
        </w:rPr>
        <w:t>— Taxes other than on income for the three months ended March 31, 2026 were $67 million,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$ 12 million from $55 million for the three months ended December 31, 2025. The increase was primarily due to an increase in ad valorem and production taxes resulting from the Berry Merger.</w:t>
      </w:r>
    </w:p>
    <w:p>
      <w:pPr>
        <w:spacing w:after="0" w:line="19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Costs related to marketing of purchased commodities </w:t>
      </w:r>
      <w:r>
        <w:rPr>
          <w:rFonts w:ascii="Arial" w:cs="Arial" w:eastAsia="Arial" w:hAnsi="Arial"/>
          <w:sz w:val="18"/>
          <w:szCs w:val="18"/>
          <w:color w:val="auto"/>
        </w:rPr>
        <w:t>— Costs related to marketing of purchased commodities were $23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2026 compared to $47 million for the three months ended December 31, 2025. The decrease was primarily a result of lower natural gas prices and volumes purchased in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37" w:name="page38"/>
    <w:bookmarkEnd w:id="37"/>
    <w:p>
      <w:pPr>
        <w:ind w:right="200" w:firstLine="324"/>
        <w:spacing w:after="0" w:line="266"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decreased $28 million to $ 54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compared to $82 million for the three months ended December 31, 2025. For the three months ended March 31, 2026 and December 31, 2025, other operating expenses, net includes the following:</w:t>
      </w: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48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2026</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2025</w:t>
            </w:r>
          </w:p>
        </w:tc>
        <w:tc>
          <w:tcPr>
            <w:tcW w:w="32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gridSpan w:val="3"/>
          </w:tcPr>
          <w:p>
            <w:pPr>
              <w:jc w:val="right"/>
              <w:ind w:right="163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6"/>
                <w:szCs w:val="16"/>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expenses</w:t>
            </w:r>
          </w:p>
        </w:tc>
        <w:tc>
          <w:tcPr>
            <w:tcW w:w="192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termination costs</w:t>
            </w:r>
          </w:p>
        </w:tc>
        <w:tc>
          <w:tcPr>
            <w:tcW w:w="1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Offshore platforms maintenance and abandonment costs</w:t>
            </w:r>
          </w:p>
        </w:tc>
        <w:tc>
          <w:tcPr>
            <w:tcW w:w="1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technology infrastructure</w:t>
            </w:r>
          </w:p>
        </w:tc>
        <w:tc>
          <w:tcPr>
            <w:tcW w:w="1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Environmental remediation</w:t>
            </w:r>
          </w:p>
        </w:tc>
        <w:tc>
          <w:tcPr>
            <w:tcW w:w="19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 other operating expenses, net</w:t>
            </w:r>
          </w:p>
        </w:tc>
        <w:tc>
          <w:tcPr>
            <w:tcW w:w="192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
        </w:trPr>
        <w:tc>
          <w:tcPr>
            <w:tcW w:w="64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income tax provision for the three months ended March 31, 2026 was a benefit of $ 49 million (representing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effective tax benefit of 6%), compared to a provision of $11 million (representing an effective tax rate of 48%) for the three months ended December 31, 2025. The effective tax rate for the three months ended March 31, 2026, reflects nondeductible compensation and tax credit. See </w:t>
      </w:r>
      <w:r>
        <w:rPr>
          <w:rFonts w:ascii="Arial" w:cs="Arial" w:eastAsia="Arial" w:hAnsi="Arial"/>
          <w:sz w:val="18"/>
          <w:szCs w:val="18"/>
          <w:i w:val="1"/>
          <w:iCs w:val="1"/>
          <w:color w:val="auto"/>
        </w:rPr>
        <w:t>Part I, Item 1 – Financial Statements, Note 7 Income Taxes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Oil and Natural Gas Operations</w:t>
      </w:r>
    </w:p>
    <w:p>
      <w:pPr>
        <w:spacing w:after="0" w:line="239" w:lineRule="exact"/>
        <w:rPr>
          <w:sz w:val="20"/>
          <w:szCs w:val="20"/>
          <w:color w:val="auto"/>
        </w:rPr>
      </w:pPr>
    </w:p>
    <w:p>
      <w:pPr>
        <w:ind w:right="480" w:firstLine="324"/>
        <w:spacing w:after="0" w:line="271" w:lineRule="auto"/>
        <w:rPr>
          <w:sz w:val="20"/>
          <w:szCs w:val="20"/>
          <w:color w:val="auto"/>
        </w:rPr>
      </w:pPr>
      <w:r>
        <w:rPr>
          <w:rFonts w:ascii="Arial" w:cs="Arial" w:eastAsia="Arial" w:hAnsi="Arial"/>
          <w:sz w:val="18"/>
          <w:szCs w:val="18"/>
          <w:color w:val="auto"/>
        </w:rPr>
        <w:t>The following table includes financial results and key operating data for our oil and natural gas segment for the three months ended March 31, 2026 and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r>
      <w:tr>
        <w:trPr>
          <w:trHeight w:val="218"/>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28"/>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4"/>
          </w:tcPr>
          <w:p>
            <w:pPr>
              <w:jc w:val="right"/>
              <w:ind w:right="410"/>
              <w:spacing w:after="0"/>
              <w:rPr>
                <w:sz w:val="20"/>
                <w:szCs w:val="20"/>
                <w:color w:val="auto"/>
              </w:rPr>
            </w:pPr>
            <w:r>
              <w:rPr>
                <w:rFonts w:ascii="Arial" w:cs="Arial" w:eastAsia="Arial" w:hAnsi="Arial"/>
                <w:sz w:val="14"/>
                <w:szCs w:val="14"/>
                <w:color w:val="auto"/>
              </w:rPr>
              <w:t>(in millions, except as otherwise stated)</w:t>
            </w:r>
          </w:p>
        </w:tc>
      </w:tr>
      <w:tr>
        <w:trPr>
          <w:trHeight w:val="238"/>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Production and oil and gas segment financial data</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production sold (MBoe/d)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6"/>
        </w:trPr>
        <w:tc>
          <w:tcPr>
            <w:tcW w:w="7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6"/>
        </w:trPr>
        <w:tc>
          <w:tcPr>
            <w:tcW w:w="7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Key operating expenses per Boe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costs, after hedges on purchased natural gas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(b)</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3"/>
                <w:szCs w:val="23"/>
                <w:color w:val="auto"/>
                <w:vertAlign w:val="superscript"/>
              </w:rPr>
              <w:t>(c)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bl>
    <w:p>
      <w:pPr>
        <w:spacing w:after="0" w:line="7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Asset impairment for the three months ended December 31, 2025 includes the write-down of our proved properties in the Sacramento basin.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general and administrative expenses allocated to our oil and natural gas segment.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and our Elk Hills power plant.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Production, Prices, and Realizations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Production Sold</w:t>
      </w:r>
    </w:p>
    <w:p>
      <w:pPr>
        <w:spacing w:after="0" w:line="250"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 following table presents our net production sold per day in each of the California basins in which we operate for the periods presented. The amounts in the production table below include volumes produced from operated and non-operated fields for each of the periods presented.</w:t>
      </w:r>
    </w:p>
    <w:p>
      <w:pPr>
        <w:spacing w:after="0" w:line="90"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Pr>
          <w:p>
            <w:pPr>
              <w:spacing w:after="0"/>
              <w:rPr>
                <w:sz w:val="18"/>
                <w:szCs w:val="18"/>
                <w:color w:val="auto"/>
              </w:rPr>
            </w:pPr>
          </w:p>
        </w:tc>
        <w:tc>
          <w:tcPr>
            <w:tcW w:w="130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904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2026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Oil (MBbl/d)</w:t>
            </w:r>
          </w:p>
        </w:tc>
        <w:tc>
          <w:tcPr>
            <w:tcW w:w="1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9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04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Uinta Basin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040" w:type="dxa"/>
            <w:vAlign w:val="bottom"/>
            <w:gridSpan w:val="2"/>
          </w:tcPr>
          <w:p>
            <w:pPr>
              <w:ind w:left="320"/>
              <w:spacing w:after="0"/>
              <w:rPr>
                <w:sz w:val="20"/>
                <w:szCs w:val="20"/>
                <w:color w:val="auto"/>
              </w:rPr>
            </w:pPr>
            <w:r>
              <w:rPr>
                <w:rFonts w:ascii="Arial" w:cs="Arial" w:eastAsia="Arial" w:hAnsi="Arial"/>
                <w:sz w:val="18"/>
                <w:szCs w:val="18"/>
                <w:color w:val="auto"/>
              </w:rPr>
              <w:t>Other Basins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NGLs (MBbl/d)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9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9040" w:type="dxa"/>
            <w:vAlign w:val="bottom"/>
            <w:gridSpan w:val="2"/>
          </w:tcPr>
          <w:p>
            <w:pPr>
              <w:ind w:left="320"/>
              <w:spacing w:after="0"/>
              <w:rPr>
                <w:sz w:val="20"/>
                <w:szCs w:val="20"/>
                <w:color w:val="auto"/>
              </w:rPr>
            </w:pPr>
            <w:r>
              <w:rPr>
                <w:rFonts w:ascii="Arial" w:cs="Arial" w:eastAsia="Arial" w:hAnsi="Arial"/>
                <w:sz w:val="18"/>
                <w:szCs w:val="18"/>
                <w:color w:val="auto"/>
              </w:rPr>
              <w:t>San Joaquin Basin</w:t>
            </w: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9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040" w:type="dxa"/>
            <w:vAlign w:val="bottom"/>
            <w:gridSpan w:val="2"/>
          </w:tcPr>
          <w:p>
            <w:pPr>
              <w:ind w:left="320"/>
              <w:spacing w:after="0"/>
              <w:rPr>
                <w:sz w:val="20"/>
                <w:szCs w:val="20"/>
                <w:color w:val="auto"/>
              </w:rPr>
            </w:pPr>
            <w:r>
              <w:rPr>
                <w:rFonts w:ascii="Arial" w:cs="Arial" w:eastAsia="Arial" w:hAnsi="Arial"/>
                <w:sz w:val="18"/>
                <w:szCs w:val="18"/>
                <w:color w:val="auto"/>
              </w:rPr>
              <w:t>Sacramento Basin</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Uinta Basin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040" w:type="dxa"/>
            <w:vAlign w:val="bottom"/>
            <w:gridSpan w:val="2"/>
          </w:tcPr>
          <w:p>
            <w:pPr>
              <w:ind w:left="320"/>
              <w:spacing w:after="0"/>
              <w:rPr>
                <w:sz w:val="20"/>
                <w:szCs w:val="20"/>
                <w:color w:val="auto"/>
              </w:rPr>
            </w:pPr>
            <w:r>
              <w:rPr>
                <w:rFonts w:ascii="Arial" w:cs="Arial" w:eastAsia="Arial" w:hAnsi="Arial"/>
                <w:sz w:val="18"/>
                <w:szCs w:val="18"/>
                <w:color w:val="auto"/>
              </w:rPr>
              <w:t>Other Basins</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7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57"/>
        </w:trPr>
        <w:tc>
          <w:tcPr>
            <w:tcW w:w="77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43"/>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Sold (MBoe/d)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Total average net production sold increased by 17 MBoe/d to 154 MBoe/d for the three months ended March 31, 2026 compared to 137 MBoe/d for the three months ended December 31, 2025. The increase included 19 MBoe/d related to the addition of the Berry properties. Excluding the impact of the Berry production, our net production decreased by 1 MBoe/d primarily as a result of natural decline, offset by development results. Additionally our production-sharing contracts (PSCs), which are described below, negatively impacted our net oil production by 1 MBoe/d in the three months ended March 31, 2026 compared to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Production-Sharing Contracts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w:t>
      </w:r>
    </w:p>
    <w:p>
      <w:pPr>
        <w:spacing w:after="0" w:line="20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The reporting of our PSCs creates a difference between reported operating costs, which are for the full field, and reported volumes, which are only our net share, inflating the per barrel operating costs. For further information on our production-sharing contracts,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1 &amp; 2 Business and Properties, Oil and Natural Gas Operations, Production, Price and Cost History </w:t>
      </w:r>
      <w:r>
        <w:rPr>
          <w:rFonts w:ascii="Arial" w:cs="Arial" w:eastAsia="Arial" w:hAnsi="Arial"/>
          <w:sz w:val="18"/>
          <w:szCs w:val="18"/>
          <w:color w:val="auto"/>
        </w:rPr>
        <w:t>in our 2025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Prices and Realizations</w:t>
      </w:r>
    </w:p>
    <w:p>
      <w:pPr>
        <w:spacing w:after="0" w:line="25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The following table sets forth the average realized prices and price realizations (as a percentage of average Brent, WTI and NYMEX Henry Hub, as applicable) for the commodities we sell in the periods presented: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March 31, 2026</w:t>
            </w:r>
          </w:p>
        </w:tc>
        <w:tc>
          <w:tcPr>
            <w:tcW w:w="320" w:type="dxa"/>
            <w:vAlign w:val="bottom"/>
          </w:tcPr>
          <w:p>
            <w:pPr>
              <w:spacing w:after="0"/>
              <w:rPr>
                <w:sz w:val="19"/>
                <w:szCs w:val="19"/>
                <w:color w:val="auto"/>
              </w:rPr>
            </w:pP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5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 per Bbl)</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Price</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Realization</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Price</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Realization</w:t>
            </w:r>
          </w:p>
        </w:tc>
        <w:tc>
          <w:tcPr>
            <w:tcW w:w="0" w:type="dxa"/>
            <w:vAlign w:val="bottom"/>
          </w:tcPr>
          <w:p>
            <w:pPr>
              <w:spacing w:after="0"/>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price without derivative settlements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 settlements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price with derivative settlements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5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price without derivative settlements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Realized price with derivative settlements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69.37</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64.27</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Natural Gas Liquids ($ per Bbl)</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price (% of Brent)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Realized price (% of WTI)</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44.98</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42.86</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56"/>
        </w:trPr>
        <w:tc>
          <w:tcPr>
            <w:tcW w:w="5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Natural gas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price ($/Mcf)</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110%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crude oil prices for the three months ended March 31, 2026 were volatile as market focus during the period shifted from a</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oversupply situation to shortages driven by the military conflict in the Middle East and escalating crude infrastructure damage in Russia. For the three months ended March 31, 2026, Brent crude oil prices averaged $77.90 per barrel which was higher than $63.08 for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0" w:name="page41"/>
    <w:bookmarkEnd w:id="40"/>
    <w:p>
      <w:pPr>
        <w:jc w:val="both"/>
        <w:ind w:right="300" w:firstLine="324"/>
        <w:spacing w:after="0" w:line="268"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Realizations on natural gas liquids during the three months ended March 31, 2026 decreased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2025 as propane inventories built despite seasonal demand. California NGLs maintained a material premium to the broader North American NGL market.</w:t>
      </w:r>
    </w:p>
    <w:p>
      <w:pPr>
        <w:spacing w:after="0" w:line="19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North American natural gas prices for the three months ended March 31, 2026 were generally higher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December 31, 2025 as the Eastern part of the country experienced unseasonably cold weather. California natural gas prices for the three months ended March 31, 2026 were lower than the three months ended December 31, 2025 as warmer-than-normal temperatures and an abundance of storage impacted prices.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Our Carbon Management Segment</w:t>
      </w:r>
    </w:p>
    <w:p>
      <w:pPr>
        <w:spacing w:after="0" w:line="252" w:lineRule="exact"/>
        <w:rPr>
          <w:sz w:val="20"/>
          <w:szCs w:val="20"/>
          <w:color w:val="auto"/>
        </w:rPr>
      </w:pPr>
    </w:p>
    <w:p>
      <w:pPr>
        <w:ind w:right="100" w:firstLine="324"/>
        <w:spacing w:after="0" w:line="227" w:lineRule="auto"/>
        <w:rPr>
          <w:sz w:val="20"/>
          <w:szCs w:val="20"/>
          <w:color w:val="auto"/>
        </w:rPr>
      </w:pPr>
      <w:r>
        <w:rPr>
          <w:rFonts w:ascii="Arial" w:cs="Arial" w:eastAsia="Arial" w:hAnsi="Arial"/>
          <w:sz w:val="18"/>
          <w:szCs w:val="18"/>
          <w:color w:val="auto"/>
        </w:rPr>
        <w:t>Our carbon management segment, which we refer to as Carbon TerraVault, primarily pursues the development of CCS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We recently completed construction of our first carbon capture project at our cryogenic gas processing facility and are preparing for first injection, subject to commissioning and final regulatory approval. We define carbon management expense to be our direct operating costs to run our carbon management segment.</w:t>
      </w:r>
    </w:p>
    <w:p>
      <w:pPr>
        <w:spacing w:after="0" w:line="22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following table includes results for our carbon management segment for the three months ended March 31, 2026 and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r>
      <w:tr>
        <w:trPr>
          <w:trHeight w:val="218"/>
        </w:trPr>
        <w:tc>
          <w:tcPr>
            <w:tcW w:w="78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860" w:type="dxa"/>
            <w:vAlign w:val="bottom"/>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r>
      <w:tr>
        <w:trPr>
          <w:trHeight w:val="233"/>
        </w:trPr>
        <w:tc>
          <w:tcPr>
            <w:tcW w:w="7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gridSpan w:val="3"/>
          </w:tcPr>
          <w:p>
            <w:pPr>
              <w:jc w:val="right"/>
              <w:ind w:right="77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0"/>
                <w:szCs w:val="20"/>
                <w:color w:val="auto"/>
              </w:rPr>
            </w:pPr>
          </w:p>
        </w:tc>
      </w:tr>
      <w:tr>
        <w:trPr>
          <w:trHeight w:val="23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Carbon management expenses</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general and administrative expenses</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7860" w:type="dxa"/>
            <w:vAlign w:val="bottom"/>
          </w:tcPr>
          <w:p>
            <w:pPr>
              <w:ind w:left="20"/>
              <w:spacing w:after="0"/>
              <w:rPr>
                <w:sz w:val="20"/>
                <w:szCs w:val="20"/>
                <w:color w:val="auto"/>
              </w:rPr>
            </w:pPr>
            <w:r>
              <w:rPr>
                <w:rFonts w:ascii="Arial" w:cs="Arial" w:eastAsia="Arial" w:hAnsi="Arial"/>
                <w:sz w:val="18"/>
                <w:szCs w:val="18"/>
                <w:color w:val="auto"/>
              </w:rPr>
              <w:t>Loss from investment in the Carbon TerraVault JV</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0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Carbon management expenses decreased for the three months ended March 31, 2026 compared to the three months ended December 31, 2025 as a result of lower easement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available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months ended March 31, 2026 were for capital investments and payment of dividends.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jc w:val="right"/>
              <w:ind w:right="87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Available cash and cash equivalents</w:t>
            </w:r>
            <w:r>
              <w:rPr>
                <w:rFonts w:ascii="Arial" w:cs="Arial" w:eastAsia="Arial" w:hAnsi="Arial"/>
                <w:sz w:val="23"/>
                <w:szCs w:val="23"/>
                <w:color w:val="auto"/>
                <w:vertAlign w:val="superscript"/>
              </w:rPr>
              <w:t>(a)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Revolver balance drawn</w:t>
            </w:r>
          </w:p>
        </w:tc>
        <w:tc>
          <w:tcPr>
            <w:tcW w:w="4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8600" w:type="dxa"/>
            <w:vAlign w:val="bottom"/>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57"/>
        </w:trPr>
        <w:tc>
          <w:tcPr>
            <w:tcW w:w="86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00" w:type="dxa"/>
            <w:vAlign w:val="bottom"/>
          </w:tcPr>
          <w:p>
            <w:pPr>
              <w:ind w:left="300"/>
              <w:spacing w:after="0"/>
              <w:rPr>
                <w:sz w:val="20"/>
                <w:szCs w:val="20"/>
                <w:color w:val="auto"/>
              </w:rPr>
            </w:pPr>
            <w:r>
              <w:rPr>
                <w:rFonts w:ascii="Arial" w:cs="Arial" w:eastAsia="Arial" w:hAnsi="Arial"/>
                <w:sz w:val="18"/>
                <w:szCs w:val="18"/>
                <w:b w:val="1"/>
                <w:bCs w:val="1"/>
                <w:color w:val="auto"/>
              </w:rPr>
              <w:t>Liquidity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4"/>
                <w:szCs w:val="14"/>
                <w:color w:val="auto"/>
              </w:rPr>
              <w:t>(a)  Excludes restricted cash of $15 million.</w:t>
            </w: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860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current commodity prices and based upon our planned 2026 capital program described below, we expect to generate operating cash flow to return cash to shareholders through dividends. We regularly review our financial position and evaluate whether to (i) adjust our drilling program, (ii) return available cash to shareholders through dividends or share repurchases to the extent permitted under our Revolving Credit Facility, our 8.25% senior notes due 2029 (2029 Senior Notes), and our 7.00% senior notes due 2034 (2034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 xml:space="preserve">On April 14, 2026, the borrowing base under our Revolving Credit Facility was reaffirmed at $1.5 billion and we entered into an amendment to the Revolving Credit Facility. For more information, see </w:t>
      </w:r>
      <w:r>
        <w:rPr>
          <w:rFonts w:ascii="Arial" w:cs="Arial" w:eastAsia="Arial" w:hAnsi="Arial"/>
          <w:sz w:val="18"/>
          <w:szCs w:val="18"/>
          <w:i w:val="1"/>
          <w:iCs w:val="1"/>
          <w:color w:val="auto"/>
        </w:rPr>
        <w:t>Part I, Item 1 – Financial Statements, Note 15 Subsequent Events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Senior Notes</w:t>
      </w:r>
    </w:p>
    <w:p>
      <w:pPr>
        <w:spacing w:after="0" w:line="25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 xml:space="preserve">In March 2026, we redeemed $350 million in face value of 2029 Senior Notes from the proceeds of an offering of additional 2034 Senior Notes. See </w:t>
      </w:r>
      <w:r>
        <w:rPr>
          <w:rFonts w:ascii="Arial" w:cs="Arial" w:eastAsia="Arial" w:hAnsi="Arial"/>
          <w:sz w:val="18"/>
          <w:szCs w:val="18"/>
          <w:i w:val="1"/>
          <w:iCs w:val="1"/>
          <w:color w:val="auto"/>
        </w:rPr>
        <w:t>Part I, Item 1 – Financial Statements, Note 4 Debt</w:t>
      </w:r>
      <w:r>
        <w:rPr>
          <w:rFonts w:ascii="Arial" w:cs="Arial" w:eastAsia="Arial" w:hAnsi="Arial"/>
          <w:sz w:val="18"/>
          <w:szCs w:val="18"/>
          <w:color w:val="auto"/>
        </w:rPr>
        <w:t xml:space="preserve"> for more information</w:t>
      </w:r>
      <w:r>
        <w:rPr>
          <w:rFonts w:ascii="Arial" w:cs="Arial" w:eastAsia="Arial" w:hAnsi="Arial"/>
          <w:sz w:val="18"/>
          <w:szCs w:val="18"/>
          <w:i w:val="1"/>
          <w:iCs w:val="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2034 Senior Notes</w:t>
      </w:r>
    </w:p>
    <w:p>
      <w:pPr>
        <w:spacing w:after="0" w:line="25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 xml:space="preserve">In March 2026, we completed an offering of $350 million of additional 2034 Senior Notes. See </w:t>
      </w:r>
      <w:r>
        <w:rPr>
          <w:rFonts w:ascii="Arial" w:cs="Arial" w:eastAsia="Arial" w:hAnsi="Arial"/>
          <w:sz w:val="18"/>
          <w:szCs w:val="18"/>
          <w:i w:val="1"/>
          <w:iCs w:val="1"/>
          <w:color w:val="auto"/>
        </w:rPr>
        <w:t>Part I, Item 1 – Financial Statements, 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4 Debt </w:t>
      </w:r>
      <w:r>
        <w:rPr>
          <w:rFonts w:ascii="Arial" w:cs="Arial" w:eastAsia="Arial" w:hAnsi="Arial"/>
          <w:sz w:val="18"/>
          <w:szCs w:val="18"/>
          <w:color w:val="auto"/>
        </w:rPr>
        <w:t>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9 Stockholders' Equity</w:t>
      </w:r>
      <w:r>
        <w:rPr>
          <w:rFonts w:ascii="Arial" w:cs="Arial" w:eastAsia="Arial" w:hAnsi="Arial"/>
          <w:sz w:val="18"/>
          <w:szCs w:val="18"/>
          <w:color w:val="auto"/>
        </w:rPr>
        <w:t xml:space="preserve"> for more information on our Share Repurchase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15 Subsequent Events</w:t>
      </w:r>
      <w:r>
        <w:rPr>
          <w:rFonts w:ascii="Arial" w:cs="Arial" w:eastAsia="Arial" w:hAnsi="Arial"/>
          <w:sz w:val="18"/>
          <w:szCs w:val="18"/>
          <w:color w:val="auto"/>
        </w:rPr>
        <w:t xml:space="preserve"> for information on a dividend declared in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Capital Program</w:t>
      </w:r>
    </w:p>
    <w:p>
      <w:pPr>
        <w:spacing w:after="0" w:line="2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entered 2026 with a capital program of $430 million to $470 million and have revised our 2026 capital program to a range of $520 million to $560 million. Of this amount, $500 million to $525 million is related to our oil and natural gas segment, $ 12 million to $20 million is for our carbon management segment and $8 million to $15 million is for corporate and other activities. The above amounts related to carbon management projects do not include amounts funded by Brookfield through the Carbon TerraVault JV, such as drilling injection and monitoring wells at our 26R reservoir.</w:t>
      </w:r>
    </w:p>
    <w:p>
      <w:pPr>
        <w:spacing w:after="0" w:line="206"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With respect to oil and natural gas development, we expect to increase to a seven rig program in the second half of 2026, which includes 6 rigs in California and 1 rig in Utah. We currently hold sufficient permits to support a seven rig program in the second half of 2026.</w:t>
      </w:r>
    </w:p>
    <w:p>
      <w:pPr>
        <w:spacing w:after="0" w:line="180"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56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2026 Full Year Estimate</w:t>
            </w:r>
          </w:p>
        </w:tc>
        <w:tc>
          <w:tcPr>
            <w:tcW w:w="340" w:type="dxa"/>
            <w:vAlign w:val="bottom"/>
          </w:tcPr>
          <w:p>
            <w:pPr>
              <w:spacing w:after="0"/>
              <w:rPr>
                <w:sz w:val="17"/>
                <w:szCs w:val="17"/>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1"/>
                <w:szCs w:val="21"/>
                <w:color w:val="auto"/>
              </w:rPr>
            </w:pPr>
          </w:p>
        </w:tc>
        <w:tc>
          <w:tcPr>
            <w:tcW w:w="2560" w:type="dxa"/>
            <w:vAlign w:val="bottom"/>
            <w:tcBorders>
              <w:bottom w:val="single" w:sz="8" w:color="auto"/>
            </w:tcBorders>
            <w:gridSpan w:val="3"/>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segment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 $525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Carbon management segment</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jc w:val="right"/>
              <w:spacing w:after="0"/>
              <w:rPr>
                <w:sz w:val="20"/>
                <w:szCs w:val="20"/>
                <w:color w:val="auto"/>
              </w:rPr>
            </w:pPr>
            <w:r>
              <w:rPr>
                <w:rFonts w:ascii="Arial" w:cs="Arial" w:eastAsia="Arial" w:hAnsi="Arial"/>
                <w:sz w:val="18"/>
                <w:szCs w:val="18"/>
                <w:color w:val="auto"/>
              </w:rPr>
              <w:t>- $20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Total Capital</w:t>
            </w: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$520 - $560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oil prices negatively affect our operating cash flow, and the inverse applies during periods of rising oil prices. Our hedging strategy seeks to mitigate our exposure to commodity price volatility and ensure our financial strength and liquidity by protecting our cash flows. We will continue to evaluate our hedging strategy based on prevailing market prices and conditions.</w:t>
      </w:r>
    </w:p>
    <w:p>
      <w:pPr>
        <w:spacing w:after="0" w:line="2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March 31, 2026.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6 Derivatives </w:t>
      </w:r>
      <w:r>
        <w:rPr>
          <w:rFonts w:ascii="Arial" w:cs="Arial" w:eastAsia="Arial" w:hAnsi="Arial"/>
          <w:sz w:val="18"/>
          <w:szCs w:val="18"/>
          <w:color w:val="auto"/>
        </w:rPr>
        <w:t>for further information on our derivatives and a summary of our open derivative contracts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2026 and </w:t>
      </w:r>
      <w:r>
        <w:rPr>
          <w:rFonts w:ascii="Arial" w:cs="Arial" w:eastAsia="Arial" w:hAnsi="Arial"/>
          <w:sz w:val="18"/>
          <w:szCs w:val="18"/>
          <w:i w:val="1"/>
          <w:iCs w:val="1"/>
          <w:color w:val="auto"/>
        </w:rPr>
        <w:t>Part II, Item 8 – Financial Statements and Supplementary Data, Note 5 Debt</w:t>
      </w:r>
      <w:r>
        <w:rPr>
          <w:rFonts w:ascii="Arial" w:cs="Arial" w:eastAsia="Arial" w:hAnsi="Arial"/>
          <w:sz w:val="18"/>
          <w:szCs w:val="18"/>
          <w:color w:val="auto"/>
        </w:rPr>
        <w:t xml:space="preserve"> in our 2025 Annual Report for information on the hedging requirements included in our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 For the three months ended March 31, 2026, our operating cash flow decreased by $87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$99 million from $186 million in the same period in 2025. This decrease in operating cash flow was primarily driven by changes in working capital.</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Oil production during the three months ended March 31, 2026 as compared to the same period in 2025 increased 13 MBbl/d from 111 MBbl/d to 124 MBbl/d as a result of the Berry Merger. Revenue increased as a result of the increases in production from the Berry Merger offset by lower average realized prices after derivative settlements. Average realized prices after derivative settlements for oil decreased by $2.64 per barrel to $69.37 in the three months ended March 31, 2026 from $72.01 in the same prior year period. Our derivative settlements and premiums paid for the three months ended March 31, 2026 were $68 million, which was an increase of $40 million from $ 28 million in the same prior year period. Further, as a result of the Berry Merger, we experienced higher operating costs, employee costs, well abandonment costs, production taxes and greenhouse gas taxes during the three months ended March 31, 2026 as compared to the same prior year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months ended</w:t>
      </w:r>
    </w:p>
    <w:p>
      <w:pPr>
        <w:jc w:val="center"/>
        <w:ind w:left="7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33"/>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Distribution from unconsolidated subsidiary</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Cash flows used in financing activities </w:t>
      </w:r>
      <w:r>
        <w:rPr>
          <w:rFonts w:ascii="Arial" w:cs="Arial" w:eastAsia="Arial" w:hAnsi="Arial"/>
          <w:sz w:val="17"/>
          <w:szCs w:val="17"/>
          <w:color w:val="auto"/>
        </w:rPr>
        <w:t>— The following table provides a comparative summary of net cash used in financing activities:</w:t>
      </w:r>
    </w:p>
    <w:p>
      <w:pPr>
        <w:spacing w:after="0" w:line="291"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months ended</w:t>
      </w:r>
    </w:p>
    <w:p>
      <w:pPr>
        <w:jc w:val="center"/>
        <w:ind w:left="7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r>
      <w:tr>
        <w:trPr>
          <w:trHeight w:val="233"/>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Repayments of Revolving Credit Facility</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2034 Senior Notes, net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Repurchases of common stock</w:t>
            </w:r>
            <w:r>
              <w:rPr>
                <w:rFonts w:ascii="Arial" w:cs="Arial" w:eastAsia="Arial" w:hAnsi="Arial"/>
                <w:sz w:val="23"/>
                <w:szCs w:val="23"/>
                <w:color w:val="auto"/>
                <w:vertAlign w:val="superscript"/>
              </w:rPr>
              <w:t>(a)</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dividends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Dividend equivalents on equity-settled awards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Debt redemption</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cancelled for taxes</w:t>
            </w: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bl>
    <w:p>
      <w:pPr>
        <w:spacing w:after="0" w:line="72" w:lineRule="exact"/>
        <w:rPr>
          <w:sz w:val="20"/>
          <w:szCs w:val="20"/>
          <w:color w:val="auto"/>
        </w:rPr>
      </w:pPr>
    </w:p>
    <w:p>
      <w:pPr>
        <w:ind w:left="340" w:right="660" w:hanging="332"/>
        <w:spacing w:after="0" w:line="305"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Note: The total value of shares purchased includes excise taxes, which are generally paid in the year following the share repurchase. Commissions paid on share repurchases were not significant in all periods presented.</w:t>
      </w:r>
    </w:p>
    <w:p>
      <w:pPr>
        <w:spacing w:after="0" w:line="17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For the three months ended March 31, 2026, our cash flow used in financing activities was $55 million compared to $ 265 million in the same period in 2025. In the three months ended March 31, 2026, we completed an add-on to our 2034 Senior Notes and redeemed $350 million in face value of our 2029 Senior Notes. In the three months ended March 31, 2025, we repurchased $101 million of our common stock and redeemed $123 million of our 2026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5 Lawsuits, Claims, Commitments and Contingencies</w:t>
      </w:r>
      <w:r>
        <w:rPr>
          <w:rFonts w:ascii="Arial" w:cs="Arial" w:eastAsia="Arial" w:hAnsi="Arial"/>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2025 Annual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ind w:left="660" w:right="569"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commodity prices, including supply and demand considerations for our products and services, and the impact of such fluctuations on revenues and operating expenses;</w:t>
      </w:r>
    </w:p>
    <w:p>
      <w:pPr>
        <w:spacing w:after="0" w:line="2" w:lineRule="exact"/>
        <w:rPr>
          <w:rFonts w:ascii="Arial" w:cs="Arial" w:eastAsia="Arial" w:hAnsi="Arial"/>
          <w:sz w:val="18"/>
          <w:szCs w:val="18"/>
          <w:color w:val="auto"/>
        </w:rPr>
      </w:pPr>
    </w:p>
    <w:p>
      <w:pPr>
        <w:ind w:left="660" w:right="889"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decisions as to production levels and/or pricing by OPEC+ or U.S. producers in future periods;</w:t>
      </w:r>
    </w:p>
    <w:p>
      <w:pPr>
        <w:ind w:left="660" w:right="469"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government policy, war and political conditions and events, including the military conflicts in Israel and Ukraine and geopolitical uncertainty in the Middle East, including the current conflict in Iran, and Venezuela;</w:t>
      </w:r>
    </w:p>
    <w:p>
      <w:pPr>
        <w:ind w:left="660" w:right="369"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successfully execute integration efforts in connection with the Berry Merger, and achieve projected synergies and ensure that such synergies are sustainable;</w:t>
      </w:r>
    </w:p>
    <w:p>
      <w:pPr>
        <w:spacing w:after="0" w:line="1" w:lineRule="exact"/>
        <w:rPr>
          <w:rFonts w:ascii="Arial" w:cs="Arial" w:eastAsia="Arial" w:hAnsi="Arial"/>
          <w:sz w:val="18"/>
          <w:szCs w:val="18"/>
          <w:color w:val="auto"/>
        </w:rPr>
      </w:pPr>
    </w:p>
    <w:p>
      <w:pPr>
        <w:ind w:left="660" w:right="309"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spacing w:after="0" w:line="3"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refinery closures and reductions in pipeline transportation capacity;</w:t>
      </w:r>
    </w:p>
    <w:p>
      <w:pPr>
        <w:ind w:left="660" w:right="549"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timing and resumption of the issuance of well permits following the enactment of SB 237;</w:t>
      </w:r>
    </w:p>
    <w:p>
      <w:pPr>
        <w:ind w:left="660" w:right="369" w:hanging="328"/>
        <w:spacing w:after="0" w:line="280"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efforts of activists to delay or prevent oil and gas activities or the development of our carbon management segment through a variety of tactics, including litigation;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100" w:hanging="331"/>
        <w:spacing w:after="0" w:line="257"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inflation, tariffs and changes in domestic or global trade policies on future expenses and changes generally in the prices of goods and services;</w:t>
      </w:r>
    </w:p>
    <w:p>
      <w:pPr>
        <w:spacing w:after="0" w:line="1" w:lineRule="exact"/>
        <w:rPr>
          <w:rFonts w:ascii="Arial" w:cs="Arial" w:eastAsia="Arial" w:hAnsi="Arial"/>
          <w:sz w:val="18"/>
          <w:szCs w:val="18"/>
          <w:color w:val="auto"/>
        </w:rPr>
      </w:pPr>
    </w:p>
    <w:p>
      <w:pPr>
        <w:jc w:val="both"/>
        <w:ind w:left="331" w:right="60" w:hanging="331"/>
        <w:spacing w:after="0" w:line="265" w:lineRule="auto"/>
        <w:tabs>
          <w:tab w:leader="none" w:pos="3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business strategy and the ability and financial resources to execute our capital plan in a timely manner;</w:t>
      </w:r>
    </w:p>
    <w:p>
      <w:pPr>
        <w:ind w:left="331" w:right="12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lower-than-expected production or higher-than-expected production decline rates;</w:t>
      </w:r>
    </w:p>
    <w:p>
      <w:pPr>
        <w:ind w:left="331" w:right="6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331" w:right="38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18"/>
          <w:szCs w:val="18"/>
          <w:color w:val="auto"/>
        </w:rPr>
      </w:pPr>
    </w:p>
    <w:p>
      <w:pPr>
        <w:ind w:left="331" w:right="22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36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available equipment, service or labor price inflation;</w:t>
      </w:r>
    </w:p>
    <w:p>
      <w:pPr>
        <w:ind w:left="331" w:right="18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11" w:hanging="311"/>
        <w:spacing w:after="0"/>
        <w:tabs>
          <w:tab w:leader="none" w:pos="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of risk management;</w:t>
      </w:r>
    </w:p>
    <w:p>
      <w:pPr>
        <w:spacing w:after="0" w:line="9"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from operations and competition in the industries in which we operate;</w:t>
      </w:r>
    </w:p>
    <w:p>
      <w:pPr>
        <w:ind w:left="331" w:right="12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prior or future efforts to reduce costs;</w:t>
      </w:r>
    </w:p>
    <w:p>
      <w:pPr>
        <w:ind w:left="331" w:right="200" w:hanging="331"/>
        <w:spacing w:after="0" w:line="250"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spacing w:after="0" w:line="1" w:lineRule="exact"/>
        <w:rPr>
          <w:rFonts w:ascii="Arial" w:cs="Arial" w:eastAsia="Arial" w:hAnsi="Arial"/>
          <w:sz w:val="18"/>
          <w:szCs w:val="18"/>
          <w:color w:val="auto"/>
        </w:rPr>
      </w:pPr>
    </w:p>
    <w:p>
      <w:pPr>
        <w:ind w:left="331" w:right="180" w:hanging="331"/>
        <w:spacing w:after="0" w:line="265" w:lineRule="auto"/>
        <w:tabs>
          <w:tab w:leader="none" w:pos="3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ind w:left="311" w:hanging="311"/>
        <w:spacing w:after="0"/>
        <w:tabs>
          <w:tab w:leader="none" w:pos="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reorganization or restructuring of our operations;</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45" w:name="page46"/>
    <w:bookmarkEnd w:id="45"/>
    <w:p>
      <w:pPr>
        <w:ind w:left="660" w:right="1009"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claim and utilize tax credits or other incentives in connection with our CCS projects;</w:t>
      </w:r>
    </w:p>
    <w:p>
      <w:pPr>
        <w:spacing w:after="0" w:line="1" w:lineRule="exact"/>
        <w:rPr>
          <w:rFonts w:ascii="Arial" w:cs="Arial" w:eastAsia="Arial" w:hAnsi="Arial"/>
          <w:sz w:val="18"/>
          <w:szCs w:val="18"/>
          <w:color w:val="auto"/>
        </w:rPr>
      </w:pPr>
    </w:p>
    <w:p>
      <w:pPr>
        <w:ind w:left="660" w:right="30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1" w:lineRule="exact"/>
        <w:rPr>
          <w:rFonts w:ascii="Arial" w:cs="Arial" w:eastAsia="Arial" w:hAnsi="Arial"/>
          <w:sz w:val="18"/>
          <w:szCs w:val="18"/>
          <w:color w:val="auto"/>
        </w:rPr>
      </w:pPr>
    </w:p>
    <w:p>
      <w:pPr>
        <w:ind w:left="660" w:right="34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power projects and other renewable energy efforts, including those in connection with the Carbon TerraVault JV, and our ability to convert our MOUs and CDMAs to definitive agreements and enter into other offtake agreements;</w:t>
      </w:r>
    </w:p>
    <w:p>
      <w:pPr>
        <w:spacing w:after="0" w:line="2"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and develop our carbon management segment and achieve projected injection and storage rates;</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18"/>
          <w:szCs w:val="18"/>
          <w:color w:val="auto"/>
        </w:rPr>
      </w:pPr>
    </w:p>
    <w:p>
      <w:pPr>
        <w:ind w:left="660" w:right="42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18"/>
          <w:szCs w:val="18"/>
          <w:color w:val="auto"/>
        </w:rPr>
      </w:pPr>
    </w:p>
    <w:p>
      <w:pPr>
        <w:jc w:val="both"/>
        <w:ind w:left="660" w:right="58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9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and return capital to shareholders;</w:t>
      </w:r>
    </w:p>
    <w:p>
      <w:pPr>
        <w:spacing w:after="0" w:line="20" w:lineRule="exact"/>
        <w:rPr>
          <w:sz w:val="20"/>
          <w:szCs w:val="20"/>
          <w:color w:val="auto"/>
        </w:rPr>
      </w:pPr>
      <w:r>
        <w:rPr>
          <w:sz w:val="20"/>
          <w:szCs w:val="20"/>
          <w:color w:val="auto"/>
        </w:rPr>
        <w:br w:type="column"/>
      </w:r>
    </w:p>
    <w:p>
      <w:pPr>
        <w:ind w:left="311" w:hanging="311"/>
        <w:spacing w:after="0"/>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7" w:lineRule="exact"/>
        <w:rPr>
          <w:rFonts w:ascii="Arial" w:cs="Arial" w:eastAsia="Arial" w:hAnsi="Arial"/>
          <w:sz w:val="18"/>
          <w:szCs w:val="18"/>
          <w:color w:val="auto"/>
        </w:rPr>
      </w:pPr>
    </w:p>
    <w:p>
      <w:pPr>
        <w:ind w:left="331" w:right="300" w:hanging="331"/>
        <w:spacing w:after="0" w:line="250"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access to and the terms of credit in commercial banking and capital markets, including our ability to refinance our debt or obtain separate financing for our carbon management segment;</w:t>
      </w:r>
    </w:p>
    <w:p>
      <w:pPr>
        <w:spacing w:after="0" w:line="1" w:lineRule="exact"/>
        <w:rPr>
          <w:rFonts w:ascii="Arial" w:cs="Arial" w:eastAsia="Arial" w:hAnsi="Arial"/>
          <w:sz w:val="18"/>
          <w:szCs w:val="18"/>
          <w:color w:val="auto"/>
        </w:rPr>
      </w:pPr>
    </w:p>
    <w:p>
      <w:pPr>
        <w:jc w:val="both"/>
        <w:ind w:left="331" w:right="500" w:hanging="331"/>
        <w:spacing w:after="0" w:line="265" w:lineRule="auto"/>
        <w:tabs>
          <w:tab w:leader="none" w:pos="3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ind w:left="311" w:hanging="311"/>
        <w:spacing w:after="0"/>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1" w:right="440" w:hanging="331"/>
        <w:spacing w:after="0" w:line="250"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331" w:right="380" w:hanging="331"/>
        <w:spacing w:after="0" w:line="265" w:lineRule="auto"/>
        <w:tabs>
          <w:tab w:leader="none" w:pos="3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ind w:left="331" w:right="220" w:hanging="331"/>
        <w:spacing w:after="0" w:line="250"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ind w:left="311" w:hanging="311"/>
        <w:spacing w:after="0"/>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unknown liabilities; and</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475" w:lineRule="exact"/>
        <w:rPr>
          <w:sz w:val="20"/>
          <w:szCs w:val="20"/>
          <w:color w:val="auto"/>
        </w:rPr>
      </w:pPr>
    </w:p>
    <w:p>
      <w:pPr>
        <w:sectPr>
          <w:pgSz w:w="11900" w:h="16838" w:orient="portrait"/>
          <w:cols w:equalWidth="0" w:num="2">
            <w:col w:w="5509" w:space="720"/>
            <w:col w:w="4911"/>
          </w:cols>
          <w:pgMar w:left="320" w:top="890" w:right="439" w:bottom="1440" w:gutter="0" w:footer="0" w:header="0"/>
        </w:sectPr>
      </w:pPr>
    </w:p>
    <w:p>
      <w:pPr>
        <w:spacing w:after="0" w:line="24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 xml:space="preserve">For the three months ended March 31, 2026,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2025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results are sensitive to fluctuations in oil, NGL and natural gas prices. Increases in commodity prices generally result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higher revenues from commodity sales, while increases in natural gas prices also result in higher operating costs. These commodity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also impact the volume changes under our PSCs. We maintain a commodity hedging program focused on hedging crude oil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natural gas purchases to help protect our cash flows, margins and capital program from the volatility of commodity prices.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2026, we had a net liability of $582 million for our commodity derivative positions which are carried at fair value. We estimate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$10/bbl increase in Brent oil forward prices could increase our settlement payments by $195 million in 2026, limiting our upside.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 that a $10/bbl decrease in Brent oil forward prices could decrease our settlement payments by $152 million in 2026, negating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downside price movement for hedged volumes.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46" w:name="page47"/>
    <w:bookmarkEnd w:id="46"/>
    <w:p>
      <w:pPr>
        <w:ind w:right="100" w:firstLine="324"/>
        <w:spacing w:after="0" w:line="268" w:lineRule="auto"/>
        <w:rPr>
          <w:sz w:val="20"/>
          <w:szCs w:val="20"/>
          <w:color w:val="auto"/>
        </w:rPr>
      </w:pPr>
      <w:r>
        <w:rPr>
          <w:rFonts w:ascii="Arial" w:cs="Arial" w:eastAsia="Arial" w:hAnsi="Arial"/>
          <w:sz w:val="18"/>
          <w:szCs w:val="18"/>
          <w:color w:val="auto"/>
        </w:rPr>
        <w:t>As of March 31, 2026, we have hedges on approximately 65% of our expected oil production for the remainder of 2026 at a weighted average floor price of $64.99. As of March 31, 2026, our hedges for purchased natural gas approximate 61% of our expected fuel use in oil and natural gas operations for the remainder of 2026 at a fixed price of $4.00.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more information on our derivative positions as of March 31, 2026, refer to </w:t>
      </w:r>
      <w:r>
        <w:rPr>
          <w:rFonts w:ascii="Arial" w:cs="Arial" w:eastAsia="Arial" w:hAnsi="Arial"/>
          <w:sz w:val="17"/>
          <w:szCs w:val="17"/>
          <w:i w:val="1"/>
          <w:iCs w:val="1"/>
          <w:color w:val="auto"/>
        </w:rPr>
        <w:t>Part I, Item 1 – Financial Statements, Note 6 Derivatives.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March 31, 2026, the majority of our credit exposure was with investment-grade counterparties. We believe exposure to counterparty credit-related losses related to our business at March 31, 2026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Changes in interest rates may affect the amount of interest we pay on our long-term debt. We had $25 million of variable-rate debt outstanding as of March 31, 2026. Our 2029 Senior Notes bear interest at a fixed rate of 8.250% per annum. Our 2034 Senior Notes bear interest at a fixed rate of 7.000% per annum.</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March 31, 2026.</w:t>
      </w:r>
    </w:p>
    <w:p>
      <w:pPr>
        <w:spacing w:after="0" w:line="20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March 31, 2026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47" w:name="page48"/>
    <w:bookmarkEnd w:id="47"/>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5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2025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right="48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2025 Annual Report. There were no material changes to those risk factors during the three months ended March 31, 2026.</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$1.78 billion of our common stock through December 31, 2027. The repurchases may be effected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either retired or held as treasury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March 31, 2026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2026 - January 31, 2026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February 1, 2026 - February 28, 2026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2026 - March 31, 2026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total value of shares that may yet be purchased under the Share Repurchase Program totaled $600 million as of March 31, 2026.</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On March 5, 2026 Jay A. Bys, our Executive Vice President and Chief Commercial Officer, entered into a Rule 10b5-1 trading arrangement intended to satisfy the affirmative defense of Rule 10b5-1(c). The trading arrangement will be in effect from June 4, 2026 and expires November 30, 2026, but may be terminated at an earlier date in accordance with the terms of the arrangement. An aggregate of up to 35,721 shares may be sold pursuant to this trading arrangement.</w:t>
      </w:r>
    </w:p>
    <w:p>
      <w:pPr>
        <w:spacing w:after="0" w:line="20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During the three months ended March 31, 2026, no other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left="20" w:hanging="17"/>
        <w:spacing w:after="0" w:line="484" w:lineRule="auto"/>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color w:val="auto"/>
        </w:rPr>
        <w:t>2.1**</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158" w:lineRule="exact"/>
        <w:rPr>
          <w:sz w:val="20"/>
          <w:szCs w:val="20"/>
          <w:color w:val="auto"/>
        </w:rPr>
      </w:pPr>
    </w:p>
    <w:p>
      <w:pPr>
        <w:ind w:left="160" w:right="480"/>
        <w:spacing w:after="0" w:line="253"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Agreement and Plan of Merger, dated September 14, 2025, by and among California Resources Corporation, Berry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Corporation (bry) and Dornoch Merger Sub, LLC (filed as Exhibit 2.1 to Registrant's Current Report on Form 8-K filed on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September 17, 2025 and incorporated herein by reference).</w:t>
        </w:r>
      </w:hyperlink>
    </w:p>
    <w:p>
      <w:pPr>
        <w:spacing w:after="0" w:line="74" w:lineRule="exact"/>
        <w:rPr>
          <w:rFonts w:ascii="Arial" w:cs="Arial" w:eastAsia="Arial" w:hAnsi="Arial"/>
          <w:sz w:val="18"/>
          <w:szCs w:val="18"/>
          <w:u w:val="single" w:color="auto"/>
          <w:color w:val="0000FF"/>
        </w:rPr>
      </w:pPr>
    </w:p>
    <w:p>
      <w:pPr>
        <w:ind w:left="160" w:right="300"/>
        <w:spacing w:after="0" w:line="271"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Registration Statement on Form 8-A filed October 27, 2020 and incorporated herein by reference).</w:t>
        </w:r>
      </w:hyperlink>
    </w:p>
    <w:p>
      <w:pPr>
        <w:spacing w:after="0" w:line="59" w:lineRule="exact"/>
        <w:rPr>
          <w:sz w:val="20"/>
          <w:szCs w:val="20"/>
          <w:color w:val="auto"/>
        </w:rPr>
      </w:pPr>
    </w:p>
    <w:p>
      <w:pPr>
        <w:ind w:left="160" w:right="100"/>
        <w:spacing w:after="0" w:line="271"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Certificate of Amendment of Amended and Restated Certificate of Incorporation of California Resources Corporation (filed as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Exhibit 3.1 to Registrant's Current Report on Form 8-K filed on May 6, 2022 and incorporated herein by reference).</w:t>
        </w:r>
      </w:hyperlink>
    </w:p>
    <w:p>
      <w:pPr>
        <w:spacing w:after="0" w:line="59" w:lineRule="exact"/>
        <w:rPr>
          <w:sz w:val="20"/>
          <w:szCs w:val="20"/>
          <w:color w:val="auto"/>
        </w:rPr>
      </w:pPr>
    </w:p>
    <w:p>
      <w:pPr>
        <w:ind w:left="160" w:right="100"/>
        <w:spacing w:after="0" w:line="271"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Certificate of Amendment of Amended and Restated Certificate of Incorporation of California Resources Corporation (filed as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Exhibit 3.1 to Registrant's Current Report on Form 8-K filed on May 1, 2023 and incorporated herein by reference).</w:t>
        </w:r>
      </w:hyperlink>
    </w:p>
    <w:p>
      <w:pPr>
        <w:spacing w:after="0" w:line="59" w:lineRule="exact"/>
        <w:rPr>
          <w:sz w:val="20"/>
          <w:szCs w:val="20"/>
          <w:color w:val="auto"/>
        </w:rPr>
      </w:pPr>
    </w:p>
    <w:p>
      <w:pPr>
        <w:ind w:left="160" w:right="520"/>
        <w:spacing w:after="0" w:line="271" w:lineRule="auto"/>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Amended and Restated Bylaws of California Resources Corporation (filed as Exhibit 3.2 to the Registrant’s Registration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Statement on Form 8-A filed October 27, 2020 and incorporated herein by reference).</w:t>
        </w:r>
      </w:hyperlink>
    </w:p>
    <w:p>
      <w:pPr>
        <w:spacing w:after="0" w:line="46" w:lineRule="exact"/>
        <w:rPr>
          <w:sz w:val="20"/>
          <w:szCs w:val="20"/>
          <w:color w:val="auto"/>
        </w:rPr>
      </w:pPr>
    </w:p>
    <w:p>
      <w:pPr>
        <w:ind w:left="160" w:right="240"/>
        <w:spacing w:after="0"/>
        <w:rPr>
          <w:sz w:val="20"/>
          <w:szCs w:val="20"/>
          <w:color w:val="auto"/>
        </w:rPr>
      </w:pPr>
      <w:r>
        <w:rPr>
          <w:rFonts w:ascii="Arial" w:cs="Arial" w:eastAsia="Arial" w:hAnsi="Arial"/>
          <w:sz w:val="18"/>
          <w:szCs w:val="18"/>
          <w:u w:val="single" w:color="auto"/>
          <w:color w:val="0000FF"/>
        </w:rPr>
        <w:t>Third Supplemental Indenture to the 2029 Notes Indenture, dated as of January 16, 2026, by and among the Company, the Guarantors and the Trustee.</w:t>
      </w:r>
    </w:p>
    <w:p>
      <w:pPr>
        <w:spacing w:after="0" w:line="46" w:lineRule="exact"/>
        <w:rPr>
          <w:sz w:val="20"/>
          <w:szCs w:val="20"/>
          <w:color w:val="auto"/>
        </w:rPr>
      </w:pPr>
    </w:p>
    <w:p>
      <w:pPr>
        <w:sectPr>
          <w:pgSz w:w="11900" w:h="16838" w:orient="portrait"/>
          <w:cols w:equalWidth="0" w:num="2">
            <w:col w:w="520" w:space="440"/>
            <w:col w:w="10180"/>
          </w:cols>
          <w:pgMar w:left="320" w:top="890" w:right="439" w:bottom="1440" w:gutter="0" w:footer="0" w:header="0"/>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4.2</w:t>
            </w:r>
          </w:p>
        </w:tc>
        <w:tc>
          <w:tcPr>
            <w:tcW w:w="9720" w:type="dxa"/>
            <w:vAlign w:val="bottom"/>
            <w:tcBorders>
              <w:bottom w:val="single" w:sz="8" w:color="0000FF"/>
            </w:tcBorders>
            <w:gridSpan w:val="6"/>
          </w:tcPr>
          <w:p>
            <w:pPr>
              <w:spacing w:after="0"/>
              <w:rPr>
                <w:rFonts w:ascii="Arial" w:cs="Arial" w:eastAsia="Arial" w:hAnsi="Arial"/>
                <w:sz w:val="18"/>
                <w:szCs w:val="18"/>
                <w:color w:val="0000FF"/>
                <w:w w:val="99"/>
              </w:rPr>
            </w:pPr>
            <w:hyperlink r:id="rId74">
              <w:r>
                <w:rPr>
                  <w:rFonts w:ascii="Arial" w:cs="Arial" w:eastAsia="Arial" w:hAnsi="Arial"/>
                  <w:sz w:val="18"/>
                  <w:szCs w:val="18"/>
                  <w:color w:val="0000FF"/>
                  <w:w w:val="99"/>
                </w:rPr>
                <w:t>First Supplemental Indenture to the 2034 Notes Indenture, dated as of January 16, 2026, by and among the Company, the</w:t>
              </w:r>
            </w:hyperlink>
          </w:p>
        </w:tc>
        <w:tc>
          <w:tcPr>
            <w:tcW w:w="340" w:type="dxa"/>
            <w:vAlign w:val="bottom"/>
            <w:gridSpan w:val="6"/>
          </w:tcPr>
          <w:p>
            <w:pPr>
              <w:spacing w:after="0"/>
              <w:rPr>
                <w:sz w:val="17"/>
                <w:szCs w:val="17"/>
                <w:color w:val="auto"/>
              </w:rPr>
            </w:pPr>
          </w:p>
        </w:tc>
      </w:tr>
      <w:tr>
        <w:trPr>
          <w:trHeight w:val="155"/>
        </w:trPr>
        <w:tc>
          <w:tcPr>
            <w:tcW w:w="1100" w:type="dxa"/>
            <w:vAlign w:val="bottom"/>
          </w:tcPr>
          <w:p>
            <w:pPr>
              <w:spacing w:after="0"/>
              <w:rPr>
                <w:sz w:val="13"/>
                <w:szCs w:val="13"/>
                <w:color w:val="auto"/>
              </w:rPr>
            </w:pPr>
          </w:p>
        </w:tc>
        <w:tc>
          <w:tcPr>
            <w:tcW w:w="10060" w:type="dxa"/>
            <w:vAlign w:val="bottom"/>
            <w:gridSpan w:val="12"/>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Guarantors and the Trustee (filed as Exhibit 4.2 to the Registrant's Current Report on March 23, 2026 and incorporated herein</w:t>
              </w:r>
            </w:hyperlink>
          </w:p>
        </w:tc>
      </w:tr>
      <w:tr>
        <w:trPr>
          <w:trHeight w:val="156"/>
        </w:trPr>
        <w:tc>
          <w:tcPr>
            <w:tcW w:w="1100" w:type="dxa"/>
            <w:vAlign w:val="bottom"/>
          </w:tcPr>
          <w:p>
            <w:pPr>
              <w:spacing w:after="0"/>
              <w:rPr>
                <w:sz w:val="13"/>
                <w:szCs w:val="13"/>
                <w:color w:val="auto"/>
              </w:rPr>
            </w:pPr>
          </w:p>
        </w:tc>
        <w:tc>
          <w:tcPr>
            <w:tcW w:w="100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by reference)</w:t>
              </w:r>
              <w:r>
                <w:rPr>
                  <w:rFonts w:ascii="Arial" w:cs="Arial" w:eastAsia="Arial" w:hAnsi="Arial"/>
                  <w:sz w:val="18"/>
                  <w:szCs w:val="18"/>
                  <w:u w:val="single" w:color="auto"/>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FF"/>
            </w:tcBorders>
            <w:gridSpan w:val="8"/>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Ninth Amendment to the Amended and Restated Credit Agreement, entered into effective as of April 14, 2026, by and among</w:t>
              </w:r>
            </w:hyperlink>
          </w:p>
        </w:tc>
        <w:tc>
          <w:tcPr>
            <w:tcW w:w="100" w:type="dxa"/>
            <w:vAlign w:val="bottom"/>
            <w:gridSpan w:val="4"/>
          </w:tcPr>
          <w:p>
            <w:pPr>
              <w:spacing w:after="0"/>
              <w:rPr>
                <w:sz w:val="24"/>
                <w:szCs w:val="24"/>
                <w:color w:val="auto"/>
              </w:rPr>
            </w:pPr>
          </w:p>
        </w:tc>
      </w:tr>
      <w:tr>
        <w:trPr>
          <w:trHeight w:val="156"/>
        </w:trPr>
        <w:tc>
          <w:tcPr>
            <w:tcW w:w="1100" w:type="dxa"/>
            <w:vAlign w:val="bottom"/>
          </w:tcPr>
          <w:p>
            <w:pPr>
              <w:spacing w:after="0"/>
              <w:rPr>
                <w:sz w:val="13"/>
                <w:szCs w:val="13"/>
                <w:color w:val="auto"/>
              </w:rPr>
            </w:pPr>
          </w:p>
        </w:tc>
        <w:tc>
          <w:tcPr>
            <w:tcW w:w="10060" w:type="dxa"/>
            <w:vAlign w:val="bottom"/>
            <w:gridSpan w:val="12"/>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California Resources Corporation, as the Borrower, the several lenders from time to time parties thereto and Citibank, N.A., as</w:t>
              </w:r>
            </w:hyperlink>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Administrative Agent (filed as Exhibit 10.1 to Registrant's Current Report on Form 8-K filed on April 17, 2026 and incorporated</w:t>
              </w:r>
            </w:hyperlink>
          </w:p>
        </w:tc>
        <w:tc>
          <w:tcPr>
            <w:tcW w:w="20" w:type="dxa"/>
            <w:vAlign w:val="bottom"/>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herein by reference).</w:t>
              </w:r>
            </w:hyperlink>
          </w:p>
        </w:tc>
        <w:tc>
          <w:tcPr>
            <w:tcW w:w="8340" w:type="dxa"/>
            <w:vAlign w:val="bottom"/>
            <w:tcBorders>
              <w:top w:val="single" w:sz="8" w:color="0000FF"/>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8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Principal Executive Officer Pursuant to Section 302 of the Sarbanes-Oxley Act of 2002.</w:t>
            </w:r>
          </w:p>
        </w:tc>
        <w:tc>
          <w:tcPr>
            <w:tcW w:w="1940" w:type="dxa"/>
            <w:vAlign w:val="bottom"/>
            <w:gridSpan w:val="7"/>
          </w:tcPr>
          <w:p>
            <w:pPr>
              <w:spacing w:after="0"/>
              <w:rPr>
                <w:sz w:val="22"/>
                <w:szCs w:val="22"/>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Principal Financial Officer Pursuant to Section 302 of the Sarbanes-Oxley Act of 2002.</w:t>
            </w:r>
          </w:p>
        </w:tc>
        <w:tc>
          <w:tcPr>
            <w:tcW w:w="2000" w:type="dxa"/>
            <w:vAlign w:val="bottom"/>
            <w:gridSpan w:val="8"/>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12"/>
          </w:tcPr>
          <w:p>
            <w:pPr>
              <w:spacing w:after="0"/>
              <w:rPr>
                <w:sz w:val="20"/>
                <w:szCs w:val="20"/>
                <w:color w:val="auto"/>
              </w:rPr>
            </w:pPr>
            <w:r>
              <w:rPr>
                <w:rFonts w:ascii="Arial" w:cs="Arial" w:eastAsia="Arial" w:hAnsi="Arial"/>
                <w:sz w:val="18"/>
                <w:szCs w:val="18"/>
                <w:color w:val="0000FF"/>
              </w:rPr>
              <w:t>Certifications of Principal Executive Officer and Principal Financial Officer Pursuant to Section 906 of the Sarbanes-Oxley Act</w:t>
            </w: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of 2002.</w:t>
            </w:r>
          </w:p>
        </w:tc>
        <w:tc>
          <w:tcPr>
            <w:tcW w:w="120" w:type="dxa"/>
            <w:vAlign w:val="bottom"/>
            <w:gridSpan w:val="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20" w:type="dxa"/>
            <w:vAlign w:val="bottom"/>
            <w:gridSpan w:val="11"/>
          </w:tcPr>
          <w:p>
            <w:pPr>
              <w:spacing w:after="0" w:line="20" w:lineRule="exact"/>
              <w:rPr>
                <w:sz w:val="1"/>
                <w:szCs w:val="1"/>
                <w:color w:val="auto"/>
              </w:rPr>
            </w:pPr>
          </w:p>
        </w:tc>
      </w:tr>
      <w:tr>
        <w:trPr>
          <w:trHeight w:val="321"/>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1120" w:hanging="1094"/>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or furnished herewith</w:t>
      </w:r>
    </w:p>
    <w:p>
      <w:pPr>
        <w:spacing w:after="0" w:line="28" w:lineRule="exact"/>
        <w:rPr>
          <w:rFonts w:ascii="Arial" w:cs="Arial" w:eastAsia="Arial" w:hAnsi="Arial"/>
          <w:sz w:val="18"/>
          <w:szCs w:val="18"/>
          <w:color w:val="auto"/>
        </w:rPr>
      </w:pPr>
    </w:p>
    <w:p>
      <w:pPr>
        <w:ind w:left="160" w:hanging="152"/>
        <w:spacing w:after="0"/>
        <w:tabs>
          <w:tab w:leader="none" w:pos="1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Certain portions of this exhibit (indicated by "[*****]") have been omitted pursuant to Item 601(b)(10) of Regulation S-K.</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320" w:type="dxa"/>
            <w:vAlign w:val="bottom"/>
            <w:gridSpan w:val="2"/>
          </w:tcPr>
          <w:p>
            <w:pPr>
              <w:ind w:left="106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240"/>
              <w:spacing w:after="0"/>
              <w:rPr>
                <w:sz w:val="20"/>
                <w:szCs w:val="20"/>
                <w:color w:val="auto"/>
              </w:rPr>
            </w:pPr>
            <w:r>
              <w:rPr>
                <w:rFonts w:ascii="Arial" w:cs="Arial" w:eastAsia="Arial" w:hAnsi="Arial"/>
                <w:sz w:val="18"/>
                <w:szCs w:val="18"/>
                <w:color w:val="auto"/>
              </w:rPr>
              <w:t>May 6, 2026</w:t>
            </w:r>
          </w:p>
        </w:tc>
        <w:tc>
          <w:tcPr>
            <w:tcW w:w="10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S. Helm</w:t>
            </w:r>
          </w:p>
        </w:tc>
      </w:tr>
      <w:tr>
        <w:trPr>
          <w:trHeight w:val="218"/>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Michael S. Helm</w:t>
            </w:r>
          </w:p>
        </w:tc>
      </w:tr>
      <w:tr>
        <w:trPr>
          <w:trHeight w:val="229"/>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Vice President Finance and Controller</w:t>
            </w:r>
          </w:p>
        </w:tc>
      </w:t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89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SUPPLEMENTAL INDENTURE</w:t>
      </w:r>
    </w:p>
    <w:p>
      <w:pPr>
        <w:spacing w:after="0" w:line="22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Third Supplemental Indenture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dated as of January 16, 2026, by and among BERRY CORPORATION (BRY), a Delaware corporation, BERRY PETROLEUM COMPANY, LLC, a Delaware limited liability company, C&amp;J WELL SERVICES, LLC, a Delaware limited liability company, CJ BERRY WELL SERVICES MANAGEMENT, LLC, a Delaware limited liability company, MACPHERSON ENERGY, LLC, a Delaware limited liability company, MACPHERSON OIL COMPANY LLC, a California limited liability company, MACPHERSON GREEN POWER COMPANY, LLC, a California limited liability company, MACPHERSON LAND COMPANY, LLC, a California limited liability company, MACPHERSON LAND COMPANY, L.P., a California limited partnership, MACPHERSON OPERATING COMPANY, LLC, a California limited liability company, MACPHERSON OPERATING COMPANY, L.P., a California limited partnership, MACPHERESON POWER COMMERCIAL SERVICES, LLC, a California limited liability company, MACPHERSON POWER COMMERCIAL SERVICES, L.P., a California limited partnership, MACPHERSON POWER COMPANY, LLC, a California limited liability company, MACPHERSON POWER COMPANY, L.P., a California limited partnership, and MACPHERSON ROUND MOUNTAIN HOLDINGS, LLC, a California limited liability company (collectively, the “</w:t>
      </w:r>
      <w:r>
        <w:rPr>
          <w:rFonts w:ascii="Times New Roman" w:cs="Times New Roman" w:eastAsia="Times New Roman" w:hAnsi="Times New Roman"/>
          <w:sz w:val="20"/>
          <w:szCs w:val="20"/>
          <w:i w:val="1"/>
          <w:iCs w:val="1"/>
          <w:color w:val="auto"/>
        </w:rPr>
        <w:t>Guaranteeing Subsidiaries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i w:val="1"/>
          <w:iCs w:val="1"/>
          <w:color w:val="auto"/>
        </w:rPr>
        <w:t>Guaranteeing Subsidiary”</w:t>
      </w:r>
      <w:r>
        <w:rPr>
          <w:rFonts w:ascii="Times New Roman" w:cs="Times New Roman" w:eastAsia="Times New Roman" w:hAnsi="Times New Roman"/>
          <w:sz w:val="20"/>
          <w:szCs w:val="20"/>
          <w:color w:val="auto"/>
        </w:rPr>
        <w:t>), each a subsidiary of California Resources Corporation, a Delaware corporation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other Guarantors (as defined in the Base Indenture referred to herein), the Issuer and Wilmington Trust, National Association, as trustee under the Indenture referred to below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WHEREAS, the Issuer, the Guarantors and the Trustee are party to an indenture, dated as of June 5, 2024 (as supplemented by that certain supplemental indenture, dated as of July 1, 2024, and that certain second supplemental indenture, dated of August 22, 2024, the “</w:t>
      </w:r>
      <w:r>
        <w:rPr>
          <w:rFonts w:ascii="Times New Roman" w:cs="Times New Roman" w:eastAsia="Times New Roman" w:hAnsi="Times New Roman"/>
          <w:sz w:val="20"/>
          <w:szCs w:val="20"/>
          <w:u w:val="single" w:color="auto"/>
          <w:color w:val="auto"/>
        </w:rPr>
        <w:t>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and, the Base Indenture as supplemented by this Third Supplemental Indenture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providing for the issuance of 8.250% Senior Notes due 2029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WHEREAS, the Base Indenture provides that under certain circumstances each Guaranteeing Subsidiary shall execute and deliver to the Trustee a supplemental indenture pursuant to which the Guaranteeing Subsidiary shall unconditionally Guarantee all of the Issuer’s Obligations under the Notes and the Base Indenture on the terms and conditions set forth herein (the “</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and</w:t>
      </w:r>
    </w:p>
    <w:p>
      <w:pPr>
        <w:spacing w:after="0" w:line="18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WHEREAS, pursuant to Sections 4.16 and 9.01 of the Base Indenture, the Trustee is authorized to execute and deliver this Supplemental Indenture. NOW, THEREFORE, in consideration of the foregoing and for other good and valuable consideration, the receipt of which is hereby acknowledged, each Guaranteeing Subsidiary, the other Guarantors, the Issuer and the Trustee mutually covenant and agree for the equal and ratable benefit of the Holders of the Notes as follows:</w:t>
      </w:r>
    </w:p>
    <w:p>
      <w:pPr>
        <w:spacing w:after="0" w:line="174" w:lineRule="exact"/>
        <w:rPr>
          <w:sz w:val="20"/>
          <w:szCs w:val="20"/>
          <w:color w:val="auto"/>
        </w:rPr>
      </w:pPr>
    </w:p>
    <w:p>
      <w:pPr>
        <w:ind w:right="440" w:firstLine="8"/>
        <w:spacing w:after="0"/>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Capitalized terms used herein without definition shall have the meanings assigned to them in the Base Indenture.</w:t>
      </w:r>
    </w:p>
    <w:p>
      <w:pPr>
        <w:spacing w:after="0" w:line="147" w:lineRule="exact"/>
        <w:rPr>
          <w:rFonts w:ascii="Times New Roman" w:cs="Times New Roman" w:eastAsia="Times New Roman" w:hAnsi="Times New Roman"/>
          <w:sz w:val="20"/>
          <w:szCs w:val="20"/>
          <w:color w:val="auto"/>
        </w:rPr>
      </w:pPr>
    </w:p>
    <w:p>
      <w:pPr>
        <w:ind w:right="20" w:firstLine="8"/>
        <w:spacing w:after="0" w:line="266" w:lineRule="auto"/>
        <w:tabs>
          <w:tab w:leader="none" w:pos="64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Each Guaranteeing Subsidiary hereby unconditionally Guarantees all of the Issuer’s Obligations under the Notes and the Base Indenture on the terms and subject to the conditions set forth in the Base Indenture, including, but not limited to, Article 10 thereof.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0" w:right="339" w:bottom="1440" w:gutter="0" w:footer="0" w:header="0"/>
        </w:sectPr>
      </w:pPr>
    </w:p>
    <w:bookmarkStart w:id="51" w:name="page52"/>
    <w:bookmarkEnd w:id="51"/>
    <w:p>
      <w:pPr>
        <w:ind w:left="-8" w:firstLine="8"/>
        <w:spacing w:after="0" w:line="220"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RECOURSE AGAINST OTHERS.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47" w:lineRule="exact"/>
        <w:rPr>
          <w:rFonts w:ascii="Times New Roman" w:cs="Times New Roman" w:eastAsia="Times New Roman" w:hAnsi="Times New Roman"/>
          <w:sz w:val="20"/>
          <w:szCs w:val="20"/>
          <w:color w:val="auto"/>
        </w:rPr>
      </w:pPr>
    </w:p>
    <w:p>
      <w:pPr>
        <w:ind w:left="-8" w:right="60" w:firstLine="8"/>
        <w:spacing w:after="0" w:line="222"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Ratification of Indenture; Third Supplemental Indenture; Part of Indenture. The Base Indenture is in all respects ratified and confirmed and all the terms, conditions and provisions thereof shall remain in full force and effect. This Supplemental Indenture shall form a part of the Base Indenture for all purposes, and every Holder of a Note or New Note heretofore or hereafter authenticated and delivered shall be bound hereby.</w:t>
      </w:r>
    </w:p>
    <w:p>
      <w:pPr>
        <w:spacing w:after="0" w:line="161" w:lineRule="exact"/>
        <w:rPr>
          <w:rFonts w:ascii="Times New Roman" w:cs="Times New Roman" w:eastAsia="Times New Roman" w:hAnsi="Times New Roman"/>
          <w:sz w:val="20"/>
          <w:szCs w:val="20"/>
          <w:color w:val="auto"/>
        </w:rPr>
      </w:pPr>
    </w:p>
    <w:p>
      <w:pPr>
        <w:ind w:left="-8" w:right="100" w:firstLine="8"/>
        <w:spacing w:after="0" w:line="226"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60" w:lineRule="exact"/>
        <w:rPr>
          <w:rFonts w:ascii="Times New Roman" w:cs="Times New Roman" w:eastAsia="Times New Roman" w:hAnsi="Times New Roman"/>
          <w:sz w:val="20"/>
          <w:szCs w:val="20"/>
          <w:color w:val="auto"/>
        </w:rPr>
      </w:pPr>
    </w:p>
    <w:p>
      <w:pPr>
        <w:ind w:left="-8" w:right="40" w:firstLine="8"/>
        <w:spacing w:after="0" w:line="211"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 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Code.EFFECT OF HEADINGS. The Section headings herein are for convenience only and shall not affect the construction hereof.</w:t>
      </w:r>
    </w:p>
    <w:p>
      <w:pPr>
        <w:spacing w:after="0" w:line="152" w:lineRule="exact"/>
        <w:rPr>
          <w:rFonts w:ascii="Times New Roman" w:cs="Times New Roman" w:eastAsia="Times New Roman" w:hAnsi="Times New Roman"/>
          <w:sz w:val="20"/>
          <w:szCs w:val="20"/>
          <w:color w:val="auto"/>
        </w:rPr>
      </w:pPr>
    </w:p>
    <w:p>
      <w:pPr>
        <w:ind w:left="-8" w:right="20" w:firstLine="8"/>
        <w:spacing w:after="0" w:line="230"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the other Guarantors and the Issuer.</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12"/>
          </w:cols>
          <w:pgMar w:left="328" w:top="1399" w:right="35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and attested, all as of the date first above written.</w:t>
      </w:r>
    </w:p>
    <w:p>
      <w:pPr>
        <w:spacing w:after="0"/>
        <w:rPr>
          <w:sz w:val="20"/>
          <w:szCs w:val="20"/>
          <w:color w:val="auto"/>
        </w:rPr>
      </w:pPr>
      <w:r>
        <w:rPr>
          <w:rFonts w:ascii="Times New Roman" w:cs="Times New Roman" w:eastAsia="Times New Roman" w:hAnsi="Times New Roman"/>
          <w:sz w:val="20"/>
          <w:szCs w:val="20"/>
          <w:color w:val="auto"/>
        </w:rPr>
        <w:t>Dated: _______________</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BERRY CORPORATION (BRY),</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BERRY PETROLEUM COMPANY, LLC,</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MACPHERSON ENERGY,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MACPHERSON OIL COMPANY, LLC,</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MACPHERSON ROUND MOUNTAIN HOLDINGS,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MACPHERSON POWER COMPANY, LLC,</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13" w:right="359" w:bottom="1440" w:gutter="0" w:footer="0" w:header="0"/>
        </w:sectPr>
      </w:pPr>
    </w:p>
    <w:bookmarkStart w:id="53" w:name="page54"/>
    <w:bookmarkEnd w:id="53"/>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POWER COMPANY,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OPERATING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OPERATING COMPANY,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POWER COMMERCIAL SERVICES,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POWER COMMERICAL SERVICES,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LAND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10059"/>
          </w:cols>
          <w:pgMar w:left="400" w:top="1440" w:right="1440" w:bottom="1440" w:gutter="0" w:footer="0" w:header="0"/>
        </w:sectPr>
      </w:pPr>
    </w:p>
    <w:bookmarkStart w:id="54" w:name="page55"/>
    <w:bookmarkEnd w:id="54"/>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LAND COMPANY,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MACPHERSON GREEN POWER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CJ BERRY WELL SERVICES MANAGEMENT,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10059"/>
          </w:cols>
          <w:pgMar w:left="400" w:top="1440" w:right="1440" w:bottom="1440" w:gutter="0" w:footer="0" w:header="0"/>
        </w:sectPr>
      </w:pPr>
    </w:p>
    <w:bookmarkStart w:id="55" w:name="page56"/>
    <w:bookmarkEnd w:id="55"/>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C&amp;J WELL SERVICES, LLC,</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as the Guarantor</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125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Clio C. Crespy</w:t>
      </w:r>
    </w:p>
    <w:p>
      <w:pPr>
        <w:spacing w:after="0" w:line="67"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Executed Vice President and Chief Financial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Issuer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5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1085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Clio C. Crespy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(2029 Notes)</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8"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4"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Date: May 6, 2026</w:t>
      </w:r>
    </w:p>
    <w:p>
      <w:pPr>
        <w:spacing w:after="0" w:line="15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27305</wp:posOffset>
            </wp:positionV>
            <wp:extent cx="28289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Francisco J. Leon</w:t>
      </w:r>
    </w:p>
    <w:p>
      <w:pPr>
        <w:spacing w:after="0" w:line="115"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3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 Clio Crespy, certify that:</w:t>
      </w:r>
    </w:p>
    <w:p>
      <w:pPr>
        <w:spacing w:after="0" w:line="34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8"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May 6, 2026</w:t>
      </w:r>
    </w:p>
    <w:p>
      <w:pPr>
        <w:spacing w:after="0" w:line="15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/s/ Clio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27305</wp:posOffset>
            </wp:positionV>
            <wp:extent cx="2828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Clio Crespy</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2026, as filed with the Securities and Exchange Commission on May 6, 2026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spacing w:after="0" w:line="392"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6, 2026</w:t>
            </w:r>
          </w:p>
        </w:tc>
      </w:tr>
      <w:tr>
        <w:trPr>
          <w:trHeight w:val="765"/>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Clio Crespy</w:t>
            </w:r>
          </w:p>
        </w:tc>
      </w:tr>
      <w:tr>
        <w:trPr>
          <w:trHeight w:val="218"/>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Clio Crespy</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6, 2026</w:t>
            </w:r>
          </w:p>
        </w:tc>
      </w:tr>
    </w:tbl>
    <w:p>
      <w:pPr>
        <w:spacing w:after="0" w:line="200" w:lineRule="exact"/>
        <w:rPr>
          <w:sz w:val="20"/>
          <w:szCs w:val="20"/>
          <w:color w:val="auto"/>
        </w:rPr>
      </w:pPr>
    </w:p>
    <w:p>
      <w:pPr>
        <w:spacing w:after="0" w:line="20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
      <w:numFmt w:val="bullet"/>
      <w:start w:val="1"/>
    </w:lvl>
    <w:lvl w:ilvl="1">
      <w:lvlJc w:val="left"/>
      <w:lvlText w:val="%2"/>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3"/>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69" Type="http://schemas.openxmlformats.org/officeDocument/2006/relationships/hyperlink" Target="https://www.sec.gov/Archives/edgar/data/1609253/000160925325000076/mergeragreementedgar.htm" TargetMode="External"/><Relationship Id="rId70" Type="http://schemas.openxmlformats.org/officeDocument/2006/relationships/hyperlink" Target="https://www.sec.gov/Archives/edgar/data/1609253/000160925320000137/a8aex31.htm" TargetMode="External"/><Relationship Id="rId71" Type="http://schemas.openxmlformats.org/officeDocument/2006/relationships/hyperlink" Target="https://www.sec.gov/Archives/edgar/data/1609253/000160925322000036/a20220504ex31.htm" TargetMode="External"/><Relationship Id="rId72" Type="http://schemas.openxmlformats.org/officeDocument/2006/relationships/hyperlink" Target="https://www.sec.gov/Archives/edgar/data/1609253/000160925323000034/a20230428exhibit31.htm" TargetMode="External"/><Relationship Id="rId73" Type="http://schemas.openxmlformats.org/officeDocument/2006/relationships/hyperlink" Target="https://www.sec.gov/Archives/edgar/data/1609253/000160925320000137/a8aex32.htm" TargetMode="External"/><Relationship Id="rId74" Type="http://schemas.openxmlformats.org/officeDocument/2006/relationships/hyperlink" Target="https://www.sec.gov/Archives/edgar/data/1609253/000160925326000084/exhibit42-20260323.htm" TargetMode="External"/><Relationship Id="rId75" Type="http://schemas.openxmlformats.org/officeDocument/2006/relationships/hyperlink" Target="https://www.sec.gov/Archives/edgar/data/1609253/000160925326000086/ex101-202604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2026-05-06T15:40:11Z</dcterms:created>
  <dcterms:modified xsi:type="dcterms:W3CDTF">2026-05-06T15:40:11Z</dcterms:modified>
</cp:coreProperties>
</file>