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ARES MANAGEMENT LLC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780"/>
        <w:spacing w:after="0" w:line="356" w:lineRule="auto"/>
        <w:rPr>
          <w:sz w:val="20"/>
          <w:szCs w:val="20"/>
          <w:color w:val="auto"/>
        </w:rPr>
      </w:pPr>
      <w:r>
        <w:rPr>
          <w:rFonts w:ascii="Arial" w:cs="Arial" w:eastAsia="Arial" w:hAnsi="Arial"/>
          <w:sz w:val="17"/>
          <w:szCs w:val="17"/>
          <w:color w:val="0000FF"/>
        </w:rPr>
        <w:t>2000 AVENUE OF THE STARS 12TH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175"/>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California Resources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CRC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5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06/07/2021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90" w:lineRule="exact"/>
        <w:rPr>
          <w:sz w:val="24"/>
          <w:szCs w:val="24"/>
          <w:color w:val="auto"/>
        </w:rPr>
      </w:pPr>
    </w:p>
    <w:p>
      <w:pPr>
        <w:sectPr>
          <w:pgSz w:w="11900" w:h="16838" w:orient="portrait"/>
          <w:cols w:equalWidth="0" w:num="3">
            <w:col w:w="3200" w:space="720"/>
            <w:col w:w="3095" w:space="720"/>
            <w:col w:w="3345"/>
          </w:cols>
          <w:pgMar w:left="460" w:top="225" w:right="359" w:bottom="0" w:gutter="0" w:footer="0" w:header="0"/>
          <w:type w:val="continuous"/>
        </w:sectPr>
      </w:pPr>
    </w:p>
    <w:tbl>
      <w:tblPr>
        <w:tblLayout w:type="fixed"/>
        <w:tblInd w:w="80" w:type="dxa"/>
        <w:tblCellMar>
          <w:top w:w="0" w:type="dxa"/>
          <w:left w:w="0" w:type="dxa"/>
          <w:bottom w:w="0" w:type="dxa"/>
          <w:right w:w="0" w:type="dxa"/>
        </w:tblCellMar>
      </w:tblPr>
      <w:tr>
        <w:trPr>
          <w:trHeight w:val="61"/>
        </w:trPr>
        <w:tc>
          <w:tcPr>
            <w:tcW w:w="40" w:type="dxa"/>
            <w:vAlign w:val="bottom"/>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600" w:type="dxa"/>
            <w:vAlign w:val="bottom"/>
            <w:tcBorders>
              <w:bottom w:val="single" w:sz="8" w:color="9A9A9A"/>
            </w:tcBorders>
          </w:tcPr>
          <w:p>
            <w:pPr>
              <w:spacing w:after="0"/>
              <w:rPr>
                <w:sz w:val="5"/>
                <w:szCs w:val="5"/>
                <w:color w:val="auto"/>
              </w:rPr>
            </w:pPr>
          </w:p>
        </w:tc>
        <w:tc>
          <w:tcPr>
            <w:tcW w:w="3760" w:type="dxa"/>
            <w:vAlign w:val="bottom"/>
            <w:vMerge w:val="restart"/>
          </w:tcPr>
          <w:p>
            <w:pPr>
              <w:ind w:left="160"/>
              <w:spacing w:after="0" w:line="148" w:lineRule="exact"/>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220"/>
              <w:spacing w:after="0" w:line="148"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600" w:type="dxa"/>
            <w:vAlign w:val="bottom"/>
          </w:tcPr>
          <w:p>
            <w:pPr>
              <w:spacing w:after="0"/>
              <w:rPr>
                <w:sz w:val="5"/>
                <w:szCs w:val="5"/>
                <w:color w:val="auto"/>
              </w:rPr>
            </w:pPr>
          </w:p>
        </w:tc>
        <w:tc>
          <w:tcPr>
            <w:tcW w:w="3760" w:type="dxa"/>
            <w:vAlign w:val="bottom"/>
            <w:vMerge w:val="continue"/>
          </w:tcPr>
          <w:p>
            <w:pPr>
              <w:spacing w:after="0"/>
              <w:rPr>
                <w:sz w:val="5"/>
                <w:szCs w:val="5"/>
                <w:color w:val="auto"/>
              </w:rPr>
            </w:pPr>
          </w:p>
        </w:tc>
        <w:tc>
          <w:tcPr>
            <w:tcW w:w="32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Line)</w:t>
            </w:r>
          </w:p>
        </w:tc>
        <w:tc>
          <w:tcPr>
            <w:tcW w:w="2640" w:type="dxa"/>
            <w:vAlign w:val="bottom"/>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1000" w:type="dxa"/>
            <w:vAlign w:val="bottom"/>
            <w:vMerge w:val="restart"/>
          </w:tcPr>
          <w:p>
            <w:pPr>
              <w:spacing w:after="0"/>
              <w:rPr>
                <w:sz w:val="20"/>
                <w:szCs w:val="20"/>
                <w:color w:val="auto"/>
              </w:rPr>
            </w:pPr>
            <w:r>
              <w:rPr>
                <w:rFonts w:ascii="Arial" w:cs="Arial" w:eastAsia="Arial" w:hAnsi="Arial"/>
                <w:sz w:val="17"/>
                <w:szCs w:val="17"/>
                <w:color w:val="0000FF"/>
              </w:rPr>
              <w:t>LOS</w:t>
            </w:r>
          </w:p>
        </w:tc>
        <w:tc>
          <w:tcPr>
            <w:tcW w:w="1040" w:type="dxa"/>
            <w:vAlign w:val="bottom"/>
            <w:vMerge w:val="restart"/>
          </w:tcPr>
          <w:p>
            <w:pPr>
              <w:ind w:left="22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90067</w:t>
            </w:r>
          </w:p>
        </w:tc>
        <w:tc>
          <w:tcPr>
            <w:tcW w:w="3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4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600" w:type="dxa"/>
            <w:vAlign w:val="bottom"/>
            <w:vMerge w:val="continue"/>
          </w:tcPr>
          <w:p>
            <w:pPr>
              <w:spacing w:after="0"/>
              <w:rPr>
                <w:sz w:val="7"/>
                <w:szCs w:val="7"/>
                <w:color w:val="auto"/>
              </w:rPr>
            </w:pPr>
          </w:p>
        </w:tc>
        <w:tc>
          <w:tcPr>
            <w:tcW w:w="3760" w:type="dxa"/>
            <w:vAlign w:val="bottom"/>
          </w:tcPr>
          <w:p>
            <w:pPr>
              <w:spacing w:after="0"/>
              <w:rPr>
                <w:sz w:val="7"/>
                <w:szCs w:val="7"/>
                <w:color w:val="auto"/>
              </w:rPr>
            </w:pPr>
          </w:p>
        </w:tc>
        <w:tc>
          <w:tcPr>
            <w:tcW w:w="640" w:type="dxa"/>
            <w:vAlign w:val="bottom"/>
            <w:vMerge w:val="restart"/>
          </w:tcPr>
          <w:p>
            <w:pPr>
              <w:ind w:left="420"/>
              <w:spacing w:after="0"/>
              <w:rPr>
                <w:sz w:val="20"/>
                <w:szCs w:val="20"/>
                <w:color w:val="auto"/>
              </w:rPr>
            </w:pPr>
            <w:r>
              <w:rPr>
                <w:rFonts w:ascii="Arial" w:cs="Arial" w:eastAsia="Arial" w:hAnsi="Arial"/>
                <w:sz w:val="17"/>
                <w:szCs w:val="17"/>
                <w:color w:val="0000FF"/>
              </w:rPr>
              <w:t>X</w:t>
            </w:r>
          </w:p>
        </w:tc>
        <w:tc>
          <w:tcPr>
            <w:tcW w:w="2640" w:type="dxa"/>
            <w:vAlign w:val="bottom"/>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1000" w:type="dxa"/>
            <w:vAlign w:val="bottom"/>
            <w:vMerge w:val="restart"/>
          </w:tcPr>
          <w:p>
            <w:pPr>
              <w:spacing w:after="0"/>
              <w:rPr>
                <w:sz w:val="20"/>
                <w:szCs w:val="20"/>
                <w:color w:val="auto"/>
              </w:rPr>
            </w:pPr>
            <w:r>
              <w:rPr>
                <w:rFonts w:ascii="Arial" w:cs="Arial" w:eastAsia="Arial" w:hAnsi="Arial"/>
                <w:sz w:val="17"/>
                <w:szCs w:val="17"/>
                <w:color w:val="0000FF"/>
              </w:rPr>
              <w:t>ANGELES</w:t>
            </w:r>
          </w:p>
        </w:tc>
        <w:tc>
          <w:tcPr>
            <w:tcW w:w="104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37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4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264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41"/>
        </w:trPr>
        <w:tc>
          <w:tcPr>
            <w:tcW w:w="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600" w:type="dxa"/>
            <w:vAlign w:val="bottom"/>
          </w:tcPr>
          <w:p>
            <w:pPr>
              <w:spacing w:after="0"/>
              <w:rPr>
                <w:sz w:val="3"/>
                <w:szCs w:val="3"/>
                <w:color w:val="auto"/>
              </w:rPr>
            </w:pPr>
          </w:p>
        </w:tc>
        <w:tc>
          <w:tcPr>
            <w:tcW w:w="3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13"/>
        </w:trPr>
        <w:tc>
          <w:tcPr>
            <w:tcW w:w="40" w:type="dxa"/>
            <w:vAlign w:val="bottom"/>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3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5360" w:type="dxa"/>
            <w:vAlign w:val="bottom"/>
            <w:gridSpan w:val="2"/>
          </w:tcPr>
          <w:p>
            <w:pPr>
              <w:ind w:left="40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8"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ectPr>
          <w:pgSz w:w="11900" w:h="16838" w:orient="portrait"/>
          <w:cols w:equalWidth="0" w:num="1">
            <w:col w:w="11080"/>
          </w:cols>
          <w:pgMar w:left="460" w:top="225" w:right="359" w:bottom="0" w:gutter="0" w:footer="0" w:header="0"/>
          <w:type w:val="continuous"/>
        </w:sectPr>
      </w:pPr>
    </w:p>
    <w:p>
      <w:pPr>
        <w:spacing w:after="0" w:line="140" w:lineRule="exact"/>
        <w:rPr>
          <w:sz w:val="24"/>
          <w:szCs w:val="24"/>
          <w:color w:val="auto"/>
        </w:rPr>
      </w:pPr>
    </w:p>
    <w:p>
      <w:pPr>
        <w:ind w:left="80" w:firstLine="7"/>
        <w:spacing w:after="0" w:line="257" w:lineRule="auto"/>
        <w:tabs>
          <w:tab w:leader="none" w:pos="228" w:val="left"/>
        </w:tabs>
        <w:numPr>
          <w:ilvl w:val="0"/>
          <w:numId w:val="2"/>
        </w:numPr>
        <w:rPr>
          <w:rFonts w:ascii="Arial" w:cs="Arial" w:eastAsia="Arial" w:hAnsi="Arial"/>
          <w:sz w:val="13"/>
          <w:szCs w:val="13"/>
          <w:b w:val="1"/>
          <w:bCs w:val="1"/>
          <w:color w:val="auto"/>
        </w:rPr>
      </w:pPr>
      <w:r>
        <w:rPr>
          <w:rFonts w:ascii="Arial" w:cs="Arial" w:eastAsia="Arial" w:hAnsi="Arial"/>
          <w:sz w:val="13"/>
          <w:szCs w:val="13"/>
          <w:b w:val="1"/>
          <w:bCs w:val="1"/>
          <w:color w:val="auto"/>
        </w:rPr>
        <w:t>Title of Security (Instr. 3)</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040" w:type="dxa"/>
            <w:vAlign w:val="bottom"/>
          </w:tcPr>
          <w:p>
            <w:pPr>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5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 Disposed Of</w:t>
            </w:r>
          </w:p>
        </w:tc>
        <w:tc>
          <w:tcPr>
            <w:tcW w:w="1820" w:type="dxa"/>
            <w:vAlign w:val="bottom"/>
          </w:tcPr>
          <w:p>
            <w:pPr>
              <w:ind w:left="60"/>
              <w:spacing w:after="0"/>
              <w:rPr>
                <w:sz w:val="20"/>
                <w:szCs w:val="20"/>
                <w:color w:val="auto"/>
              </w:rPr>
            </w:pPr>
            <w:r>
              <w:rPr>
                <w:rFonts w:ascii="Arial" w:cs="Arial" w:eastAsia="Arial" w:hAnsi="Arial"/>
                <w:sz w:val="12"/>
                <w:szCs w:val="12"/>
                <w:b w:val="1"/>
                <w:bCs w:val="1"/>
                <w:color w:val="auto"/>
              </w:rPr>
              <w:t>5. Amount of Securities</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6.</w:t>
            </w:r>
          </w:p>
        </w:tc>
        <w:tc>
          <w:tcPr>
            <w:tcW w:w="1660" w:type="dxa"/>
            <w:vAlign w:val="bottom"/>
          </w:tcPr>
          <w:p>
            <w:pPr>
              <w:ind w:left="8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33"/>
        </w:trPr>
        <w:tc>
          <w:tcPr>
            <w:tcW w:w="10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(Instr. 3, 4 and 5)</w:t>
            </w: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 Owned Following</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1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 Ownership (Instr.</w:t>
            </w:r>
          </w:p>
        </w:tc>
        <w:tc>
          <w:tcPr>
            <w:tcW w:w="0" w:type="dxa"/>
            <w:vAlign w:val="bottom"/>
          </w:tcPr>
          <w:p>
            <w:pPr>
              <w:spacing w:after="0"/>
              <w:rPr>
                <w:sz w:val="1"/>
                <w:szCs w:val="1"/>
                <w:color w:val="auto"/>
              </w:rPr>
            </w:pPr>
          </w:p>
        </w:tc>
      </w:tr>
      <w:tr>
        <w:trPr>
          <w:trHeight w:val="133"/>
        </w:trPr>
        <w:tc>
          <w:tcPr>
            <w:tcW w:w="1040" w:type="dxa"/>
            <w:vAlign w:val="bottom"/>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1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 Transaction(s)</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1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4)</w:t>
            </w:r>
          </w:p>
        </w:tc>
        <w:tc>
          <w:tcPr>
            <w:tcW w:w="0" w:type="dxa"/>
            <w:vAlign w:val="bottom"/>
          </w:tcPr>
          <w:p>
            <w:pPr>
              <w:spacing w:after="0"/>
              <w:rPr>
                <w:sz w:val="1"/>
                <w:szCs w:val="1"/>
                <w:color w:val="auto"/>
              </w:rPr>
            </w:pPr>
          </w:p>
        </w:tc>
      </w:tr>
      <w:tr>
        <w:trPr>
          <w:trHeight w:val="133"/>
        </w:trPr>
        <w:tc>
          <w:tcPr>
            <w:tcW w:w="10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20" w:type="dxa"/>
            <w:vAlign w:val="bottom"/>
          </w:tcPr>
          <w:p>
            <w:pPr>
              <w:spacing w:after="0"/>
              <w:rPr>
                <w:sz w:val="6"/>
                <w:szCs w:val="6"/>
                <w:color w:val="auto"/>
              </w:rPr>
            </w:pPr>
          </w:p>
        </w:tc>
        <w:tc>
          <w:tcPr>
            <w:tcW w:w="7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1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4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(A)</w:t>
            </w:r>
          </w:p>
        </w:tc>
        <w:tc>
          <w:tcPr>
            <w:tcW w:w="6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V</w:t>
            </w:r>
          </w:p>
        </w:tc>
        <w:tc>
          <w:tcPr>
            <w:tcW w:w="1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w:t>
            </w:r>
          </w:p>
        </w:tc>
        <w:tc>
          <w:tcPr>
            <w:tcW w:w="4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or</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w:t>
            </w:r>
          </w:p>
        </w:tc>
        <w:tc>
          <w:tcPr>
            <w:tcW w:w="1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480" w:type="dxa"/>
            <w:vAlign w:val="bottom"/>
          </w:tcPr>
          <w:p>
            <w:pPr>
              <w:ind w:left="220"/>
              <w:spacing w:after="0"/>
              <w:rPr>
                <w:sz w:val="20"/>
                <w:szCs w:val="20"/>
                <w:color w:val="auto"/>
              </w:rPr>
            </w:pPr>
            <w:r>
              <w:rPr>
                <w:rFonts w:ascii="Arial" w:cs="Arial" w:eastAsia="Arial" w:hAnsi="Arial"/>
                <w:sz w:val="12"/>
                <w:szCs w:val="12"/>
                <w:b w:val="1"/>
                <w:bCs w:val="1"/>
                <w:color w:val="auto"/>
              </w:rPr>
              <w:t>(D)</w:t>
            </w:r>
          </w:p>
        </w:tc>
        <w:tc>
          <w:tcPr>
            <w:tcW w:w="6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7" w:lineRule="exact"/>
        <w:rPr>
          <w:sz w:val="24"/>
          <w:szCs w:val="24"/>
          <w:color w:val="auto"/>
        </w:rPr>
      </w:pPr>
    </w:p>
    <w:p>
      <w:pPr>
        <w:sectPr>
          <w:pgSz w:w="11900" w:h="16838" w:orient="portrait"/>
          <w:cols w:equalWidth="0" w:num="2">
            <w:col w:w="660" w:space="400"/>
            <w:col w:w="10020"/>
          </w:cols>
          <w:pgMar w:left="460" w:top="225" w:right="359" w:bottom="0" w:gutter="0" w:footer="0" w:header="0"/>
          <w:type w:val="continuous"/>
        </w:sectPr>
      </w:pPr>
    </w:p>
    <w:tbl>
      <w:tblPr>
        <w:tblLayout w:type="fixed"/>
        <w:tblInd w:w="0" w:type="dxa"/>
        <w:tblCellMar>
          <w:top w:w="0" w:type="dxa"/>
          <w:left w:w="0" w:type="dxa"/>
          <w:bottom w:w="0" w:type="dxa"/>
          <w:right w:w="0" w:type="dxa"/>
        </w:tblCellMar>
      </w:tblPr>
      <w:tr>
        <w:trPr>
          <w:trHeight w:val="311"/>
        </w:trPr>
        <w:tc>
          <w:tcPr>
            <w:tcW w:w="20" w:type="dxa"/>
            <w:vAlign w:val="bottom"/>
          </w:tcPr>
          <w:p>
            <w:pPr>
              <w:spacing w:after="0"/>
              <w:rPr>
                <w:sz w:val="24"/>
                <w:szCs w:val="24"/>
                <w:color w:val="auto"/>
              </w:rPr>
            </w:pPr>
          </w:p>
        </w:tc>
        <w:tc>
          <w:tcPr>
            <w:tcW w:w="780" w:type="dxa"/>
            <w:vAlign w:val="bottom"/>
            <w:gridSpan w:val="2"/>
          </w:tcPr>
          <w:p>
            <w:pPr>
              <w:ind w:left="60"/>
              <w:spacing w:after="0"/>
              <w:rPr>
                <w:sz w:val="20"/>
                <w:szCs w:val="20"/>
                <w:color w:val="auto"/>
              </w:rPr>
            </w:pPr>
            <w:r>
              <w:rPr>
                <w:rFonts w:ascii="Arial" w:cs="Arial" w:eastAsia="Arial" w:hAnsi="Arial"/>
                <w:sz w:val="17"/>
                <w:szCs w:val="17"/>
                <w:color w:val="0000FF"/>
              </w:rPr>
              <w:t>Common</w:t>
            </w:r>
          </w:p>
        </w:tc>
        <w:tc>
          <w:tcPr>
            <w:tcW w:w="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20" w:type="dxa"/>
            <w:vAlign w:val="bottom"/>
            <w:gridSpan w:val="4"/>
            <w:vMerge w:val="restart"/>
          </w:tcPr>
          <w:p>
            <w:pPr>
              <w:ind w:left="40"/>
              <w:spacing w:after="0"/>
              <w:rPr>
                <w:sz w:val="20"/>
                <w:szCs w:val="20"/>
                <w:color w:val="auto"/>
              </w:rPr>
            </w:pPr>
            <w:r>
              <w:rPr>
                <w:rFonts w:ascii="Arial" w:cs="Arial" w:eastAsia="Arial" w:hAnsi="Arial"/>
                <w:sz w:val="34"/>
                <w:szCs w:val="34"/>
                <w:color w:val="0000FF"/>
                <w:w w:val="86"/>
                <w:vertAlign w:val="subscript"/>
              </w:rPr>
              <w:t>See Footnotes</w:t>
            </w:r>
            <w:r>
              <w:rPr>
                <w:rFonts w:ascii="Arial" w:cs="Arial" w:eastAsia="Arial" w:hAnsi="Arial"/>
                <w:sz w:val="11"/>
                <w:szCs w:val="11"/>
                <w:color w:val="008000"/>
                <w:w w:val="86"/>
              </w:rPr>
              <w:t>(1)(2)(3)(4)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80" w:type="dxa"/>
            <w:vAlign w:val="bottom"/>
            <w:gridSpan w:val="2"/>
          </w:tcPr>
          <w:p>
            <w:pPr>
              <w:ind w:left="60"/>
              <w:spacing w:after="0" w:line="168" w:lineRule="exact"/>
              <w:rPr>
                <w:sz w:val="20"/>
                <w:szCs w:val="20"/>
                <w:color w:val="auto"/>
              </w:rPr>
            </w:pPr>
            <w:r>
              <w:rPr>
                <w:rFonts w:ascii="Arial" w:cs="Arial" w:eastAsia="Arial" w:hAnsi="Arial"/>
                <w:sz w:val="17"/>
                <w:szCs w:val="17"/>
                <w:color w:val="0000FF"/>
                <w:w w:val="91"/>
              </w:rPr>
              <w:t>Stock, par</w:t>
            </w:r>
          </w:p>
        </w:tc>
        <w:tc>
          <w:tcPr>
            <w:tcW w:w="1920" w:type="dxa"/>
            <w:vAlign w:val="bottom"/>
            <w:gridSpan w:val="2"/>
          </w:tcPr>
          <w:p>
            <w:pPr>
              <w:ind w:left="360"/>
              <w:spacing w:after="0" w:line="168" w:lineRule="exact"/>
              <w:rPr>
                <w:sz w:val="20"/>
                <w:szCs w:val="20"/>
                <w:color w:val="auto"/>
              </w:rPr>
            </w:pPr>
            <w:r>
              <w:rPr>
                <w:rFonts w:ascii="Arial" w:cs="Arial" w:eastAsia="Arial" w:hAnsi="Arial"/>
                <w:sz w:val="17"/>
                <w:szCs w:val="17"/>
                <w:color w:val="0000FF"/>
              </w:rPr>
              <w:t>06/07/2021</w:t>
            </w:r>
          </w:p>
        </w:tc>
        <w:tc>
          <w:tcPr>
            <w:tcW w:w="20" w:type="dxa"/>
            <w:vAlign w:val="bottom"/>
          </w:tcPr>
          <w:p>
            <w:pPr>
              <w:spacing w:after="0"/>
              <w:rPr>
                <w:sz w:val="14"/>
                <w:szCs w:val="14"/>
                <w:color w:val="auto"/>
              </w:rPr>
            </w:pPr>
          </w:p>
        </w:tc>
        <w:tc>
          <w:tcPr>
            <w:tcW w:w="1040" w:type="dxa"/>
            <w:vAlign w:val="bottom"/>
          </w:tcPr>
          <w:p>
            <w:pPr>
              <w:ind w:left="680"/>
              <w:spacing w:after="0"/>
              <w:rPr>
                <w:sz w:val="20"/>
                <w:szCs w:val="20"/>
                <w:color w:val="auto"/>
              </w:rPr>
            </w:pPr>
            <w:r>
              <w:rPr>
                <w:rFonts w:ascii="Arial" w:cs="Arial" w:eastAsia="Arial" w:hAnsi="Arial"/>
                <w:sz w:val="13"/>
                <w:szCs w:val="13"/>
                <w:color w:val="0000FF"/>
              </w:rPr>
              <w:t>S</w:t>
            </w:r>
          </w:p>
        </w:tc>
        <w:tc>
          <w:tcPr>
            <w:tcW w:w="2180" w:type="dxa"/>
            <w:vAlign w:val="bottom"/>
            <w:gridSpan w:val="6"/>
          </w:tcPr>
          <w:p>
            <w:pPr>
              <w:ind w:left="320"/>
              <w:spacing w:after="0" w:line="168" w:lineRule="exact"/>
              <w:rPr>
                <w:sz w:val="20"/>
                <w:szCs w:val="20"/>
                <w:color w:val="auto"/>
              </w:rPr>
            </w:pPr>
            <w:r>
              <w:rPr>
                <w:rFonts w:ascii="Arial" w:cs="Arial" w:eastAsia="Arial" w:hAnsi="Arial"/>
                <w:sz w:val="19"/>
                <w:szCs w:val="19"/>
                <w:color w:val="0000FF"/>
                <w:vertAlign w:val="subscript"/>
              </w:rPr>
              <w:t>100,000</w:t>
            </w:r>
            <w:r>
              <w:rPr>
                <w:rFonts w:ascii="Arial" w:cs="Arial" w:eastAsia="Arial" w:hAnsi="Arial"/>
                <w:sz w:val="9"/>
                <w:szCs w:val="9"/>
                <w:color w:val="008000"/>
              </w:rPr>
              <w:t xml:space="preserve">(1)(2)(3)(4)(5)(6)(7)   </w:t>
            </w:r>
            <w:r>
              <w:rPr>
                <w:rFonts w:ascii="Arial" w:cs="Arial" w:eastAsia="Arial" w:hAnsi="Arial"/>
                <w:sz w:val="19"/>
                <w:szCs w:val="19"/>
                <w:color w:val="0000FF"/>
                <w:vertAlign w:val="subscript"/>
              </w:rPr>
              <w:t>D</w:t>
            </w:r>
          </w:p>
        </w:tc>
        <w:tc>
          <w:tcPr>
            <w:tcW w:w="2620" w:type="dxa"/>
            <w:vAlign w:val="bottom"/>
            <w:gridSpan w:val="4"/>
          </w:tcPr>
          <w:p>
            <w:pPr>
              <w:jc w:val="right"/>
              <w:ind w:right="140"/>
              <w:spacing w:after="0" w:line="168" w:lineRule="exact"/>
              <w:rPr>
                <w:sz w:val="20"/>
                <w:szCs w:val="20"/>
                <w:color w:val="auto"/>
              </w:rPr>
            </w:pPr>
            <w:r>
              <w:rPr>
                <w:rFonts w:ascii="Arial" w:cs="Arial" w:eastAsia="Arial" w:hAnsi="Arial"/>
                <w:sz w:val="19"/>
                <w:szCs w:val="19"/>
                <w:color w:val="000000"/>
                <w:vertAlign w:val="subscript"/>
              </w:rPr>
              <w:t>$</w:t>
            </w:r>
            <w:r>
              <w:rPr>
                <w:rFonts w:ascii="Arial" w:cs="Arial" w:eastAsia="Arial" w:hAnsi="Arial"/>
                <w:sz w:val="19"/>
                <w:szCs w:val="19"/>
                <w:color w:val="0000FF"/>
                <w:vertAlign w:val="subscript"/>
              </w:rPr>
              <w:t>32.95  16,484,587</w:t>
            </w:r>
            <w:r>
              <w:rPr>
                <w:rFonts w:ascii="Arial" w:cs="Arial" w:eastAsia="Arial" w:hAnsi="Arial"/>
                <w:sz w:val="9"/>
                <w:szCs w:val="9"/>
                <w:color w:val="008000"/>
              </w:rPr>
              <w:t>(1)(2)(3)(4)(5)(6)(7)</w:t>
            </w:r>
          </w:p>
        </w:tc>
        <w:tc>
          <w:tcPr>
            <w:tcW w:w="680" w:type="dxa"/>
            <w:vAlign w:val="bottom"/>
          </w:tcPr>
          <w:p>
            <w:pPr>
              <w:ind w:left="220"/>
              <w:spacing w:after="0" w:line="168" w:lineRule="exact"/>
              <w:rPr>
                <w:sz w:val="20"/>
                <w:szCs w:val="20"/>
                <w:color w:val="auto"/>
              </w:rPr>
            </w:pPr>
            <w:r>
              <w:rPr>
                <w:rFonts w:ascii="Arial" w:cs="Arial" w:eastAsia="Arial" w:hAnsi="Arial"/>
                <w:sz w:val="17"/>
                <w:szCs w:val="17"/>
                <w:color w:val="0000FF"/>
              </w:rPr>
              <w:t>I</w:t>
            </w:r>
          </w:p>
        </w:tc>
        <w:tc>
          <w:tcPr>
            <w:tcW w:w="18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value $0.01</w:t>
            </w: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color w:val="008000"/>
              </w:rPr>
              <w:t>(5)(6)(7)</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1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1540" w:type="dxa"/>
            <w:vAlign w:val="bottom"/>
            <w:tcBorders>
              <w:bottom w:val="single" w:sz="8" w:color="2C2C2C"/>
            </w:tcBorders>
            <w:gridSpan w:val="2"/>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3460" w:type="dxa"/>
            <w:vAlign w:val="bottom"/>
            <w:tcBorders>
              <w:bottom w:val="single" w:sz="8" w:color="2C2C2C"/>
            </w:tcBorders>
            <w:gridSpan w:val="5"/>
          </w:tcPr>
          <w:p>
            <w:pPr>
              <w:spacing w:after="0"/>
              <w:rPr>
                <w:sz w:val="8"/>
                <w:szCs w:val="8"/>
                <w:color w:val="auto"/>
              </w:rPr>
            </w:pPr>
          </w:p>
        </w:tc>
        <w:tc>
          <w:tcPr>
            <w:tcW w:w="1400" w:type="dxa"/>
            <w:vAlign w:val="bottom"/>
            <w:tcBorders>
              <w:bottom w:val="single" w:sz="8" w:color="2C2C2C"/>
            </w:tcBorders>
            <w:gridSpan w:val="3"/>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760" w:type="dxa"/>
            <w:vAlign w:val="bottom"/>
            <w:tcBorders>
              <w:top w:val="single" w:sz="8" w:color="2C2C2C"/>
            </w:tcBorders>
            <w:gridSpan w:val="14"/>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0" w:type="dxa"/>
            <w:vAlign w:val="bottom"/>
            <w:gridSpan w:val="10"/>
          </w:tcPr>
          <w:p>
            <w:pPr>
              <w:ind w:left="4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00" w:type="dxa"/>
            <w:vAlign w:val="bottom"/>
          </w:tcPr>
          <w:p>
            <w:pPr>
              <w:spacing w:after="0"/>
              <w:rPr>
                <w:sz w:val="20"/>
                <w:szCs w:val="20"/>
                <w:color w:val="auto"/>
              </w:rPr>
            </w:pPr>
            <w:r>
              <w:rPr>
                <w:rFonts w:ascii="Arial" w:cs="Arial" w:eastAsia="Arial" w:hAnsi="Arial"/>
                <w:sz w:val="12"/>
                <w:szCs w:val="12"/>
                <w:b w:val="1"/>
                <w:bCs w:val="1"/>
                <w:color w:val="auto"/>
              </w:rPr>
              <w:t>2.</w:t>
            </w:r>
          </w:p>
        </w:tc>
        <w:tc>
          <w:tcPr>
            <w:tcW w:w="122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gridSpan w:val="2"/>
          </w:tcPr>
          <w:p>
            <w:pPr>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Conversion</w:t>
            </w:r>
          </w:p>
        </w:tc>
        <w:tc>
          <w:tcPr>
            <w:tcW w:w="12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or Exercise</w:t>
            </w:r>
          </w:p>
        </w:tc>
        <w:tc>
          <w:tcPr>
            <w:tcW w:w="12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Price of</w:t>
            </w:r>
          </w:p>
        </w:tc>
        <w:tc>
          <w:tcPr>
            <w:tcW w:w="1220" w:type="dxa"/>
            <w:vAlign w:val="bottom"/>
          </w:tcPr>
          <w:p>
            <w:pPr>
              <w:spacing w:after="0"/>
              <w:rPr>
                <w:sz w:val="11"/>
                <w:szCs w:val="11"/>
                <w:color w:val="auto"/>
              </w:rPr>
            </w:pP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64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64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gridSpan w:val="2"/>
          </w:tcPr>
          <w:p>
            <w:pPr>
              <w:ind w:left="4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92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Expiration</w:t>
            </w: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  Shares</w:t>
            </w: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3"/>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700" w:type="dxa"/>
            <w:vAlign w:val="bottom"/>
            <w:tcBorders>
              <w:top w:val="single" w:sz="8" w:color="2C2C2C"/>
            </w:tcBorders>
            <w:gridSpan w:val="4"/>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Borders>
              <w:top w:val="single" w:sz="8" w:color="2C2C2C"/>
            </w:tcBorders>
          </w:tcPr>
          <w:p>
            <w:pPr>
              <w:spacing w:after="0"/>
              <w:rPr>
                <w:sz w:val="21"/>
                <w:szCs w:val="21"/>
                <w:color w:val="auto"/>
              </w:rPr>
            </w:pPr>
          </w:p>
        </w:tc>
        <w:tc>
          <w:tcPr>
            <w:tcW w:w="104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0" w:type="dxa"/>
            <w:vAlign w:val="bottom"/>
            <w:tcBorders>
              <w:bottom w:val="single" w:sz="8" w:color="0000EE"/>
            </w:tcBorders>
            <w:gridSpan w:val="3"/>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ARES MANAGEMENT LLC</w:t>
              </w:r>
            </w:hyperlink>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(Last)</w:t>
            </w:r>
          </w:p>
        </w:tc>
        <w:tc>
          <w:tcPr>
            <w:tcW w:w="7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(First)</w:t>
            </w:r>
          </w:p>
        </w:tc>
        <w:tc>
          <w:tcPr>
            <w:tcW w:w="20" w:type="dxa"/>
            <w:vAlign w:val="bottom"/>
          </w:tcPr>
          <w:p>
            <w:pPr>
              <w:spacing w:after="0"/>
              <w:rPr>
                <w:sz w:val="24"/>
                <w:szCs w:val="24"/>
                <w:color w:val="auto"/>
              </w:rPr>
            </w:pPr>
          </w:p>
        </w:tc>
        <w:tc>
          <w:tcPr>
            <w:tcW w:w="1040" w:type="dxa"/>
            <w:vAlign w:val="bottom"/>
          </w:tcPr>
          <w:p>
            <w:pPr>
              <w:ind w:left="18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3"/>
          </w:tcPr>
          <w:p>
            <w:pPr>
              <w:spacing w:after="0"/>
              <w:rPr>
                <w:sz w:val="20"/>
                <w:szCs w:val="20"/>
                <w:color w:val="auto"/>
              </w:rPr>
            </w:pPr>
            <w:r>
              <w:rPr>
                <w:rFonts w:ascii="Arial" w:cs="Arial" w:eastAsia="Arial" w:hAnsi="Arial"/>
                <w:sz w:val="17"/>
                <w:szCs w:val="17"/>
                <w:color w:val="0000FF"/>
              </w:rPr>
              <w:t>2000 AVENUE OF THE STARS</w:t>
            </w: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12TH FLOOR</w:t>
            </w:r>
          </w:p>
        </w:tc>
        <w:tc>
          <w:tcPr>
            <w:tcW w:w="1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LOS ANGELES</w:t>
            </w:r>
          </w:p>
        </w:tc>
        <w:tc>
          <w:tcPr>
            <w:tcW w:w="1220" w:type="dxa"/>
            <w:vAlign w:val="bottom"/>
          </w:tcPr>
          <w:p>
            <w:pPr>
              <w:ind w:left="20"/>
              <w:spacing w:after="0"/>
              <w:rPr>
                <w:sz w:val="20"/>
                <w:szCs w:val="20"/>
                <w:color w:val="auto"/>
              </w:rPr>
            </w:pPr>
            <w:r>
              <w:rPr>
                <w:rFonts w:ascii="Arial" w:cs="Arial" w:eastAsia="Arial" w:hAnsi="Arial"/>
                <w:sz w:val="17"/>
                <w:szCs w:val="17"/>
                <w:color w:val="0000FF"/>
              </w:rPr>
              <w:t>CA</w:t>
            </w:r>
          </w:p>
        </w:tc>
        <w:tc>
          <w:tcPr>
            <w:tcW w:w="1060" w:type="dxa"/>
            <w:vAlign w:val="bottom"/>
            <w:gridSpan w:val="2"/>
          </w:tcPr>
          <w:p>
            <w:pPr>
              <w:ind w:left="200"/>
              <w:spacing w:after="0"/>
              <w:rPr>
                <w:sz w:val="20"/>
                <w:szCs w:val="20"/>
                <w:color w:val="auto"/>
              </w:rPr>
            </w:pPr>
            <w:r>
              <w:rPr>
                <w:rFonts w:ascii="Arial" w:cs="Arial" w:eastAsia="Arial" w:hAnsi="Arial"/>
                <w:sz w:val="17"/>
                <w:szCs w:val="17"/>
                <w:color w:val="0000FF"/>
              </w:rPr>
              <w:t>90067</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(City)</w:t>
            </w:r>
          </w:p>
        </w:tc>
        <w:tc>
          <w:tcPr>
            <w:tcW w:w="7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(State)</w:t>
            </w:r>
          </w:p>
        </w:tc>
        <w:tc>
          <w:tcPr>
            <w:tcW w:w="20" w:type="dxa"/>
            <w:vAlign w:val="bottom"/>
          </w:tcPr>
          <w:p>
            <w:pPr>
              <w:spacing w:after="0"/>
              <w:rPr>
                <w:sz w:val="24"/>
                <w:szCs w:val="24"/>
                <w:color w:val="auto"/>
              </w:rPr>
            </w:pPr>
          </w:p>
        </w:tc>
        <w:tc>
          <w:tcPr>
            <w:tcW w:w="1040" w:type="dxa"/>
            <w:vAlign w:val="bottom"/>
          </w:tcPr>
          <w:p>
            <w:pPr>
              <w:ind w:left="18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3"/>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tcPr>
          <w:p>
            <w:pPr>
              <w:spacing w:after="0"/>
              <w:rPr>
                <w:sz w:val="7"/>
                <w:szCs w:val="7"/>
                <w:color w:val="auto"/>
              </w:rPr>
            </w:pPr>
          </w:p>
        </w:tc>
        <w:tc>
          <w:tcPr>
            <w:tcW w:w="92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70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5"/>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AF V Energy IV AIV 1A, L.P.</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(Last)</w:t>
            </w:r>
          </w:p>
        </w:tc>
        <w:tc>
          <w:tcPr>
            <w:tcW w:w="7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(First)</w:t>
            </w:r>
          </w:p>
        </w:tc>
        <w:tc>
          <w:tcPr>
            <w:tcW w:w="20" w:type="dxa"/>
            <w:vAlign w:val="bottom"/>
          </w:tcPr>
          <w:p>
            <w:pPr>
              <w:spacing w:after="0"/>
              <w:rPr>
                <w:sz w:val="24"/>
                <w:szCs w:val="24"/>
                <w:color w:val="auto"/>
              </w:rPr>
            </w:pPr>
          </w:p>
        </w:tc>
        <w:tc>
          <w:tcPr>
            <w:tcW w:w="1040" w:type="dxa"/>
            <w:vAlign w:val="bottom"/>
          </w:tcPr>
          <w:p>
            <w:pPr>
              <w:ind w:left="18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5"/>
          </w:tcPr>
          <w:p>
            <w:pPr>
              <w:spacing w:after="0"/>
              <w:rPr>
                <w:sz w:val="20"/>
                <w:szCs w:val="20"/>
                <w:color w:val="auto"/>
              </w:rPr>
            </w:pPr>
            <w:r>
              <w:rPr>
                <w:rFonts w:ascii="Arial" w:cs="Arial" w:eastAsia="Arial" w:hAnsi="Arial"/>
                <w:sz w:val="17"/>
                <w:szCs w:val="17"/>
                <w:color w:val="0000FF"/>
              </w:rPr>
              <w:t>2000 AVENUE OF THE STARS, 12TH FLOOR</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bottom w:val="single" w:sz="8" w:color="9A9A9A"/>
            </w:tcBorders>
          </w:tcPr>
          <w:p>
            <w:pPr>
              <w:spacing w:after="0"/>
              <w:rPr>
                <w:sz w:val="18"/>
                <w:szCs w:val="18"/>
                <w:color w:val="auto"/>
              </w:rPr>
            </w:pPr>
          </w:p>
        </w:tc>
        <w:tc>
          <w:tcPr>
            <w:tcW w:w="70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LOS ANGELES</w:t>
            </w:r>
          </w:p>
        </w:tc>
        <w:tc>
          <w:tcPr>
            <w:tcW w:w="1220" w:type="dxa"/>
            <w:vAlign w:val="bottom"/>
          </w:tcPr>
          <w:p>
            <w:pPr>
              <w:ind w:left="20"/>
              <w:spacing w:after="0"/>
              <w:rPr>
                <w:sz w:val="20"/>
                <w:szCs w:val="20"/>
                <w:color w:val="auto"/>
              </w:rPr>
            </w:pPr>
            <w:r>
              <w:rPr>
                <w:rFonts w:ascii="Arial" w:cs="Arial" w:eastAsia="Arial" w:hAnsi="Arial"/>
                <w:sz w:val="17"/>
                <w:szCs w:val="17"/>
                <w:color w:val="0000FF"/>
              </w:rPr>
              <w:t>CA</w:t>
            </w:r>
          </w:p>
        </w:tc>
        <w:tc>
          <w:tcPr>
            <w:tcW w:w="1060" w:type="dxa"/>
            <w:vAlign w:val="bottom"/>
            <w:gridSpan w:val="2"/>
          </w:tcPr>
          <w:p>
            <w:pPr>
              <w:ind w:left="200"/>
              <w:spacing w:after="0"/>
              <w:rPr>
                <w:sz w:val="20"/>
                <w:szCs w:val="20"/>
                <w:color w:val="auto"/>
              </w:rPr>
            </w:pPr>
            <w:r>
              <w:rPr>
                <w:rFonts w:ascii="Arial" w:cs="Arial" w:eastAsia="Arial" w:hAnsi="Arial"/>
                <w:sz w:val="17"/>
                <w:szCs w:val="17"/>
                <w:color w:val="0000FF"/>
              </w:rPr>
              <w:t>90067</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(City)</w:t>
            </w:r>
          </w:p>
        </w:tc>
        <w:tc>
          <w:tcPr>
            <w:tcW w:w="7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(State)</w:t>
            </w:r>
          </w:p>
        </w:tc>
        <w:tc>
          <w:tcPr>
            <w:tcW w:w="20" w:type="dxa"/>
            <w:vAlign w:val="bottom"/>
          </w:tcPr>
          <w:p>
            <w:pPr>
              <w:spacing w:after="0"/>
              <w:rPr>
                <w:sz w:val="24"/>
                <w:szCs w:val="24"/>
                <w:color w:val="auto"/>
              </w:rPr>
            </w:pPr>
          </w:p>
        </w:tc>
        <w:tc>
          <w:tcPr>
            <w:tcW w:w="1040" w:type="dxa"/>
            <w:vAlign w:val="bottom"/>
          </w:tcPr>
          <w:p>
            <w:pPr>
              <w:ind w:left="18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-5182235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AF V Energy IV AIV 1B, L.P.</w:t>
        </w:r>
      </w:hyperlink>
    </w:p>
    <w:p>
      <w:pPr>
        <w:sectPr>
          <w:pgSz w:w="11900" w:h="16838" w:orient="portrait"/>
          <w:cols w:equalWidth="0" w:num="1">
            <w:col w:w="11080"/>
          </w:cols>
          <w:pgMar w:left="460" w:top="225" w:right="359" w:bottom="0" w:gutter="0" w:footer="0" w:header="0"/>
          <w:type w:val="continuous"/>
        </w:sectPr>
      </w:pPr>
    </w:p>
    <w:p>
      <w:pPr>
        <w:spacing w:after="0" w:line="321"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38" w:orient="portrait"/>
          <w:cols w:equalWidth="0" w:num="1">
            <w:col w:w="11080"/>
          </w:cols>
          <w:pgMar w:left="460" w:top="225" w:right="359" w:bottom="0" w:gutter="0" w:footer="0" w:header="0"/>
          <w:type w:val="continuous"/>
        </w:sectPr>
      </w:pPr>
    </w:p>
    <w:bookmarkStart w:id="1" w:name="page2"/>
    <w:bookmarkEnd w:id="1"/>
    <w:p>
      <w:pPr>
        <w:spacing w:after="0" w:line="12"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-118110</wp:posOffset>
            </wp:positionV>
            <wp:extent cx="2809240"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10526395"/>
                    </a:xfrm>
                    <a:prstGeom prst="rect">
                      <a:avLst/>
                    </a:prstGeom>
                    <a:noFill/>
                  </pic:spPr>
                </pic:pic>
              </a:graphicData>
            </a:graphic>
          </wp:anchor>
        </w:drawing>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46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18">
              <w:r>
                <w:rPr>
                  <w:rFonts w:ascii="Arial" w:cs="Arial" w:eastAsia="Arial" w:hAnsi="Arial"/>
                  <w:sz w:val="21"/>
                  <w:szCs w:val="21"/>
                  <w:color w:val="0000EE"/>
                </w:rPr>
                <w:t>AF V Energy IV AIV 2,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-925830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-925830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-223520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-223520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130810</wp:posOffset>
            </wp:positionV>
            <wp:extent cx="267398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320" w:type="dxa"/>
            <w:vAlign w:val="bottom"/>
            <w:tcBorders>
              <w:bottom w:val="single" w:sz="8" w:color="2C2C2C"/>
            </w:tcBorders>
            <w:gridSpan w:val="2"/>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24">
              <w:r>
                <w:rPr>
                  <w:rFonts w:ascii="Arial" w:cs="Arial" w:eastAsia="Arial" w:hAnsi="Arial"/>
                  <w:sz w:val="21"/>
                  <w:szCs w:val="21"/>
                  <w:color w:val="0000EE"/>
                </w:rPr>
                <w:t>AEOF ECR AIV A-B,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40" w:type="dxa"/>
            <w:vAlign w:val="bottom"/>
            <w:tcBorders>
              <w:top w:val="single" w:sz="8" w:color="0000EE"/>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-925830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-925830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-223520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-223520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130810</wp:posOffset>
            </wp:positionV>
            <wp:extent cx="267398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100" w:type="dxa"/>
            <w:vAlign w:val="bottom"/>
            <w:tcBorders>
              <w:bottom w:val="single" w:sz="8" w:color="2C2C2C"/>
            </w:tcBorders>
            <w:gridSpan w:val="2"/>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30">
              <w:r>
                <w:rPr>
                  <w:rFonts w:ascii="Arial" w:cs="Arial" w:eastAsia="Arial" w:hAnsi="Arial"/>
                  <w:sz w:val="21"/>
                  <w:szCs w:val="21"/>
                  <w:color w:val="0000EE"/>
                </w:rPr>
                <w:t>AEOF ECR AIV C,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-925830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-925830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-223520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-223520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130810</wp:posOffset>
            </wp:positionV>
            <wp:extent cx="267398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36">
              <w:r>
                <w:rPr>
                  <w:rFonts w:ascii="Arial" w:cs="Arial" w:eastAsia="Arial" w:hAnsi="Arial"/>
                  <w:sz w:val="21"/>
                  <w:szCs w:val="21"/>
                  <w:color w:val="0000EE"/>
                </w:rPr>
                <w:t>AF Energy Feeder,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-925830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-925830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-223520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-223520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130810</wp:posOffset>
            </wp:positionV>
            <wp:extent cx="267398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42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460" w:type="dxa"/>
            <w:vAlign w:val="bottom"/>
          </w:tcPr>
          <w:p>
            <w:pPr>
              <w:ind w:left="10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42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62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80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700" w:type="dxa"/>
            <w:vAlign w:val="bottom"/>
            <w:gridSpan w:val="3"/>
          </w:tcPr>
          <w:p>
            <w:pPr>
              <w:spacing w:after="0" w:line="221" w:lineRule="exact"/>
              <w:rPr>
                <w:rFonts w:ascii="Arial" w:cs="Arial" w:eastAsia="Arial" w:hAnsi="Arial"/>
                <w:sz w:val="21"/>
                <w:szCs w:val="21"/>
                <w:color w:val="0000EE"/>
                <w:w w:val="98"/>
              </w:rPr>
            </w:pPr>
            <w:hyperlink r:id="rId42">
              <w:r>
                <w:rPr>
                  <w:rFonts w:ascii="Arial" w:cs="Arial" w:eastAsia="Arial" w:hAnsi="Arial"/>
                  <w:sz w:val="21"/>
                  <w:szCs w:val="21"/>
                  <w:color w:val="0000EE"/>
                  <w:w w:val="98"/>
                </w:rPr>
                <w:t>SSF IV Energy I AIV 1A, L.P.</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34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42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-925830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-925830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-223520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-223520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130810</wp:posOffset>
            </wp:positionV>
            <wp:extent cx="267398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20" w:type="dxa"/>
            <w:vAlign w:val="bottom"/>
          </w:tcPr>
          <w:p>
            <w:pPr>
              <w:ind w:left="120"/>
              <w:spacing w:after="0"/>
              <w:rPr>
                <w:sz w:val="20"/>
                <w:szCs w:val="20"/>
                <w:color w:val="auto"/>
              </w:rPr>
            </w:pPr>
            <w:r>
              <w:rPr>
                <w:rFonts w:ascii="Arial" w:cs="Arial" w:eastAsia="Arial" w:hAnsi="Arial"/>
                <w:sz w:val="17"/>
                <w:szCs w:val="17"/>
                <w:color w:val="0000FF"/>
              </w:rPr>
              <w:t>CA</w:t>
            </w:r>
          </w:p>
        </w:tc>
        <w:tc>
          <w:tcPr>
            <w:tcW w:w="1560" w:type="dxa"/>
            <w:vAlign w:val="bottom"/>
          </w:tcPr>
          <w:p>
            <w:pPr>
              <w:ind w:left="20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20" w:type="dxa"/>
            <w:vAlign w:val="bottom"/>
          </w:tcPr>
          <w:p>
            <w:pPr>
              <w:ind w:left="120"/>
              <w:spacing w:after="0"/>
              <w:rPr>
                <w:sz w:val="20"/>
                <w:szCs w:val="20"/>
                <w:color w:val="auto"/>
              </w:rPr>
            </w:pPr>
            <w:r>
              <w:rPr>
                <w:rFonts w:ascii="Arial" w:cs="Arial" w:eastAsia="Arial" w:hAnsi="Arial"/>
                <w:sz w:val="13"/>
                <w:szCs w:val="13"/>
                <w:color w:val="auto"/>
              </w:rPr>
              <w:t>(State)</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2"/>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0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00" w:type="dxa"/>
            <w:vAlign w:val="bottom"/>
            <w:tcBorders>
              <w:bottom w:val="single" w:sz="8" w:color="0000EE"/>
            </w:tcBorders>
            <w:gridSpan w:val="2"/>
          </w:tcPr>
          <w:p>
            <w:pPr>
              <w:spacing w:after="0" w:line="221" w:lineRule="exact"/>
              <w:rPr>
                <w:rFonts w:ascii="Arial" w:cs="Arial" w:eastAsia="Arial" w:hAnsi="Arial"/>
                <w:sz w:val="21"/>
                <w:szCs w:val="21"/>
                <w:color w:val="0000EE"/>
                <w:w w:val="95"/>
              </w:rPr>
            </w:pPr>
            <w:hyperlink r:id="rId48">
              <w:r>
                <w:rPr>
                  <w:rFonts w:ascii="Arial" w:cs="Arial" w:eastAsia="Arial" w:hAnsi="Arial"/>
                  <w:sz w:val="21"/>
                  <w:szCs w:val="21"/>
                  <w:color w:val="0000EE"/>
                  <w:w w:val="95"/>
                </w:rPr>
                <w:t>SSF IV Energy I AIV 1B, L.P.</w:t>
              </w:r>
            </w:hyperlink>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20" w:type="dxa"/>
            <w:vAlign w:val="bottom"/>
          </w:tcPr>
          <w:p>
            <w:pPr>
              <w:ind w:left="120"/>
              <w:spacing w:after="0"/>
              <w:rPr>
                <w:sz w:val="20"/>
                <w:szCs w:val="20"/>
                <w:color w:val="auto"/>
              </w:rPr>
            </w:pPr>
            <w:r>
              <w:rPr>
                <w:rFonts w:ascii="Arial" w:cs="Arial" w:eastAsia="Arial" w:hAnsi="Arial"/>
                <w:sz w:val="13"/>
                <w:szCs w:val="13"/>
                <w:color w:val="auto"/>
              </w:rPr>
              <w:t>(First)</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-925830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-925830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-223520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-223520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130810</wp:posOffset>
            </wp:positionV>
            <wp:extent cx="267398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pacing w:after="0" w:line="339" w:lineRule="exact"/>
        <w:rPr>
          <w:sz w:val="20"/>
          <w:szCs w:val="20"/>
          <w:color w:val="auto"/>
        </w:rPr>
      </w:pPr>
    </w:p>
    <w:p>
      <w:pPr>
        <w:ind w:left="60"/>
        <w:spacing w:after="0"/>
        <w:rPr>
          <w:sz w:val="20"/>
          <w:szCs w:val="20"/>
          <w:color w:val="auto"/>
        </w:rPr>
      </w:pPr>
      <w:r>
        <w:rPr>
          <w:rFonts w:ascii="Arial" w:cs="Arial" w:eastAsia="Arial" w:hAnsi="Arial"/>
          <w:sz w:val="13"/>
          <w:szCs w:val="13"/>
          <w:color w:val="auto"/>
        </w:rPr>
        <w:t>(Street)</w:t>
      </w:r>
    </w:p>
    <w:p>
      <w:pPr>
        <w:sectPr>
          <w:pgSz w:w="11900" w:h="16851" w:orient="portrait"/>
          <w:cols w:equalWidth="0" w:num="1">
            <w:col w:w="9979"/>
          </w:cols>
          <w:pgMar w:left="480" w:top="131" w:right="1440" w:bottom="0" w:gutter="0" w:footer="0" w:header="0"/>
        </w:sectPr>
      </w:pPr>
    </w:p>
    <w:p>
      <w:pPr>
        <w:spacing w:after="0" w:line="2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7"/>
          <w:szCs w:val="17"/>
          <w:color w:val="0000FF"/>
        </w:rPr>
        <w:t>LOS ANGELES</w:t>
        <w:tab/>
        <w:t>CA</w:t>
      </w:r>
      <w:r>
        <w:rPr>
          <w:sz w:val="20"/>
          <w:szCs w:val="20"/>
          <w:color w:val="auto"/>
        </w:rPr>
        <w:tab/>
      </w:r>
      <w:r>
        <w:rPr>
          <w:rFonts w:ascii="Arial" w:cs="Arial" w:eastAsia="Arial" w:hAnsi="Arial"/>
          <w:sz w:val="15"/>
          <w:szCs w:val="15"/>
          <w:color w:val="0000FF"/>
        </w:rPr>
        <w:t>90067</w:t>
      </w:r>
    </w:p>
    <w:p>
      <w:pPr>
        <w:sectPr>
          <w:pgSz w:w="11900" w:h="16851" w:orient="portrait"/>
          <w:cols w:equalWidth="0" w:num="1">
            <w:col w:w="9979"/>
          </w:cols>
          <w:pgMar w:left="480" w:top="131" w:right="1440" w:bottom="0" w:gutter="0" w:footer="0" w:header="0"/>
          <w:type w:val="continuous"/>
        </w:sectPr>
      </w:pPr>
    </w:p>
    <w:bookmarkStart w:id="2" w:name="page3"/>
    <w:bookmarkEnd w:id="2"/>
    <w:p>
      <w:pPr>
        <w:spacing w:after="0" w:line="5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941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2809240" cy="194183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880" w:type="dxa"/>
            <w:vAlign w:val="bottom"/>
          </w:tcPr>
          <w:p>
            <w:pPr>
              <w:spacing w:after="0"/>
              <w:rPr>
                <w:sz w:val="20"/>
                <w:szCs w:val="20"/>
                <w:color w:val="auto"/>
              </w:rPr>
            </w:pPr>
            <w:r>
              <w:rPr>
                <w:rFonts w:ascii="Arial" w:cs="Arial" w:eastAsia="Arial" w:hAnsi="Arial"/>
                <w:sz w:val="13"/>
                <w:szCs w:val="13"/>
                <w:color w:val="auto"/>
              </w:rPr>
              <w:t>(City)</w:t>
            </w:r>
          </w:p>
        </w:tc>
        <w:tc>
          <w:tcPr>
            <w:tcW w:w="1780" w:type="dxa"/>
            <w:vAlign w:val="bottom"/>
            <w:gridSpan w:val="2"/>
          </w:tcPr>
          <w:p>
            <w:pPr>
              <w:ind w:left="5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46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55">
              <w:r>
                <w:rPr>
                  <w:rFonts w:ascii="Arial" w:cs="Arial" w:eastAsia="Arial" w:hAnsi="Arial"/>
                  <w:sz w:val="21"/>
                  <w:szCs w:val="21"/>
                  <w:color w:val="0000EE"/>
                </w:rPr>
                <w:t>SSF IV Energy I AIV 2,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880" w:type="dxa"/>
            <w:vAlign w:val="bottom"/>
            <w:tcBorders>
              <w:top w:val="single" w:sz="8" w:color="0000EE"/>
              <w:bottom w:val="single" w:sz="8" w:color="9A9A9A"/>
            </w:tcBorders>
          </w:tcPr>
          <w:p>
            <w:pPr>
              <w:spacing w:after="0"/>
              <w:rPr>
                <w:sz w:val="15"/>
                <w:szCs w:val="15"/>
                <w:color w:val="auto"/>
              </w:rPr>
            </w:pPr>
          </w:p>
        </w:tc>
        <w:tc>
          <w:tcPr>
            <w:tcW w:w="158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3"/>
                <w:szCs w:val="13"/>
                <w:color w:val="auto"/>
              </w:rPr>
              <w:t>(Last)</w:t>
            </w:r>
          </w:p>
        </w:tc>
        <w:tc>
          <w:tcPr>
            <w:tcW w:w="1780" w:type="dxa"/>
            <w:vAlign w:val="bottom"/>
            <w:gridSpan w:val="2"/>
          </w:tcPr>
          <w:p>
            <w:pPr>
              <w:ind w:left="5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3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020" w:type="dxa"/>
            <w:vAlign w:val="bottom"/>
          </w:tcPr>
          <w:p>
            <w:pPr>
              <w:ind w:left="120"/>
              <w:spacing w:after="0"/>
              <w:rPr>
                <w:sz w:val="20"/>
                <w:szCs w:val="20"/>
                <w:color w:val="auto"/>
              </w:rPr>
            </w:pPr>
            <w:r>
              <w:rPr>
                <w:rFonts w:ascii="Arial" w:cs="Arial" w:eastAsia="Arial" w:hAnsi="Arial"/>
                <w:sz w:val="17"/>
                <w:szCs w:val="17"/>
                <w:color w:val="0000FF"/>
              </w:rPr>
              <w:t>CA</w:t>
            </w:r>
          </w:p>
        </w:tc>
        <w:tc>
          <w:tcPr>
            <w:tcW w:w="1860" w:type="dxa"/>
            <w:vAlign w:val="bottom"/>
          </w:tcPr>
          <w:p>
            <w:pPr>
              <w:ind w:left="500"/>
              <w:spacing w:after="0"/>
              <w:rPr>
                <w:sz w:val="20"/>
                <w:szCs w:val="20"/>
                <w:color w:val="auto"/>
              </w:rPr>
            </w:pPr>
            <w:r>
              <w:rPr>
                <w:rFonts w:ascii="Arial" w:cs="Arial" w:eastAsia="Arial" w:hAnsi="Arial"/>
                <w:sz w:val="17"/>
                <w:szCs w:val="17"/>
                <w:color w:val="0000FF"/>
              </w:rPr>
              <w:t>90067</w:t>
            </w:r>
          </w:p>
        </w:tc>
      </w:tr>
      <w:tr>
        <w:trPr>
          <w:trHeight w:val="155"/>
        </w:trPr>
        <w:tc>
          <w:tcPr>
            <w:tcW w:w="4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1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right="40" w:firstLine="7"/>
        <w:spacing w:after="0" w:line="243" w:lineRule="auto"/>
        <w:tabs>
          <w:tab w:leader="none" w:pos="15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This statement is being filed jointly by (i) AF V Energy IV AIV 1A, L.P. ("ACOF AIV 1A"), (ii) AF V Energy IV AIV 1B, L.P. ("ACOF AIV 1B"), (iii) AF V Energy IV AIV 2, L.P. ("ACOF AIV 2" and, together with ACOF AIV 1A and ACOF AIV 1B, the "ACOF AIVs"), (iv) AEOF ECR AIV A-B, L.P. ("AEOF AIV A-B"), (v) AEOF ECR AIV C, L.P. ("AEOF AIV C" and, together with AEOF AIV A-B, the "AEOF AIVs"), (vi) AF Energy Feeder, L.P., (vii) ACOF Investment Management LLC ("ACOF Investment Management"), (viii) SSF IV Energy I AIV 1A, L.P. ("SSF AIV 1A"), (ix) SSF IV Energy I AIV 1B, L.P. ("SSF AIV 1B"), (x) SSF IV Energy I AIV 2, L.P. ("SSF AIV 2" and, together with SSF AIV 1A and SSF AIV 1B, the "SSF AIVs"), (xi) ASSF Operating Manager IV, L.P. ("ASSF Operating Manager IV"), (xii) Ares Management LLC, (Continued in footnote 2)</w:t>
      </w:r>
    </w:p>
    <w:p>
      <w:pPr>
        <w:spacing w:after="0" w:line="29" w:lineRule="exact"/>
        <w:rPr>
          <w:rFonts w:ascii="Arial" w:cs="Arial" w:eastAsia="Arial" w:hAnsi="Arial"/>
          <w:sz w:val="13"/>
          <w:szCs w:val="13"/>
          <w:color w:val="008000"/>
        </w:rPr>
      </w:pPr>
    </w:p>
    <w:p>
      <w:pPr>
        <w:ind w:left="20" w:firstLine="7"/>
        <w:spacing w:after="0" w:line="250" w:lineRule="auto"/>
        <w:tabs>
          <w:tab w:leader="none" w:pos="15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(xiii) Ares Management Holdings L.P. ("Ares Management Holdings"), (xiv) Ares Holdco LLC ("Ares Holdco"), (xv) Ares Management Corporation ("Ares Management"), (xvi) Ares Voting LLC ("Ares Voting"), (xvii) Ares Management GP LLC ("Ares Management GP") and (xviii) Ares Partners Holdco LLC ("Ares Partners") (collectively, the "Reporting Persons"). Due to the electronic system's limitation of 10 Reporting Persons per joint filing, this statement is being filed in duplicate.</w:t>
      </w:r>
    </w:p>
    <w:p>
      <w:pPr>
        <w:spacing w:after="0" w:line="25" w:lineRule="exact"/>
        <w:rPr>
          <w:rFonts w:ascii="Arial" w:cs="Arial" w:eastAsia="Arial" w:hAnsi="Arial"/>
          <w:sz w:val="13"/>
          <w:szCs w:val="13"/>
          <w:color w:val="008000"/>
        </w:rPr>
      </w:pPr>
    </w:p>
    <w:p>
      <w:pPr>
        <w:ind w:left="160" w:hanging="133"/>
        <w:spacing w:after="0"/>
        <w:tabs>
          <w:tab w:leader="none" w:pos="16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amount of profit potentially recoverable by the Issuer from the reported transactions has been remitted to the Issuer.</w:t>
      </w:r>
    </w:p>
    <w:p>
      <w:pPr>
        <w:spacing w:after="0" w:line="50" w:lineRule="exact"/>
        <w:rPr>
          <w:rFonts w:ascii="Arial" w:cs="Arial" w:eastAsia="Arial" w:hAnsi="Arial"/>
          <w:sz w:val="13"/>
          <w:szCs w:val="13"/>
          <w:color w:val="008000"/>
        </w:rPr>
      </w:pPr>
    </w:p>
    <w:p>
      <w:pPr>
        <w:ind w:left="20" w:right="80" w:firstLine="7"/>
        <w:spacing w:after="0" w:line="243" w:lineRule="auto"/>
        <w:tabs>
          <w:tab w:leader="none" w:pos="15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ACOF Investment Management is the manager of each of the ACOF AIVs, the AEOF AIVs and AF Energy Feeder, L.P., and the sole member of ACOF Investment Management is Ares Management LLC. ASSF Operating Manager IV is the manager of the SSF AIVs, and the general partner of ASSF Operating Manager IV is Ares Management LLC. The sole member of Ares Management LLC is Ares Management Holdings and the general partner of Ares Management Holdings is Ares Holdco. The sole member of Ares Holdco is Ares Management. Ares Management GP is the sole holder of the Class B common stock, $0.01 par value per share, of Ares Management (the "Ares Class B Common Stock") and Ares Voting LLC ("Ares Voting") is the sole holder of the Class C common stock, $0.01 par value per share, of Ares Management (the "Ares Class C Common Stock"). (Continued in footnote 5)</w:t>
      </w:r>
    </w:p>
    <w:p>
      <w:pPr>
        <w:spacing w:after="0" w:line="29" w:lineRule="exact"/>
        <w:rPr>
          <w:rFonts w:ascii="Arial" w:cs="Arial" w:eastAsia="Arial" w:hAnsi="Arial"/>
          <w:sz w:val="13"/>
          <w:szCs w:val="13"/>
          <w:color w:val="008000"/>
        </w:rPr>
      </w:pPr>
    </w:p>
    <w:p>
      <w:pPr>
        <w:ind w:left="20" w:right="160" w:firstLine="7"/>
        <w:spacing w:after="0" w:line="245" w:lineRule="auto"/>
        <w:tabs>
          <w:tab w:leader="none" w:pos="15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Pursuant to Ares Management's Certificate of Incorporation, the holders of the Ares Class B Common Stock and the Ares Class C Common Stock, collectively, will generally have the majority of the votes on any matter submitted to the stockholders of Ares Management if certain conditions are met. The sole member of both Ares Management GP and Ares Voting is Ares Partners. Ares Partners is managed by a board of managers, which is composed of Michael Arougheti, Ryan Berry, R. Kipp deVeer, David Kaplan, Michael McFerran, Antony Ressler and Bennett Rosenthal (collectively, the "Board Members"). Mr. Ressler generally has veto authority over decisions by the Board Members.</w:t>
      </w:r>
    </w:p>
    <w:p>
      <w:pPr>
        <w:spacing w:after="0" w:line="29" w:lineRule="exact"/>
        <w:rPr>
          <w:rFonts w:ascii="Arial" w:cs="Arial" w:eastAsia="Arial" w:hAnsi="Arial"/>
          <w:sz w:val="13"/>
          <w:szCs w:val="13"/>
          <w:color w:val="008000"/>
        </w:rPr>
      </w:pPr>
    </w:p>
    <w:p>
      <w:pPr>
        <w:ind w:left="20" w:right="40" w:firstLine="7"/>
        <w:spacing w:after="0" w:line="241" w:lineRule="auto"/>
        <w:tabs>
          <w:tab w:leader="none" w:pos="15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Reporting Persons collectively beneficially own, or may be deemed to beneficially own, in the aggregate 16,484,587 shares of Common Stock by reason of the direct or indirect beneficial ownership of such shares as follows: (i) ACOF AIV 1A directly holds 761,293 shares of Common Stock, (ii) ACOF AIV 1B directly holds 2,785,932 shares of Common Stock, (iii) ACOF AIV 2 directly holds 2,838,036 shares of Common Stock, (iv) AEOF AIV A-B directly holds 1,894,861 shares of Common Stock, (v) AEOF AIV C directly holds 804,524 shares of Common Stock, (vi) SSF AIV 1A directly holds 474,061 shares of Common Stock, (vii) SSF AIV 1B directly holds 422,650 shares of Common Stock, (viii) SSF AIV 2 directly holds 668,048 shares of Common Stock and (ix) AF Energy Feeder, L.P. directly holds 5,815,182 shares of Common Stock. These holdings reflect 2,759 shares previously incorrectly reported as beneficially owned by ACOF AIV 2 that were actually beneficially owned by ACOF AIV 1A.</w:t>
      </w:r>
    </w:p>
    <w:p>
      <w:pPr>
        <w:spacing w:after="0" w:line="32" w:lineRule="exact"/>
        <w:rPr>
          <w:rFonts w:ascii="Arial" w:cs="Arial" w:eastAsia="Arial" w:hAnsi="Arial"/>
          <w:sz w:val="13"/>
          <w:szCs w:val="13"/>
          <w:color w:val="008000"/>
        </w:rPr>
      </w:pPr>
    </w:p>
    <w:p>
      <w:pPr>
        <w:ind w:left="20" w:right="160" w:firstLine="7"/>
        <w:spacing w:after="0" w:line="245" w:lineRule="auto"/>
        <w:tabs>
          <w:tab w:leader="none" w:pos="15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Each of the Reporting Persons (other than the ACOF AIVs, the AEOF AIVs, the SSF AIVs and AF Energy Feeder, L.P with respect to the shares of Common Stock directly held by them) and the Board Members, and the other directors, officers, partners, stockholders, members and managers of the Reporting Persons, expressly disclaims beneficial ownership of the Common Stock, except to the extent of any pecuniary interest therein, and this Form 4 shall not be deemed an admission that any such person or entity is the beneficial owner of, or has any pecuniary interest in, such securities for purposes of Section 16 of the Securities Exchange Act of 1934, as amended, or for any other purposes.</w:t>
      </w:r>
    </w:p>
    <w:p>
      <w:pPr>
        <w:sectPr>
          <w:pgSz w:w="11900" w:h="16898" w:orient="portrait"/>
          <w:cols w:equalWidth="0" w:num="1">
            <w:col w:w="10900"/>
          </w:cols>
          <w:pgMar w:left="480" w:top="312" w:right="519" w:bottom="0" w:gutter="0" w:footer="0" w:header="0"/>
        </w:sectPr>
      </w:pPr>
    </w:p>
    <w:p>
      <w:pPr>
        <w:spacing w:after="0" w:line="56"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ARES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33794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/s/ 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2833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3347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9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AF V ENERGY IV AIV 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27698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L.P. By: ACOF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6788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0231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761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065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5189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2799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AF V ENERGY IV AIV 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2712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L.P. By: ACOF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6788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0231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761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065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5189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2799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AF V ENERGY IV AIV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19761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L.P. By: ACOF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6788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0231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761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065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5189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2799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AEOF ECR AIV A-B,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1950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119507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By: 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1031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12103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761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0650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5189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2799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rPr>
          <w:sz w:val="20"/>
          <w:szCs w:val="20"/>
          <w:color w:val="auto"/>
        </w:rPr>
      </w:pPr>
      <w:r>
        <w:rPr>
          <w:rFonts w:ascii="Arial" w:cs="Arial" w:eastAsia="Arial" w:hAnsi="Arial"/>
          <w:sz w:val="15"/>
          <w:szCs w:val="15"/>
          <w:color w:val="0000FF"/>
        </w:rPr>
        <w:t>06/09/2021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06/09/2021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0000FF"/>
        </w:rPr>
        <w:t>06/09/2021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0000FF"/>
        </w:rPr>
        <w:t>06/09/2021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0000FF"/>
        </w:rPr>
        <w:t>06/09/2021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733" w:lineRule="exact"/>
        <w:rPr>
          <w:sz w:val="20"/>
          <w:szCs w:val="20"/>
          <w:color w:val="auto"/>
        </w:rPr>
      </w:pPr>
    </w:p>
    <w:p>
      <w:pPr>
        <w:sectPr>
          <w:pgSz w:w="11900" w:h="16898" w:orient="portrait"/>
          <w:cols w:equalWidth="0" w:num="2">
            <w:col w:w="8680" w:space="80"/>
            <w:col w:w="2140"/>
          </w:cols>
          <w:pgMar w:left="480" w:top="312" w:right="519" w:bottom="0"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7"/>
          <w:szCs w:val="17"/>
          <w:color w:val="0000FF"/>
        </w:rPr>
        <w:t>AEOF ECR AIV C, L.P. By:</w:t>
      </w:r>
      <w:r>
        <w:rPr>
          <w:sz w:val="20"/>
          <w:szCs w:val="20"/>
          <w:color w:val="auto"/>
        </w:rPr>
        <w:tab/>
      </w:r>
      <w:r>
        <w:rPr>
          <w:rFonts w:ascii="Arial" w:cs="Arial" w:eastAsia="Arial" w:hAnsi="Arial"/>
          <w:sz w:val="15"/>
          <w:szCs w:val="15"/>
          <w:color w:val="0000FF"/>
        </w:rPr>
        <w:t>06/09/2021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8973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236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102362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761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0650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9">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5189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0">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sectPr>
          <w:pgSz w:w="11900" w:h="16898" w:orient="portrait"/>
          <w:cols w:equalWidth="0" w:num="1">
            <w:col w:w="10900"/>
          </w:cols>
          <w:pgMar w:left="480" w:top="312" w:right="519" w:bottom="0" w:gutter="0" w:footer="0" w:header="0"/>
          <w:type w:val="continuous"/>
        </w:sectPr>
      </w:pPr>
    </w:p>
    <w:bookmarkStart w:id="3" w:name="page4"/>
    <w:bookmarkEnd w:id="3"/>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97155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1">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2">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AF ENERGY FEEDER,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-635</wp:posOffset>
            </wp:positionV>
            <wp:extent cx="12833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3">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By: 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031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4">
                      <a:extLst>
                        <a:ext uri="{28A0092B-C50C-407E-A947-70E740481C1C}"/>
                      </a:extLst>
                    </a:blip>
                    <a:srcRect/>
                    <a:stretch>
                      <a:fillRect/>
                    </a:stretch>
                  </pic:blipFill>
                  <pic:spPr bwMode="auto">
                    <a:xfrm>
                      <a:off x="0" y="0"/>
                      <a:ext cx="1210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5">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6">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7">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8">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9">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SSF IV ENERGY I AIV 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698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0">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L.P. By: ASSF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651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1">
                      <a:extLst>
                        <a:ext uri="{28A0092B-C50C-407E-A947-70E740481C1C}"/>
                      </a:extLst>
                    </a:blip>
                    <a:srcRect/>
                    <a:stretch>
                      <a:fillRect/>
                    </a:stretch>
                  </pic:blipFill>
                  <pic:spPr bwMode="auto">
                    <a:xfrm>
                      <a:off x="0" y="0"/>
                      <a:ext cx="128651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MANAGER IV,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7950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2">
                      <a:extLst>
                        <a:ext uri="{28A0092B-C50C-407E-A947-70E740481C1C}"/>
                      </a:extLst>
                    </a:blip>
                    <a:srcRect/>
                    <a:stretch>
                      <a:fillRect/>
                    </a:stretch>
                  </pic:blipFill>
                  <pic:spPr bwMode="auto">
                    <a:xfrm>
                      <a:off x="0" y="0"/>
                      <a:ext cx="10795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3">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4">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5">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6">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SSF IV ENERGY I AIV 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127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7">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L.P. By: ASSF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651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8">
                      <a:extLst>
                        <a:ext uri="{28A0092B-C50C-407E-A947-70E740481C1C}"/>
                      </a:extLst>
                    </a:blip>
                    <a:srcRect/>
                    <a:stretch>
                      <a:fillRect/>
                    </a:stretch>
                  </pic:blipFill>
                  <pic:spPr bwMode="auto">
                    <a:xfrm>
                      <a:off x="0" y="0"/>
                      <a:ext cx="128651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MANAGER IV,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7950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9">
                      <a:extLst>
                        <a:ext uri="{28A0092B-C50C-407E-A947-70E740481C1C}"/>
                      </a:extLst>
                    </a:blip>
                    <a:srcRect/>
                    <a:stretch>
                      <a:fillRect/>
                    </a:stretch>
                  </pic:blipFill>
                  <pic:spPr bwMode="auto">
                    <a:xfrm>
                      <a:off x="0" y="0"/>
                      <a:ext cx="10795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0">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1">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2">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3">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SSF IV ENERGY I AIV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9761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4">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L.P. By: ASSF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651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5">
                      <a:extLst>
                        <a:ext uri="{28A0092B-C50C-407E-A947-70E740481C1C}"/>
                      </a:extLst>
                    </a:blip>
                    <a:srcRect/>
                    <a:stretch>
                      <a:fillRect/>
                    </a:stretch>
                  </pic:blipFill>
                  <pic:spPr bwMode="auto">
                    <a:xfrm>
                      <a:off x="0" y="0"/>
                      <a:ext cx="128651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MANAGER IV,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7950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6">
                      <a:extLst>
                        <a:ext uri="{28A0092B-C50C-407E-A947-70E740481C1C}"/>
                      </a:extLst>
                    </a:blip>
                    <a:srcRect/>
                    <a:stretch>
                      <a:fillRect/>
                    </a:stretch>
                  </pic:blipFill>
                  <pic:spPr bwMode="auto">
                    <a:xfrm>
                      <a:off x="0" y="0"/>
                      <a:ext cx="10795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7">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8">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9">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0">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52"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5"/>
          <w:szCs w:val="15"/>
          <w:color w:val="0000FF"/>
        </w:rPr>
        <w:t>06/09/2021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06/09/2021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06/09/2021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06/09/2021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580" w:space="160"/>
            <w:col w:w="1440"/>
          </w:cols>
          <w:pgMar w:left="500" w:top="131" w:right="1219" w:bottom="1440" w:gutter="0" w:footer="0" w:header="0"/>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31"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png"/><Relationship Id="rId97" Type="http://schemas.openxmlformats.org/officeDocument/2006/relationships/image" Target="media/image79.png"/><Relationship Id="rId98" Type="http://schemas.openxmlformats.org/officeDocument/2006/relationships/image" Target="media/image80.png"/><Relationship Id="rId99" Type="http://schemas.openxmlformats.org/officeDocument/2006/relationships/image" Target="media/image81.png"/><Relationship Id="rId100" Type="http://schemas.openxmlformats.org/officeDocument/2006/relationships/image" Target="media/image82.png"/><Relationship Id="rId101" Type="http://schemas.openxmlformats.org/officeDocument/2006/relationships/image" Target="media/image83.png"/><Relationship Id="rId102" Type="http://schemas.openxmlformats.org/officeDocument/2006/relationships/image" Target="media/image84.png"/><Relationship Id="rId103" Type="http://schemas.openxmlformats.org/officeDocument/2006/relationships/image" Target="media/image85.png"/><Relationship Id="rId104" Type="http://schemas.openxmlformats.org/officeDocument/2006/relationships/image" Target="media/image86.png"/><Relationship Id="rId105" Type="http://schemas.openxmlformats.org/officeDocument/2006/relationships/image" Target="media/image87.png"/><Relationship Id="rId106" Type="http://schemas.openxmlformats.org/officeDocument/2006/relationships/image" Target="media/image88.png"/><Relationship Id="rId107" Type="http://schemas.openxmlformats.org/officeDocument/2006/relationships/image" Target="media/image89.png"/><Relationship Id="rId108" Type="http://schemas.openxmlformats.org/officeDocument/2006/relationships/image" Target="media/image90.png"/><Relationship Id="rId109" Type="http://schemas.openxmlformats.org/officeDocument/2006/relationships/image" Target="media/image91.png"/><Relationship Id="rId110" Type="http://schemas.openxmlformats.org/officeDocument/2006/relationships/image" Target="media/image92.png"/><Relationship Id="rId111" Type="http://schemas.openxmlformats.org/officeDocument/2006/relationships/image" Target="media/image93.png"/><Relationship Id="rId112" Type="http://schemas.openxmlformats.org/officeDocument/2006/relationships/image" Target="media/image94.png"/><Relationship Id="rId113" Type="http://schemas.openxmlformats.org/officeDocument/2006/relationships/image" Target="media/image95.png"/><Relationship Id="rId114" Type="http://schemas.openxmlformats.org/officeDocument/2006/relationships/image" Target="media/image96.png"/><Relationship Id="rId115" Type="http://schemas.openxmlformats.org/officeDocument/2006/relationships/image" Target="media/image97.png"/><Relationship Id="rId116" Type="http://schemas.openxmlformats.org/officeDocument/2006/relationships/image" Target="media/image98.png"/><Relationship Id="rId117" Type="http://schemas.openxmlformats.org/officeDocument/2006/relationships/image" Target="media/image99.png"/><Relationship Id="rId118" Type="http://schemas.openxmlformats.org/officeDocument/2006/relationships/image" Target="media/image100.png"/><Relationship Id="rId119" Type="http://schemas.openxmlformats.org/officeDocument/2006/relationships/image" Target="media/image101.png"/><Relationship Id="rId120" Type="http://schemas.openxmlformats.org/officeDocument/2006/relationships/image" Target="media/image102.png"/><Relationship Id="rId121" Type="http://schemas.openxmlformats.org/officeDocument/2006/relationships/image" Target="media/image103.png"/><Relationship Id="rId122" Type="http://schemas.openxmlformats.org/officeDocument/2006/relationships/image" Target="media/image104.png"/><Relationship Id="rId123" Type="http://schemas.openxmlformats.org/officeDocument/2006/relationships/image" Target="media/image105.png"/><Relationship Id="rId124" Type="http://schemas.openxmlformats.org/officeDocument/2006/relationships/image" Target="media/image106.png"/><Relationship Id="rId125" Type="http://schemas.openxmlformats.org/officeDocument/2006/relationships/image" Target="media/image107.png"/><Relationship Id="rId126" Type="http://schemas.openxmlformats.org/officeDocument/2006/relationships/image" Target="media/image108.png"/><Relationship Id="rId127" Type="http://schemas.openxmlformats.org/officeDocument/2006/relationships/image" Target="media/image109.png"/><Relationship Id="rId128" Type="http://schemas.openxmlformats.org/officeDocument/2006/relationships/image" Target="media/image110.png"/><Relationship Id="rId129" Type="http://schemas.openxmlformats.org/officeDocument/2006/relationships/image" Target="media/image111.png"/><Relationship Id="rId130" Type="http://schemas.openxmlformats.org/officeDocument/2006/relationships/image" Target="media/image112.png"/><Relationship Id="rId131" Type="http://schemas.openxmlformats.org/officeDocument/2006/relationships/image" Target="media/image113.png"/><Relationship Id="rId132" Type="http://schemas.openxmlformats.org/officeDocument/2006/relationships/image" Target="media/image114.png"/><Relationship Id="rId133" Type="http://schemas.openxmlformats.org/officeDocument/2006/relationships/image" Target="media/image115.png"/><Relationship Id="rId134" Type="http://schemas.openxmlformats.org/officeDocument/2006/relationships/image" Target="media/image116.png"/><Relationship Id="rId12" Type="http://schemas.openxmlformats.org/officeDocument/2006/relationships/hyperlink" Target="http://www.sec.gov/cgi-bin/browse-edgar?action=getcompany&amp;CIK=0001259313"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831167" TargetMode="External"/><Relationship Id="rId16" Type="http://schemas.openxmlformats.org/officeDocument/2006/relationships/hyperlink" Target="http://www.sec.gov/cgi-bin/browse-edgar?action=getcompany&amp;CIK=0001831195" TargetMode="External"/><Relationship Id="rId18" Type="http://schemas.openxmlformats.org/officeDocument/2006/relationships/hyperlink" Target="http://www.sec.gov/cgi-bin/browse-edgar?action=getcompany&amp;CIK=0001831196" TargetMode="External"/><Relationship Id="rId24" Type="http://schemas.openxmlformats.org/officeDocument/2006/relationships/hyperlink" Target="http://www.sec.gov/cgi-bin/browse-edgar?action=getcompany&amp;CIK=0001831200" TargetMode="External"/><Relationship Id="rId30" Type="http://schemas.openxmlformats.org/officeDocument/2006/relationships/hyperlink" Target="http://www.sec.gov/cgi-bin/browse-edgar?action=getcompany&amp;CIK=0001831202" TargetMode="External"/><Relationship Id="rId36" Type="http://schemas.openxmlformats.org/officeDocument/2006/relationships/hyperlink" Target="http://www.sec.gov/cgi-bin/browse-edgar?action=getcompany&amp;CIK=0001831203" TargetMode="External"/><Relationship Id="rId42" Type="http://schemas.openxmlformats.org/officeDocument/2006/relationships/hyperlink" Target="http://www.sec.gov/cgi-bin/browse-edgar?action=getcompany&amp;CIK=0001831197" TargetMode="External"/><Relationship Id="rId48" Type="http://schemas.openxmlformats.org/officeDocument/2006/relationships/hyperlink" Target="http://www.sec.gov/cgi-bin/browse-edgar?action=getcompany&amp;CIK=0001831198" TargetMode="External"/><Relationship Id="rId55" Type="http://schemas.openxmlformats.org/officeDocument/2006/relationships/hyperlink" Target="http://www.sec.gov/cgi-bin/browse-edgar?action=getcompany&amp;CIK=000183119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2021-06-09T18:14:17Z</dcterms:created>
  <dcterms:modified xsi:type="dcterms:W3CDTF">2021-06-09T18:14:17Z</dcterms:modified>
</cp:coreProperties>
</file>