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191135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On August 22, 2024, California Resources Corporation (the “Company”) completed its previously announced private offering of $300.0 million aggregate principal amount of its 8.250% senior notes due 2029 (the “Notes”). The terms of the Notes are governed by the Indenture, dated as of June 5, 2024 (the “Original Indenture”), by and among the Company, the guarantors party thereto (the “Guarantors”) and Wilmington Trust, National Association, as trustee (the “Trustee”), as supplemented by that certain supplemental indenture, dated as of July 1, 2024 (the “First Supplemental Indenture”), and the Second Supplemental Indenture, dated as of August 22, 2024 (the “Second Supplemental Indenture” and, the Original Indenture, as supplemented by the First Supplemental Indenture and the Second Supplemental Indenture, the “Indenture”). The Notes will mature on June 15, 2029. Interest will accrue from June 5, 2024 and will be payable semi-annually on June 15 and December 15 of each year, commencing December 15, 2024.</w:t>
      </w:r>
    </w:p>
    <w:p>
      <w:pPr>
        <w:spacing w:after="0" w:line="17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Notes were offered as additional notes under the Indenture, pursuant to which the Company previously issued $600.0 million aggregate principal amount of 8.250% senior notes due 2029 (the “Existing 2029 Notes”). The Notes have substantially identical terms, other than the issue date and issue price, as the Existing 2029 Notes, and the Notes and the Existing 2029 Notes are treated as a single series of securities under the Indenture and vote together as a single class. Except with respect to Notes offered pursuant to Regulation S under the Securities Act of 1933, as amended, the Notes have the same CUSIP and ISIN numbers as, and are fungible with, the Existing 2029 Notes immediately upon issuance.</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and its existing 7.125% Senior Notes due 2026, and the Notes will be guaranteed by certain of the Company’s future subsidiaries.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June 15, 2026 at the redemption prices specified in the Indenture. Prior to such time, the Company may, at its option, redeem up to 35% of the aggregate principal amount of the Notes with an amount of cash not greater than the net cash proceeds from certain equity offerings at the redemption price specified in the Indenture. In addition, before June 15, 2026,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9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Original Indenture, the First Supplemental Indenture and the Second Supplemental Indenture, which are included in Exhibits 4.1, 4.2 and 4.3 hereto, respectively, and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August 8, 2024, the Company issued a press release announcing the pricing of its upsized private offering of $300.0 million in aggregate principal amount of its 8.250% senior notes due 2029 at 101% of par. A copy of the press release is included as Exhibit 99.1 and is incorporated herein by reference.</w:t>
      </w:r>
    </w:p>
    <w:p>
      <w:pPr>
        <w:sectPr>
          <w:pgSz w:w="11900" w:h="16838" w:orient="portrait"/>
          <w:cols w:equalWidth="0" w:num="1">
            <w:col w:w="10980"/>
          </w:cols>
          <w:pgMar w:left="440" w:top="293"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84"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June 5, 2024, by and among the Company, the Guarantors and the Trustee (filed as Exhibit 4.1 to the Company’s Current</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Report on Form 8-K filed on June 5, 2024, and incorporated herein by reference).</w:t>
        </w:r>
      </w:hyperlink>
    </w:p>
    <w:p>
      <w:pPr>
        <w:spacing w:after="0" w:line="53" w:lineRule="exact"/>
        <w:rPr>
          <w:rFonts w:ascii="Times New Roman" w:cs="Times New Roman" w:eastAsia="Times New Roman" w:hAnsi="Times New Roman"/>
          <w:sz w:val="18"/>
          <w:szCs w:val="18"/>
          <w:u w:val="single" w:color="auto"/>
          <w:color w:val="0000EE"/>
        </w:rPr>
      </w:pPr>
    </w:p>
    <w:p>
      <w:pPr>
        <w:ind w:left="884" w:right="180" w:hanging="884"/>
        <w:spacing w:after="0" w:line="282"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0">
        <w:r>
          <w:rPr>
            <w:rFonts w:ascii="Times New Roman" w:cs="Times New Roman" w:eastAsia="Times New Roman" w:hAnsi="Times New Roman"/>
            <w:sz w:val="18"/>
            <w:szCs w:val="18"/>
            <w:u w:val="single" w:color="auto"/>
            <w:color w:val="0000EE"/>
          </w:rPr>
          <w:t>Supplemental Indenture to the Indenture, dated as of July 1, 2024, by and among the Company, the Guarantors and the Trustee (filed as</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Exhibit 10.7 to the Company’s Current Report on Form 8-K filed on July 1, 2024, and incorporated herein by reference).</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7"/>
          <w:szCs w:val="17"/>
          <w:u w:val="single" w:color="auto"/>
          <w:color w:val="0000EE"/>
        </w:rPr>
        <w:t>Second Supplemental Indenture to the Indenture, dated August 22, 2024, by and among the Company, the Guarantors and the Trustee.</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Press Release, dated August 8, 2024.</w:t>
      </w:r>
    </w:p>
    <w:p>
      <w:pPr>
        <w:spacing w:after="0" w:line="117" w:lineRule="exact"/>
        <w:rPr>
          <w:rFonts w:ascii="Times New Roman" w:cs="Times New Roman" w:eastAsia="Times New Roman" w:hAnsi="Times New Roman"/>
          <w:sz w:val="18"/>
          <w:szCs w:val="18"/>
          <w:color w:val="auto"/>
        </w:rPr>
      </w:pPr>
    </w:p>
    <w:p>
      <w:pPr>
        <w:ind w:left="5464" w:right="4100" w:hanging="5464"/>
        <w:spacing w:after="0" w:line="454"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0804"/>
          </w:cols>
          <w:pgMar w:left="436" w:top="293" w:right="6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22, 2024</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225"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dated as of August 22, 2024, by and among California Resources Corporation,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each of the parties identified on Annex A hereto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Wilmington Trust,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the Issuer, the Guarantors, and the Trustee are party to an indenture, dated as of June 5, 2024 (as supplemented by that certain supplemental indenture, dated as of July 1, 2024,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and, the Base Indenture as supplemented by this Second Supplemental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by the Issuer of its 8.250% Senior Notes due 2029;</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and on the date of the Base Indenture, the Issuer initially issued $600,000,000 aggregate principal amount of its 8.250% Senior Notes due 2029 (the “</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WHEREAS, Section 2.13 of the Base Indenture provides that, without the consent of any Holder of the Notes, the Issuer may amend the Base Indenture to facilitate the issuance of Additional Notes (as defined in the Base Indenture) under the Base Indenture;</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WHEREAS, the Issuer wishes to issue an additional $300,000,000 aggregate principal amount of its 8.250% Senior Notes due 2029 as Additional Notes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40" w:firstLine="991"/>
        <w:spacing w:after="0" w:line="266" w:lineRule="auto"/>
        <w:rPr>
          <w:sz w:val="20"/>
          <w:szCs w:val="20"/>
          <w:color w:val="auto"/>
        </w:rPr>
      </w:pPr>
      <w:r>
        <w:rPr>
          <w:rFonts w:ascii="Times New Roman" w:cs="Times New Roman" w:eastAsia="Times New Roman" w:hAnsi="Times New Roman"/>
          <w:sz w:val="18"/>
          <w:szCs w:val="18"/>
          <w:color w:val="auto"/>
        </w:rPr>
        <w:t>WHEREAS, Section 9.01(g) of the Base Indenture provides that, without the consent of any Holder of the Notes, the Issuer, the Guarantors and the Trustee may amend or supplement the Base Indenture to provide for the issuance of Additional Notes in accordance with the limitations set forth the Base Indenture;</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WHEREAS, Section 9.01(d) of the Base Indenture provides that, without the consent of any Holder of the Notes, the Issuer, the Guarantors and the Trustee may amend or supplement the Base Indenture to make any change that does not adversely affect the legal rights under the Indenture of any Holder of the Notes;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Issuer and the Guarantors are authorized to execute and deliver this Second Supplemental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Issuer has requested that the Trustee execute and deliver this Second Supplemental Indenture; and</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WHEREAS, all conditions and requirements necessary to the execution and delivery of this Second Supplemental Indenture have been done and performed, and the execution and delivery hereof has been in all respects authorized.</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 the Guarantors and the Trustee mutually covenant and agree as follows:</w:t>
      </w:r>
    </w:p>
    <w:p>
      <w:pPr>
        <w:spacing w:after="0" w:line="162" w:lineRule="exact"/>
        <w:rPr>
          <w:sz w:val="20"/>
          <w:szCs w:val="20"/>
          <w:color w:val="auto"/>
        </w:rPr>
      </w:pPr>
    </w:p>
    <w:p>
      <w:pPr>
        <w:ind w:right="32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herein without definition shall have the meanings assigned to them in the Base Indenture. The words “herein,” “hereof” and “hereby” and other words of similar import used in this Second Supplemental Indenture refer to this Second Supplemental Indenture as a whole and not to any particular section hereof.</w:t>
      </w:r>
    </w:p>
    <w:p>
      <w:pPr>
        <w:sectPr>
          <w:pgSz w:w="11900" w:h="16838" w:orient="portrait"/>
          <w:cols w:equalWidth="0" w:num="1">
            <w:col w:w="11020"/>
          </w:cols>
          <w:pgMar w:left="440" w:top="117" w:right="439" w:bottom="1440" w:gutter="0" w:footer="0" w:header="0"/>
        </w:sectPr>
      </w:pPr>
    </w:p>
    <w:bookmarkStart w:id="5" w:name="page6"/>
    <w:bookmarkEnd w:id="5"/>
    <w:p>
      <w:pPr>
        <w:ind w:left="-20" w:right="540" w:firstLine="436"/>
        <w:spacing w:after="0" w:line="28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New Notes</w:t>
      </w:r>
      <w:r>
        <w:rPr>
          <w:rFonts w:ascii="Times New Roman" w:cs="Times New Roman" w:eastAsia="Times New Roman" w:hAnsi="Times New Roman"/>
          <w:sz w:val="18"/>
          <w:szCs w:val="18"/>
          <w:color w:val="auto"/>
        </w:rPr>
        <w:t>. The aggregate principal amount of New Notes to be authenticated and delivered under this Second Supplemental Indenture on August 22, 2024 is $300,000,000.</w:t>
      </w:r>
    </w:p>
    <w:p>
      <w:pPr>
        <w:spacing w:after="0" w:line="16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New Notes</w:t>
      </w:r>
      <w:r>
        <w:rPr>
          <w:rFonts w:ascii="Times New Roman" w:cs="Times New Roman" w:eastAsia="Times New Roman" w:hAnsi="Times New Roman"/>
          <w:sz w:val="18"/>
          <w:szCs w:val="18"/>
          <w:color w:val="auto"/>
        </w:rPr>
        <w:t>. The New Notes are to be issued as Additional Notes under the Indenture and shall:</w:t>
      </w:r>
    </w:p>
    <w:p>
      <w:pPr>
        <w:spacing w:after="0" w:line="130" w:lineRule="exact"/>
        <w:rPr>
          <w:rFonts w:ascii="Times New Roman" w:cs="Times New Roman" w:eastAsia="Times New Roman" w:hAnsi="Times New Roman"/>
          <w:sz w:val="18"/>
          <w:szCs w:val="18"/>
          <w:color w:val="auto"/>
        </w:rPr>
      </w:pPr>
    </w:p>
    <w:p>
      <w:pPr>
        <w:jc w:val="both"/>
        <w:ind w:left="1400" w:right="240" w:hanging="439"/>
        <w:spacing w:after="0" w:line="266"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as part of the existing series of Existing Notes under the Indenture, and the New Notes and the Existing Notes shall be a single class for all purposes under the Indenture, including, without limitation, with respect to waivers, amendments, redemptions and offers to purchase;</w:t>
      </w:r>
    </w:p>
    <w:p>
      <w:pPr>
        <w:spacing w:after="0" w:line="81" w:lineRule="exact"/>
        <w:rPr>
          <w:rFonts w:ascii="Times New Roman" w:cs="Times New Roman" w:eastAsia="Times New Roman" w:hAnsi="Times New Roman"/>
          <w:sz w:val="18"/>
          <w:szCs w:val="18"/>
          <w:color w:val="auto"/>
        </w:rPr>
      </w:pPr>
    </w:p>
    <w:p>
      <w:pPr>
        <w:ind w:left="1400" w:right="6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 August 22, 2024 at a purchase price of 101.000% of the principal amount plus accrued and unpaid interest from June 5, 2024;</w:t>
      </w:r>
    </w:p>
    <w:p>
      <w:pPr>
        <w:spacing w:after="0" w:line="67" w:lineRule="exact"/>
        <w:rPr>
          <w:rFonts w:ascii="Times New Roman" w:cs="Times New Roman" w:eastAsia="Times New Roman" w:hAnsi="Times New Roman"/>
          <w:sz w:val="18"/>
          <w:szCs w:val="18"/>
          <w:color w:val="auto"/>
        </w:rPr>
      </w:pPr>
    </w:p>
    <w:p>
      <w:pPr>
        <w:ind w:left="1400" w:right="40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issuable in whole in the form of one or more Global Notes to be held by DTC and in the form, including appropriate transfer restriction legends, provided in Exhibit A to the Base Indenture;</w:t>
      </w:r>
    </w:p>
    <w:p>
      <w:pPr>
        <w:spacing w:after="0" w:line="67" w:lineRule="exact"/>
        <w:rPr>
          <w:rFonts w:ascii="Times New Roman" w:cs="Times New Roman" w:eastAsia="Times New Roman" w:hAnsi="Times New Roman"/>
          <w:sz w:val="18"/>
          <w:szCs w:val="18"/>
          <w:color w:val="auto"/>
        </w:rPr>
      </w:pPr>
    </w:p>
    <w:p>
      <w:pPr>
        <w:ind w:left="1400" w:right="54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restrictions on transfer set forth in Section 2.06 of the Base Indenture relating to Restricted Global Notes and Restricted Definitive Notes;</w:t>
      </w:r>
    </w:p>
    <w:p>
      <w:pPr>
        <w:spacing w:after="0" w:line="67" w:lineRule="exact"/>
        <w:rPr>
          <w:rFonts w:ascii="Times New Roman" w:cs="Times New Roman" w:eastAsia="Times New Roman" w:hAnsi="Times New Roman"/>
          <w:sz w:val="18"/>
          <w:szCs w:val="18"/>
          <w:color w:val="auto"/>
        </w:rPr>
      </w:pPr>
    </w:p>
    <w:p>
      <w:pPr>
        <w:ind w:left="1400" w:right="8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bear, in the case of New Notes sold under Regulation S of the Securities Act, the CUSIP number of U1303A AG1 and ISIN of USU1303AAG14; and</w:t>
      </w:r>
    </w:p>
    <w:p>
      <w:pPr>
        <w:spacing w:after="0" w:line="67" w:lineRule="exact"/>
        <w:rPr>
          <w:rFonts w:ascii="Times New Roman" w:cs="Times New Roman" w:eastAsia="Times New Roman" w:hAnsi="Times New Roman"/>
          <w:sz w:val="18"/>
          <w:szCs w:val="18"/>
          <w:color w:val="auto"/>
        </w:rPr>
      </w:pPr>
    </w:p>
    <w:p>
      <w:pPr>
        <w:ind w:left="1400" w:right="100" w:hanging="439"/>
        <w:spacing w:after="0" w:line="282" w:lineRule="auto"/>
        <w:tabs>
          <w:tab w:leader="none" w:pos="1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 the case of New Notes sold under Rule 144A of the Securities Act, the same CUSIP number and ISIN as the Existing Notes that are Rule 144A Notes.</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89" w:lineRule="auto"/>
        <w:tabs>
          <w:tab w:leader="none" w:pos="6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Ratification of Base Indenture; Second Supplemental Indenture; Part of Indenture</w:t>
      </w:r>
      <w:r>
        <w:rPr>
          <w:rFonts w:ascii="Times New Roman" w:cs="Times New Roman" w:eastAsia="Times New Roman" w:hAnsi="Times New Roman"/>
          <w:sz w:val="17"/>
          <w:szCs w:val="17"/>
          <w:color w:val="auto"/>
        </w:rPr>
        <w:t>. The Base Indenture is in all respects ratified and confirmed and all the terms, conditions and provisions thereof shall remain in full force and effect. This Second Supplemental Indenture shall form a part of the Base Indenture for all purposes, and every Holder of a Note or New Note heretofore or hereafter authenticated and delivered shall be bound hereby.</w:t>
      </w:r>
    </w:p>
    <w:p>
      <w:pPr>
        <w:spacing w:after="0" w:line="157" w:lineRule="exact"/>
        <w:rPr>
          <w:rFonts w:ascii="Times New Roman" w:cs="Times New Roman" w:eastAsia="Times New Roman" w:hAnsi="Times New Roman"/>
          <w:sz w:val="17"/>
          <w:szCs w:val="17"/>
          <w:color w:val="auto"/>
        </w:rPr>
      </w:pPr>
    </w:p>
    <w:p>
      <w:pPr>
        <w:ind w:left="-20" w:right="180" w:firstLine="436"/>
        <w:spacing w:after="0" w:line="266"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SECOND SUPPLEMENTAL INDENTURE SHALL BE GOVERNED BY AND CONSTRUED IN ACCORDANCE WITH THE LAWS OF THE STATE OF NEW YORK, INCLUDING, WITHOUT LIMITATION, SECTION 5-1401 OF THE NEW YORK OBLIGATIONS LAW.</w:t>
      </w:r>
    </w:p>
    <w:p>
      <w:pPr>
        <w:spacing w:after="0" w:line="175" w:lineRule="exact"/>
        <w:rPr>
          <w:rFonts w:ascii="Times New Roman" w:cs="Times New Roman" w:eastAsia="Times New Roman" w:hAnsi="Times New Roman"/>
          <w:sz w:val="18"/>
          <w:szCs w:val="18"/>
          <w:color w:val="auto"/>
        </w:rPr>
      </w:pPr>
    </w:p>
    <w:p>
      <w:pPr>
        <w:ind w:left="-20" w:firstLine="436"/>
        <w:spacing w:after="0" w:line="261"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Trustee’s Assumption; Trustee Makes No Representation</w:t>
      </w:r>
      <w:r>
        <w:rPr>
          <w:rFonts w:ascii="Times New Roman" w:cs="Times New Roman" w:eastAsia="Times New Roman" w:hAnsi="Times New Roman"/>
          <w:sz w:val="18"/>
          <w:szCs w:val="18"/>
          <w:color w:val="auto"/>
        </w:rPr>
        <w:t>. The Trustee assumes no duties, responsibilities or liabilities under this Second Supplemental Indenture other than as set forth in the Base Indenture. The Trustee makes no representation as to the validity or sufficiency of this Second Supplemental Indenture. The Trustee shall not be responsible for any statement or recital herein or any statement or recital contained in any document in connection with the issuance or the sale of the New Notes.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6" w:name="page7"/>
    <w:bookmarkEnd w:id="6"/>
    <w:p>
      <w:pPr>
        <w:ind w:firstLine="436"/>
        <w:spacing w:after="0" w:line="269"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 Originals</w:t>
      </w:r>
      <w:r>
        <w:rPr>
          <w:rFonts w:ascii="Times New Roman" w:cs="Times New Roman" w:eastAsia="Times New Roman" w:hAnsi="Times New Roman"/>
          <w:sz w:val="17"/>
          <w:szCs w:val="17"/>
          <w:color w:val="auto"/>
        </w:rPr>
        <w:t xml:space="preserve">. The parties may sign any number of copies of this Second Supplemental Indenture, and each party hereto may sign any number of separate copies of this Second Supplemental Indenture. Each signed copy shall be an original, but all of them together represent the same agreement. The exchange of copies of this Second Supplemental Indenture and of signature pages by facsimile or PDF transmission shall constitute effective execution and delivery of this Second Supplemental Indenture as to the parties hereto and may be used in lieu of the original Second Supplemental Indenture for all purposes. Signatures of the parties hereto transmitted by facsimile or PDF shall be deemed to be their original signatures for all purposes, other than authentication of the New Notes by the Trustee. The words “execution,” “signed,” “signature,” “delivery,” and words of like import in or relating to this Second Supplemental Indenture, other than the certificate of authentication of the New Notes by the Trustee, or any document to be signed in connection with this Second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78" w:lineRule="exact"/>
        <w:rPr>
          <w:rFonts w:ascii="Times New Roman" w:cs="Times New Roman" w:eastAsia="Times New Roman" w:hAnsi="Times New Roman"/>
          <w:sz w:val="17"/>
          <w:szCs w:val="17"/>
          <w:color w:val="auto"/>
        </w:rPr>
      </w:pPr>
    </w:p>
    <w:p>
      <w:pPr>
        <w:ind w:right="84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of reference only, are not to be considered a part of this Second Supplemental Indenture and shall in no way modify or restrict any of the terms or provisions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CALIFORNIA RESOURCES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Executive Vice President and Chief Financial</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0680"/>
          </w:cols>
          <w:pgMar w:left="440" w:top="270" w:right="779"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STATE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ENTURES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OYALTY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ILMINGTON</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EAVY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IL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ETROLEUM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w:t>
      </w:r>
      <w:r>
        <w:rPr>
          <w:rFonts w:ascii="Times New Roman" w:cs="Times New Roman" w:eastAsia="Times New Roman" w:hAnsi="Times New Roman"/>
          <w:sz w:val="14"/>
          <w:szCs w:val="14"/>
          <w:b w:val="1"/>
          <w:bCs w:val="1"/>
          <w:color w:val="auto"/>
        </w:rPr>
        <w:t>ARKETING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OUTHERN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OAQUIN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T</w:t>
      </w:r>
      <w:r>
        <w:rPr>
          <w:rFonts w:ascii="Times New Roman" w:cs="Times New Roman" w:eastAsia="Times New Roman" w:hAnsi="Times New Roman"/>
          <w:sz w:val="14"/>
          <w:szCs w:val="14"/>
          <w:b w:val="1"/>
          <w:bCs w:val="1"/>
          <w:color w:val="auto"/>
        </w:rPr>
        <w:t>OPCO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IDELANDS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OWER</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M</w:t>
      </w:r>
      <w:r>
        <w:rPr>
          <w:rFonts w:ascii="Times New Roman" w:cs="Times New Roman" w:eastAsia="Times New Roman" w:hAnsi="Times New Roman"/>
          <w:sz w:val="14"/>
          <w:szCs w:val="14"/>
          <w:b w:val="1"/>
          <w:bCs w:val="1"/>
          <w:color w:val="auto"/>
        </w:rPr>
        <w:t>IDCO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NERGY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ERA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ELRIDGE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ARMS</w:t>
      </w:r>
      <w:r>
        <w:rPr>
          <w:rFonts w:ascii="Times New Roman" w:cs="Times New Roman" w:eastAsia="Times New Roman" w:hAnsi="Times New Roman"/>
          <w:sz w:val="18"/>
          <w:szCs w:val="18"/>
          <w:b w:val="1"/>
          <w:bCs w:val="1"/>
          <w:color w:val="auto"/>
        </w:rPr>
        <w:t xml:space="preserve"> &amp; P</w:t>
      </w:r>
      <w:r>
        <w:rPr>
          <w:rFonts w:ascii="Times New Roman" w:cs="Times New Roman" w:eastAsia="Times New Roman" w:hAnsi="Times New Roman"/>
          <w:sz w:val="14"/>
          <w:szCs w:val="14"/>
          <w:b w:val="1"/>
          <w:bCs w:val="1"/>
          <w:color w:val="auto"/>
        </w:rPr>
        <w:t>ACKING</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RDO</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ERRAIN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ECHNOLOGY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NTERMEDIATE</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ARENT</w:t>
      </w:r>
      <w:r>
        <w:rPr>
          <w:rFonts w:ascii="Times New Roman" w:cs="Times New Roman" w:eastAsia="Times New Roman" w:hAnsi="Times New Roman"/>
          <w:sz w:val="18"/>
          <w:szCs w:val="18"/>
          <w:b w:val="1"/>
          <w:bCs w:val="1"/>
          <w:color w:val="auto"/>
        </w:rPr>
        <w:t xml:space="preserv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ETRA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xml:space="preserve"> 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OLES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EVEE</w:t>
      </w:r>
      <w:r>
        <w:rPr>
          <w:rFonts w:ascii="Times New Roman" w:cs="Times New Roman" w:eastAsia="Times New Roman" w:hAnsi="Times New Roman"/>
          <w:sz w:val="18"/>
          <w:szCs w:val="18"/>
          <w:color w:val="auto"/>
        </w:rPr>
        <w:t>, LLC, as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Manuela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Manuela Molina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9860"/>
          </w:cols>
          <w:pgMar w:left="1440" w:top="266" w:right="59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Barry D. Somrock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Barry D. Somrock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9860"/>
          </w:cols>
          <w:pgMar w:left="1440" w:top="270" w:right="599" w:bottom="1440" w:gutter="0" w:footer="0" w:header="0"/>
        </w:sectPr>
      </w:pPr>
    </w:p>
    <w:bookmarkStart w:id="10" w:name="page11"/>
    <w:bookmarkEnd w:id="10"/>
    <w:p>
      <w:pPr>
        <w:jc w:val="right"/>
        <w:ind w:right="4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Energy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Energy Services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Federal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Belridge Farms &amp; Packing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Heavy Oil,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Coles Levee,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Coles Levee,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Elk Hills,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Petroleum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Production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Real Estate Ventures,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Royalty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Tidelands,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Wilmington,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Construction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Marketing,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EHP Midco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EHP Topco Holding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Elk Hills Power,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Intermediate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Resources 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Resources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Resources Parent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Resources 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Gate San Ardo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Petra Merger Sub 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Socal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San Joaquin Production,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Terrain Technology Inc.</w:t>
      </w:r>
    </w:p>
    <w:p>
      <w:pPr>
        <w:sectPr>
          <w:pgSz w:w="11900" w:h="16838" w:orient="portrait"/>
          <w:cols w:equalWidth="0" w:num="1">
            <w:col w:w="10019"/>
          </w:cols>
          <w:pgMar w:left="440" w:top="266"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173990</wp:posOffset>
            </wp:positionV>
            <wp:extent cx="1637030"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6370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8580" w:val="left"/>
        </w:tabs>
        <w:rPr>
          <w:sz w:val="20"/>
          <w:szCs w:val="20"/>
          <w:color w:val="auto"/>
        </w:rPr>
      </w:pPr>
      <w:r>
        <w:rPr>
          <w:rFonts w:ascii="Times New Roman" w:cs="Times New Roman" w:eastAsia="Times New Roman" w:hAnsi="Times New Roman"/>
          <w:sz w:val="18"/>
          <w:szCs w:val="18"/>
          <w:b w:val="1"/>
          <w:bCs w:val="1"/>
          <w:color w:val="auto"/>
        </w:rPr>
        <w:t>NEWS RELEASE</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California Resources Corporation Announces Pricing of Upsized Private Offering of $300 Million of Additional 8.250% Senior Unsecured Notes due 2029</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Long Beach, California, August 8, 2024 – California Resources Corporation (NYSE: CRC) (the “Company”) announced today the pricing of an upsized private offering of $300 million in aggregate principal amount of its 8.250% senior unsecured notes due 2029 (the “Notes”). The offering size was increased from the previously announced $200 million aggregate principal amount. The Notes were priced at 101% of par, plus accrued and unpaid interest from June 5, 2024. The Notes will mature on June 15, 2029, pay interest at the rate of 8.250% per year and are payable semi-annually on</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June 15 and December 15 of each year. The first interest payment will be made on December 15, 2024. The Offering is expected to close on August 22, 2024, subject to customary closing conditions.</w:t>
      </w:r>
    </w:p>
    <w:p>
      <w:pPr>
        <w:spacing w:after="0" w:line="18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Notes are being offered as additional notes under the indenture dated as of June 5, 2024, as may be supplemented from time to time (the “Indenture”), pursuant to which the Company previously issued $600 million aggregate principal amount of 8.250% Senior Notes (the “Existing Notes”). The Notes will have substantially identical terms, other than the issue date and issue price, as the Existing Notes, and the Notes and the Existing Notes will be treated as a single series of securities under the Indenture and will vote together as a single class. Except with respect to Notes offered pursuant to Regulation S under the Securities Act of 1933, as amended (the “Securities Act”), the Notes will have the same CUSIP and ISIN numbers as, and will be fungible with, the Existing Notes immediately upon issuance.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with this offering, the Company commenced a tender offer (the “Tender Offer”) to purchase for cash up to $200 million aggregate principal amount of its 7.125% senior notes due 2026 (the “2026 Notes”). In connection with the increase in the size of the offering of Notes, the maximum amount of 2026 Notes to be purchased in the Tender Offer will be increased to $300 million. The Tender Offer is made only by and pursuant to the terms of the Offer to Purchase, dated August 8, 2024, as supplemented. The Tender Offer is conditioned on the consummation of this offering, but this offering is not conditioned on the completion of the Tender Offer.</w:t>
      </w:r>
    </w:p>
    <w:p>
      <w:pPr>
        <w:spacing w:after="0" w:line="18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intends to use the net proceeds from this offering, together with cash on hand, (i) to fund the Tender Offer for a portion of its 2026 Notes, including all accrued interest, fees and premiums thereon, (ii) for the reduction of outstanding indebtedness, and (iii) for general corporate purposes.</w:t>
      </w:r>
    </w:p>
    <w:p>
      <w:pPr>
        <w:sectPr>
          <w:pgSz w:w="11900" w:h="16838" w:orient="portrait"/>
          <w:cols w:equalWidth="0" w:num="1">
            <w:col w:w="11020"/>
          </w:cols>
          <w:pgMar w:left="440" w:top="117" w:right="439" w:bottom="1440" w:gutter="0" w:footer="0" w:header="0"/>
        </w:sectPr>
      </w:pPr>
    </w:p>
    <w:bookmarkStart w:id="12" w:name="page13"/>
    <w:bookmarkEnd w:id="12"/>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not been, and will not be, registered under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were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 Additionally, this press release shall not constitute an offer to purchase or the solicitation of an offer to sell any 2026 Notes in the Tender Offer, nor does it constitute a notice of redemption under the indenture governing the 2026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including the Tender Offer,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2023 and its subsequently filed Quarterly Reports on Form 10-Q.</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California Resources Corporation</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CRC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Joanna Park (Investor Relations)</w:t>
      </w:r>
    </w:p>
    <w:p>
      <w:pPr>
        <w:spacing w:after="0" w:line="27" w:lineRule="exact"/>
        <w:rPr>
          <w:sz w:val="20"/>
          <w:szCs w:val="20"/>
          <w:color w:val="auto"/>
        </w:rPr>
      </w:pPr>
    </w:p>
    <w:p>
      <w:pPr>
        <w:ind w:left="4" w:right="9360" w:hanging="4"/>
        <w:spacing w:after="0" w:line="260" w:lineRule="auto"/>
        <w:tabs>
          <w:tab w:leader="none" w:pos="4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661-3731 </w:t>
      </w:r>
      <w:r>
        <w:rPr>
          <w:rFonts w:ascii="Times New Roman" w:cs="Times New Roman" w:eastAsia="Times New Roman" w:hAnsi="Times New Roman"/>
          <w:sz w:val="18"/>
          <w:szCs w:val="18"/>
          <w:u w:val="single" w:color="auto"/>
          <w:color w:val="auto"/>
        </w:rPr>
        <w:t>Joanna.Park@crc.com</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Richard Venn (Media)</w:t>
      </w:r>
    </w:p>
    <w:p>
      <w:pPr>
        <w:spacing w:after="0" w:line="27" w:lineRule="exact"/>
        <w:rPr>
          <w:sz w:val="20"/>
          <w:szCs w:val="20"/>
          <w:color w:val="auto"/>
        </w:rPr>
      </w:pPr>
    </w:p>
    <w:p>
      <w:pPr>
        <w:ind w:left="4" w:right="9260" w:hanging="4"/>
        <w:spacing w:after="0" w:line="290" w:lineRule="auto"/>
        <w:tabs>
          <w:tab w:leader="none" w:pos="43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661-6014 </w:t>
      </w:r>
      <w:r>
        <w:rPr>
          <w:rFonts w:ascii="Times New Roman" w:cs="Times New Roman" w:eastAsia="Times New Roman" w:hAnsi="Times New Roman"/>
          <w:sz w:val="17"/>
          <w:szCs w:val="17"/>
          <w:u w:val="single" w:color="auto"/>
          <w:color w:val="auto"/>
        </w:rPr>
        <w:t>Richard.Venn@crc.com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California Resources Corporation</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
      <w:numFmt w:val="bullet"/>
      <w:start w:val="1"/>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lvl w:ilvl="1">
      <w:lvlJc w:val="left"/>
      <w:lvlText w:val="%2."/>
      <w:numFmt w:val="lowerLetter"/>
      <w:start w:val="1"/>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1)"/>
      <w:numFmt w:val="decimal"/>
      <w:start w:val="818"/>
    </w:lvl>
  </w:abstractNum>
  <w:abstractNum w:abstractNumId="7">
    <w:nsid w:val="7545E146"/>
    <w:multiLevelType w:val="hybridMultilevel"/>
    <w:lvl w:ilvl="0">
      <w:lvlJc w:val="left"/>
      <w:lvlText w:val="(%1)"/>
      <w:numFmt w:val="decimal"/>
      <w:start w:val="8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jpeg"/><Relationship Id="rId34" Type="http://schemas.openxmlformats.org/officeDocument/2006/relationships/image" Target="media/image25.png"/><Relationship Id="rId35" Type="http://schemas.openxmlformats.org/officeDocument/2006/relationships/image" Target="media/image26.png"/><Relationship Id="rId19" Type="http://schemas.openxmlformats.org/officeDocument/2006/relationships/hyperlink" Target="http://www.sec.gov/Archives/edgar/data/1609253/000119312524155155/d844238dex41.htm" TargetMode="External"/><Relationship Id="rId20" Type="http://schemas.openxmlformats.org/officeDocument/2006/relationships/hyperlink" Target="http://www.sec.gov/Archives/edgar/data/1609253/000119312524173343/d845209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2024-08-22T15:31:01Z</dcterms:created>
  <dcterms:modified xsi:type="dcterms:W3CDTF">2024-08-22T15:31:01Z</dcterms:modified>
</cp:coreProperties>
</file>