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5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restart"/>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4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0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0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gridSpan w:val="2"/>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46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2"/>
                <w:szCs w:val="12"/>
                <w:color w:val="auto"/>
              </w:rPr>
            </w:pPr>
          </w:p>
        </w:tc>
        <w:tc>
          <w:tcPr>
            <w:tcW w:w="1440" w:type="dxa"/>
            <w:vAlign w:val="bottom"/>
            <w:gridSpan w:val="5"/>
          </w:tcPr>
          <w:p>
            <w:pPr>
              <w:ind w:left="4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1"/>
        </w:trPr>
        <w:tc>
          <w:tcPr>
            <w:tcW w:w="800" w:type="dxa"/>
            <w:vAlign w:val="bottom"/>
            <w:gridSpan w:val="3"/>
          </w:tcPr>
          <w:p>
            <w:pPr>
              <w:ind w:left="80"/>
              <w:spacing w:after="0" w:line="131" w:lineRule="exact"/>
              <w:rPr>
                <w:sz w:val="20"/>
                <w:szCs w:val="20"/>
                <w:color w:val="auto"/>
              </w:rPr>
            </w:pPr>
            <w:r>
              <w:rPr>
                <w:rFonts w:ascii="Arial" w:cs="Arial" w:eastAsia="Arial" w:hAnsi="Arial"/>
                <w:sz w:val="13"/>
                <w:szCs w:val="13"/>
                <w:b w:val="1"/>
                <w:bCs w:val="1"/>
                <w:color w:val="auto"/>
              </w:rPr>
              <w:t>3)</w:t>
            </w:r>
          </w:p>
        </w:tc>
        <w:tc>
          <w:tcPr>
            <w:tcW w:w="4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V</w:t>
            </w:r>
          </w:p>
        </w:tc>
        <w:tc>
          <w:tcPr>
            <w:tcW w:w="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01/05/2022</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43.7977</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10,380,308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01/06/2022</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43.6584</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10,230,308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40" w:type="dxa"/>
            <w:vAlign w:val="bottom"/>
            <w:gridSpan w:val="17"/>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ACOF Investment Management LLC</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0"/>
          </w:tcPr>
          <w:p>
            <w:pPr>
              <w:spacing w:after="0"/>
              <w:rPr>
                <w:sz w:val="20"/>
                <w:szCs w:val="20"/>
                <w:color w:val="auto"/>
              </w:rPr>
            </w:pPr>
            <w:r>
              <w:rPr>
                <w:rFonts w:ascii="Arial" w:cs="Arial" w:eastAsia="Arial" w:hAnsi="Arial"/>
                <w:sz w:val="17"/>
                <w:szCs w:val="17"/>
                <w:color w:val="0000FF"/>
              </w:rPr>
              <w:t>2000 AVENUE OF THE STARS, 12TH FLOOR</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spacing w:after="0" w:line="4" w:lineRule="exact"/>
        <w:rPr>
          <w:sz w:val="20"/>
          <w:szCs w:val="20"/>
          <w:color w:val="auto"/>
        </w:rPr>
      </w:pP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Ares Management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9735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9735185"/>
                    </a:xfrm>
                    <a:prstGeom prst="rect">
                      <a:avLst/>
                    </a:prstGeom>
                    <a:noFill/>
                  </pic:spPr>
                </pic:pic>
              </a:graphicData>
            </a:graphic>
          </wp:anchor>
        </w:drawing>
      </w:r>
    </w:p>
    <w:p>
      <w:pPr>
        <w:spacing w:after="0" w:line="3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ectPr>
          <w:pgSz w:w="11900" w:h="16842" w:orient="portrait"/>
          <w:cols w:equalWidth="0" w:num="1">
            <w:col w:w="10780"/>
          </w:cols>
          <w:pgMar w:left="480" w:top="118" w:right="639" w:bottom="0" w:gutter="0" w:footer="0" w:header="0"/>
        </w:sectPr>
      </w:pPr>
    </w:p>
    <w:bookmarkStart w:id="2" w:name="page3"/>
    <w:bookmarkEnd w:id="2"/>
    <w:p>
      <w:pPr>
        <w:ind w:right="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10,230,308 shares of Common Stock by reason of the direct or indirect beneficial ownership of such shares as follows: (i) ACOF AIV 1A directly holds 590,938 shares of Common Stock, (ii) ACOF AIV 1B directly holds 2,162,532 shares of Common Stock, (iii) ACOF AIV 2 directly holds 2,202,978 shares of Common Stock, (iv) AEOF AIV A-B directly holds 1,894,861 shares of Common Stock, (v) AEOF AIV C directly holds 804,524 shares of Common Stock and (vi) AF Energy Feeder, L.P. directly holds 2,574,475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7"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2022-01-07T15:09:09Z</dcterms:created>
  <dcterms:modified xsi:type="dcterms:W3CDTF">2022-01-07T15:09:09Z</dcterms:modified>
</cp:coreProperties>
</file>