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7)*</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2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11,805,680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11,805,680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11,805,680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14.4%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6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11,526,098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279,582 Common Shares that would result from the exercise of 279,582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82,159,039, the sum of (i) 81,879,457 Common Shares outstanding as of June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6,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279,582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3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11,805,680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11,805,680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11,805,680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14.4%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11,526,098 Common Shares of the Issuer, and (ii) 279,582 Common Shares that would result from the exercise of 279,582 Warrants.</w:t>
      </w:r>
    </w:p>
    <w:p>
      <w:pPr>
        <w:spacing w:after="0" w:line="46"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82,159,039, the sum of (i) 81,879,457 Common Shares outstanding, as reported on the Form 10-Q and (ii) 279,582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4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11,805,680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11,805,680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11,805,680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14.4%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11,526,098 Common Shares of the Issuer, and (ii) Common Shares that would result from the exercise of 279,582 Warrants.</w:t>
      </w:r>
    </w:p>
    <w:p>
      <w:pPr>
        <w:spacing w:after="0" w:line="34" w:lineRule="exact"/>
        <w:rPr>
          <w:rFonts w:ascii="Arial" w:cs="Arial" w:eastAsia="Arial" w:hAnsi="Arial"/>
          <w:sz w:val="17"/>
          <w:szCs w:val="17"/>
          <w:color w:val="auto"/>
        </w:rPr>
      </w:pPr>
    </w:p>
    <w:p>
      <w:pPr>
        <w:jc w:val="both"/>
        <w:ind w:left="58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82,159,039, the sum of (i) 81,879,457 Common Shares outstanding, as reported on the Form 10-Q and (ii) 279,582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5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4,649,369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4,649,369</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4,649,369</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5.6%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4,548,358 Common Shares of the Issuer, and (ii) 101,011 Common Shares that would result from the exercise of 101,011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82,159,039, the sum of (i) 81,879,457 Common Shares outstanding, as reported on the Form 10-Q and (ii) 279,582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2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Amendment No. 7 to Schedule 13D (as so amended, the “</w:t>
      </w:r>
      <w:r>
        <w:rPr>
          <w:rFonts w:ascii="Arial" w:cs="Arial" w:eastAsia="Arial" w:hAnsi="Arial"/>
          <w:sz w:val="17"/>
          <w:szCs w:val="17"/>
          <w:u w:val="single" w:color="auto"/>
          <w:color w:val="auto"/>
        </w:rPr>
        <w:t>Schedule 13D</w:t>
      </w:r>
      <w:r>
        <w:rPr>
          <w:rFonts w:ascii="Arial" w:cs="Arial" w:eastAsia="Arial" w:hAnsi="Arial"/>
          <w:sz w:val="17"/>
          <w:szCs w:val="17"/>
          <w:color w:val="auto"/>
        </w:rPr>
        <w:t>”) is being filed to amend the Schedule 13D originally filed with the SEC on November 6, 2020, as amended by Amendment No. 1 dated November 10, 2020, Amendment No. 2 dated May 20, 2021, Amendment No. 3 dated May 27, 2021, Amendment No. 4 dated June 11, 2021, Amendment No. 5 dated June 28, 2021, and Amendment No. 6 dated August 26, 2021, and relates to the common shares, $0.01 par value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of California Resources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address of the principal executive offices of the Issuer is 27200 Tourney Road, Suite 200, Santa Clarita, California</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10</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82,159,039 the sum of (i) 81,879,457 Common Shares outstanding, as reported on the Form 10-Q and (ii) 279,582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117475</wp:posOffset>
            </wp:positionV>
            <wp:extent cx="71183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 cy="29146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Common Shares</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Price per Common Share</w:t>
            </w:r>
          </w:p>
        </w:tc>
        <w:tc>
          <w:tcPr>
            <w:tcW w:w="1100" w:type="dxa"/>
            <w:vAlign w:val="bottom"/>
            <w:tcBorders>
              <w:bottom w:val="single" w:sz="8" w:color="C6F4F9"/>
            </w:tcBorders>
          </w:tcPr>
          <w:p>
            <w:pPr>
              <w:spacing w:after="0"/>
              <w:rPr>
                <w:sz w:val="19"/>
                <w:szCs w:val="19"/>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7/8/2021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38,736</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$28.61</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7/15/2021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9,438</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$28.11</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7/16/2021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200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$28.10</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7/28/2021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39,453</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$28.19</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7/29/2021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191,349</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$28.47</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7/30/2021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274</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$28.12</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7/30/2021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83,591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$28.26</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8/2/2021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104,400</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$28.30</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8/6/2021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162,384</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$30.21</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8/9/2021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6,555</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$30.21</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8/10/2021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8,921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$30.15</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8/11/2021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9,777</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$30.14</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8/12/2021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335</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$30.12</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8/23/2021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8,300</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$30.26</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8/24/2021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3,728</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$30.33</w:t>
            </w:r>
          </w:p>
        </w:tc>
        <w:tc>
          <w:tcPr>
            <w:tcW w:w="1100" w:type="dxa"/>
            <w:vAlign w:val="bottom"/>
            <w:shd w:val="clear" w:color="auto" w:fill="C6F4F9"/>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8/24/2021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272,582</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$30.58</w:t>
            </w:r>
          </w:p>
        </w:tc>
        <w:tc>
          <w:tcPr>
            <w:tcW w:w="1100" w:type="dxa"/>
            <w:vAlign w:val="bottom"/>
            <w:tcBorders>
              <w:bottom w:val="single" w:sz="8" w:color="C6F4F9"/>
            </w:tcBorders>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8/25/2021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109,411</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$30.54</w:t>
            </w:r>
          </w:p>
        </w:tc>
        <w:tc>
          <w:tcPr>
            <w:tcW w:w="1100" w:type="dxa"/>
            <w:vAlign w:val="bottom"/>
            <w:shd w:val="clear" w:color="auto" w:fill="C6F4F9"/>
          </w:tcPr>
          <w:p>
            <w:pPr>
              <w:spacing w:after="0"/>
              <w:rPr>
                <w:sz w:val="18"/>
                <w:szCs w:val="18"/>
                <w:color w:val="auto"/>
              </w:rPr>
            </w:pPr>
          </w:p>
        </w:tc>
      </w:tr>
      <w:tr>
        <w:trPr>
          <w:trHeight w:val="811"/>
        </w:trPr>
        <w:tc>
          <w:tcPr>
            <w:tcW w:w="3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-2725420</wp:posOffset>
            </wp:positionV>
            <wp:extent cx="71183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-2433955</wp:posOffset>
            </wp:positionV>
            <wp:extent cx="71183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-2142490</wp:posOffset>
            </wp:positionV>
            <wp:extent cx="71183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-1851025</wp:posOffset>
            </wp:positionV>
            <wp:extent cx="71183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-1559560</wp:posOffset>
            </wp:positionV>
            <wp:extent cx="7118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-1268095</wp:posOffset>
            </wp:positionV>
            <wp:extent cx="71183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-976630</wp:posOffset>
            </wp:positionV>
            <wp:extent cx="71183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-685165</wp:posOffset>
            </wp:positionV>
            <wp:extent cx="7118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14541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120" w:type="dxa"/>
            <w:vAlign w:val="bottom"/>
          </w:tcPr>
          <w:p>
            <w:pPr>
              <w:spacing w:after="0"/>
              <w:rPr>
                <w:sz w:val="21"/>
                <w:szCs w:val="21"/>
                <w:color w:val="auto"/>
              </w:rPr>
            </w:pPr>
          </w:p>
        </w:tc>
        <w:tc>
          <w:tcPr>
            <w:tcW w:w="3380" w:type="dxa"/>
            <w:vAlign w:val="bottom"/>
          </w:tcPr>
          <w:p>
            <w:pPr>
              <w:ind w:left="1560"/>
              <w:spacing w:after="0"/>
              <w:rPr>
                <w:sz w:val="20"/>
                <w:szCs w:val="20"/>
                <w:color w:val="auto"/>
              </w:rPr>
            </w:pPr>
            <w:r>
              <w:rPr>
                <w:rFonts w:ascii="Arial" w:cs="Arial" w:eastAsia="Arial" w:hAnsi="Arial"/>
                <w:sz w:val="18"/>
                <w:szCs w:val="18"/>
                <w:b w:val="1"/>
                <w:bCs w:val="1"/>
                <w:color w:val="auto"/>
              </w:rPr>
              <w:t>SCHEDULE 13D</w:t>
            </w:r>
          </w:p>
        </w:tc>
        <w:tc>
          <w:tcPr>
            <w:tcW w:w="2220" w:type="dxa"/>
            <w:vAlign w:val="bottom"/>
            <w:tcBorders>
              <w:right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88"/>
              </w:rPr>
              <w:t>Page 8 of 10</w:t>
            </w:r>
          </w:p>
        </w:tc>
      </w:tr>
      <w:tr>
        <w:trPr>
          <w:trHeight w:val="432"/>
        </w:trPr>
        <w:tc>
          <w:tcPr>
            <w:tcW w:w="2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8/26/2021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18,007</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$30.51</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8/26/2021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150,000</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$30.56</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8/26/2021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77,500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$30.92</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8/27/2021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3,445</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$33.83</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8/31/2021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100,000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$33.84</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9/1/2021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32,305</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$35.57</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9/2/2021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175,000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$35.50</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9/2/2021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67,695</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$35.98</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1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9/2/2021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125,000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$36.90</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09"/>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9/3/2021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121,728</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$36.67</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9/7/2021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$36.77</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C6F4F9"/>
            </w:tcBorders>
          </w:tcPr>
          <w:p>
            <w:pPr>
              <w:spacing w:after="0"/>
              <w:rPr>
                <w:sz w:val="18"/>
                <w:szCs w:val="18"/>
                <w:color w:val="auto"/>
              </w:rPr>
            </w:pPr>
          </w:p>
        </w:tc>
      </w:tr>
      <w:tr>
        <w:trPr>
          <w:trHeight w:val="210"/>
        </w:trPr>
        <w:tc>
          <w:tcPr>
            <w:tcW w:w="2280" w:type="dxa"/>
            <w:vAlign w:val="bottom"/>
            <w:tcBorders>
              <w:left w:val="single" w:sz="8" w:color="C6F4F9"/>
              <w:bottom w:val="single" w:sz="8" w:color="auto"/>
              <w:right w:val="single" w:sz="8" w:color="C6F4F9"/>
            </w:tcBorders>
            <w:shd w:val="clear" w:color="auto" w:fill="C6F4F9"/>
          </w:tcPr>
          <w:p>
            <w:pPr>
              <w:ind w:left="20"/>
              <w:spacing w:after="0"/>
              <w:rPr>
                <w:sz w:val="20"/>
                <w:szCs w:val="20"/>
                <w:color w:val="auto"/>
              </w:rPr>
            </w:pPr>
            <w:r>
              <w:rPr>
                <w:rFonts w:ascii="Arial" w:cs="Arial" w:eastAsia="Arial" w:hAnsi="Arial"/>
                <w:sz w:val="18"/>
                <w:szCs w:val="18"/>
                <w:color w:val="auto"/>
              </w:rPr>
              <w:t>9/7/2021</w:t>
            </w:r>
          </w:p>
        </w:tc>
        <w:tc>
          <w:tcPr>
            <w:tcW w:w="1120" w:type="dxa"/>
            <w:vAlign w:val="bottom"/>
            <w:tcBorders>
              <w:bottom w:val="single" w:sz="8" w:color="auto"/>
              <w:right w:val="single" w:sz="8" w:color="auto"/>
            </w:tcBorders>
            <w:shd w:val="clear" w:color="auto" w:fill="C6F4F9"/>
          </w:tcPr>
          <w:p>
            <w:pPr>
              <w:spacing w:after="0"/>
              <w:rPr>
                <w:sz w:val="18"/>
                <w:szCs w:val="18"/>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13,450</w:t>
            </w:r>
          </w:p>
        </w:tc>
        <w:tc>
          <w:tcPr>
            <w:tcW w:w="2220" w:type="dxa"/>
            <w:vAlign w:val="bottom"/>
            <w:tcBorders>
              <w:bottom w:val="single" w:sz="8" w:color="auto"/>
              <w:right w:val="single" w:sz="8" w:color="C6F4F9"/>
            </w:tcBorders>
            <w:shd w:val="clear" w:color="auto" w:fill="C6F4F9"/>
          </w:tcPr>
          <w:p>
            <w:pPr>
              <w:jc w:val="right"/>
              <w:ind w:right="1650"/>
              <w:spacing w:after="0"/>
              <w:rPr>
                <w:sz w:val="20"/>
                <w:szCs w:val="20"/>
                <w:color w:val="auto"/>
              </w:rPr>
            </w:pPr>
            <w:r>
              <w:rPr>
                <w:rFonts w:ascii="Arial" w:cs="Arial" w:eastAsia="Arial" w:hAnsi="Arial"/>
                <w:sz w:val="18"/>
                <w:szCs w:val="18"/>
                <w:color w:val="auto"/>
                <w:w w:val="83"/>
              </w:rPr>
              <w:t>$37.05</w:t>
            </w:r>
          </w:p>
        </w:tc>
        <w:tc>
          <w:tcPr>
            <w:tcW w:w="1140" w:type="dxa"/>
            <w:vAlign w:val="bottom"/>
            <w:tcBorders>
              <w:bottom w:val="single" w:sz="8" w:color="auto"/>
              <w:right w:val="single" w:sz="8" w:color="auto"/>
            </w:tcBorders>
            <w:shd w:val="clear" w:color="auto" w:fill="C6F4F9"/>
          </w:tcPr>
          <w:p>
            <w:pPr>
              <w:spacing w:after="0"/>
              <w:rPr>
                <w:sz w:val="18"/>
                <w:szCs w:val="18"/>
                <w:color w:val="auto"/>
              </w:rPr>
            </w:pPr>
          </w:p>
        </w:tc>
        <w:tc>
          <w:tcPr>
            <w:tcW w:w="1100" w:type="dxa"/>
            <w:vAlign w:val="bottom"/>
            <w:tcBorders>
              <w:right w:val="single" w:sz="8" w:color="C6F4F9"/>
            </w:tcBorders>
            <w:shd w:val="clear" w:color="auto" w:fill="C6F4F9"/>
          </w:tcPr>
          <w:p>
            <w:pPr>
              <w:spacing w:after="0"/>
              <w:rPr>
                <w:sz w:val="18"/>
                <w:szCs w:val="18"/>
                <w:color w:val="auto"/>
              </w:rPr>
            </w:pPr>
          </w:p>
        </w:tc>
      </w:tr>
      <w:tr>
        <w:trPr>
          <w:trHeight w:val="20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9/7/2021</w:t>
            </w:r>
          </w:p>
        </w:tc>
        <w:tc>
          <w:tcPr>
            <w:tcW w:w="112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50,000</w:t>
            </w:r>
          </w:p>
        </w:tc>
        <w:tc>
          <w:tcPr>
            <w:tcW w:w="22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83"/>
              </w:rPr>
              <w:t>$37.98</w:t>
            </w: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-1756410</wp:posOffset>
            </wp:positionV>
            <wp:extent cx="71183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-1464945</wp:posOffset>
            </wp:positionV>
            <wp:extent cx="71183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-1173480</wp:posOffset>
            </wp:positionV>
            <wp:extent cx="71183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-882015</wp:posOffset>
            </wp:positionV>
            <wp:extent cx="71183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-590550</wp:posOffset>
            </wp:positionV>
            <wp:extent cx="71183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835" cy="1454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-299720</wp:posOffset>
            </wp:positionV>
            <wp:extent cx="71183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835" cy="146050"/>
                    </a:xfrm>
                    <a:prstGeom prst="rect">
                      <a:avLst/>
                    </a:prstGeom>
                    <a:noFill/>
                  </pic:spPr>
                </pic:pic>
              </a:graphicData>
            </a:graphic>
          </wp:anchor>
        </w:drawing>
      </w:r>
    </w:p>
    <w:p>
      <w:pPr>
        <w:spacing w:after="0" w:line="18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table below specifies that date, amount and price per Warrant sold by certain Funds and Managed Accounts during the 60-day period prior to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117475</wp:posOffset>
            </wp:positionV>
            <wp:extent cx="71183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835" cy="29146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Amount of Warrants</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Price per Warrant</w:t>
            </w:r>
          </w:p>
        </w:tc>
        <w:tc>
          <w:tcPr>
            <w:tcW w:w="1100" w:type="dxa"/>
            <w:vAlign w:val="bottom"/>
            <w:tcBorders>
              <w:bottom w:val="single" w:sz="8" w:color="C6F4F9"/>
            </w:tcBorders>
          </w:tcPr>
          <w:p>
            <w:pPr>
              <w:spacing w:after="0"/>
              <w:rPr>
                <w:sz w:val="19"/>
                <w:szCs w:val="19"/>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6/28/2021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100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$8.00</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7/8/2021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3,742</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$7.00</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8/30/2021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9,950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$7.35</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8/31/2021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1,200</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$7.50</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9/2/2021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8,100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$8.52</w:t>
            </w:r>
          </w:p>
        </w:tc>
        <w:tc>
          <w:tcPr>
            <w:tcW w:w="1100" w:type="dxa"/>
            <w:vAlign w:val="bottom"/>
            <w:shd w:val="clear" w:color="auto" w:fill="C6F4F9"/>
          </w:tcPr>
          <w:p>
            <w:pPr>
              <w:spacing w:after="0"/>
              <w:rPr>
                <w:sz w:val="18"/>
                <w:szCs w:val="18"/>
                <w:color w:val="auto"/>
              </w:rPr>
            </w:pPr>
          </w:p>
        </w:tc>
      </w:tr>
      <w:tr>
        <w:trPr>
          <w:trHeight w:val="209"/>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9/3/2021</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1,000</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$9.75</w:t>
            </w:r>
          </w:p>
        </w:tc>
        <w:tc>
          <w:tcPr>
            <w:tcW w:w="1100" w:type="dxa"/>
            <w:vAlign w:val="bottom"/>
            <w:tcBorders>
              <w:bottom w:val="single" w:sz="8" w:color="C6F4F9"/>
            </w:tcBorders>
          </w:tcPr>
          <w:p>
            <w:pPr>
              <w:spacing w:after="0"/>
              <w:rPr>
                <w:sz w:val="18"/>
                <w:szCs w:val="18"/>
                <w:color w:val="auto"/>
              </w:rPr>
            </w:pPr>
          </w:p>
        </w:tc>
      </w:tr>
      <w:tr>
        <w:trPr>
          <w:trHeight w:val="210"/>
        </w:trPr>
        <w:tc>
          <w:tcPr>
            <w:tcW w:w="340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9/7/2021</w:t>
            </w: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11,200</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$9.39</w:t>
            </w:r>
          </w:p>
        </w:tc>
        <w:tc>
          <w:tcPr>
            <w:tcW w:w="1100" w:type="dxa"/>
            <w:vAlign w:val="bottom"/>
            <w:shd w:val="clear" w:color="auto" w:fill="C6F4F9"/>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-736600</wp:posOffset>
            </wp:positionV>
            <wp:extent cx="7118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-445135</wp:posOffset>
            </wp:positionV>
            <wp:extent cx="71183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835" cy="1460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-153670</wp:posOffset>
            </wp:positionV>
            <wp:extent cx="7118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835" cy="146050"/>
                    </a:xfrm>
                    <a:prstGeom prst="rect">
                      <a:avLst/>
                    </a:prstGeom>
                    <a:noFill/>
                  </pic:spPr>
                </pic:pic>
              </a:graphicData>
            </a:graphic>
          </wp:anchor>
        </w:drawing>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8"/>
              </w:rPr>
              <w:t>Page 9 of 10</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w w:val="96"/>
              </w:rPr>
              <w:t>Agreement Regarding the Joint Filing of Schedule 13D by and among the Reporting Persons (previously filed).</w:t>
            </w:r>
          </w:p>
        </w:tc>
        <w:tc>
          <w:tcPr>
            <w:tcW w:w="144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40" w:type="dxa"/>
            <w:vAlign w:val="bottom"/>
          </w:tcPr>
          <w:p>
            <w:pPr>
              <w:spacing w:after="0"/>
              <w:rPr>
                <w:sz w:val="20"/>
                <w:szCs w:val="20"/>
                <w:color w:val="auto"/>
              </w:rPr>
            </w:pPr>
          </w:p>
        </w:tc>
      </w:tr>
      <w:tr>
        <w:trPr>
          <w:trHeight w:val="1033"/>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9" w:name="page10"/>
    <w:bookmarkEnd w:id="9"/>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2021-09-08T14:57:51Z</dcterms:created>
  <dcterms:modified xsi:type="dcterms:W3CDTF">2021-09-08T14:57:51Z</dcterms:modified>
</cp:coreProperties>
</file>