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Leon Francisco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09/05/2024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8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90831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09/05/2024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7,500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49.1838</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166,357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herein occurred automatically pursuant to a Rule 10b5-1 trading plan adopted by the reporting person on June 6,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$48.71 to $49.65, inclusive. The reporting person undertakes to provide to CRC, any security holder of CRC, or the staff of the Securities and Exchange Commission, upon request, full information regarding the number of shares sold at each separate price within the ranges set forth in footnote (2) to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L. Preston,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98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9885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Francisco 09/06/2024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Leon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2190"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2024-09-06T17:22:56Z</dcterms:created>
  <dcterms:modified xsi:type="dcterms:W3CDTF">2024-09-06T17:22:56Z</dcterms:modified>
</cp:coreProperties>
</file>