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317"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FORM 8-K</w:t>
      </w:r>
    </w:p>
    <w:p>
      <w:pPr>
        <w:spacing w:after="0" w:line="322"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9, 2018</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400"/>
        <w:spacing w:after="0"/>
        <w:rPr>
          <w:sz w:val="20"/>
          <w:szCs w:val="20"/>
          <w:color w:val="auto"/>
        </w:rPr>
      </w:pPr>
      <w:r>
        <w:rPr>
          <w:rFonts w:ascii="Arial" w:cs="Arial" w:eastAsia="Arial" w:hAnsi="Arial"/>
          <w:sz w:val="39"/>
          <w:szCs w:val="39"/>
          <w:b w:val="1"/>
          <w:bCs w:val="1"/>
          <w:color w:val="auto"/>
        </w:rPr>
        <w:t>California Resources Corporation</w:t>
      </w:r>
    </w:p>
    <w:p>
      <w:pPr>
        <w:spacing w:after="0" w:line="130" w:lineRule="exact"/>
        <w:rPr>
          <w:sz w:val="24"/>
          <w:szCs w:val="24"/>
          <w:color w:val="auto"/>
        </w:rPr>
      </w:pPr>
    </w:p>
    <w:p>
      <w:pPr>
        <w:jc w:val="center"/>
        <w:ind w:right="400"/>
        <w:spacing w:after="0"/>
        <w:rPr>
          <w:sz w:val="20"/>
          <w:szCs w:val="20"/>
          <w:color w:val="auto"/>
        </w:rPr>
      </w:pPr>
      <w:r>
        <w:rPr>
          <w:rFonts w:ascii="Arial" w:cs="Arial" w:eastAsia="Arial" w:hAnsi="Arial"/>
          <w:sz w:val="14"/>
          <w:szCs w:val="14"/>
          <w:color w:val="auto"/>
        </w:rPr>
        <w:t>(Exact Name of Registrant as Specified in Charter)</w:t>
      </w:r>
    </w:p>
    <w:p>
      <w:pPr>
        <w:sectPr>
          <w:pgSz w:w="11900" w:h="16838" w:orient="portrait"/>
          <w:cols w:equalWidth="0" w:num="1">
            <w:col w:w="11300"/>
          </w:cols>
          <w:pgMar w:left="240" w:top="702" w:right="359" w:bottom="1440" w:gutter="0" w:footer="0" w:header="0"/>
        </w:sectPr>
      </w:pPr>
    </w:p>
    <w:p>
      <w:pPr>
        <w:spacing w:after="0" w:line="317" w:lineRule="exact"/>
        <w:rPr>
          <w:sz w:val="24"/>
          <w:szCs w:val="24"/>
          <w:color w:val="auto"/>
        </w:rPr>
      </w:pPr>
    </w:p>
    <w:p>
      <w:pPr>
        <w:ind w:left="1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001-36478</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46-5670947</w:t>
      </w:r>
    </w:p>
    <w:p>
      <w:pPr>
        <w:spacing w:after="0" w:line="110" w:lineRule="exact"/>
        <w:rPr>
          <w:sz w:val="24"/>
          <w:szCs w:val="24"/>
          <w:color w:val="auto"/>
        </w:rPr>
      </w:pPr>
    </w:p>
    <w:p>
      <w:pPr>
        <w:sectPr>
          <w:pgSz w:w="11900" w:h="16838" w:orient="portrait"/>
          <w:cols w:equalWidth="0" w:num="3">
            <w:col w:w="4420" w:space="720"/>
            <w:col w:w="2900" w:space="720"/>
            <w:col w:w="2540"/>
          </w:cols>
          <w:pgMar w:left="240" w:top="702" w:right="359" w:bottom="1440" w:gutter="0" w:footer="0" w:header="0"/>
          <w:type w:val="continuous"/>
        </w:sectPr>
      </w:pPr>
    </w:p>
    <w:p>
      <w:pPr>
        <w:jc w:val="center"/>
        <w:ind w:right="78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jc w:val="center"/>
        <w:ind w:right="740"/>
        <w:spacing w:after="0"/>
        <w:rPr>
          <w:sz w:val="20"/>
          <w:szCs w:val="20"/>
          <w:color w:val="auto"/>
        </w:rPr>
      </w:pPr>
      <w:r>
        <w:rPr>
          <w:rFonts w:ascii="Arial" w:cs="Arial" w:eastAsia="Arial" w:hAnsi="Arial"/>
          <w:sz w:val="14"/>
          <w:szCs w:val="14"/>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11" w:lineRule="exact"/>
        <w:rPr>
          <w:sz w:val="24"/>
          <w:szCs w:val="24"/>
          <w:color w:val="auto"/>
        </w:rPr>
      </w:pPr>
    </w:p>
    <w:p>
      <w:pPr>
        <w:sectPr>
          <w:pgSz w:w="11900" w:h="16838" w:orient="portrait"/>
          <w:cols w:equalWidth="0" w:num="3">
            <w:col w:w="4340" w:space="720"/>
            <w:col w:w="2780" w:space="720"/>
            <w:col w:w="2740"/>
          </w:cols>
          <w:pgMar w:left="240" w:top="702" w:right="359" w:bottom="1440" w:gutter="0" w:footer="0" w:header="0"/>
          <w:type w:val="continuous"/>
        </w:sectPr>
      </w:pPr>
    </w:p>
    <w:p>
      <w:pPr>
        <w:spacing w:after="0" w:line="123" w:lineRule="exact"/>
        <w:rPr>
          <w:sz w:val="24"/>
          <w:szCs w:val="24"/>
          <w:color w:val="auto"/>
        </w:rPr>
      </w:pPr>
    </w:p>
    <w:p>
      <w:pPr>
        <w:jc w:val="center"/>
        <w:ind w:right="1780"/>
        <w:spacing w:after="0"/>
        <w:rPr>
          <w:sz w:val="20"/>
          <w:szCs w:val="20"/>
          <w:color w:val="auto"/>
        </w:rPr>
      </w:pPr>
      <w:r>
        <w:rPr>
          <w:rFonts w:ascii="Arial" w:cs="Arial" w:eastAsia="Arial" w:hAnsi="Arial"/>
          <w:sz w:val="12"/>
          <w:szCs w:val="12"/>
          <w:b w:val="1"/>
          <w:bCs w:val="1"/>
          <w:color w:val="auto"/>
        </w:rPr>
        <w:t>9200 Oakdale Avenue, Suite 900</w:t>
      </w:r>
    </w:p>
    <w:p>
      <w:pPr>
        <w:spacing w:after="0" w:line="27" w:lineRule="exact"/>
        <w:rPr>
          <w:sz w:val="24"/>
          <w:szCs w:val="24"/>
          <w:color w:val="auto"/>
        </w:rPr>
      </w:pPr>
    </w:p>
    <w:p>
      <w:pPr>
        <w:jc w:val="center"/>
        <w:ind w:right="1780"/>
        <w:spacing w:after="0"/>
        <w:rPr>
          <w:sz w:val="20"/>
          <w:szCs w:val="20"/>
          <w:color w:val="auto"/>
        </w:rPr>
      </w:pPr>
      <w:r>
        <w:rPr>
          <w:rFonts w:ascii="Arial" w:cs="Arial" w:eastAsia="Arial" w:hAnsi="Arial"/>
          <w:sz w:val="14"/>
          <w:szCs w:val="14"/>
          <w:b w:val="1"/>
          <w:bCs w:val="1"/>
          <w:color w:val="auto"/>
        </w:rPr>
        <w:t>Los Angeles, California</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91311</w:t>
      </w:r>
    </w:p>
    <w:p>
      <w:pPr>
        <w:spacing w:after="0" w:line="185" w:lineRule="exact"/>
        <w:rPr>
          <w:sz w:val="24"/>
          <w:szCs w:val="24"/>
          <w:color w:val="auto"/>
        </w:rPr>
      </w:pPr>
    </w:p>
    <w:p>
      <w:pPr>
        <w:sectPr>
          <w:pgSz w:w="11900" w:h="16838" w:orient="portrait"/>
          <w:cols w:equalWidth="0" w:num="2">
            <w:col w:w="7260" w:space="720"/>
            <w:col w:w="3320"/>
          </w:cols>
          <w:pgMar w:left="240" w:top="702" w:right="359" w:bottom="1440" w:gutter="0" w:footer="0" w:header="0"/>
          <w:type w:val="continuous"/>
        </w:sectPr>
      </w:pPr>
    </w:p>
    <w:p>
      <w:pPr>
        <w:ind w:left="15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7140" w:space="720"/>
            <w:col w:w="3440"/>
          </w:cols>
          <w:pgMar w:left="240" w:top="702" w:right="359" w:bottom="1440" w:gutter="0" w:footer="0" w:header="0"/>
          <w:type w:val="continuous"/>
        </w:sectPr>
      </w:pPr>
    </w:p>
    <w:p>
      <w:pPr>
        <w:spacing w:after="0" w:line="43"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85"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9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702" w:right="35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5.07</w:t>
      </w:r>
      <w:r>
        <w:rPr>
          <w:sz w:val="20"/>
          <w:szCs w:val="20"/>
          <w:color w:val="auto"/>
        </w:rPr>
        <w:tab/>
      </w:r>
      <w:r>
        <w:rPr>
          <w:rFonts w:ascii="Arial" w:cs="Arial" w:eastAsia="Arial" w:hAnsi="Arial"/>
          <w:sz w:val="16"/>
          <w:szCs w:val="16"/>
          <w:b w:val="1"/>
          <w:bCs w:val="1"/>
          <w:u w:val="single" w:color="auto"/>
          <w:color w:val="auto"/>
        </w:rPr>
        <w:t>Submission of Matters to a Vote of Security Holders.</w:t>
      </w:r>
    </w:p>
    <w:p>
      <w:pPr>
        <w:spacing w:after="0" w:line="229" w:lineRule="exact"/>
        <w:rPr>
          <w:sz w:val="20"/>
          <w:szCs w:val="20"/>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held its 2018 Annual Meeting of Stockholders (the “Annual Meeting”) on May 9, 2018.</w:t>
      </w:r>
    </w:p>
    <w:p>
      <w:pPr>
        <w:spacing w:after="0" w:line="225" w:lineRule="exact"/>
        <w:rPr>
          <w:rFonts w:ascii="Arial" w:cs="Arial" w:eastAsia="Arial" w:hAnsi="Arial"/>
          <w:sz w:val="18"/>
          <w:szCs w:val="18"/>
          <w:color w:val="auto"/>
        </w:rPr>
      </w:pPr>
    </w:p>
    <w:p>
      <w:pPr>
        <w:ind w:left="980" w:hanging="972"/>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actions were taken at the Annual Meeting, for which proxies were solicited pursuant to Regulation 14A under the Securities Exchange Act of 1934, as amended, and the final number of votes cast for, against or withheld, abstentions and broker non-votes for each matter are set forth below:</w:t>
      </w:r>
    </w:p>
    <w:p>
      <w:pPr>
        <w:spacing w:after="0" w:line="181" w:lineRule="exact"/>
        <w:rPr>
          <w:sz w:val="20"/>
          <w:szCs w:val="20"/>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nine director nominees named in the Company's proxy statement were elected with the following votes:</w:t>
      </w:r>
    </w:p>
    <w:p>
      <w:pPr>
        <w:spacing w:after="0" w:line="37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b w:val="1"/>
                <w:bCs w:val="1"/>
                <w:color w:val="auto"/>
                <w:w w:val="86"/>
              </w:rPr>
              <w:t>Nominee</w:t>
            </w:r>
          </w:p>
        </w:tc>
        <w:tc>
          <w:tcPr>
            <w:tcW w:w="1260" w:type="dxa"/>
            <w:vAlign w:val="bottom"/>
          </w:tcPr>
          <w:p>
            <w:pPr>
              <w:spacing w:after="0"/>
              <w:rPr>
                <w:sz w:val="17"/>
                <w:szCs w:val="17"/>
                <w:color w:val="auto"/>
              </w:rPr>
            </w:pPr>
          </w:p>
        </w:tc>
        <w:tc>
          <w:tcPr>
            <w:tcW w:w="174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rPr>
              <w:t>For</w:t>
            </w:r>
          </w:p>
        </w:tc>
        <w:tc>
          <w:tcPr>
            <w:tcW w:w="1920" w:type="dxa"/>
            <w:vAlign w:val="bottom"/>
            <w:gridSpan w:val="3"/>
          </w:tcPr>
          <w:p>
            <w:pPr>
              <w:jc w:val="right"/>
              <w:ind w:right="1140"/>
              <w:spacing w:after="0"/>
              <w:rPr>
                <w:sz w:val="20"/>
                <w:szCs w:val="20"/>
                <w:color w:val="auto"/>
              </w:rPr>
            </w:pPr>
            <w:r>
              <w:rPr>
                <w:rFonts w:ascii="Arial" w:cs="Arial" w:eastAsia="Arial" w:hAnsi="Arial"/>
                <w:sz w:val="18"/>
                <w:szCs w:val="18"/>
                <w:b w:val="1"/>
                <w:bCs w:val="1"/>
                <w:color w:val="auto"/>
              </w:rPr>
              <w:t>Against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86"/>
              </w:rPr>
              <w:t>Abstentions</w:t>
            </w:r>
          </w:p>
        </w:tc>
        <w:tc>
          <w:tcPr>
            <w:tcW w:w="22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Broker Non-Votes</w:t>
            </w:r>
          </w:p>
        </w:tc>
      </w:tr>
      <w:tr>
        <w:trPr>
          <w:trHeight w:val="20"/>
        </w:trPr>
        <w:tc>
          <w:tcPr>
            <w:tcW w:w="6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1940" w:type="dxa"/>
            <w:vAlign w:val="bottom"/>
            <w:gridSpan w:val="2"/>
          </w:tcPr>
          <w:p>
            <w:pPr>
              <w:spacing w:after="0"/>
              <w:rPr>
                <w:sz w:val="20"/>
                <w:szCs w:val="20"/>
                <w:color w:val="auto"/>
              </w:rPr>
            </w:pPr>
            <w:r>
              <w:rPr>
                <w:rFonts w:ascii="Arial" w:cs="Arial" w:eastAsia="Arial" w:hAnsi="Arial"/>
                <w:sz w:val="18"/>
                <w:szCs w:val="18"/>
                <w:color w:val="auto"/>
              </w:rPr>
              <w:t>William E. Albrecht</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18,836,357</w:t>
            </w:r>
          </w:p>
        </w:tc>
        <w:tc>
          <w:tcPr>
            <w:tcW w:w="1920" w:type="dxa"/>
            <w:vAlign w:val="bottom"/>
            <w:gridSpan w:val="3"/>
          </w:tcPr>
          <w:p>
            <w:pPr>
              <w:jc w:val="right"/>
              <w:ind w:right="480"/>
              <w:spacing w:after="0"/>
              <w:rPr>
                <w:sz w:val="20"/>
                <w:szCs w:val="20"/>
                <w:color w:val="auto"/>
              </w:rPr>
            </w:pPr>
            <w:r>
              <w:rPr>
                <w:rFonts w:ascii="Arial" w:cs="Arial" w:eastAsia="Arial" w:hAnsi="Arial"/>
                <w:sz w:val="18"/>
                <w:szCs w:val="18"/>
                <w:color w:val="auto"/>
              </w:rPr>
              <w:t>420,269</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31,717</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18,033,868</w:t>
            </w:r>
          </w:p>
        </w:tc>
      </w:tr>
      <w:tr>
        <w:trPr>
          <w:trHeight w:val="270"/>
        </w:trPr>
        <w:tc>
          <w:tcPr>
            <w:tcW w:w="1940" w:type="dxa"/>
            <w:vAlign w:val="bottom"/>
            <w:gridSpan w:val="2"/>
          </w:tcPr>
          <w:p>
            <w:pPr>
              <w:spacing w:after="0"/>
              <w:rPr>
                <w:sz w:val="20"/>
                <w:szCs w:val="20"/>
                <w:color w:val="auto"/>
              </w:rPr>
            </w:pPr>
            <w:r>
              <w:rPr>
                <w:rFonts w:ascii="Arial" w:cs="Arial" w:eastAsia="Arial" w:hAnsi="Arial"/>
                <w:sz w:val="18"/>
                <w:szCs w:val="18"/>
                <w:color w:val="auto"/>
              </w:rPr>
              <w:t>Justin A. Gannon</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18,892,354</w:t>
            </w:r>
          </w:p>
        </w:tc>
        <w:tc>
          <w:tcPr>
            <w:tcW w:w="1920" w:type="dxa"/>
            <w:vAlign w:val="bottom"/>
            <w:gridSpan w:val="3"/>
          </w:tcPr>
          <w:p>
            <w:pPr>
              <w:jc w:val="right"/>
              <w:ind w:right="480"/>
              <w:spacing w:after="0"/>
              <w:rPr>
                <w:sz w:val="20"/>
                <w:szCs w:val="20"/>
                <w:color w:val="auto"/>
              </w:rPr>
            </w:pPr>
            <w:r>
              <w:rPr>
                <w:rFonts w:ascii="Arial" w:cs="Arial" w:eastAsia="Arial" w:hAnsi="Arial"/>
                <w:sz w:val="18"/>
                <w:szCs w:val="18"/>
                <w:color w:val="auto"/>
              </w:rPr>
              <w:t>363,112</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32,877</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18,033,868</w:t>
            </w:r>
          </w:p>
        </w:tc>
      </w:tr>
      <w:tr>
        <w:trPr>
          <w:trHeight w:val="270"/>
        </w:trPr>
        <w:tc>
          <w:tcPr>
            <w:tcW w:w="1940" w:type="dxa"/>
            <w:vAlign w:val="bottom"/>
            <w:gridSpan w:val="2"/>
          </w:tcPr>
          <w:p>
            <w:pPr>
              <w:spacing w:after="0"/>
              <w:rPr>
                <w:sz w:val="20"/>
                <w:szCs w:val="20"/>
                <w:color w:val="auto"/>
              </w:rPr>
            </w:pPr>
            <w:r>
              <w:rPr>
                <w:rFonts w:ascii="Arial" w:cs="Arial" w:eastAsia="Arial" w:hAnsi="Arial"/>
                <w:sz w:val="18"/>
                <w:szCs w:val="18"/>
                <w:color w:val="auto"/>
              </w:rPr>
              <w:t>Harold M. Korell</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18,851,669</w:t>
            </w:r>
          </w:p>
        </w:tc>
        <w:tc>
          <w:tcPr>
            <w:tcW w:w="1920" w:type="dxa"/>
            <w:vAlign w:val="bottom"/>
            <w:gridSpan w:val="3"/>
          </w:tcPr>
          <w:p>
            <w:pPr>
              <w:jc w:val="right"/>
              <w:ind w:right="480"/>
              <w:spacing w:after="0"/>
              <w:rPr>
                <w:sz w:val="20"/>
                <w:szCs w:val="20"/>
                <w:color w:val="auto"/>
              </w:rPr>
            </w:pPr>
            <w:r>
              <w:rPr>
                <w:rFonts w:ascii="Arial" w:cs="Arial" w:eastAsia="Arial" w:hAnsi="Arial"/>
                <w:sz w:val="18"/>
                <w:szCs w:val="18"/>
                <w:color w:val="auto"/>
              </w:rPr>
              <w:t>403,000</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33,674</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18,033,868</w:t>
            </w:r>
          </w:p>
        </w:tc>
      </w:tr>
      <w:tr>
        <w:trPr>
          <w:trHeight w:val="270"/>
        </w:trPr>
        <w:tc>
          <w:tcPr>
            <w:tcW w:w="1940" w:type="dxa"/>
            <w:vAlign w:val="bottom"/>
            <w:gridSpan w:val="2"/>
          </w:tcPr>
          <w:p>
            <w:pPr>
              <w:spacing w:after="0"/>
              <w:rPr>
                <w:sz w:val="20"/>
                <w:szCs w:val="20"/>
                <w:color w:val="auto"/>
              </w:rPr>
            </w:pPr>
            <w:r>
              <w:rPr>
                <w:rFonts w:ascii="Arial" w:cs="Arial" w:eastAsia="Arial" w:hAnsi="Arial"/>
                <w:sz w:val="18"/>
                <w:szCs w:val="18"/>
                <w:color w:val="auto"/>
              </w:rPr>
              <w:t>Harry T. McMahon</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18,946,956</w:t>
            </w:r>
          </w:p>
        </w:tc>
        <w:tc>
          <w:tcPr>
            <w:tcW w:w="1920" w:type="dxa"/>
            <w:vAlign w:val="bottom"/>
            <w:gridSpan w:val="3"/>
          </w:tcPr>
          <w:p>
            <w:pPr>
              <w:jc w:val="right"/>
              <w:ind w:right="480"/>
              <w:spacing w:after="0"/>
              <w:rPr>
                <w:sz w:val="20"/>
                <w:szCs w:val="20"/>
                <w:color w:val="auto"/>
              </w:rPr>
            </w:pPr>
            <w:r>
              <w:rPr>
                <w:rFonts w:ascii="Arial" w:cs="Arial" w:eastAsia="Arial" w:hAnsi="Arial"/>
                <w:sz w:val="18"/>
                <w:szCs w:val="18"/>
                <w:color w:val="auto"/>
              </w:rPr>
              <w:t>307,593</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33,794</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18,033,868</w:t>
            </w:r>
          </w:p>
        </w:tc>
      </w:tr>
      <w:tr>
        <w:trPr>
          <w:trHeight w:val="270"/>
        </w:trPr>
        <w:tc>
          <w:tcPr>
            <w:tcW w:w="1940" w:type="dxa"/>
            <w:vAlign w:val="bottom"/>
            <w:gridSpan w:val="2"/>
          </w:tcPr>
          <w:p>
            <w:pPr>
              <w:spacing w:after="0"/>
              <w:rPr>
                <w:sz w:val="20"/>
                <w:szCs w:val="20"/>
                <w:color w:val="auto"/>
              </w:rPr>
            </w:pPr>
            <w:r>
              <w:rPr>
                <w:rFonts w:ascii="Arial" w:cs="Arial" w:eastAsia="Arial" w:hAnsi="Arial"/>
                <w:sz w:val="18"/>
                <w:szCs w:val="18"/>
                <w:color w:val="auto"/>
              </w:rPr>
              <w:t>Richard W. Moncrief</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18,920,506</w:t>
            </w:r>
          </w:p>
        </w:tc>
        <w:tc>
          <w:tcPr>
            <w:tcW w:w="1920" w:type="dxa"/>
            <w:vAlign w:val="bottom"/>
            <w:gridSpan w:val="3"/>
          </w:tcPr>
          <w:p>
            <w:pPr>
              <w:jc w:val="right"/>
              <w:ind w:right="480"/>
              <w:spacing w:after="0"/>
              <w:rPr>
                <w:sz w:val="20"/>
                <w:szCs w:val="20"/>
                <w:color w:val="auto"/>
              </w:rPr>
            </w:pPr>
            <w:r>
              <w:rPr>
                <w:rFonts w:ascii="Arial" w:cs="Arial" w:eastAsia="Arial" w:hAnsi="Arial"/>
                <w:sz w:val="18"/>
                <w:szCs w:val="18"/>
                <w:color w:val="auto"/>
              </w:rPr>
              <w:t>335,364</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32,473</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18,033,868</w:t>
            </w:r>
          </w:p>
        </w:tc>
      </w:tr>
      <w:tr>
        <w:trPr>
          <w:trHeight w:val="270"/>
        </w:trPr>
        <w:tc>
          <w:tcPr>
            <w:tcW w:w="1940" w:type="dxa"/>
            <w:vAlign w:val="bottom"/>
            <w:gridSpan w:val="2"/>
          </w:tcPr>
          <w:p>
            <w:pPr>
              <w:spacing w:after="0"/>
              <w:rPr>
                <w:sz w:val="20"/>
                <w:szCs w:val="20"/>
                <w:color w:val="auto"/>
              </w:rPr>
            </w:pPr>
            <w:r>
              <w:rPr>
                <w:rFonts w:ascii="Arial" w:cs="Arial" w:eastAsia="Arial" w:hAnsi="Arial"/>
                <w:sz w:val="18"/>
                <w:szCs w:val="18"/>
                <w:color w:val="auto"/>
              </w:rPr>
              <w:t>Avedick B. Poladian</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18,832,257</w:t>
            </w:r>
          </w:p>
        </w:tc>
        <w:tc>
          <w:tcPr>
            <w:tcW w:w="1920" w:type="dxa"/>
            <w:vAlign w:val="bottom"/>
            <w:gridSpan w:val="3"/>
          </w:tcPr>
          <w:p>
            <w:pPr>
              <w:jc w:val="right"/>
              <w:ind w:right="480"/>
              <w:spacing w:after="0"/>
              <w:rPr>
                <w:sz w:val="20"/>
                <w:szCs w:val="20"/>
                <w:color w:val="auto"/>
              </w:rPr>
            </w:pPr>
            <w:r>
              <w:rPr>
                <w:rFonts w:ascii="Arial" w:cs="Arial" w:eastAsia="Arial" w:hAnsi="Arial"/>
                <w:sz w:val="18"/>
                <w:szCs w:val="18"/>
                <w:color w:val="auto"/>
              </w:rPr>
              <w:t>421,729</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34,357</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18,033,868</w:t>
            </w:r>
          </w:p>
        </w:tc>
      </w:tr>
      <w:tr>
        <w:trPr>
          <w:trHeight w:val="270"/>
        </w:trPr>
        <w:tc>
          <w:tcPr>
            <w:tcW w:w="1940" w:type="dxa"/>
            <w:vAlign w:val="bottom"/>
            <w:gridSpan w:val="2"/>
          </w:tcPr>
          <w:p>
            <w:pPr>
              <w:spacing w:after="0"/>
              <w:rPr>
                <w:sz w:val="20"/>
                <w:szCs w:val="20"/>
                <w:color w:val="auto"/>
              </w:rPr>
            </w:pPr>
            <w:r>
              <w:rPr>
                <w:rFonts w:ascii="Arial" w:cs="Arial" w:eastAsia="Arial" w:hAnsi="Arial"/>
                <w:sz w:val="18"/>
                <w:szCs w:val="18"/>
                <w:color w:val="auto"/>
              </w:rPr>
              <w:t>Anita M. Powers</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18,973,977</w:t>
            </w:r>
          </w:p>
        </w:tc>
        <w:tc>
          <w:tcPr>
            <w:tcW w:w="1920" w:type="dxa"/>
            <w:vAlign w:val="bottom"/>
            <w:gridSpan w:val="3"/>
          </w:tcPr>
          <w:p>
            <w:pPr>
              <w:jc w:val="right"/>
              <w:ind w:right="480"/>
              <w:spacing w:after="0"/>
              <w:rPr>
                <w:sz w:val="20"/>
                <w:szCs w:val="20"/>
                <w:color w:val="auto"/>
              </w:rPr>
            </w:pPr>
            <w:r>
              <w:rPr>
                <w:rFonts w:ascii="Arial" w:cs="Arial" w:eastAsia="Arial" w:hAnsi="Arial"/>
                <w:sz w:val="18"/>
                <w:szCs w:val="18"/>
                <w:color w:val="auto"/>
              </w:rPr>
              <w:t>283,937</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30,429</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18,033,868</w:t>
            </w:r>
          </w:p>
        </w:tc>
      </w:tr>
      <w:tr>
        <w:trPr>
          <w:trHeight w:val="270"/>
        </w:trPr>
        <w:tc>
          <w:tcPr>
            <w:tcW w:w="1940" w:type="dxa"/>
            <w:vAlign w:val="bottom"/>
            <w:gridSpan w:val="2"/>
          </w:tcPr>
          <w:p>
            <w:pPr>
              <w:spacing w:after="0"/>
              <w:rPr>
                <w:sz w:val="20"/>
                <w:szCs w:val="20"/>
                <w:color w:val="auto"/>
              </w:rPr>
            </w:pPr>
            <w:r>
              <w:rPr>
                <w:rFonts w:ascii="Arial" w:cs="Arial" w:eastAsia="Arial" w:hAnsi="Arial"/>
                <w:sz w:val="18"/>
                <w:szCs w:val="18"/>
                <w:color w:val="auto"/>
              </w:rPr>
              <w:t>Robert V. Sinnott</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18,841,787</w:t>
            </w:r>
          </w:p>
        </w:tc>
        <w:tc>
          <w:tcPr>
            <w:tcW w:w="1920" w:type="dxa"/>
            <w:vAlign w:val="bottom"/>
            <w:gridSpan w:val="3"/>
          </w:tcPr>
          <w:p>
            <w:pPr>
              <w:jc w:val="right"/>
              <w:ind w:right="480"/>
              <w:spacing w:after="0"/>
              <w:rPr>
                <w:sz w:val="20"/>
                <w:szCs w:val="20"/>
                <w:color w:val="auto"/>
              </w:rPr>
            </w:pPr>
            <w:r>
              <w:rPr>
                <w:rFonts w:ascii="Arial" w:cs="Arial" w:eastAsia="Arial" w:hAnsi="Arial"/>
                <w:sz w:val="18"/>
                <w:szCs w:val="18"/>
                <w:color w:val="auto"/>
              </w:rPr>
              <w:t>413,405</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33,151</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18,033,868</w:t>
            </w:r>
          </w:p>
        </w:tc>
      </w:tr>
      <w:tr>
        <w:trPr>
          <w:trHeight w:val="270"/>
        </w:trPr>
        <w:tc>
          <w:tcPr>
            <w:tcW w:w="1940" w:type="dxa"/>
            <w:vAlign w:val="bottom"/>
            <w:gridSpan w:val="2"/>
          </w:tcPr>
          <w:p>
            <w:pPr>
              <w:spacing w:after="0"/>
              <w:rPr>
                <w:sz w:val="20"/>
                <w:szCs w:val="20"/>
                <w:color w:val="auto"/>
              </w:rPr>
            </w:pPr>
            <w:r>
              <w:rPr>
                <w:rFonts w:ascii="Arial" w:cs="Arial" w:eastAsia="Arial" w:hAnsi="Arial"/>
                <w:sz w:val="18"/>
                <w:szCs w:val="18"/>
                <w:color w:val="auto"/>
              </w:rPr>
              <w:t>Todd A. Stevens</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18,936,224</w:t>
            </w:r>
          </w:p>
        </w:tc>
        <w:tc>
          <w:tcPr>
            <w:tcW w:w="1920" w:type="dxa"/>
            <w:vAlign w:val="bottom"/>
            <w:gridSpan w:val="3"/>
          </w:tcPr>
          <w:p>
            <w:pPr>
              <w:jc w:val="right"/>
              <w:ind w:right="480"/>
              <w:spacing w:after="0"/>
              <w:rPr>
                <w:sz w:val="20"/>
                <w:szCs w:val="20"/>
                <w:color w:val="auto"/>
              </w:rPr>
            </w:pPr>
            <w:r>
              <w:rPr>
                <w:rFonts w:ascii="Arial" w:cs="Arial" w:eastAsia="Arial" w:hAnsi="Arial"/>
                <w:sz w:val="18"/>
                <w:szCs w:val="18"/>
                <w:color w:val="auto"/>
              </w:rPr>
              <w:t>324,226</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27,893</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18,033,868</w:t>
            </w:r>
          </w:p>
        </w:tc>
      </w:tr>
    </w:tbl>
    <w:p>
      <w:pPr>
        <w:spacing w:after="0" w:line="229" w:lineRule="exact"/>
        <w:rPr>
          <w:sz w:val="20"/>
          <w:szCs w:val="20"/>
          <w:color w:val="auto"/>
        </w:rPr>
      </w:pPr>
    </w:p>
    <w:p>
      <w:pPr>
        <w:ind w:left="980" w:right="500" w:hanging="972"/>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ratification of the selection of KPMG LLP as the Company's independent registered public accounting firm for the fiscal year ending December 31, 2018 was approved. The proposal received 35,669,241 votes for; 1,535,084 votes against; and 118,786 abstentions.</w:t>
      </w:r>
    </w:p>
    <w:p>
      <w:pPr>
        <w:spacing w:after="0" w:line="123" w:lineRule="exact"/>
        <w:rPr>
          <w:rFonts w:ascii="Arial" w:cs="Arial" w:eastAsia="Arial" w:hAnsi="Arial"/>
          <w:sz w:val="16"/>
          <w:szCs w:val="16"/>
          <w:color w:val="auto"/>
        </w:rPr>
      </w:pPr>
    </w:p>
    <w:p>
      <w:pPr>
        <w:ind w:left="980" w:right="100" w:hanging="97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advisory vote to approve named executive officer compensation was approved. The proposal received 18,617,133 votes for; 573,547 votes against; 97,663 abstentions and 18,033,868 broker non-votes.</w:t>
      </w:r>
    </w:p>
    <w:p>
      <w:pPr>
        <w:spacing w:after="0" w:line="170" w:lineRule="exact"/>
        <w:rPr>
          <w:rFonts w:ascii="Arial" w:cs="Arial" w:eastAsia="Arial" w:hAnsi="Arial"/>
          <w:sz w:val="18"/>
          <w:szCs w:val="18"/>
          <w:color w:val="auto"/>
        </w:rPr>
      </w:pPr>
    </w:p>
    <w:p>
      <w:pPr>
        <w:ind w:left="980" w:right="60" w:hanging="97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Second Amendment to the California Resources Corporation 2014 Employment Stock Purchase Plan was approved. The proposal received 18,958,179 votes for; 228,944 votes against; 101,220 abstentions; and 18,033,868 broker non-votes.</w:t>
      </w:r>
    </w:p>
    <w:p>
      <w:pPr>
        <w:spacing w:after="0" w:line="170" w:lineRule="exact"/>
        <w:rPr>
          <w:sz w:val="20"/>
          <w:szCs w:val="20"/>
          <w:color w:val="auto"/>
        </w:rPr>
      </w:pPr>
    </w:p>
    <w:p>
      <w:pPr>
        <w:ind w:left="980" w:right="200" w:hanging="971"/>
        <w:spacing w:after="0" w:line="342" w:lineRule="auto"/>
        <w:tabs>
          <w:tab w:leader="none" w:pos="960" w:val="left"/>
        </w:tabs>
        <w:rPr>
          <w:sz w:val="20"/>
          <w:szCs w:val="20"/>
          <w:color w:val="auto"/>
        </w:rPr>
      </w:pPr>
      <w:r>
        <w:rPr>
          <w:rFonts w:ascii="Arial" w:cs="Arial" w:eastAsia="Arial" w:hAnsi="Arial"/>
          <w:sz w:val="18"/>
          <w:szCs w:val="18"/>
          <w:color w:val="auto"/>
        </w:rPr>
        <w:t>5(a).</w:t>
      </w:r>
      <w:r>
        <w:rPr>
          <w:sz w:val="20"/>
          <w:szCs w:val="20"/>
          <w:color w:val="auto"/>
        </w:rPr>
        <w:tab/>
      </w:r>
      <w:r>
        <w:rPr>
          <w:rFonts w:ascii="Arial" w:cs="Arial" w:eastAsia="Arial" w:hAnsi="Arial"/>
          <w:sz w:val="16"/>
          <w:szCs w:val="16"/>
          <w:color w:val="auto"/>
        </w:rPr>
        <w:t>The proposal to change the supermajority vote requirement for stockholders to remove directors without cause to a majority vote requirement was not approved. The proposal received 19,065,484 votes for; 176,712 votes against; 46,147 abstentions; and 18,033,868 broker non-votes.</w:t>
      </w:r>
    </w:p>
    <w:p>
      <w:pPr>
        <w:spacing w:after="0" w:line="124" w:lineRule="exact"/>
        <w:rPr>
          <w:sz w:val="20"/>
          <w:szCs w:val="20"/>
          <w:color w:val="auto"/>
        </w:rPr>
      </w:pPr>
    </w:p>
    <w:p>
      <w:pPr>
        <w:ind w:left="980" w:right="540" w:hanging="971"/>
        <w:spacing w:after="0" w:line="342" w:lineRule="auto"/>
        <w:tabs>
          <w:tab w:leader="none" w:pos="960" w:val="left"/>
        </w:tabs>
        <w:rPr>
          <w:sz w:val="20"/>
          <w:szCs w:val="20"/>
          <w:color w:val="auto"/>
        </w:rPr>
      </w:pPr>
      <w:r>
        <w:rPr>
          <w:rFonts w:ascii="Arial" w:cs="Arial" w:eastAsia="Arial" w:hAnsi="Arial"/>
          <w:sz w:val="18"/>
          <w:szCs w:val="18"/>
          <w:color w:val="auto"/>
        </w:rPr>
        <w:t>5(b).</w:t>
      </w:r>
      <w:r>
        <w:rPr>
          <w:sz w:val="20"/>
          <w:szCs w:val="20"/>
          <w:color w:val="auto"/>
        </w:rPr>
        <w:tab/>
      </w:r>
      <w:r>
        <w:rPr>
          <w:rFonts w:ascii="Arial" w:cs="Arial" w:eastAsia="Arial" w:hAnsi="Arial"/>
          <w:sz w:val="16"/>
          <w:szCs w:val="16"/>
          <w:color w:val="auto"/>
        </w:rPr>
        <w:t>The proposal to change the supermajority vote requirement for stockholders to amend the Bylaws to a majority vote requirement was not approved. The proposal received 19,024,134 votes for; 213,253 votes against; 50,956 abstentions; and 18,033,868 broker non-votes.</w:t>
      </w:r>
    </w:p>
    <w:p>
      <w:pPr>
        <w:spacing w:after="0" w:line="124" w:lineRule="exact"/>
        <w:rPr>
          <w:sz w:val="20"/>
          <w:szCs w:val="20"/>
          <w:color w:val="auto"/>
        </w:rPr>
      </w:pPr>
    </w:p>
    <w:p>
      <w:pPr>
        <w:ind w:left="980" w:right="540" w:hanging="971"/>
        <w:spacing w:after="0" w:line="264" w:lineRule="auto"/>
        <w:tabs>
          <w:tab w:leader="none" w:pos="960" w:val="left"/>
        </w:tabs>
        <w:rPr>
          <w:sz w:val="20"/>
          <w:szCs w:val="20"/>
          <w:color w:val="auto"/>
        </w:rPr>
      </w:pPr>
      <w:r>
        <w:rPr>
          <w:rFonts w:ascii="Arial" w:cs="Arial" w:eastAsia="Arial" w:hAnsi="Arial"/>
          <w:sz w:val="18"/>
          <w:szCs w:val="18"/>
          <w:color w:val="auto"/>
        </w:rPr>
        <w:t>5(c).</w:t>
      </w:r>
      <w:r>
        <w:rPr>
          <w:sz w:val="20"/>
          <w:szCs w:val="20"/>
          <w:color w:val="auto"/>
        </w:rPr>
        <w:tab/>
      </w:r>
      <w:r>
        <w:rPr>
          <w:rFonts w:ascii="Arial" w:cs="Arial" w:eastAsia="Arial" w:hAnsi="Arial"/>
          <w:sz w:val="18"/>
          <w:szCs w:val="18"/>
          <w:color w:val="auto"/>
        </w:rPr>
        <w:t>The proposal to change the supermajority vote requirement for stockholders to amend certain provisions of the Amended and Restated Certificate of Incorporation to a majority vote requirement was not approved. The proposal received 19,026,894 votes for; 208,834 votes against; 52,615 abstentions; and 18,033,868 broker non-votes.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64" w:right="27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1964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57" w:lineRule="exact"/>
        <w:rPr>
          <w:sz w:val="20"/>
          <w:szCs w:val="20"/>
          <w:color w:val="auto"/>
        </w:rPr>
      </w:pPr>
    </w:p>
    <w:p>
      <w:pPr>
        <w:ind w:left="6140"/>
        <w:spacing w:after="0"/>
        <w:tabs>
          <w:tab w:leader="none" w:pos="6860" w:val="left"/>
        </w:tabs>
        <w:rPr>
          <w:sz w:val="20"/>
          <w:szCs w:val="20"/>
          <w:color w:val="auto"/>
        </w:rPr>
      </w:pPr>
      <w:r>
        <w:rPr>
          <w:rFonts w:ascii="Arial" w:cs="Arial" w:eastAsia="Arial" w:hAnsi="Arial"/>
          <w:sz w:val="18"/>
          <w:szCs w:val="18"/>
          <w:color w:val="auto"/>
        </w:rPr>
        <w:t>Name:</w:t>
        <w:tab/>
        <w:t>Roy Pineci</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w:t>
      </w:r>
    </w:p>
    <w:p>
      <w:pPr>
        <w:spacing w:after="0" w:line="23" w:lineRule="exact"/>
        <w:rPr>
          <w:sz w:val="20"/>
          <w:szCs w:val="20"/>
          <w:color w:val="auto"/>
        </w:rPr>
      </w:pPr>
    </w:p>
    <w:p>
      <w:pPr>
        <w:ind w:left="614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DATED: May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w:t>
      </w:r>
    </w:p>
    <w:sectPr>
      <w:pgSz w:w="11900" w:h="16838" w:orient="portrait"/>
      <w:cols w:equalWidth="0" w:num="1">
        <w:col w:w="10600"/>
      </w:cols>
      <w:pgMar w:left="240" w:top="756"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2019-12-08T10:15:35Z</dcterms:created>
  <dcterms:modified xsi:type="dcterms:W3CDTF">2019-12-08T10:15:35Z</dcterms:modified>
</cp:coreProperties>
</file>