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467673.xml.htm"/>
      <w:bookmarkStart w:id="1" w:name="kswkform4_17624676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Preston Michael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Chf Strategy Officer &amp; GC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47,649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116,727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restricted stock units (RSUs). Each RSU represents a contingent right to receive one share of Common Stock. These RSUs will vest as follows: 10% of the RSUs on each of November 4, 2026, 2027 and 2028; 30% of the RSUs on November 4, 2029; and 40% of the RSUs on November 4, 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L. Preston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2072" TargetMode="External"/><Relationship Id="rId5" Type="http://schemas.openxmlformats.org/officeDocument/2006/relationships/hyperlink" Target="http://www.sec.gov/cgi-bin/browse-edgar?action=getcompany&amp;CIK=0001609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3311</Characters>
  <CharactersWithSpaces>3875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