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13D</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5)*</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13057Q305*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George Travers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GoldenTree Asset Management LP</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300 Park Avenue, 21</w:t>
      </w:r>
      <w:r>
        <w:rPr>
          <w:rFonts w:ascii="Arial" w:cs="Arial" w:eastAsia="Arial" w:hAnsi="Arial"/>
          <w:sz w:val="14"/>
          <w:szCs w:val="14"/>
          <w:b w:val="1"/>
          <w:bCs w:val="1"/>
          <w:color w:val="auto"/>
        </w:rPr>
        <w:t>st</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847-3500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June 24,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319"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79" w:lineRule="exact"/>
        <w:rPr>
          <w:sz w:val="24"/>
          <w:szCs w:val="24"/>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w w:val="86"/>
              </w:rPr>
              <w:t>Page 2 of 11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13,825,262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13,825,262</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13,825,262</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16.5%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 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right="60" w:hanging="572"/>
        <w:spacing w:after="0" w:line="25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(i) 13,510,388 common shares, $0.01 par value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Issuer, and (ii) 314,874 Common Shares that would result from the exercise of 314,874 warrants of the Issuer entitling the holder thereof to purchase one Common Share at an exercise price of $36.00 per share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580" w:right="420" w:hanging="572"/>
        <w:spacing w:after="0" w:line="253"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using a denominator of 83,634,534, the sum of (i) 83,319,660 Common Shares outstanding as of April 30, 2021, as reported on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May 13, 2021 (the “</w:t>
      </w:r>
      <w:r>
        <w:rPr>
          <w:rFonts w:ascii="Arial" w:cs="Arial" w:eastAsia="Arial" w:hAnsi="Arial"/>
          <w:sz w:val="18"/>
          <w:szCs w:val="18"/>
          <w:u w:val="single" w:color="auto"/>
          <w:color w:val="auto"/>
        </w:rPr>
        <w:t>Form 10-Q</w:t>
      </w:r>
      <w:r>
        <w:rPr>
          <w:rFonts w:ascii="Arial" w:cs="Arial" w:eastAsia="Arial" w:hAnsi="Arial"/>
          <w:sz w:val="18"/>
          <w:szCs w:val="18"/>
          <w:color w:val="auto"/>
        </w:rPr>
        <w:t>”) and (ii) 314,874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w w:val="86"/>
              </w:rPr>
              <w:t>Page 3 of 11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13,825,262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13,825,262</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13,825,262</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16.5%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(i) 13,510,388 Common Shares of the Issuer, and (ii) 314,874 Common Shares that would result from the exercise of 317,874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using a denominator of 83,634,534, the sum of (i) 83,319,660 Common Shares outstanding, as reported on the Form 10-Q and (ii) 314,874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w w:val="86"/>
              </w:rPr>
              <w:t>Page 4 of 11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Steven A. Tananbaum</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13,825,262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13,825,262</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13,825,262</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16.5%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 13,510,388 Common Shares of the Issuer, and (ii) Common Shares that would result from the exercise of 317,874 Warrants.</w:t>
      </w:r>
    </w:p>
    <w:p>
      <w:pPr>
        <w:spacing w:after="0" w:line="34" w:lineRule="exact"/>
        <w:rPr>
          <w:rFonts w:ascii="Arial" w:cs="Arial" w:eastAsia="Arial" w:hAnsi="Arial"/>
          <w:sz w:val="17"/>
          <w:szCs w:val="17"/>
          <w:color w:val="auto"/>
        </w:rPr>
      </w:pPr>
    </w:p>
    <w:p>
      <w:pPr>
        <w:ind w:left="580" w:right="400" w:hanging="572"/>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using a denominator of 83,634,534, the sum of (i) 83,319,660 Common Shares outstanding, as reported on the Form 10-Q and (ii) 314,874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w w:val="86"/>
              </w:rPr>
              <w:t>Page 5 of 11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Distressed Master Fund III LTD</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4,526,330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4,526,330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4,526,330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 5,086,902 Common Shares of the Issuer, and (ii) 149,965 Common Shares that would result from the exercise of 149,965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using a denominator of 83,634,534, the sum of (i) 83,319,660 Common Shares outstanding, as reported on the Form 10-Q and (ii) 314,874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p>
      <w:pPr>
        <w:ind w:left="40"/>
        <w:spacing w:after="0"/>
        <w:tabs>
          <w:tab w:leader="none" w:pos="4940" w:val="left"/>
          <w:tab w:leader="none" w:pos="1030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Amendment No. 5 to Schedule 13D (as so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is being filed to amend the Schedule 13D originally filed with the SEC on November 6, 2020, as amended by Amendment No. 1 dated November 10, 2020, Amendment No. 2 dated May 20, 2021, Amendment No. 3 dated May 27, 2021, and Amendment No. 4 dated June 11, 2021, and relates to the common shares, $0.01 par value per share (the “</w:t>
      </w:r>
      <w:r>
        <w:rPr>
          <w:rFonts w:ascii="Arial" w:cs="Arial" w:eastAsia="Arial" w:hAnsi="Arial"/>
          <w:sz w:val="18"/>
          <w:szCs w:val="18"/>
          <w:u w:val="single" w:color="auto"/>
          <w:color w:val="auto"/>
        </w:rPr>
        <w:t>Common Shares</w:t>
      </w:r>
      <w:r>
        <w:rPr>
          <w:rFonts w:ascii="Arial" w:cs="Arial" w:eastAsia="Arial" w:hAnsi="Arial"/>
          <w:sz w:val="18"/>
          <w:szCs w:val="18"/>
          <w:color w:val="auto"/>
        </w:rPr>
        <w:t>”), of California Resources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address of the principal executive offices of the Issuer is 27200 Tourney Road, Suite 200, Santa Clarita, California.</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6"/>
              </w:rPr>
              <w:t>Page 7 of 11</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amended and restated as follows:</w:t>
      </w:r>
    </w:p>
    <w:p>
      <w:pPr>
        <w:spacing w:after="0" w:line="225" w:lineRule="exact"/>
        <w:rPr>
          <w:sz w:val="20"/>
          <w:szCs w:val="20"/>
          <w:color w:val="auto"/>
        </w:rPr>
      </w:pPr>
    </w:p>
    <w:p>
      <w:pPr>
        <w:ind w:right="80" w:firstLine="8"/>
        <w:spacing w:after="0" w:line="259"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(b) Items 7 through 11 and 13 of each of the cover pages of this Schedule 13D and Item 3 are incorporated herein by reference. Such information is calculated using a denominator of 83,637,534, the sum of (i) 83,319,660 Common Shares outstanding, as reported on the Form 10-Q and (ii) 317,874 Common Shares that would result in the event all of the Warrants beneficially owned by the Reporting Persons were exercised and no other outstanding Warrants were exercised.</w:t>
      </w:r>
    </w:p>
    <w:p>
      <w:pPr>
        <w:spacing w:after="0" w:line="187" w:lineRule="exact"/>
        <w:rPr>
          <w:sz w:val="20"/>
          <w:szCs w:val="20"/>
          <w:color w:val="auto"/>
        </w:rPr>
      </w:pPr>
    </w:p>
    <w:p>
      <w:pPr>
        <w:ind w:right="40" w:firstLine="8"/>
        <w:spacing w:after="0" w:line="277"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in Item 3 and Item 4 is incorporated herein by reference. The table below specifies that date, amount and price per Common Share sold by certain Funds and Managed Accounts during the 60-day period prior to June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117475</wp:posOffset>
            </wp:positionV>
            <wp:extent cx="71183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35" cy="291465"/>
                    </a:xfrm>
                    <a:prstGeom prst="rect">
                      <a:avLst/>
                    </a:prstGeom>
                    <a:noFill/>
                  </pic:spPr>
                </pic:pic>
              </a:graphicData>
            </a:graphic>
          </wp:anchor>
        </w:drawing>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4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Trade Date</w:t>
            </w:r>
          </w:p>
        </w:tc>
        <w:tc>
          <w:tcPr>
            <w:tcW w:w="3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Amount of Common Shares</w:t>
            </w:r>
          </w:p>
        </w:tc>
        <w:tc>
          <w:tcPr>
            <w:tcW w:w="33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Price per Common Share</w:t>
            </w:r>
          </w:p>
        </w:tc>
        <w:tc>
          <w:tcPr>
            <w:tcW w:w="1100" w:type="dxa"/>
            <w:vAlign w:val="bottom"/>
            <w:tcBorders>
              <w:bottom w:val="single" w:sz="8" w:color="C6F4F9"/>
            </w:tcBorders>
          </w:tcPr>
          <w:p>
            <w:pPr>
              <w:spacing w:after="0"/>
              <w:rPr>
                <w:sz w:val="19"/>
                <w:szCs w:val="19"/>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5/18/2021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200,000</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$28.40</w:t>
            </w:r>
          </w:p>
        </w:tc>
        <w:tc>
          <w:tcPr>
            <w:tcW w:w="1100" w:type="dxa"/>
            <w:vAlign w:val="bottom"/>
            <w:shd w:val="clear" w:color="auto" w:fill="C6F4F9"/>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5/18/2021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13,159</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$28.47</w:t>
            </w:r>
          </w:p>
        </w:tc>
        <w:tc>
          <w:tcPr>
            <w:tcW w:w="1100" w:type="dxa"/>
            <w:vAlign w:val="bottom"/>
            <w:tcBorders>
              <w:bottom w:val="single" w:sz="8" w:color="C6F4F9"/>
            </w:tcBorders>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5/18/2021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60,118</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$28.59</w:t>
            </w:r>
          </w:p>
        </w:tc>
        <w:tc>
          <w:tcPr>
            <w:tcW w:w="1100" w:type="dxa"/>
            <w:vAlign w:val="bottom"/>
            <w:shd w:val="clear" w:color="auto" w:fill="C6F4F9"/>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5/18/2021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128,625</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$28.71</w:t>
            </w:r>
          </w:p>
        </w:tc>
        <w:tc>
          <w:tcPr>
            <w:tcW w:w="1100" w:type="dxa"/>
            <w:vAlign w:val="bottom"/>
            <w:tcBorders>
              <w:bottom w:val="single" w:sz="8" w:color="C6F4F9"/>
            </w:tcBorders>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5/18/2021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8,935</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$29.00</w:t>
            </w:r>
          </w:p>
        </w:tc>
        <w:tc>
          <w:tcPr>
            <w:tcW w:w="1100" w:type="dxa"/>
            <w:vAlign w:val="bottom"/>
            <w:shd w:val="clear" w:color="auto" w:fill="C6F4F9"/>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5/18/2021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185,457</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$29.03</w:t>
            </w:r>
          </w:p>
        </w:tc>
        <w:tc>
          <w:tcPr>
            <w:tcW w:w="1100" w:type="dxa"/>
            <w:vAlign w:val="bottom"/>
            <w:tcBorders>
              <w:bottom w:val="single" w:sz="8" w:color="C6F4F9"/>
            </w:tcBorders>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5/18/2021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125</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$29.07</w:t>
            </w:r>
          </w:p>
        </w:tc>
        <w:tc>
          <w:tcPr>
            <w:tcW w:w="1100" w:type="dxa"/>
            <w:vAlign w:val="bottom"/>
            <w:shd w:val="clear" w:color="auto" w:fill="C6F4F9"/>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5/19/2021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208,581</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$28.76</w:t>
            </w:r>
          </w:p>
        </w:tc>
        <w:tc>
          <w:tcPr>
            <w:tcW w:w="1100" w:type="dxa"/>
            <w:vAlign w:val="bottom"/>
            <w:tcBorders>
              <w:bottom w:val="single" w:sz="8" w:color="C6F4F9"/>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5/20/2021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84,555</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$29.45</w:t>
            </w:r>
          </w:p>
        </w:tc>
        <w:tc>
          <w:tcPr>
            <w:tcW w:w="1100" w:type="dxa"/>
            <w:vAlign w:val="bottom"/>
            <w:shd w:val="clear" w:color="auto" w:fill="C6F4F9"/>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5/20/2021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25,062</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$29.52</w:t>
            </w:r>
          </w:p>
        </w:tc>
        <w:tc>
          <w:tcPr>
            <w:tcW w:w="1100" w:type="dxa"/>
            <w:vAlign w:val="bottom"/>
            <w:tcBorders>
              <w:bottom w:val="single" w:sz="8" w:color="C6F4F9"/>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5/20/2021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186,871</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$29.03</w:t>
            </w:r>
          </w:p>
        </w:tc>
        <w:tc>
          <w:tcPr>
            <w:tcW w:w="1100" w:type="dxa"/>
            <w:vAlign w:val="bottom"/>
            <w:shd w:val="clear" w:color="auto" w:fill="C6F4F9"/>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5/21/2021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79,073</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$29.60</w:t>
            </w:r>
          </w:p>
        </w:tc>
        <w:tc>
          <w:tcPr>
            <w:tcW w:w="1100" w:type="dxa"/>
            <w:vAlign w:val="bottom"/>
            <w:tcBorders>
              <w:bottom w:val="single" w:sz="8" w:color="C6F4F9"/>
            </w:tcBorders>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5/21/2021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24,038</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$29.57</w:t>
            </w:r>
          </w:p>
        </w:tc>
        <w:tc>
          <w:tcPr>
            <w:tcW w:w="1100" w:type="dxa"/>
            <w:vAlign w:val="bottom"/>
            <w:shd w:val="clear" w:color="auto" w:fill="C6F4F9"/>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5/24/2021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80,171</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$29.83</w:t>
            </w:r>
          </w:p>
        </w:tc>
        <w:tc>
          <w:tcPr>
            <w:tcW w:w="1100" w:type="dxa"/>
            <w:vAlign w:val="bottom"/>
            <w:tcBorders>
              <w:bottom w:val="single" w:sz="8" w:color="C6F4F9"/>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5/24/2021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1,862</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$30.02</w:t>
            </w:r>
          </w:p>
        </w:tc>
        <w:tc>
          <w:tcPr>
            <w:tcW w:w="1100" w:type="dxa"/>
            <w:vAlign w:val="bottom"/>
            <w:shd w:val="clear" w:color="auto" w:fill="C6F4F9"/>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5/24/2021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50,559</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$30.02</w:t>
            </w:r>
          </w:p>
        </w:tc>
        <w:tc>
          <w:tcPr>
            <w:tcW w:w="1100" w:type="dxa"/>
            <w:vAlign w:val="bottom"/>
            <w:tcBorders>
              <w:bottom w:val="single" w:sz="8" w:color="C6F4F9"/>
            </w:tcBorders>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5/25/2021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344,020</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$29.61</w:t>
            </w:r>
          </w:p>
        </w:tc>
        <w:tc>
          <w:tcPr>
            <w:tcW w:w="1100" w:type="dxa"/>
            <w:vAlign w:val="bottom"/>
            <w:shd w:val="clear" w:color="auto" w:fill="C6F4F9"/>
          </w:tcPr>
          <w:p>
            <w:pPr>
              <w:spacing w:after="0"/>
              <w:rPr>
                <w:sz w:val="18"/>
                <w:szCs w:val="18"/>
                <w:color w:val="auto"/>
              </w:rPr>
            </w:pPr>
          </w:p>
        </w:tc>
      </w:tr>
      <w:tr>
        <w:trPr>
          <w:trHeight w:val="1054"/>
        </w:trPr>
        <w:tc>
          <w:tcPr>
            <w:tcW w:w="34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-2879725</wp:posOffset>
            </wp:positionV>
            <wp:extent cx="71183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-2588260</wp:posOffset>
            </wp:positionV>
            <wp:extent cx="71183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-2296795</wp:posOffset>
            </wp:positionV>
            <wp:extent cx="71183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-2005330</wp:posOffset>
            </wp:positionV>
            <wp:extent cx="71183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835" cy="1460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-1713865</wp:posOffset>
            </wp:positionV>
            <wp:extent cx="71183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835" cy="1460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-1422400</wp:posOffset>
            </wp:positionV>
            <wp:extent cx="71183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-1130935</wp:posOffset>
            </wp:positionV>
            <wp:extent cx="71183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835" cy="1460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-839470</wp:posOffset>
            </wp:positionV>
            <wp:extent cx="71183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835" cy="14541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1240" w:type="dxa"/>
            <w:vAlign w:val="bottom"/>
          </w:tcPr>
          <w:p>
            <w:pPr>
              <w:spacing w:after="0"/>
              <w:rPr>
                <w:sz w:val="21"/>
                <w:szCs w:val="21"/>
                <w:color w:val="auto"/>
              </w:rPr>
            </w:pPr>
          </w:p>
        </w:tc>
        <w:tc>
          <w:tcPr>
            <w:tcW w:w="3360" w:type="dxa"/>
            <w:vAlign w:val="bottom"/>
          </w:tcPr>
          <w:p>
            <w:pPr>
              <w:ind w:left="1440"/>
              <w:spacing w:after="0"/>
              <w:rPr>
                <w:sz w:val="20"/>
                <w:szCs w:val="20"/>
                <w:color w:val="auto"/>
              </w:rPr>
            </w:pPr>
            <w:r>
              <w:rPr>
                <w:rFonts w:ascii="Arial" w:cs="Arial" w:eastAsia="Arial" w:hAnsi="Arial"/>
                <w:sz w:val="18"/>
                <w:szCs w:val="18"/>
                <w:b w:val="1"/>
                <w:bCs w:val="1"/>
                <w:color w:val="auto"/>
              </w:rPr>
              <w:t>SCHEDULE 13D</w:t>
            </w:r>
          </w:p>
        </w:tc>
        <w:tc>
          <w:tcPr>
            <w:tcW w:w="2120" w:type="dxa"/>
            <w:vAlign w:val="bottom"/>
            <w:tcBorders>
              <w:right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86"/>
              </w:rPr>
              <w:t>Page 8 of 11</w:t>
            </w:r>
          </w:p>
        </w:tc>
        <w:tc>
          <w:tcPr>
            <w:tcW w:w="0" w:type="dxa"/>
            <w:vAlign w:val="bottom"/>
          </w:tcPr>
          <w:p>
            <w:pPr>
              <w:spacing w:after="0"/>
              <w:rPr>
                <w:sz w:val="1"/>
                <w:szCs w:val="1"/>
                <w:color w:val="auto"/>
              </w:rPr>
            </w:pPr>
          </w:p>
        </w:tc>
      </w:tr>
      <w:tr>
        <w:trPr>
          <w:trHeight w:val="432"/>
        </w:trPr>
        <w:tc>
          <w:tcPr>
            <w:tcW w:w="2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spacing w:after="0"/>
              <w:rPr>
                <w:sz w:val="24"/>
                <w:szCs w:val="24"/>
                <w:color w:val="auto"/>
              </w:rPr>
            </w:pPr>
          </w:p>
        </w:tc>
        <w:tc>
          <w:tcPr>
            <w:tcW w:w="9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Trade Date</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Amount of Common Shares</w:t>
            </w:r>
          </w:p>
        </w:tc>
        <w:tc>
          <w:tcPr>
            <w:tcW w:w="3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Price per Common Share</w:t>
            </w:r>
          </w:p>
        </w:tc>
        <w:tc>
          <w:tcPr>
            <w:tcW w:w="980" w:type="dxa"/>
            <w:vAlign w:val="bottom"/>
            <w:tcBorders>
              <w:bottom w:val="single" w:sz="8" w:color="C6F4F9"/>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5/26/2021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102,241</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$29.54</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5/26/2021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19,385</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$29.69</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5/27/2021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112,117</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$30.01</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5/28/2021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65,029</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$29.12</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6/1/2021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128,035</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$30.16</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6/2/3021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138,755</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$29.85</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6/3/2021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122,871</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$29.61</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6/4/2021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60,374</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$29.91</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6/07/2021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166,054</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$32.99</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6/07/2021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11,900</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$33.04</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6/07/2021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38,143</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$33.22</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6/07/2021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134,154</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$33.66</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6/07/2021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19,351</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$33.83</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6/8/2021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30,398</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$32.38</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6/9/2021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30,000</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$32.78</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6/9/2021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71,842</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$32.90</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6/9/2021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17,546</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$32.92</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6/9/2021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179,763</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$32.97</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6/10/2021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6,329</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$32.53</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6/10/2021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15,076</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$32.67</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6/10/2021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97,666</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$32.67</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6/11/2021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10,500</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$32.68</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6/11/2021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18,434</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$33.31</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6/11/2021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16,550</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$33.28</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6/11/2021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123,459</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$33.32</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6/11/2021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2,940</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$33.39</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2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-4302760</wp:posOffset>
            </wp:positionV>
            <wp:extent cx="63436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4365" cy="29146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-3865245</wp:posOffset>
            </wp:positionV>
            <wp:extent cx="63436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4365" cy="1460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-3573780</wp:posOffset>
            </wp:positionV>
            <wp:extent cx="63436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4365"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-3282315</wp:posOffset>
            </wp:positionV>
            <wp:extent cx="63436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4365"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-2990850</wp:posOffset>
            </wp:positionV>
            <wp:extent cx="63436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4365"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-2700020</wp:posOffset>
            </wp:positionV>
            <wp:extent cx="63436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4365" cy="1460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-2407920</wp:posOffset>
            </wp:positionV>
            <wp:extent cx="63436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365"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-2116455</wp:posOffset>
            </wp:positionV>
            <wp:extent cx="63436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4365"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-1824990</wp:posOffset>
            </wp:positionV>
            <wp:extent cx="63436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365"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-1534160</wp:posOffset>
            </wp:positionV>
            <wp:extent cx="63436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4365" cy="1460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-1242695</wp:posOffset>
            </wp:positionV>
            <wp:extent cx="63436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4365" cy="1460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-950595</wp:posOffset>
            </wp:positionV>
            <wp:extent cx="63436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4365" cy="1460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-659765</wp:posOffset>
            </wp:positionV>
            <wp:extent cx="63436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4365" cy="14605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1240" w:type="dxa"/>
            <w:vAlign w:val="bottom"/>
          </w:tcPr>
          <w:p>
            <w:pPr>
              <w:spacing w:after="0"/>
              <w:rPr>
                <w:sz w:val="21"/>
                <w:szCs w:val="21"/>
                <w:color w:val="auto"/>
              </w:rPr>
            </w:pPr>
          </w:p>
        </w:tc>
        <w:tc>
          <w:tcPr>
            <w:tcW w:w="3360" w:type="dxa"/>
            <w:vAlign w:val="bottom"/>
          </w:tcPr>
          <w:p>
            <w:pPr>
              <w:ind w:left="1440"/>
              <w:spacing w:after="0"/>
              <w:rPr>
                <w:sz w:val="20"/>
                <w:szCs w:val="20"/>
                <w:color w:val="auto"/>
              </w:rPr>
            </w:pPr>
            <w:r>
              <w:rPr>
                <w:rFonts w:ascii="Arial" w:cs="Arial" w:eastAsia="Arial" w:hAnsi="Arial"/>
                <w:sz w:val="18"/>
                <w:szCs w:val="18"/>
                <w:b w:val="1"/>
                <w:bCs w:val="1"/>
                <w:color w:val="auto"/>
              </w:rPr>
              <w:t>SCHEDULE 13D</w:t>
            </w:r>
          </w:p>
        </w:tc>
        <w:tc>
          <w:tcPr>
            <w:tcW w:w="2120" w:type="dxa"/>
            <w:vAlign w:val="bottom"/>
            <w:tcBorders>
              <w:right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86"/>
              </w:rPr>
              <w:t>Page 9 of 11</w:t>
            </w:r>
          </w:p>
        </w:tc>
        <w:tc>
          <w:tcPr>
            <w:tcW w:w="0" w:type="dxa"/>
            <w:vAlign w:val="bottom"/>
          </w:tcPr>
          <w:p>
            <w:pPr>
              <w:spacing w:after="0"/>
              <w:rPr>
                <w:sz w:val="1"/>
                <w:szCs w:val="1"/>
                <w:color w:val="auto"/>
              </w:rPr>
            </w:pPr>
          </w:p>
        </w:tc>
      </w:tr>
      <w:tr>
        <w:trPr>
          <w:trHeight w:val="432"/>
        </w:trPr>
        <w:tc>
          <w:tcPr>
            <w:tcW w:w="2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spacing w:after="0"/>
              <w:rPr>
                <w:sz w:val="24"/>
                <w:szCs w:val="24"/>
                <w:color w:val="auto"/>
              </w:rPr>
            </w:pPr>
          </w:p>
        </w:tc>
        <w:tc>
          <w:tcPr>
            <w:tcW w:w="9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Trade Date</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Amount of Common Shares</w:t>
            </w:r>
          </w:p>
        </w:tc>
        <w:tc>
          <w:tcPr>
            <w:tcW w:w="3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Price per Common Share</w:t>
            </w:r>
          </w:p>
        </w:tc>
        <w:tc>
          <w:tcPr>
            <w:tcW w:w="980" w:type="dxa"/>
            <w:vAlign w:val="bottom"/>
            <w:tcBorders>
              <w:bottom w:val="single" w:sz="8" w:color="C6F4F9"/>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6/11/2021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85,997</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$33.17</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6/14/2021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53,445</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$33.07</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6/14/2021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176,555</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$33.4</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6/14/2021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10,809</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$33.61</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6/21/2021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258,912</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$32.77</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6/21/2021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47,000</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$33.08</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6/21/2021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99,371</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$33.09</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6/23/2021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51,367</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$32.79</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6/23/2021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12,266</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$32.97</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6/24/2021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41,430</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$32.92</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6/24/2021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20,548</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$32.95</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6/24/2021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103,860</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$32.97</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6/25/2021</w:t>
            </w:r>
          </w:p>
        </w:tc>
        <w:tc>
          <w:tcPr>
            <w:tcW w:w="1240" w:type="dxa"/>
            <w:vAlign w:val="bottom"/>
            <w:tcBorders>
              <w:bottom w:val="single" w:sz="8" w:color="auto"/>
              <w:right w:val="single" w:sz="8" w:color="auto"/>
            </w:tcBorders>
            <w:shd w:val="clear" w:color="auto" w:fill="C6F4F9"/>
          </w:tcPr>
          <w:p>
            <w:pPr>
              <w:spacing w:after="0"/>
              <w:rPr>
                <w:sz w:val="18"/>
                <w:szCs w:val="18"/>
                <w:color w:val="auto"/>
              </w:rPr>
            </w:pP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1,050,000</w:t>
            </w:r>
          </w:p>
        </w:tc>
        <w:tc>
          <w:tcPr>
            <w:tcW w:w="212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$33.23</w:t>
            </w:r>
          </w:p>
        </w:tc>
        <w:tc>
          <w:tcPr>
            <w:tcW w:w="1260" w:type="dxa"/>
            <w:vAlign w:val="bottom"/>
            <w:tcBorders>
              <w:bottom w:val="single" w:sz="8" w:color="auto"/>
              <w:right w:val="single" w:sz="8" w:color="auto"/>
            </w:tcBorders>
            <w:shd w:val="clear" w:color="auto" w:fill="C6F4F9"/>
          </w:tcPr>
          <w:p>
            <w:pPr>
              <w:spacing w:after="0"/>
              <w:rPr>
                <w:sz w:val="18"/>
                <w:szCs w:val="18"/>
                <w:color w:val="auto"/>
              </w:rPr>
            </w:pPr>
          </w:p>
        </w:tc>
        <w:tc>
          <w:tcPr>
            <w:tcW w:w="980" w:type="dxa"/>
            <w:vAlign w:val="bottom"/>
            <w:tcBorders>
              <w:right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6/25/2021</w:t>
            </w:r>
          </w:p>
        </w:tc>
        <w:tc>
          <w:tcPr>
            <w:tcW w:w="12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143,081</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$33.52</w:t>
            </w: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-2193925</wp:posOffset>
            </wp:positionV>
            <wp:extent cx="634365"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4365" cy="29146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-1757045</wp:posOffset>
            </wp:positionV>
            <wp:extent cx="63436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4365"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-1464945</wp:posOffset>
            </wp:positionV>
            <wp:extent cx="63436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4365"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-1174115</wp:posOffset>
            </wp:positionV>
            <wp:extent cx="63436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4365" cy="1460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-882650</wp:posOffset>
            </wp:positionV>
            <wp:extent cx="63436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4365" cy="1460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-591185</wp:posOffset>
            </wp:positionV>
            <wp:extent cx="63436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4365"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-299720</wp:posOffset>
            </wp:positionV>
            <wp:extent cx="63436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4365" cy="145415"/>
                    </a:xfrm>
                    <a:prstGeom prst="rect">
                      <a:avLst/>
                    </a:prstGeom>
                    <a:noFill/>
                  </pic:spPr>
                </pic:pic>
              </a:graphicData>
            </a:graphic>
          </wp:anchor>
        </w:drawing>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specifies that date, amount and price per Warrant sold by certain Funds and Managed Accounts during the 60-day period prior to June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117475</wp:posOffset>
            </wp:positionV>
            <wp:extent cx="634365"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4365" cy="291465"/>
                    </a:xfrm>
                    <a:prstGeom prst="rect">
                      <a:avLst/>
                    </a:prstGeom>
                    <a:noFill/>
                  </pic:spPr>
                </pic:pic>
              </a:graphicData>
            </a:graphic>
          </wp:anchor>
        </w:drawing>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Trade Date</w:t>
            </w:r>
          </w:p>
        </w:tc>
        <w:tc>
          <w:tcPr>
            <w:tcW w:w="33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Amount of Warrants</w:t>
            </w:r>
          </w:p>
        </w:tc>
        <w:tc>
          <w:tcPr>
            <w:tcW w:w="3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Price per Warrant</w:t>
            </w:r>
          </w:p>
        </w:tc>
        <w:tc>
          <w:tcPr>
            <w:tcW w:w="980" w:type="dxa"/>
            <w:vAlign w:val="bottom"/>
            <w:tcBorders>
              <w:bottom w:val="single" w:sz="8" w:color="C6F4F9"/>
            </w:tcBorders>
          </w:tcPr>
          <w:p>
            <w:pPr>
              <w:spacing w:after="0"/>
              <w:rPr>
                <w:sz w:val="19"/>
                <w:szCs w:val="19"/>
                <w:color w:val="auto"/>
              </w:rPr>
            </w:pPr>
          </w:p>
        </w:tc>
      </w:tr>
      <w:tr>
        <w:trPr>
          <w:trHeight w:val="209"/>
        </w:trPr>
        <w:tc>
          <w:tcPr>
            <w:tcW w:w="35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6/8/2021</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2,676</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$6.85</w:t>
            </w:r>
          </w:p>
        </w:tc>
        <w:tc>
          <w:tcPr>
            <w:tcW w:w="980" w:type="dxa"/>
            <w:vAlign w:val="bottom"/>
            <w:shd w:val="clear" w:color="auto" w:fill="C6F4F9"/>
          </w:tcPr>
          <w:p>
            <w:pPr>
              <w:spacing w:after="0"/>
              <w:rPr>
                <w:sz w:val="18"/>
                <w:szCs w:val="18"/>
                <w:color w:val="auto"/>
              </w:rPr>
            </w:pP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6/14/2021</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16,822</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$7.86</w:t>
            </w:r>
          </w:p>
        </w:tc>
        <w:tc>
          <w:tcPr>
            <w:tcW w:w="980" w:type="dxa"/>
            <w:vAlign w:val="bottom"/>
            <w:tcBorders>
              <w:bottom w:val="single" w:sz="8" w:color="C6F4F9"/>
            </w:tcBorders>
          </w:tcPr>
          <w:p>
            <w:pPr>
              <w:spacing w:after="0"/>
              <w:rPr>
                <w:sz w:val="18"/>
                <w:szCs w:val="18"/>
                <w:color w:val="auto"/>
              </w:rPr>
            </w:pPr>
          </w:p>
        </w:tc>
      </w:tr>
      <w:tr>
        <w:trPr>
          <w:trHeight w:val="209"/>
        </w:trPr>
        <w:tc>
          <w:tcPr>
            <w:tcW w:w="35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6/14/2021</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4,400</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$8.04</w:t>
            </w:r>
          </w:p>
        </w:tc>
        <w:tc>
          <w:tcPr>
            <w:tcW w:w="980" w:type="dxa"/>
            <w:vAlign w:val="bottom"/>
            <w:shd w:val="clear" w:color="auto" w:fill="C6F4F9"/>
          </w:tcPr>
          <w:p>
            <w:pPr>
              <w:spacing w:after="0"/>
              <w:rPr>
                <w:sz w:val="18"/>
                <w:szCs w:val="18"/>
                <w:color w:val="auto"/>
              </w:rPr>
            </w:pP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6/15/2021</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98,561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$7.75</w:t>
            </w:r>
          </w:p>
        </w:tc>
        <w:tc>
          <w:tcPr>
            <w:tcW w:w="980" w:type="dxa"/>
            <w:vAlign w:val="bottom"/>
            <w:tcBorders>
              <w:bottom w:val="single" w:sz="8" w:color="C6F4F9"/>
            </w:tcBorders>
          </w:tcPr>
          <w:p>
            <w:pPr>
              <w:spacing w:after="0"/>
              <w:rPr>
                <w:sz w:val="18"/>
                <w:szCs w:val="18"/>
                <w:color w:val="auto"/>
              </w:rPr>
            </w:pPr>
          </w:p>
        </w:tc>
      </w:tr>
      <w:tr>
        <w:trPr>
          <w:trHeight w:val="209"/>
        </w:trPr>
        <w:tc>
          <w:tcPr>
            <w:tcW w:w="35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6/16/2021</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6,810</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$7.91</w:t>
            </w:r>
          </w:p>
        </w:tc>
        <w:tc>
          <w:tcPr>
            <w:tcW w:w="980" w:type="dxa"/>
            <w:vAlign w:val="bottom"/>
            <w:shd w:val="clear" w:color="auto" w:fill="C6F4F9"/>
          </w:tcPr>
          <w:p>
            <w:pPr>
              <w:spacing w:after="0"/>
              <w:rPr>
                <w:sz w:val="18"/>
                <w:szCs w:val="18"/>
                <w:color w:val="auto"/>
              </w:rPr>
            </w:pP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6/18/2021</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4,849</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$7.75</w:t>
            </w:r>
          </w:p>
        </w:tc>
        <w:tc>
          <w:tcPr>
            <w:tcW w:w="980" w:type="dxa"/>
            <w:vAlign w:val="bottom"/>
            <w:tcBorders>
              <w:bottom w:val="single" w:sz="8" w:color="C6F4F9"/>
            </w:tcBorders>
          </w:tcPr>
          <w:p>
            <w:pPr>
              <w:spacing w:after="0"/>
              <w:rPr>
                <w:sz w:val="18"/>
                <w:szCs w:val="18"/>
                <w:color w:val="auto"/>
              </w:rPr>
            </w:pPr>
          </w:p>
        </w:tc>
      </w:tr>
      <w:tr>
        <w:trPr>
          <w:trHeight w:val="210"/>
        </w:trPr>
        <w:tc>
          <w:tcPr>
            <w:tcW w:w="35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6/21/2021</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10,677</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$8.15</w:t>
            </w:r>
          </w:p>
        </w:tc>
        <w:tc>
          <w:tcPr>
            <w:tcW w:w="980" w:type="dxa"/>
            <w:vAlign w:val="bottom"/>
            <w:shd w:val="clear" w:color="auto" w:fill="C6F4F9"/>
          </w:tcPr>
          <w:p>
            <w:pPr>
              <w:spacing w:after="0"/>
              <w:rPr>
                <w:sz w:val="18"/>
                <w:szCs w:val="18"/>
                <w:color w:val="auto"/>
              </w:rPr>
            </w:pP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6/23/2021</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1,600</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$8.1</w:t>
            </w:r>
          </w:p>
        </w:tc>
        <w:tc>
          <w:tcPr>
            <w:tcW w:w="980" w:type="dxa"/>
            <w:vAlign w:val="bottom"/>
            <w:tcBorders>
              <w:bottom w:val="single" w:sz="8" w:color="C6F4F9"/>
            </w:tcBorders>
          </w:tcPr>
          <w:p>
            <w:pPr>
              <w:spacing w:after="0"/>
              <w:rPr>
                <w:sz w:val="18"/>
                <w:szCs w:val="18"/>
                <w:color w:val="auto"/>
              </w:rPr>
            </w:pPr>
          </w:p>
        </w:tc>
      </w:tr>
      <w:tr>
        <w:trPr>
          <w:trHeight w:val="209"/>
        </w:trPr>
        <w:tc>
          <w:tcPr>
            <w:tcW w:w="35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6/24/2021</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4,500</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$8.25</w:t>
            </w:r>
          </w:p>
        </w:tc>
        <w:tc>
          <w:tcPr>
            <w:tcW w:w="980" w:type="dxa"/>
            <w:vAlign w:val="bottom"/>
            <w:shd w:val="clear" w:color="auto" w:fill="C6F4F9"/>
          </w:tcPr>
          <w:p>
            <w:pPr>
              <w:spacing w:after="0"/>
              <w:rPr>
                <w:sz w:val="18"/>
                <w:szCs w:val="18"/>
                <w:color w:val="auto"/>
              </w:rPr>
            </w:pP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6/25/2021</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3,000</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$8.10</w:t>
            </w:r>
          </w:p>
        </w:tc>
        <w:tc>
          <w:tcPr>
            <w:tcW w:w="9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-1173480</wp:posOffset>
            </wp:positionV>
            <wp:extent cx="63436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4365"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-882015</wp:posOffset>
            </wp:positionV>
            <wp:extent cx="63436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4365"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-591185</wp:posOffset>
            </wp:positionV>
            <wp:extent cx="63436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4365" cy="1460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-299720</wp:posOffset>
            </wp:positionV>
            <wp:extent cx="63436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4365" cy="145415"/>
                    </a:xfrm>
                    <a:prstGeom prst="rect">
                      <a:avLst/>
                    </a:prstGeom>
                    <a:noFill/>
                  </pic:spPr>
                </pic:pic>
              </a:graphicData>
            </a:graphic>
          </wp:anchor>
        </w:drawing>
      </w:r>
    </w:p>
    <w:p>
      <w:pPr>
        <w:spacing w:after="0" w:line="1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Except as set forth in this Schedule 13D, there have been no transactions in the Common Shares of the Issuer effected during the past 60 days by any person named in Item 2 hereof.</w:t>
      </w:r>
    </w:p>
    <w:p>
      <w:pPr>
        <w:spacing w:after="0" w:line="17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disclosure in Item 2(c) of this Schedule 13D is incorporated by reference herein.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13057Q305</w:t>
            </w:r>
          </w:p>
        </w:tc>
        <w:tc>
          <w:tcPr>
            <w:tcW w:w="1900" w:type="dxa"/>
            <w:vAlign w:val="bottom"/>
          </w:tcPr>
          <w:p>
            <w:pPr>
              <w:spacing w:after="0"/>
              <w:rPr>
                <w:sz w:val="21"/>
                <w:szCs w:val="21"/>
                <w:color w:val="auto"/>
              </w:rPr>
            </w:pPr>
          </w:p>
        </w:tc>
        <w:tc>
          <w:tcPr>
            <w:tcW w:w="482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SCHEDULE 13D</w:t>
            </w:r>
          </w:p>
        </w:tc>
        <w:tc>
          <w:tcPr>
            <w:tcW w:w="76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w w:val="87"/>
              </w:rPr>
              <w:t>Page 10 of 11</w:t>
            </w:r>
          </w:p>
        </w:tc>
      </w:tr>
      <w:tr>
        <w:trPr>
          <w:trHeight w:val="648"/>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3300" w:type="dxa"/>
            <w:vAlign w:val="bottom"/>
            <w:gridSpan w:val="4"/>
          </w:tcPr>
          <w:p>
            <w:pPr>
              <w:ind w:left="40"/>
              <w:spacing w:after="0"/>
              <w:rPr>
                <w:sz w:val="20"/>
                <w:szCs w:val="20"/>
                <w:color w:val="auto"/>
              </w:rPr>
            </w:pPr>
            <w:r>
              <w:rPr>
                <w:rFonts w:ascii="Arial" w:cs="Arial" w:eastAsia="Arial" w:hAnsi="Arial"/>
                <w:sz w:val="18"/>
                <w:szCs w:val="18"/>
                <w:b w:val="1"/>
                <w:bCs w:val="1"/>
                <w:color w:val="auto"/>
              </w:rPr>
              <w:t>Material to Be Filed as Exhibits.</w:t>
            </w:r>
          </w:p>
        </w:tc>
        <w:tc>
          <w:tcPr>
            <w:tcW w:w="4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46"/>
        </w:trPr>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3"/>
              </w:rPr>
              <w:t>Exhibit</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b w:val="1"/>
                <w:bCs w:val="1"/>
                <w:color w:val="auto"/>
              </w:rPr>
              <w:t>Description</w:t>
            </w:r>
          </w:p>
        </w:tc>
        <w:tc>
          <w:tcPr>
            <w:tcW w:w="1480" w:type="dxa"/>
            <w:vAlign w:val="bottom"/>
            <w:tcBorders>
              <w:bottom w:val="single" w:sz="8" w:color="auto"/>
            </w:tcBorders>
          </w:tcPr>
          <w:p>
            <w:pPr>
              <w:spacing w:after="0"/>
              <w:rPr>
                <w:sz w:val="24"/>
                <w:szCs w:val="24"/>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20" w:type="dxa"/>
            <w:vAlign w:val="bottom"/>
            <w:gridSpan w:val="4"/>
          </w:tcPr>
          <w:p>
            <w:pPr>
              <w:ind w:left="20"/>
              <w:spacing w:after="0"/>
              <w:rPr>
                <w:sz w:val="20"/>
                <w:szCs w:val="20"/>
                <w:color w:val="auto"/>
              </w:rPr>
            </w:pPr>
            <w:r>
              <w:rPr>
                <w:rFonts w:ascii="Arial" w:cs="Arial" w:eastAsia="Arial" w:hAnsi="Arial"/>
                <w:sz w:val="18"/>
                <w:szCs w:val="18"/>
                <w:color w:val="auto"/>
                <w:w w:val="96"/>
              </w:rPr>
              <w:t>Agreement Regarding the Joint Filing of Schedule 13D by and among the Reporting Persons (previously filed).</w:t>
            </w:r>
          </w:p>
        </w:tc>
        <w:tc>
          <w:tcPr>
            <w:tcW w:w="148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w w:val="95"/>
              </w:rPr>
              <w:t>Form of Registration Rights Agreement between the Issuer, the Reporting Persons and certain other shareholders identified therein</w:t>
            </w:r>
          </w:p>
        </w:tc>
      </w:t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20" w:type="dxa"/>
            <w:vAlign w:val="bottom"/>
            <w:gridSpan w:val="4"/>
          </w:tcPr>
          <w:p>
            <w:pPr>
              <w:ind w:left="20"/>
              <w:spacing w:after="0"/>
              <w:rPr>
                <w:sz w:val="20"/>
                <w:szCs w:val="20"/>
                <w:color w:val="auto"/>
              </w:rPr>
            </w:pPr>
            <w:r>
              <w:rPr>
                <w:rFonts w:ascii="Arial" w:cs="Arial" w:eastAsia="Arial" w:hAnsi="Arial"/>
                <w:sz w:val="18"/>
                <w:szCs w:val="18"/>
                <w:color w:val="auto"/>
              </w:rPr>
              <w:t>(incorporated by reference to Exhibit 10.1 of the Form 8-A12B)</w:t>
            </w:r>
          </w:p>
        </w:tc>
        <w:tc>
          <w:tcPr>
            <w:tcW w:w="1480" w:type="dxa"/>
            <w:vAlign w:val="bottom"/>
          </w:tcPr>
          <w:p>
            <w:pPr>
              <w:spacing w:after="0"/>
              <w:rPr>
                <w:sz w:val="20"/>
                <w:szCs w:val="20"/>
                <w:color w:val="auto"/>
              </w:rPr>
            </w:pPr>
          </w:p>
        </w:tc>
      </w:tr>
      <w:tr>
        <w:trPr>
          <w:trHeight w:val="1033"/>
        </w:trPr>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10" w:name="page11"/>
    <w:bookmarkEnd w:id="10"/>
    <w:p>
      <w:pPr>
        <w:ind w:left="40"/>
        <w:spacing w:after="0"/>
        <w:tabs>
          <w:tab w:leader="none" w:pos="4940" w:val="left"/>
          <w:tab w:leader="none" w:pos="1022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June 28,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LP</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LLC, its general partner</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LLC</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STEVEN A. TANANBAUM</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A. Tananbaum</w:t>
      </w:r>
    </w:p>
    <w:p>
      <w:pPr>
        <w:spacing w:after="0" w:line="3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DISTRESSED MASTER FUND III LTD</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LP, its investment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advisor</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2021-06-28T16:33:27Z</dcterms:created>
  <dcterms:modified xsi:type="dcterms:W3CDTF">2021-06-28T16:33:27Z</dcterms:modified>
</cp:coreProperties>
</file>