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As filed with the Securities and Exchange Commission on October 27, 2020</w:t>
      </w:r>
    </w:p>
    <w:p>
      <w:pPr>
        <w:spacing w:after="0" w:line="136"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Statement No. 333-224868</w:t>
      </w:r>
    </w:p>
    <w:p>
      <w:pPr>
        <w:jc w:val="right"/>
        <w:spacing w:after="0" w:line="211" w:lineRule="auto"/>
        <w:rPr>
          <w:sz w:val="20"/>
          <w:szCs w:val="20"/>
          <w:color w:val="auto"/>
        </w:rPr>
      </w:pPr>
      <w:r>
        <w:rPr>
          <w:rFonts w:ascii="Arial" w:cs="Arial" w:eastAsia="Arial" w:hAnsi="Arial"/>
          <w:sz w:val="16"/>
          <w:szCs w:val="16"/>
          <w:b w:val="1"/>
          <w:bCs w:val="1"/>
          <w:color w:val="auto"/>
        </w:rPr>
        <w:t>Registration Statement No. 333-228426</w:t>
      </w:r>
    </w:p>
    <w:p>
      <w:pPr>
        <w:jc w:val="right"/>
        <w:spacing w:after="0"/>
        <w:rPr>
          <w:sz w:val="20"/>
          <w:szCs w:val="20"/>
          <w:color w:val="auto"/>
        </w:rPr>
      </w:pPr>
      <w:r>
        <w:rPr>
          <w:rFonts w:ascii="Arial" w:cs="Arial" w:eastAsia="Arial" w:hAnsi="Arial"/>
          <w:sz w:val="16"/>
          <w:szCs w:val="16"/>
          <w:b w:val="1"/>
          <w:bCs w:val="1"/>
          <w:color w:val="auto"/>
        </w:rPr>
        <w:t>Registration Statement No. 333-233289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jc w:val="center"/>
        <w:spacing w:after="0" w:line="202" w:lineRule="auto"/>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1 TO FORM S-3 REGISTRATION STATEMENT NO. 333-224868</w:t>
      </w:r>
    </w:p>
    <w:p>
      <w:pPr>
        <w:jc w:val="center"/>
        <w:spacing w:after="0" w:line="203" w:lineRule="auto"/>
        <w:rPr>
          <w:sz w:val="20"/>
          <w:szCs w:val="20"/>
          <w:color w:val="auto"/>
        </w:rPr>
      </w:pPr>
      <w:r>
        <w:rPr>
          <w:rFonts w:ascii="Arial" w:cs="Arial" w:eastAsia="Arial" w:hAnsi="Arial"/>
          <w:sz w:val="18"/>
          <w:szCs w:val="18"/>
          <w:b w:val="1"/>
          <w:bCs w:val="1"/>
          <w:color w:val="auto"/>
        </w:rPr>
        <w:t>POST-EFFECTIVE AMENDMENT NO. 4 TO FORM S-3 REGISTRATION STATEMENT NO. 333-228426</w:t>
      </w:r>
    </w:p>
    <w:p>
      <w:pPr>
        <w:jc w:val="center"/>
        <w:spacing w:after="0" w:line="203" w:lineRule="auto"/>
        <w:rPr>
          <w:sz w:val="20"/>
          <w:szCs w:val="20"/>
          <w:color w:val="auto"/>
        </w:rPr>
      </w:pPr>
      <w:r>
        <w:rPr>
          <w:rFonts w:ascii="Arial" w:cs="Arial" w:eastAsia="Arial" w:hAnsi="Arial"/>
          <w:sz w:val="18"/>
          <w:szCs w:val="18"/>
          <w:b w:val="1"/>
          <w:bCs w:val="1"/>
          <w:color w:val="auto"/>
        </w:rPr>
        <w:t>POST-EFFECTIVE AMENDMENT NO. 3 TO FORM S-3 REGISTRATION STATEMENT NO. 333-233289</w:t>
      </w:r>
    </w:p>
    <w:p>
      <w:pPr>
        <w:jc w:val="center"/>
        <w:spacing w:after="0" w:line="204" w:lineRule="auto"/>
        <w:rPr>
          <w:sz w:val="20"/>
          <w:szCs w:val="20"/>
          <w:color w:val="auto"/>
        </w:rPr>
      </w:pPr>
      <w:r>
        <w:rPr>
          <w:rFonts w:ascii="Arial" w:cs="Arial" w:eastAsia="Arial" w:hAnsi="Arial"/>
          <w:sz w:val="18"/>
          <w:szCs w:val="18"/>
          <w:b w:val="1"/>
          <w:bCs w:val="1"/>
          <w:color w:val="auto"/>
        </w:rPr>
        <w:t>ON</w:t>
      </w:r>
    </w:p>
    <w:p>
      <w:pPr>
        <w:jc w:val="center"/>
        <w:spacing w:after="0" w:line="203" w:lineRule="auto"/>
        <w:rPr>
          <w:sz w:val="20"/>
          <w:szCs w:val="20"/>
          <w:color w:val="auto"/>
        </w:rPr>
      </w:pPr>
      <w:r>
        <w:rPr>
          <w:rFonts w:ascii="Arial" w:cs="Arial" w:eastAsia="Arial" w:hAnsi="Arial"/>
          <w:sz w:val="18"/>
          <w:szCs w:val="18"/>
          <w:b w:val="1"/>
          <w:bCs w:val="1"/>
          <w:color w:val="auto"/>
        </w:rPr>
        <w:t>FORM S-1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CALIFORNIA RESOURCES CORPORATION</w:t>
      </w: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36" w:lineRule="exact"/>
        <w:rPr>
          <w:sz w:val="24"/>
          <w:szCs w:val="24"/>
          <w:color w:val="auto"/>
        </w:rPr>
      </w:pPr>
    </w:p>
    <w:tbl>
      <w:tblPr>
        <w:tblLayout w:type="fixed"/>
        <w:tblInd w:w="140" w:type="dxa"/>
        <w:tblCellMar>
          <w:top w:w="0" w:type="dxa"/>
          <w:left w:w="0" w:type="dxa"/>
          <w:bottom w:w="0" w:type="dxa"/>
          <w:right w:w="0" w:type="dxa"/>
        </w:tblCellMar>
      </w:tblPr>
      <w:tr>
        <w:trPr>
          <w:trHeight w:val="210"/>
        </w:trPr>
        <w:tc>
          <w:tcPr>
            <w:tcW w:w="398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Delaware</w:t>
            </w:r>
          </w:p>
        </w:tc>
        <w:tc>
          <w:tcPr>
            <w:tcW w:w="3380" w:type="dxa"/>
            <w:vAlign w:val="bottom"/>
          </w:tcPr>
          <w:p>
            <w:pPr>
              <w:jc w:val="center"/>
              <w:ind w:right="299"/>
              <w:spacing w:after="0"/>
              <w:rPr>
                <w:sz w:val="20"/>
                <w:szCs w:val="20"/>
                <w:color w:val="auto"/>
              </w:rPr>
            </w:pPr>
            <w:r>
              <w:rPr>
                <w:rFonts w:ascii="Arial" w:cs="Arial" w:eastAsia="Arial" w:hAnsi="Arial"/>
                <w:sz w:val="16"/>
                <w:szCs w:val="16"/>
                <w:b w:val="1"/>
                <w:bCs w:val="1"/>
                <w:color w:val="auto"/>
                <w:w w:val="89"/>
              </w:rPr>
              <w:t>1311</w:t>
            </w:r>
          </w:p>
        </w:tc>
        <w:tc>
          <w:tcPr>
            <w:tcW w:w="2840" w:type="dxa"/>
            <w:vAlign w:val="bottom"/>
          </w:tcPr>
          <w:p>
            <w:pPr>
              <w:jc w:val="right"/>
              <w:ind w:right="699"/>
              <w:spacing w:after="0"/>
              <w:rPr>
                <w:sz w:val="20"/>
                <w:szCs w:val="20"/>
                <w:color w:val="auto"/>
              </w:rPr>
            </w:pPr>
            <w:r>
              <w:rPr>
                <w:rFonts w:ascii="Arial" w:cs="Arial" w:eastAsia="Arial" w:hAnsi="Arial"/>
                <w:sz w:val="16"/>
                <w:szCs w:val="16"/>
                <w:b w:val="1"/>
                <w:bCs w:val="1"/>
                <w:color w:val="auto"/>
              </w:rPr>
              <w:t>46-5670947</w:t>
            </w:r>
          </w:p>
        </w:tc>
      </w:tr>
      <w:tr>
        <w:trPr>
          <w:trHeight w:val="253"/>
        </w:trPr>
        <w:tc>
          <w:tcPr>
            <w:tcW w:w="3980" w:type="dxa"/>
            <w:vAlign w:val="bottom"/>
          </w:tcPr>
          <w:p>
            <w:pPr>
              <w:jc w:val="center"/>
              <w:ind w:right="19"/>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3380" w:type="dxa"/>
            <w:vAlign w:val="bottom"/>
          </w:tcPr>
          <w:p>
            <w:pPr>
              <w:jc w:val="center"/>
              <w:ind w:right="319"/>
              <w:spacing w:after="0"/>
              <w:rPr>
                <w:sz w:val="20"/>
                <w:szCs w:val="20"/>
                <w:color w:val="auto"/>
              </w:rPr>
            </w:pPr>
            <w:r>
              <w:rPr>
                <w:rFonts w:ascii="Arial" w:cs="Arial" w:eastAsia="Arial" w:hAnsi="Arial"/>
                <w:sz w:val="16"/>
                <w:szCs w:val="16"/>
                <w:color w:val="auto"/>
                <w:w w:val="93"/>
              </w:rPr>
              <w:t>(Primary Standard industrial Classification</w:t>
            </w:r>
          </w:p>
        </w:tc>
        <w:tc>
          <w:tcPr>
            <w:tcW w:w="2840" w:type="dxa"/>
            <w:vAlign w:val="bottom"/>
          </w:tcPr>
          <w:p>
            <w:pPr>
              <w:jc w:val="center"/>
              <w:ind w:left="399"/>
              <w:spacing w:after="0"/>
              <w:rPr>
                <w:sz w:val="20"/>
                <w:szCs w:val="20"/>
                <w:color w:val="auto"/>
              </w:rPr>
            </w:pPr>
            <w:r>
              <w:rPr>
                <w:rFonts w:ascii="Arial" w:cs="Arial" w:eastAsia="Arial" w:hAnsi="Arial"/>
                <w:sz w:val="16"/>
                <w:szCs w:val="16"/>
                <w:color w:val="auto"/>
                <w:w w:val="95"/>
              </w:rPr>
              <w:t>(I.R.S. Employer Identification No.)</w:t>
            </w:r>
          </w:p>
        </w:tc>
      </w:tr>
      <w:tr>
        <w:trPr>
          <w:trHeight w:val="206"/>
        </w:trPr>
        <w:tc>
          <w:tcPr>
            <w:tcW w:w="3980" w:type="dxa"/>
            <w:vAlign w:val="bottom"/>
          </w:tcPr>
          <w:p>
            <w:pPr>
              <w:spacing w:after="0"/>
              <w:rPr>
                <w:sz w:val="17"/>
                <w:szCs w:val="17"/>
                <w:color w:val="auto"/>
              </w:rPr>
            </w:pPr>
          </w:p>
        </w:tc>
        <w:tc>
          <w:tcPr>
            <w:tcW w:w="3380" w:type="dxa"/>
            <w:vAlign w:val="bottom"/>
          </w:tcPr>
          <w:p>
            <w:pPr>
              <w:jc w:val="center"/>
              <w:ind w:right="299"/>
              <w:spacing w:after="0"/>
              <w:rPr>
                <w:sz w:val="20"/>
                <w:szCs w:val="20"/>
                <w:color w:val="auto"/>
              </w:rPr>
            </w:pPr>
            <w:r>
              <w:rPr>
                <w:rFonts w:ascii="Arial" w:cs="Arial" w:eastAsia="Arial" w:hAnsi="Arial"/>
                <w:sz w:val="16"/>
                <w:szCs w:val="16"/>
                <w:color w:val="auto"/>
                <w:w w:val="91"/>
              </w:rPr>
              <w:t>Code Number)</w:t>
            </w:r>
          </w:p>
        </w:tc>
        <w:tc>
          <w:tcPr>
            <w:tcW w:w="2840" w:type="dxa"/>
            <w:vAlign w:val="bottom"/>
          </w:tcPr>
          <w:p>
            <w:pPr>
              <w:spacing w:after="0"/>
              <w:rPr>
                <w:sz w:val="17"/>
                <w:szCs w:val="17"/>
                <w:color w:val="auto"/>
              </w:rPr>
            </w:pPr>
          </w:p>
        </w:tc>
      </w:tr>
      <w:tr>
        <w:trPr>
          <w:trHeight w:val="424"/>
        </w:trPr>
        <w:tc>
          <w:tcPr>
            <w:tcW w:w="398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27200 Tourney Road, Suite 200</w:t>
            </w:r>
          </w:p>
        </w:tc>
        <w:tc>
          <w:tcPr>
            <w:tcW w:w="33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10"/>
        </w:trPr>
        <w:tc>
          <w:tcPr>
            <w:tcW w:w="3980" w:type="dxa"/>
            <w:vAlign w:val="bottom"/>
          </w:tcPr>
          <w:p>
            <w:pPr>
              <w:jc w:val="center"/>
              <w:ind w:right="19"/>
              <w:spacing w:after="0"/>
              <w:rPr>
                <w:sz w:val="20"/>
                <w:szCs w:val="20"/>
                <w:color w:val="auto"/>
              </w:rPr>
            </w:pPr>
            <w:r>
              <w:rPr>
                <w:rFonts w:ascii="Arial" w:cs="Arial" w:eastAsia="Arial" w:hAnsi="Arial"/>
                <w:sz w:val="16"/>
                <w:szCs w:val="16"/>
                <w:b w:val="1"/>
                <w:bCs w:val="1"/>
                <w:color w:val="auto"/>
                <w:w w:val="95"/>
              </w:rPr>
              <w:t>Santa Clarita, California</w:t>
            </w:r>
          </w:p>
        </w:tc>
        <w:tc>
          <w:tcPr>
            <w:tcW w:w="3380" w:type="dxa"/>
            <w:vAlign w:val="bottom"/>
          </w:tcPr>
          <w:p>
            <w:pPr>
              <w:spacing w:after="0"/>
              <w:rPr>
                <w:sz w:val="18"/>
                <w:szCs w:val="18"/>
                <w:color w:val="auto"/>
              </w:rPr>
            </w:pPr>
          </w:p>
        </w:tc>
        <w:tc>
          <w:tcPr>
            <w:tcW w:w="2840" w:type="dxa"/>
            <w:vAlign w:val="bottom"/>
          </w:tcPr>
          <w:p>
            <w:pPr>
              <w:jc w:val="right"/>
              <w:ind w:right="899"/>
              <w:spacing w:after="0"/>
              <w:rPr>
                <w:sz w:val="20"/>
                <w:szCs w:val="20"/>
                <w:color w:val="auto"/>
              </w:rPr>
            </w:pPr>
            <w:r>
              <w:rPr>
                <w:rFonts w:ascii="Arial" w:cs="Arial" w:eastAsia="Arial" w:hAnsi="Arial"/>
                <w:sz w:val="16"/>
                <w:szCs w:val="16"/>
                <w:b w:val="1"/>
                <w:bCs w:val="1"/>
                <w:color w:val="auto"/>
              </w:rPr>
              <w:t>91355</w:t>
            </w:r>
          </w:p>
        </w:tc>
      </w:tr>
      <w:tr>
        <w:trPr>
          <w:trHeight w:val="257"/>
        </w:trPr>
        <w:tc>
          <w:tcPr>
            <w:tcW w:w="3980" w:type="dxa"/>
            <w:vAlign w:val="bottom"/>
          </w:tcPr>
          <w:p>
            <w:pPr>
              <w:jc w:val="center"/>
              <w:ind w:right="19"/>
              <w:spacing w:after="0"/>
              <w:rPr>
                <w:sz w:val="20"/>
                <w:szCs w:val="20"/>
                <w:color w:val="auto"/>
              </w:rPr>
            </w:pPr>
            <w:r>
              <w:rPr>
                <w:rFonts w:ascii="Arial" w:cs="Arial" w:eastAsia="Arial" w:hAnsi="Arial"/>
                <w:sz w:val="16"/>
                <w:szCs w:val="16"/>
                <w:color w:val="auto"/>
                <w:w w:val="93"/>
              </w:rPr>
              <w:t>(Address of Principal Executive Offices)</w:t>
            </w:r>
          </w:p>
        </w:tc>
        <w:tc>
          <w:tcPr>
            <w:tcW w:w="3380" w:type="dxa"/>
            <w:vAlign w:val="bottom"/>
          </w:tcPr>
          <w:p>
            <w:pPr>
              <w:spacing w:after="0"/>
              <w:rPr>
                <w:sz w:val="22"/>
                <w:szCs w:val="22"/>
                <w:color w:val="auto"/>
              </w:rPr>
            </w:pPr>
          </w:p>
        </w:tc>
        <w:tc>
          <w:tcPr>
            <w:tcW w:w="2840" w:type="dxa"/>
            <w:vAlign w:val="bottom"/>
          </w:tcPr>
          <w:p>
            <w:pPr>
              <w:jc w:val="center"/>
              <w:ind w:left="399"/>
              <w:spacing w:after="0"/>
              <w:rPr>
                <w:sz w:val="20"/>
                <w:szCs w:val="20"/>
                <w:color w:val="auto"/>
              </w:rPr>
            </w:pPr>
            <w:r>
              <w:rPr>
                <w:rFonts w:ascii="Arial" w:cs="Arial" w:eastAsia="Arial" w:hAnsi="Arial"/>
                <w:sz w:val="16"/>
                <w:szCs w:val="16"/>
                <w:color w:val="auto"/>
                <w:w w:val="95"/>
              </w:rPr>
              <w:t>(Zip Code)</w:t>
            </w:r>
          </w:p>
        </w:tc>
      </w:tr>
    </w:tbl>
    <w:p>
      <w:pPr>
        <w:spacing w:after="0" w:line="1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Michael L. Preston</w:t>
      </w:r>
    </w:p>
    <w:p>
      <w:pPr>
        <w:jc w:val="center"/>
        <w:spacing w:after="0" w:line="211" w:lineRule="auto"/>
        <w:rPr>
          <w:sz w:val="20"/>
          <w:szCs w:val="20"/>
          <w:color w:val="auto"/>
        </w:rPr>
      </w:pPr>
      <w:r>
        <w:rPr>
          <w:rFonts w:ascii="Arial" w:cs="Arial" w:eastAsia="Arial" w:hAnsi="Arial"/>
          <w:sz w:val="16"/>
          <w:szCs w:val="16"/>
          <w:b w:val="1"/>
          <w:bCs w:val="1"/>
          <w:color w:val="auto"/>
        </w:rPr>
        <w:t>Senior Executive Vice President, Chief Administrative Officer and General Counsel</w:t>
      </w:r>
    </w:p>
    <w:p>
      <w:pPr>
        <w:jc w:val="center"/>
        <w:spacing w:after="0" w:line="211" w:lineRule="auto"/>
        <w:rPr>
          <w:sz w:val="20"/>
          <w:szCs w:val="20"/>
          <w:color w:val="auto"/>
        </w:rPr>
      </w:pPr>
      <w:r>
        <w:rPr>
          <w:rFonts w:ascii="Arial" w:cs="Arial" w:eastAsia="Arial" w:hAnsi="Arial"/>
          <w:sz w:val="16"/>
          <w:szCs w:val="16"/>
          <w:color w:val="auto"/>
        </w:rPr>
        <w:t>27200 Tourney Road, Suite 200</w:t>
      </w:r>
    </w:p>
    <w:p>
      <w:pPr>
        <w:jc w:val="center"/>
        <w:spacing w:after="0" w:line="211" w:lineRule="auto"/>
        <w:rPr>
          <w:sz w:val="20"/>
          <w:szCs w:val="20"/>
          <w:color w:val="auto"/>
        </w:rPr>
      </w:pPr>
      <w:r>
        <w:rPr>
          <w:rFonts w:ascii="Arial" w:cs="Arial" w:eastAsia="Arial" w:hAnsi="Arial"/>
          <w:sz w:val="16"/>
          <w:szCs w:val="16"/>
          <w:color w:val="auto"/>
        </w:rPr>
        <w:t>Santa Clarita, California 91355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(Name and address of agent for service)</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(888) 848-4754</w:t>
      </w:r>
    </w:p>
    <w:p>
      <w:pPr>
        <w:jc w:val="center"/>
        <w:spacing w:after="0"/>
        <w:rPr>
          <w:sz w:val="20"/>
          <w:szCs w:val="20"/>
          <w:color w:val="auto"/>
        </w:rPr>
      </w:pPr>
      <w:r>
        <w:rPr>
          <w:rFonts w:ascii="Arial" w:cs="Arial" w:eastAsia="Arial" w:hAnsi="Arial"/>
          <w:sz w:val="16"/>
          <w:szCs w:val="16"/>
          <w:color w:val="auto"/>
        </w:rPr>
        <w:t>(Telephone number, including area code, of agent for service)</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Copy to:</w:t>
      </w:r>
    </w:p>
    <w:p>
      <w:pPr>
        <w:spacing w:after="0" w:line="7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Sarah K. Morgan</w:t>
      </w:r>
    </w:p>
    <w:p>
      <w:pPr>
        <w:jc w:val="center"/>
        <w:spacing w:after="0" w:line="211" w:lineRule="auto"/>
        <w:rPr>
          <w:sz w:val="20"/>
          <w:szCs w:val="20"/>
          <w:color w:val="auto"/>
        </w:rPr>
      </w:pPr>
      <w:r>
        <w:rPr>
          <w:rFonts w:ascii="Arial" w:cs="Arial" w:eastAsia="Arial" w:hAnsi="Arial"/>
          <w:sz w:val="16"/>
          <w:szCs w:val="16"/>
          <w:b w:val="1"/>
          <w:bCs w:val="1"/>
          <w:color w:val="auto"/>
        </w:rPr>
        <w:t>Scott D. Rubinsky</w:t>
      </w:r>
    </w:p>
    <w:p>
      <w:pPr>
        <w:jc w:val="center"/>
        <w:spacing w:after="0" w:line="211" w:lineRule="auto"/>
        <w:rPr>
          <w:sz w:val="20"/>
          <w:szCs w:val="20"/>
          <w:color w:val="auto"/>
        </w:rPr>
      </w:pPr>
      <w:r>
        <w:rPr>
          <w:rFonts w:ascii="Arial" w:cs="Arial" w:eastAsia="Arial" w:hAnsi="Arial"/>
          <w:sz w:val="16"/>
          <w:szCs w:val="16"/>
          <w:b w:val="1"/>
          <w:bCs w:val="1"/>
          <w:color w:val="auto"/>
        </w:rPr>
        <w:t>Vinson &amp; Elkins L.L.P.</w:t>
      </w:r>
    </w:p>
    <w:p>
      <w:pPr>
        <w:jc w:val="center"/>
        <w:spacing w:after="0" w:line="211" w:lineRule="auto"/>
        <w:rPr>
          <w:sz w:val="20"/>
          <w:szCs w:val="20"/>
          <w:color w:val="auto"/>
        </w:rPr>
      </w:pPr>
      <w:r>
        <w:rPr>
          <w:rFonts w:ascii="Arial" w:cs="Arial" w:eastAsia="Arial" w:hAnsi="Arial"/>
          <w:sz w:val="16"/>
          <w:szCs w:val="16"/>
          <w:color w:val="auto"/>
        </w:rPr>
        <w:t>1001 Fannin, Suite 2500</w:t>
      </w:r>
    </w:p>
    <w:p>
      <w:pPr>
        <w:jc w:val="center"/>
        <w:spacing w:after="0" w:line="212" w:lineRule="auto"/>
        <w:rPr>
          <w:sz w:val="20"/>
          <w:szCs w:val="20"/>
          <w:color w:val="auto"/>
        </w:rPr>
      </w:pPr>
      <w:r>
        <w:rPr>
          <w:rFonts w:ascii="Arial" w:cs="Arial" w:eastAsia="Arial" w:hAnsi="Arial"/>
          <w:sz w:val="16"/>
          <w:szCs w:val="16"/>
          <w:color w:val="auto"/>
        </w:rPr>
        <w:t>Houston, Texas 77002-6760</w:t>
      </w:r>
    </w:p>
    <w:p>
      <w:pPr>
        <w:jc w:val="center"/>
        <w:spacing w:after="0"/>
        <w:rPr>
          <w:sz w:val="20"/>
          <w:szCs w:val="20"/>
          <w:color w:val="auto"/>
        </w:rPr>
      </w:pPr>
      <w:r>
        <w:rPr>
          <w:rFonts w:ascii="Arial" w:cs="Arial" w:eastAsia="Arial" w:hAnsi="Arial"/>
          <w:sz w:val="16"/>
          <w:szCs w:val="16"/>
          <w:color w:val="auto"/>
        </w:rPr>
        <w:t>(713) 758-2222</w:t>
      </w:r>
    </w:p>
    <w:p>
      <w:pPr>
        <w:spacing w:after="0" w:line="257" w:lineRule="exact"/>
        <w:rPr>
          <w:sz w:val="24"/>
          <w:szCs w:val="24"/>
          <w:color w:val="auto"/>
        </w:rPr>
      </w:pPr>
    </w:p>
    <w:p>
      <w:pPr>
        <w:ind w:right="720"/>
        <w:spacing w:after="0" w:line="245" w:lineRule="auto"/>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Not applicable. Removal from registration of securities that were not sold pursuant to this</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right="340"/>
        <w:spacing w:after="0"/>
        <w:rPr>
          <w:sz w:val="20"/>
          <w:szCs w:val="20"/>
          <w:color w:val="auto"/>
        </w:rPr>
      </w:pPr>
      <w:r>
        <w:rPr>
          <w:rFonts w:ascii="Arial" w:cs="Arial" w:eastAsia="Arial" w:hAnsi="Arial"/>
          <w:sz w:val="16"/>
          <w:szCs w:val="16"/>
          <w:color w:val="auto"/>
        </w:rPr>
        <w:t>If any of the securities being registered on this Form are to be offered on a delayed or continuous basis pursuant to Rule 415 under the Securities Act of 1933, check the following box: o</w:t>
      </w:r>
    </w:p>
    <w:p>
      <w:pPr>
        <w:spacing w:after="0" w:line="24" w:lineRule="exact"/>
        <w:rPr>
          <w:sz w:val="24"/>
          <w:szCs w:val="24"/>
          <w:color w:val="auto"/>
        </w:rPr>
      </w:pPr>
    </w:p>
    <w:p>
      <w:pPr>
        <w:ind w:right="420"/>
        <w:spacing w:after="0"/>
        <w:rPr>
          <w:sz w:val="20"/>
          <w:szCs w:val="20"/>
          <w:color w:val="auto"/>
        </w:rPr>
      </w:pPr>
      <w:r>
        <w:rPr>
          <w:rFonts w:ascii="Arial" w:cs="Arial" w:eastAsia="Arial" w:hAnsi="Arial"/>
          <w:sz w:val="16"/>
          <w:szCs w:val="16"/>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37" w:lineRule="exact"/>
        <w:rPr>
          <w:sz w:val="24"/>
          <w:szCs w:val="24"/>
          <w:color w:val="auto"/>
        </w:rPr>
      </w:pPr>
    </w:p>
    <w:p>
      <w:pPr>
        <w:ind w:right="160"/>
        <w:spacing w:after="0"/>
        <w:rPr>
          <w:sz w:val="20"/>
          <w:szCs w:val="20"/>
          <w:color w:val="auto"/>
        </w:rPr>
      </w:pPr>
      <w:r>
        <w:rPr>
          <w:rFonts w:ascii="Arial" w:cs="Arial" w:eastAsia="Arial" w:hAnsi="Arial"/>
          <w:sz w:val="16"/>
          <w:szCs w:val="16"/>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24" w:lineRule="exact"/>
        <w:rPr>
          <w:sz w:val="24"/>
          <w:szCs w:val="24"/>
          <w:color w:val="auto"/>
        </w:rPr>
      </w:pPr>
    </w:p>
    <w:p>
      <w:pPr>
        <w:ind w:right="160"/>
        <w:spacing w:after="0"/>
        <w:rPr>
          <w:sz w:val="20"/>
          <w:szCs w:val="20"/>
          <w:color w:val="auto"/>
        </w:rPr>
      </w:pPr>
      <w:r>
        <w:rPr>
          <w:rFonts w:ascii="Arial" w:cs="Arial" w:eastAsia="Arial" w:hAnsi="Arial"/>
          <w:sz w:val="16"/>
          <w:szCs w:val="16"/>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24" w:lineRule="exact"/>
        <w:rPr>
          <w:sz w:val="24"/>
          <w:szCs w:val="24"/>
          <w:color w:val="auto"/>
        </w:rPr>
      </w:pPr>
    </w:p>
    <w:p>
      <w:pPr>
        <w:ind w:right="120"/>
        <w:spacing w:after="0" w:line="23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868" w:right="339" w:bottom="1440" w:gutter="0" w:footer="0" w:header="0"/>
        </w:sectPr>
      </w:pPr>
    </w:p>
    <w:p>
      <w:pPr>
        <w:spacing w:after="0" w:line="62" w:lineRule="exact"/>
        <w:rPr>
          <w:sz w:val="24"/>
          <w:szCs w:val="24"/>
          <w:color w:val="auto"/>
        </w:rPr>
      </w:pPr>
    </w:p>
    <w:p>
      <w:pPr>
        <w:ind w:left="146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jc w:val="center"/>
        <w:ind w:right="342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93" w:lineRule="exact"/>
        <w:rPr>
          <w:sz w:val="24"/>
          <w:szCs w:val="24"/>
          <w:color w:val="auto"/>
        </w:rPr>
      </w:pPr>
    </w:p>
    <w:p>
      <w:pPr>
        <w:sectPr>
          <w:pgSz w:w="11900" w:h="16838" w:orient="portrait"/>
          <w:cols w:equalWidth="0" w:num="2">
            <w:col w:w="5840" w:space="720"/>
            <w:col w:w="4680"/>
          </w:cols>
          <w:pgMar w:left="320" w:top="868" w:right="339" w:bottom="1440" w:gutter="0" w:footer="0" w:header="0"/>
          <w:type w:val="continuous"/>
        </w:sectPr>
      </w:pPr>
    </w:p>
    <w:p>
      <w:pPr>
        <w:ind w:left="146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82" w:lineRule="exact"/>
        <w:rPr>
          <w:sz w:val="24"/>
          <w:szCs w:val="24"/>
          <w:color w:val="auto"/>
        </w:rPr>
      </w:pPr>
    </w:p>
    <w:p>
      <w:pPr>
        <w:sectPr>
          <w:pgSz w:w="11900" w:h="16838" w:orient="portrait"/>
          <w:cols w:equalWidth="0" w:num="2">
            <w:col w:w="5840" w:space="720"/>
            <w:col w:w="4680"/>
          </w:cols>
          <w:pgMar w:left="320" w:top="868" w:right="339" w:bottom="1440" w:gutter="0" w:footer="0" w:header="0"/>
          <w:type w:val="continuous"/>
        </w:sectPr>
      </w:pPr>
    </w:p>
    <w:p>
      <w:pPr>
        <w:ind w:left="656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ectPr>
          <w:pgSz w:w="11900" w:h="16838" w:orient="portrait"/>
          <w:cols w:equalWidth="0" w:num="1">
            <w:col w:w="11240"/>
          </w:cols>
          <w:pgMar w:left="320" w:top="868" w:right="339" w:bottom="1440" w:gutter="0" w:footer="0" w:header="0"/>
          <w:type w:val="continuous"/>
        </w:sectPr>
      </w:pPr>
    </w:p>
    <w:p>
      <w:pPr>
        <w:spacing w:after="0" w:line="236" w:lineRule="exact"/>
        <w:rPr>
          <w:sz w:val="24"/>
          <w:szCs w:val="24"/>
          <w:color w:val="auto"/>
        </w:rPr>
      </w:pPr>
    </w:p>
    <w:p>
      <w:pPr>
        <w:ind w:right="580"/>
        <w:spacing w:after="0" w:line="19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type w:val="continuous"/>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t>EXPLANATORY NOTE/DEREGISTRATION OF SECURITIES</w:t>
      </w:r>
    </w:p>
    <w:p>
      <w:pPr>
        <w:spacing w:after="0" w:line="18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California Resources Corporation, a Delaware corporation (the “Registrant”), is filing these post-effective amendments (the “Post-Effective Amendments”) to the following Registration Statements on Form S-3 (the “Registration Statements”), which have been previously filed with the Securities and Exchange Commission (the “SEC”), to deregister any and all securities registered but unsold or otherwise unissued as of the date hereof under the Registration Statements:</w:t>
      </w:r>
    </w:p>
    <w:p>
      <w:pPr>
        <w:spacing w:after="0" w:line="160" w:lineRule="exact"/>
        <w:rPr>
          <w:sz w:val="20"/>
          <w:szCs w:val="20"/>
          <w:color w:val="auto"/>
        </w:rPr>
      </w:pPr>
    </w:p>
    <w:p>
      <w:pPr>
        <w:ind w:left="640" w:hanging="308"/>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No. 333-224868, filed with the SEC on May 11, 2018;</w:t>
      </w:r>
    </w:p>
    <w:p>
      <w:pPr>
        <w:spacing w:after="0" w:line="184" w:lineRule="exact"/>
        <w:rPr>
          <w:rFonts w:ascii="Arial" w:cs="Arial" w:eastAsia="Arial" w:hAnsi="Arial"/>
          <w:sz w:val="18"/>
          <w:szCs w:val="18"/>
          <w:color w:val="auto"/>
        </w:rPr>
      </w:pPr>
    </w:p>
    <w:p>
      <w:pPr>
        <w:ind w:left="660" w:right="40" w:hanging="328"/>
        <w:spacing w:after="0" w:line="342" w:lineRule="auto"/>
        <w:tabs>
          <w:tab w:leader="none" w:pos="651" w:val="left"/>
        </w:tabs>
        <w:numPr>
          <w:ilvl w:val="0"/>
          <w:numId w:val="1"/>
        </w:numPr>
        <w:rPr>
          <w:rFonts w:ascii="Arial" w:cs="Arial" w:eastAsia="Arial" w:hAnsi="Arial"/>
          <w:sz w:val="16"/>
          <w:szCs w:val="16"/>
          <w:color w:val="auto"/>
        </w:rPr>
      </w:pPr>
      <w:r>
        <w:rPr>
          <w:rFonts w:ascii="Arial" w:cs="Arial" w:eastAsia="Arial" w:hAnsi="Arial"/>
          <w:sz w:val="16"/>
          <w:szCs w:val="16"/>
          <w:color w:val="auto"/>
        </w:rPr>
        <w:t>Registration Statement No. 333-228426, filed with the SEC on November 16, 2018, as amended by the post-effective amendment No. 1 filed on February 26, 2020, post-effective amendment No. 2 filed on February 26, 2020 and post-effective amendment No. 3 filed on March 27, 2020; and</w:t>
      </w:r>
    </w:p>
    <w:p>
      <w:pPr>
        <w:spacing w:after="0" w:line="83" w:lineRule="exact"/>
        <w:rPr>
          <w:rFonts w:ascii="Arial" w:cs="Arial" w:eastAsia="Arial" w:hAnsi="Arial"/>
          <w:sz w:val="16"/>
          <w:szCs w:val="16"/>
          <w:color w:val="auto"/>
        </w:rPr>
      </w:pPr>
    </w:p>
    <w:p>
      <w:pPr>
        <w:ind w:left="660" w:right="420" w:hanging="328"/>
        <w:spacing w:after="0" w:line="277" w:lineRule="auto"/>
        <w:tabs>
          <w:tab w:leader="none" w:pos="651"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No. 333-233289, filed with the SEC on August 14, 2019, as amended by the post-effective amendment No. 1 filed on February 26, 2020 and post-effective amendment No. 2 filed on March 27, 2020.</w:t>
      </w:r>
    </w:p>
    <w:p>
      <w:pPr>
        <w:spacing w:after="0" w:line="14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As previously disclosed, on July 15, 2020, the Registrant and certain of its subsidiaries (collectively with the Registrant, the “Debtors”) filed voluntary petitions for reorganization under chapter 11 of the United States Bankruptcy Code in the United States Bankruptcy Court for the Southern District of Texas, Houston Division (the “Bankruptcy Court”). The Debtors obtained joint administration of their chapter 11 cases under the caption </w:t>
      </w:r>
      <w:r>
        <w:rPr>
          <w:rFonts w:ascii="Arial" w:cs="Arial" w:eastAsia="Arial" w:hAnsi="Arial"/>
          <w:sz w:val="18"/>
          <w:szCs w:val="18"/>
          <w:i w:val="1"/>
          <w:iCs w:val="1"/>
          <w:color w:val="auto"/>
        </w:rPr>
        <w:t>In re</w:t>
      </w:r>
      <w:r>
        <w:rPr>
          <w:rFonts w:ascii="Arial" w:cs="Arial" w:eastAsia="Arial" w:hAnsi="Arial"/>
          <w:sz w:val="18"/>
          <w:szCs w:val="18"/>
          <w:color w:val="auto"/>
        </w:rPr>
        <w:t xml:space="preserve"> </w:t>
      </w:r>
      <w:r>
        <w:rPr>
          <w:rFonts w:ascii="Arial" w:cs="Arial" w:eastAsia="Arial" w:hAnsi="Arial"/>
          <w:sz w:val="18"/>
          <w:szCs w:val="18"/>
          <w:i w:val="1"/>
          <w:iCs w:val="1"/>
          <w:color w:val="auto"/>
        </w:rPr>
        <w:t>California Resources Corporation, et al., Case No. 20-33568 (DRJ)</w:t>
      </w:r>
      <w:r>
        <w:rPr>
          <w:rFonts w:ascii="Arial" w:cs="Arial" w:eastAsia="Arial" w:hAnsi="Arial"/>
          <w:sz w:val="18"/>
          <w:szCs w:val="18"/>
          <w:color w:val="auto"/>
        </w:rPr>
        <w:t>. The Registrant’s plan of reorganization (the “Plan”) was confirmed by the Bankruptcy</w:t>
      </w:r>
      <w:r>
        <w:rPr>
          <w:rFonts w:ascii="Arial" w:cs="Arial" w:eastAsia="Arial" w:hAnsi="Arial"/>
          <w:sz w:val="18"/>
          <w:szCs w:val="18"/>
          <w:i w:val="1"/>
          <w:iCs w:val="1"/>
          <w:color w:val="auto"/>
        </w:rPr>
        <w:t xml:space="preserve"> </w:t>
      </w:r>
      <w:r>
        <w:rPr>
          <w:rFonts w:ascii="Arial" w:cs="Arial" w:eastAsia="Arial" w:hAnsi="Arial"/>
          <w:sz w:val="18"/>
          <w:szCs w:val="18"/>
          <w:color w:val="auto"/>
        </w:rPr>
        <w:t>Court on October 13, 2020, and the Registrant emerged from the bankruptcy proceedings on October 27, 2020 (the “Effective Date”). On the Effective Date, all equity securities of the Registrant were cancelled pursuant to the Plan. These Post-Effective Amendments are being filed as a result of the Registrant’s reorganization and the cancellation of its equity securities.</w:t>
      </w:r>
    </w:p>
    <w:p>
      <w:pPr>
        <w:spacing w:after="0" w:line="154"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The Registrant, by filing these Post-Effective Amendments, hereby terminates the effectiveness of the Registration Statements and removes from registration any and all securities registered but unsold or otherwise unissued under the Registration Statements as of the date hereof. This filing is made in accordance with an undertaking made by the Registrant in Part II of each Registration Statement to remove from registration by means of a post-effective amendment any securities that had been registered for issuance but remain unsold at the termination of the offering.</w:t>
      </w:r>
    </w:p>
    <w:p>
      <w:pPr>
        <w:sectPr>
          <w:pgSz w:w="11900" w:h="16838" w:orient="portrait"/>
          <w:cols w:equalWidth="0" w:num="1">
            <w:col w:w="11200"/>
          </w:cols>
          <w:pgMar w:left="320" w:top="1417" w:right="37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these Post-Effective Amendments on Form S-1 to be signed on its behalf by the undersigned, thereunto duly authorized, in the City of Santa Clarita, State of California, on October 27, 2020.</w:t>
      </w:r>
    </w:p>
    <w:p>
      <w:pPr>
        <w:spacing w:after="0" w:line="147"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0"/>
        <w:spacing w:after="0"/>
        <w:tabs>
          <w:tab w:leader="none" w:pos="6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Roy M. Pineci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31750</wp:posOffset>
            </wp:positionV>
            <wp:extent cx="27343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57"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Roy M. Pineci</w:t>
      </w:r>
    </w:p>
    <w:p>
      <w:pPr>
        <w:spacing w:after="0" w:line="6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Senior Vice President</w:t>
      </w:r>
    </w:p>
    <w:p>
      <w:pPr>
        <w:spacing w:after="0" w:line="30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No other person is required to sign these Post-Effective Amendments to the Registration Statements in reliance on Rule 478 under the Securities Act of 1933, as amended.</w:t>
      </w:r>
    </w:p>
    <w:sectPr>
      <w:pgSz w:w="11900" w:h="16838" w:orient="portrait"/>
      <w:cols w:equalWidth="0" w:num="1">
        <w:col w:w="11140"/>
      </w:cols>
      <w:pgMar w:left="320" w:top="14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2020-10-28T05:16:52Z</dcterms:created>
  <dcterms:modified xsi:type="dcterms:W3CDTF">2020-10-28T05:16:52Z</dcterms:modified>
</cp:coreProperties>
</file>