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1" w:lineRule="exact"/>
        <w:rPr>
          <w:sz w:val="24"/>
          <w:szCs w:val="24"/>
          <w:color w:val="auto"/>
        </w:rPr>
      </w:pPr>
    </w:p>
    <w:p>
      <w:pPr>
        <w:ind w:left="2440" w:hanging="317"/>
        <w:spacing w:after="0"/>
        <w:tabs>
          <w:tab w:leader="none" w:pos="2440" w:val="left"/>
        </w:tabs>
        <w:numPr>
          <w:ilvl w:val="0"/>
          <w:numId w:val="1"/>
        </w:numPr>
        <w:rPr>
          <w:rFonts w:ascii="MS PGothic" w:cs="MS PGothic" w:eastAsia="MS PGothic" w:hAnsi="MS PGothic"/>
          <w:sz w:val="27"/>
          <w:szCs w:val="27"/>
          <w:color w:val="auto"/>
        </w:rPr>
      </w:pPr>
      <w:r>
        <w:rPr>
          <w:rFonts w:ascii="Arial" w:cs="Arial" w:eastAsia="Arial" w:hAnsi="Arial"/>
          <w:sz w:val="23"/>
          <w:szCs w:val="23"/>
          <w:b w:val="1"/>
          <w:bCs w:val="1"/>
          <w:color w:val="auto"/>
        </w:rPr>
        <w:t>QUARTERLY REPORT PURSUANT TO SECTION 13 OR 15(d)</w:t>
      </w:r>
    </w:p>
    <w:p>
      <w:pPr>
        <w:spacing w:after="0" w:line="26"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quarterly period ended March 31, 2023</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37" w:lineRule="exact"/>
        <w:rPr>
          <w:sz w:val="24"/>
          <w:szCs w:val="24"/>
          <w:color w:val="auto"/>
        </w:rPr>
      </w:pPr>
    </w:p>
    <w:p>
      <w:pPr>
        <w:ind w:left="2440" w:hanging="315"/>
        <w:spacing w:after="0"/>
        <w:tabs>
          <w:tab w:leader="none" w:pos="244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26"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5"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001-36478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8" w:lineRule="exact"/>
        <w:rPr>
          <w:sz w:val="24"/>
          <w:szCs w:val="24"/>
          <w:color w:val="auto"/>
        </w:rPr>
      </w:pPr>
    </w:p>
    <w:tbl>
      <w:tblPr>
        <w:tblLayout w:type="fixed"/>
        <w:tblInd w:w="1700" w:type="dxa"/>
        <w:tblCellMar>
          <w:top w:w="0" w:type="dxa"/>
          <w:left w:w="0" w:type="dxa"/>
          <w:bottom w:w="0" w:type="dxa"/>
          <w:right w:w="0" w:type="dxa"/>
        </w:tblCellMar>
      </w:tblPr>
      <w:tr>
        <w:trPr>
          <w:trHeight w:val="258"/>
        </w:trPr>
        <w:tc>
          <w:tcPr>
            <w:tcW w:w="4360" w:type="dxa"/>
            <w:vAlign w:val="bottom"/>
          </w:tcPr>
          <w:p>
            <w:pPr>
              <w:ind w:left="840"/>
              <w:spacing w:after="0"/>
              <w:rPr>
                <w:sz w:val="20"/>
                <w:szCs w:val="20"/>
                <w:color w:val="auto"/>
              </w:rPr>
            </w:pPr>
            <w:r>
              <w:rPr>
                <w:rFonts w:ascii="Arial" w:cs="Arial" w:eastAsia="Arial" w:hAnsi="Arial"/>
                <w:sz w:val="20"/>
                <w:szCs w:val="20"/>
                <w:b w:val="1"/>
                <w:bCs w:val="1"/>
                <w:color w:val="auto"/>
              </w:rPr>
              <w:t>Delaware</w:t>
            </w:r>
          </w:p>
        </w:tc>
        <w:tc>
          <w:tcPr>
            <w:tcW w:w="3340" w:type="dxa"/>
            <w:vAlign w:val="bottom"/>
          </w:tcPr>
          <w:p>
            <w:pPr>
              <w:jc w:val="right"/>
              <w:ind w:right="141"/>
              <w:spacing w:after="0"/>
              <w:rPr>
                <w:sz w:val="20"/>
                <w:szCs w:val="20"/>
                <w:color w:val="auto"/>
              </w:rPr>
            </w:pPr>
            <w:r>
              <w:rPr>
                <w:rFonts w:ascii="Arial" w:cs="Arial" w:eastAsia="Arial" w:hAnsi="Arial"/>
                <w:sz w:val="20"/>
                <w:szCs w:val="20"/>
                <w:b w:val="1"/>
                <w:bCs w:val="1"/>
                <w:color w:val="auto"/>
              </w:rPr>
              <w:t>46-5670947</w:t>
            </w:r>
          </w:p>
        </w:tc>
      </w:tr>
      <w:tr>
        <w:trPr>
          <w:trHeight w:val="203"/>
        </w:trPr>
        <w:tc>
          <w:tcPr>
            <w:tcW w:w="4360" w:type="dxa"/>
            <w:vAlign w:val="bottom"/>
          </w:tcPr>
          <w:p>
            <w:pPr>
              <w:ind w:left="20"/>
              <w:spacing w:after="0" w:line="203" w:lineRule="exact"/>
              <w:rPr>
                <w:sz w:val="20"/>
                <w:szCs w:val="20"/>
                <w:color w:val="auto"/>
              </w:rPr>
            </w:pPr>
            <w:r>
              <w:rPr>
                <w:rFonts w:ascii="Arial" w:cs="Arial" w:eastAsia="Arial" w:hAnsi="Arial"/>
                <w:sz w:val="20"/>
                <w:szCs w:val="20"/>
                <w:color w:val="auto"/>
              </w:rPr>
              <w:t>(State or other jurisdiction of</w:t>
            </w:r>
          </w:p>
        </w:tc>
        <w:tc>
          <w:tcPr>
            <w:tcW w:w="3340" w:type="dxa"/>
            <w:vAlign w:val="bottom"/>
          </w:tcPr>
          <w:p>
            <w:pPr>
              <w:ind w:left="1820"/>
              <w:spacing w:after="0" w:line="203" w:lineRule="exact"/>
              <w:rPr>
                <w:sz w:val="20"/>
                <w:szCs w:val="20"/>
                <w:color w:val="auto"/>
              </w:rPr>
            </w:pPr>
            <w:r>
              <w:rPr>
                <w:rFonts w:ascii="Arial" w:cs="Arial" w:eastAsia="Arial" w:hAnsi="Arial"/>
                <w:sz w:val="20"/>
                <w:szCs w:val="20"/>
                <w:color w:val="auto"/>
              </w:rPr>
              <w:t>(I.R.S. Employer</w:t>
            </w:r>
          </w:p>
        </w:tc>
      </w:tr>
      <w:tr>
        <w:trPr>
          <w:trHeight w:val="261"/>
        </w:trPr>
        <w:tc>
          <w:tcPr>
            <w:tcW w:w="4360" w:type="dxa"/>
            <w:vAlign w:val="bottom"/>
          </w:tcPr>
          <w:p>
            <w:pPr>
              <w:spacing w:after="0"/>
              <w:rPr>
                <w:sz w:val="20"/>
                <w:szCs w:val="20"/>
                <w:color w:val="auto"/>
              </w:rPr>
            </w:pPr>
            <w:r>
              <w:rPr>
                <w:rFonts w:ascii="Arial" w:cs="Arial" w:eastAsia="Arial" w:hAnsi="Arial"/>
                <w:sz w:val="20"/>
                <w:szCs w:val="20"/>
                <w:color w:val="auto"/>
              </w:rPr>
              <w:t>incorporation or organization)</w:t>
            </w:r>
          </w:p>
        </w:tc>
        <w:tc>
          <w:tcPr>
            <w:tcW w:w="3340" w:type="dxa"/>
            <w:vAlign w:val="bottom"/>
          </w:tcPr>
          <w:p>
            <w:pPr>
              <w:ind w:left="1800"/>
              <w:spacing w:after="0"/>
              <w:rPr>
                <w:sz w:val="20"/>
                <w:szCs w:val="20"/>
                <w:color w:val="auto"/>
              </w:rPr>
            </w:pPr>
            <w:r>
              <w:rPr>
                <w:rFonts w:ascii="Arial" w:cs="Arial" w:eastAsia="Arial" w:hAnsi="Arial"/>
                <w:sz w:val="20"/>
                <w:szCs w:val="20"/>
                <w:color w:val="auto"/>
                <w:w w:val="97"/>
              </w:rPr>
              <w:t>Identification No.)</w:t>
            </w:r>
          </w:p>
        </w:tc>
      </w:tr>
    </w:tbl>
    <w:p>
      <w:pPr>
        <w:spacing w:after="0" w:line="196" w:lineRule="exact"/>
        <w:rPr>
          <w:sz w:val="24"/>
          <w:szCs w:val="24"/>
          <w:color w:val="auto"/>
        </w:rPr>
      </w:pPr>
    </w:p>
    <w:p>
      <w:pPr>
        <w:ind w:left="4100"/>
        <w:spacing w:after="0"/>
        <w:rPr>
          <w:sz w:val="20"/>
          <w:szCs w:val="20"/>
          <w:color w:val="auto"/>
        </w:rPr>
      </w:pPr>
      <w:r>
        <w:rPr>
          <w:rFonts w:ascii="Arial" w:cs="Arial" w:eastAsia="Arial" w:hAnsi="Arial"/>
          <w:sz w:val="20"/>
          <w:szCs w:val="20"/>
          <w:b w:val="1"/>
          <w:bCs w:val="1"/>
          <w:color w:val="auto"/>
        </w:rPr>
        <w:t>1 World Trade Center, Suite 1500</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0"/>
          <w:szCs w:val="20"/>
          <w:b w:val="1"/>
          <w:bCs w:val="1"/>
          <w:color w:val="auto"/>
        </w:rPr>
        <w:t>Long Beach, California 90831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(Address of principal executive offices) (Zip Code)</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(888) 848-4754</w:t>
      </w:r>
    </w:p>
    <w:p>
      <w:pPr>
        <w:spacing w:after="0" w:line="3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w:t>
      </w:r>
    </w:p>
    <w:p>
      <w:pPr>
        <w:spacing w:after="0" w:line="23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Exchange Act:</w:t>
      </w:r>
    </w:p>
    <w:p>
      <w:pPr>
        <w:sectPr>
          <w:pgSz w:w="11900" w:h="16838" w:orient="portrait"/>
          <w:cols w:equalWidth="0" w:num="1">
            <w:col w:w="11240"/>
          </w:cols>
          <w:pgMar w:left="320" w:top="1003" w:right="339" w:bottom="1440" w:gutter="0" w:footer="0" w:header="0"/>
        </w:sectPr>
      </w:pPr>
    </w:p>
    <w:p>
      <w:pPr>
        <w:spacing w:after="0" w:line="142" w:lineRule="exact"/>
        <w:rPr>
          <w:sz w:val="24"/>
          <w:szCs w:val="24"/>
          <w:color w:val="auto"/>
        </w:rPr>
      </w:pPr>
    </w:p>
    <w:p>
      <w:pPr>
        <w:jc w:val="center"/>
        <w:ind w:left="1680"/>
        <w:spacing w:after="0"/>
        <w:rPr>
          <w:sz w:val="20"/>
          <w:szCs w:val="20"/>
          <w:color w:val="auto"/>
        </w:rPr>
      </w:pPr>
      <w:r>
        <w:rPr>
          <w:rFonts w:ascii="Arial" w:cs="Arial" w:eastAsia="Arial" w:hAnsi="Arial"/>
          <w:sz w:val="16"/>
          <w:szCs w:val="16"/>
          <w:b w:val="1"/>
          <w:bCs w:val="1"/>
          <w:color w:val="auto"/>
        </w:rPr>
        <w:t>Title of Each Class</w:t>
      </w:r>
    </w:p>
    <w:p>
      <w:pPr>
        <w:spacing w:after="0" w:line="51" w:lineRule="exact"/>
        <w:rPr>
          <w:sz w:val="24"/>
          <w:szCs w:val="24"/>
          <w:color w:val="auto"/>
        </w:rPr>
      </w:pPr>
    </w:p>
    <w:p>
      <w:pPr>
        <w:jc w:val="center"/>
        <w:ind w:left="1680"/>
        <w:spacing w:after="0"/>
        <w:rPr>
          <w:sz w:val="20"/>
          <w:szCs w:val="20"/>
          <w:color w:val="auto"/>
        </w:rPr>
      </w:pPr>
      <w:r>
        <w:rPr>
          <w:rFonts w:ascii="Arial" w:cs="Arial" w:eastAsia="Arial" w:hAnsi="Arial"/>
          <w:sz w:val="17"/>
          <w:szCs w:val="17"/>
          <w:color w:val="auto"/>
        </w:rPr>
        <w:t>Common Stock</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tabs>
          <w:tab w:leader="none" w:pos="1740" w:val="left"/>
        </w:tabs>
        <w:rPr>
          <w:sz w:val="20"/>
          <w:szCs w:val="20"/>
          <w:color w:val="auto"/>
        </w:rPr>
      </w:pPr>
      <w:r>
        <w:rPr>
          <w:rFonts w:ascii="Arial" w:cs="Arial" w:eastAsia="Arial" w:hAnsi="Arial"/>
          <w:sz w:val="17"/>
          <w:szCs w:val="17"/>
          <w:b w:val="1"/>
          <w:bCs w:val="1"/>
          <w:color w:val="auto"/>
        </w:rPr>
        <w:t>Trading Symbol(s)</w:t>
        <w:tab/>
        <w:t>Name of Each Exchange on Which Registered</w:t>
      </w:r>
    </w:p>
    <w:p>
      <w:pPr>
        <w:spacing w:after="0" w:line="39" w:lineRule="exact"/>
        <w:rPr>
          <w:sz w:val="24"/>
          <w:szCs w:val="24"/>
          <w:color w:val="auto"/>
        </w:rPr>
      </w:pPr>
    </w:p>
    <w:p>
      <w:pPr>
        <w:ind w:left="560"/>
        <w:spacing w:after="0"/>
        <w:tabs>
          <w:tab w:leader="none" w:pos="2600" w:val="left"/>
        </w:tabs>
        <w:rPr>
          <w:sz w:val="20"/>
          <w:szCs w:val="20"/>
          <w:color w:val="auto"/>
        </w:rPr>
      </w:pPr>
      <w:r>
        <w:rPr>
          <w:rFonts w:ascii="Arial" w:cs="Arial" w:eastAsia="Arial" w:hAnsi="Arial"/>
          <w:sz w:val="17"/>
          <w:szCs w:val="17"/>
          <w:color w:val="auto"/>
        </w:rPr>
        <w:t>CRC</w:t>
      </w:r>
      <w:r>
        <w:rPr>
          <w:sz w:val="20"/>
          <w:szCs w:val="20"/>
          <w:color w:val="auto"/>
        </w:rPr>
        <w:tab/>
      </w:r>
      <w:r>
        <w:rPr>
          <w:rFonts w:ascii="Arial" w:cs="Arial" w:eastAsia="Arial" w:hAnsi="Arial"/>
          <w:sz w:val="17"/>
          <w:szCs w:val="17"/>
          <w:color w:val="auto"/>
        </w:rPr>
        <w:t>New York Stock Exchange</w:t>
      </w:r>
    </w:p>
    <w:p>
      <w:pPr>
        <w:spacing w:after="0" w:line="200" w:lineRule="exact"/>
        <w:rPr>
          <w:sz w:val="24"/>
          <w:szCs w:val="24"/>
          <w:color w:val="auto"/>
        </w:rPr>
      </w:pPr>
    </w:p>
    <w:p>
      <w:pPr>
        <w:sectPr>
          <w:pgSz w:w="11900" w:h="16838" w:orient="portrait"/>
          <w:cols w:equalWidth="0" w:num="2">
            <w:col w:w="3820" w:space="720"/>
            <w:col w:w="6700"/>
          </w:cols>
          <w:pgMar w:left="320" w:top="1003" w:right="339" w:bottom="1440" w:gutter="0" w:footer="0" w:header="0"/>
          <w:type w:val="continuous"/>
        </w:sectPr>
      </w:pPr>
    </w:p>
    <w:p>
      <w:pPr>
        <w:spacing w:after="0" w:line="153" w:lineRule="exact"/>
        <w:rPr>
          <w:sz w:val="24"/>
          <w:szCs w:val="24"/>
          <w:color w:val="auto"/>
        </w:rPr>
      </w:pPr>
    </w:p>
    <w:p>
      <w:pPr>
        <w:jc w:val="both"/>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70"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85" w:lineRule="exact"/>
        <w:rPr>
          <w:sz w:val="24"/>
          <w:szCs w:val="24"/>
          <w:color w:val="auto"/>
        </w:rPr>
      </w:pPr>
    </w:p>
    <w:p>
      <w:pPr>
        <w:jc w:val="both"/>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03" w:right="339" w:bottom="1440" w:gutter="0" w:footer="0" w:header="0"/>
          <w:type w:val="continuous"/>
        </w:sectPr>
      </w:pPr>
    </w:p>
    <w:p>
      <w:pPr>
        <w:spacing w:after="0" w:line="93" w:lineRule="exact"/>
        <w:rPr>
          <w:sz w:val="24"/>
          <w:szCs w:val="24"/>
          <w:color w:val="auto"/>
        </w:rPr>
      </w:pPr>
    </w:p>
    <w:p>
      <w:pPr>
        <w:ind w:left="1040"/>
        <w:spacing w:after="0" w:line="317" w:lineRule="auto"/>
        <w:rPr>
          <w:sz w:val="20"/>
          <w:szCs w:val="20"/>
          <w:color w:val="auto"/>
        </w:rPr>
      </w:pPr>
      <w:r>
        <w:rPr>
          <w:rFonts w:ascii="Arial" w:cs="Arial" w:eastAsia="Arial" w:hAnsi="Arial"/>
          <w:sz w:val="17"/>
          <w:szCs w:val="17"/>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34"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36" w:lineRule="exact"/>
        <w:rPr>
          <w:sz w:val="24"/>
          <w:szCs w:val="24"/>
          <w:color w:val="auto"/>
        </w:rPr>
      </w:pPr>
    </w:p>
    <w:p>
      <w:pPr>
        <w:sectPr>
          <w:pgSz w:w="11900" w:h="16838" w:orient="portrait"/>
          <w:cols w:equalWidth="0" w:num="6">
            <w:col w:w="3180" w:space="100"/>
            <w:col w:w="160" w:space="640"/>
            <w:col w:w="2100" w:space="180"/>
            <w:col w:w="160" w:space="640"/>
            <w:col w:w="1640" w:space="640"/>
            <w:col w:w="1800"/>
          </w:cols>
          <w:pgMar w:left="320" w:top="1003" w:right="339" w:bottom="1440" w:gutter="0" w:footer="0" w:header="0"/>
          <w:type w:val="continuous"/>
        </w:sectPr>
      </w:pPr>
    </w:p>
    <w:p>
      <w:pPr>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6" w:lineRule="exact"/>
        <w:tabs>
          <w:tab w:leader="none" w:pos="8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p>
      <w:pPr>
        <w:spacing w:after="0" w:line="222" w:lineRule="exact"/>
        <w:rPr>
          <w:sz w:val="20"/>
          <w:szCs w:val="20"/>
          <w:color w:val="auto"/>
        </w:rPr>
      </w:pPr>
      <w:r>
        <w:rPr>
          <w:rFonts w:ascii="Arial" w:cs="Arial" w:eastAsia="Arial" w:hAnsi="Arial"/>
          <w:sz w:val="17"/>
          <w:szCs w:val="17"/>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Indicate the number of shares outstanding for each of the issuer's classes of common stock, as of the latest practicable date.</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outstanding as of March 31, 2023 was 70,549,158.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960" w:type="dxa"/>
            <w:vAlign w:val="bottom"/>
          </w:tcPr>
          <w:p>
            <w:pPr>
              <w:spacing w:after="0"/>
              <w:rPr>
                <w:sz w:val="21"/>
                <w:szCs w:val="21"/>
                <w:color w:val="auto"/>
              </w:rPr>
            </w:pPr>
          </w:p>
        </w:tc>
        <w:tc>
          <w:tcPr>
            <w:tcW w:w="7520" w:type="dxa"/>
            <w:vAlign w:val="bottom"/>
          </w:tcPr>
          <w:p>
            <w:pPr>
              <w:ind w:left="1460"/>
              <w:spacing w:after="0"/>
              <w:rPr>
                <w:sz w:val="20"/>
                <w:szCs w:val="20"/>
                <w:color w:val="auto"/>
              </w:rPr>
            </w:pPr>
            <w:r>
              <w:rPr>
                <w:rFonts w:ascii="Arial" w:cs="Arial" w:eastAsia="Arial" w:hAnsi="Arial"/>
                <w:sz w:val="18"/>
                <w:szCs w:val="18"/>
                <w:b w:val="1"/>
                <w:bCs w:val="1"/>
                <w:color w:val="auto"/>
              </w:rPr>
              <w:t>California Resources Corporation and Subsidiaries</w:t>
            </w:r>
          </w:p>
        </w:tc>
        <w:tc>
          <w:tcPr>
            <w:tcW w:w="740" w:type="dxa"/>
            <w:vAlign w:val="bottom"/>
          </w:tcPr>
          <w:p>
            <w:pPr>
              <w:spacing w:after="0"/>
              <w:rPr>
                <w:sz w:val="21"/>
                <w:szCs w:val="21"/>
                <w:color w:val="auto"/>
              </w:rPr>
            </w:pPr>
          </w:p>
        </w:tc>
      </w:tr>
      <w:tr>
        <w:trPr>
          <w:trHeight w:val="459"/>
        </w:trPr>
        <w:tc>
          <w:tcPr>
            <w:tcW w:w="960" w:type="dxa"/>
            <w:vAlign w:val="bottom"/>
          </w:tcPr>
          <w:p>
            <w:pPr>
              <w:spacing w:after="0"/>
              <w:rPr>
                <w:sz w:val="24"/>
                <w:szCs w:val="24"/>
                <w:color w:val="auto"/>
              </w:rPr>
            </w:pPr>
          </w:p>
        </w:tc>
        <w:tc>
          <w:tcPr>
            <w:tcW w:w="7520" w:type="dxa"/>
            <w:vAlign w:val="bottom"/>
          </w:tcPr>
          <w:p>
            <w:pPr>
              <w:ind w:left="290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r>
      <w:tr>
        <w:trPr>
          <w:trHeight w:val="339"/>
        </w:trPr>
        <w:tc>
          <w:tcPr>
            <w:tcW w:w="9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80"/>
              <w:spacing w:after="0"/>
              <w:rPr>
                <w:sz w:val="20"/>
                <w:szCs w:val="20"/>
                <w:color w:val="auto"/>
              </w:rPr>
            </w:pPr>
            <w:r>
              <w:rPr>
                <w:rFonts w:ascii="Arial" w:cs="Arial" w:eastAsia="Arial" w:hAnsi="Arial"/>
                <w:sz w:val="18"/>
                <w:szCs w:val="18"/>
                <w:color w:val="auto"/>
              </w:rPr>
              <w:t>Financial Statements (unaudited)</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Balance Sheets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Condensed Consolidated Statements of Operations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Stockholders' Equity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Condensed Consolidated Statements of Cash Flows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Notes to the Condensed Consolidated Financial Statements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2</w:t>
            </w:r>
          </w:p>
        </w:tc>
        <w:tc>
          <w:tcPr>
            <w:tcW w:w="752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Leadership Changes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Business Environment and Industry Outlook</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Regulatory Updates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Prices and Realizations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Statements of Operations Analysis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Liquidity and Capital Resources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Divestitures and Acquisitions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Lawsuits, Claims, Commitments and Contingencies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Critical Accounting Estimates and Significant Accounting and Disclosure Changes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Forward-Looking Statements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3</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4</w:t>
            </w:r>
          </w:p>
        </w:tc>
        <w:tc>
          <w:tcPr>
            <w:tcW w:w="752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16"/>
        </w:trPr>
        <w:tc>
          <w:tcPr>
            <w:tcW w:w="96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1</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Proceedings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1A</w:t>
            </w:r>
          </w:p>
        </w:tc>
        <w:tc>
          <w:tcPr>
            <w:tcW w:w="752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5</w:t>
            </w:r>
          </w:p>
        </w:tc>
        <w:tc>
          <w:tcPr>
            <w:tcW w:w="7520" w:type="dxa"/>
            <w:vAlign w:val="bottom"/>
          </w:tcPr>
          <w:p>
            <w:pPr>
              <w:ind w:left="180"/>
              <w:spacing w:after="0"/>
              <w:rPr>
                <w:sz w:val="20"/>
                <w:szCs w:val="20"/>
                <w:color w:val="auto"/>
              </w:rPr>
            </w:pPr>
            <w:r>
              <w:rPr>
                <w:rFonts w:ascii="Arial" w:cs="Arial" w:eastAsia="Arial" w:hAnsi="Arial"/>
                <w:sz w:val="18"/>
                <w:szCs w:val="18"/>
                <w:color w:val="auto"/>
              </w:rPr>
              <w:t>Other Disclosures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6</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Exhibits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340" w:top="890" w:right="1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GLOSSARY AND SELECTED ABBREVIATIONS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abbreviations and definitions of certain terms used within this Form 10-Q:</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ABR </w:t>
      </w:r>
      <w:r>
        <w:rPr>
          <w:rFonts w:ascii="Arial" w:cs="Arial" w:eastAsia="Arial" w:hAnsi="Arial"/>
          <w:sz w:val="18"/>
          <w:szCs w:val="18"/>
          <w:color w:val="auto"/>
        </w:rPr>
        <w:t>- Alternate base rate.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ASC </w:t>
      </w:r>
      <w:r>
        <w:rPr>
          <w:rFonts w:ascii="Arial" w:cs="Arial" w:eastAsia="Arial" w:hAnsi="Arial"/>
          <w:sz w:val="18"/>
          <w:szCs w:val="18"/>
          <w:color w:val="auto"/>
        </w:rPr>
        <w:t>- Accounting Standards Codification.</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ARO </w:t>
      </w:r>
      <w:r>
        <w:rPr>
          <w:rFonts w:ascii="Arial" w:cs="Arial" w:eastAsia="Arial" w:hAnsi="Arial"/>
          <w:sz w:val="18"/>
          <w:szCs w:val="18"/>
          <w:color w:val="auto"/>
        </w:rPr>
        <w:t>- Asset retirement obligation.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 </w:t>
      </w:r>
      <w:r>
        <w:rPr>
          <w:rFonts w:ascii="Arial" w:cs="Arial" w:eastAsia="Arial" w:hAnsi="Arial"/>
          <w:sz w:val="18"/>
          <w:szCs w:val="18"/>
          <w:color w:val="auto"/>
        </w:rPr>
        <w:t>-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Bbl/d </w:t>
      </w:r>
      <w:r>
        <w:rPr>
          <w:rFonts w:ascii="Arial" w:cs="Arial" w:eastAsia="Arial" w:hAnsi="Arial"/>
          <w:sz w:val="18"/>
          <w:szCs w:val="18"/>
          <w:color w:val="auto"/>
        </w:rPr>
        <w:t>-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 </w:t>
      </w:r>
      <w:r>
        <w:rPr>
          <w:rFonts w:ascii="Arial" w:cs="Arial" w:eastAsia="Arial" w:hAnsi="Arial"/>
          <w:sz w:val="18"/>
          <w:szCs w:val="18"/>
          <w:color w:val="auto"/>
        </w:rPr>
        <w:t>- Billion cubic feet.</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Bcfe </w:t>
      </w:r>
      <w:r>
        <w:rPr>
          <w:rFonts w:ascii="Arial" w:cs="Arial" w:eastAsia="Arial" w:hAnsi="Arial"/>
          <w:sz w:val="18"/>
          <w:szCs w:val="18"/>
          <w:color w:val="auto"/>
        </w:rPr>
        <w:t>- Billion cubic feet of natural gas equivalent using the ratio of one barrel of oil, condensate, or NGLs converted to six thousand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cubic feet of natural gas.</w:t>
      </w: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 We convert natural gas volumes to crude oil equivalents using a ratio of six thousand cubic feet (Mcf) to one barrel of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based on energy content. This is a widely used conversion method in the oil and natural gas industry.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Boe/d </w:t>
      </w:r>
      <w:r>
        <w:rPr>
          <w:rFonts w:ascii="Arial" w:cs="Arial" w:eastAsia="Arial" w:hAnsi="Arial"/>
          <w:sz w:val="18"/>
          <w:szCs w:val="18"/>
          <w:color w:val="auto"/>
        </w:rPr>
        <w:t>- Barrel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Btu </w:t>
      </w:r>
      <w:r>
        <w:rPr>
          <w:rFonts w:ascii="Arial" w:cs="Arial" w:eastAsia="Arial" w:hAnsi="Arial"/>
          <w:sz w:val="18"/>
          <w:szCs w:val="18"/>
          <w:color w:val="auto"/>
        </w:rPr>
        <w:t>- British thermal unit.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CalGEM </w:t>
      </w:r>
      <w:r>
        <w:rPr>
          <w:rFonts w:ascii="Arial" w:cs="Arial" w:eastAsia="Arial" w:hAnsi="Arial"/>
          <w:sz w:val="18"/>
          <w:szCs w:val="18"/>
          <w:color w:val="auto"/>
        </w:rPr>
        <w:t>- California Geologic Energy Management Division.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CCS </w:t>
      </w:r>
      <w:r>
        <w:rPr>
          <w:rFonts w:ascii="Arial" w:cs="Arial" w:eastAsia="Arial" w:hAnsi="Arial"/>
          <w:sz w:val="18"/>
          <w:szCs w:val="18"/>
          <w:color w:val="auto"/>
        </w:rPr>
        <w:t>- Carbon capture and storage.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CDMA </w:t>
      </w:r>
      <w:r>
        <w:rPr>
          <w:rFonts w:ascii="Arial" w:cs="Arial" w:eastAsia="Arial" w:hAnsi="Arial"/>
          <w:sz w:val="18"/>
          <w:szCs w:val="18"/>
          <w:color w:val="auto"/>
        </w:rPr>
        <w:t>- Carbon Dioxide Management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CEQA </w:t>
      </w:r>
      <w:r>
        <w:rPr>
          <w:rFonts w:ascii="Arial" w:cs="Arial" w:eastAsia="Arial" w:hAnsi="Arial"/>
          <w:sz w:val="18"/>
          <w:szCs w:val="18"/>
          <w:color w:val="auto"/>
        </w:rPr>
        <w:t>- California Environmental Quality Act.</w:t>
      </w:r>
    </w:p>
    <w:p>
      <w:pPr>
        <w:spacing w:after="0" w:line="9" w:lineRule="exact"/>
        <w:rPr>
          <w:rFonts w:ascii="Arial" w:cs="Arial" w:eastAsia="Arial" w:hAnsi="Arial"/>
          <w:sz w:val="18"/>
          <w:szCs w:val="18"/>
          <w:color w:val="auto"/>
        </w:rPr>
      </w:pPr>
    </w:p>
    <w:p>
      <w:pPr>
        <w:ind w:left="66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Carbon dioxide.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DAC </w:t>
      </w:r>
      <w:r>
        <w:rPr>
          <w:rFonts w:ascii="Arial" w:cs="Arial" w:eastAsia="Arial" w:hAnsi="Arial"/>
          <w:sz w:val="18"/>
          <w:szCs w:val="18"/>
          <w:color w:val="auto"/>
        </w:rPr>
        <w:t>- Direct air capture.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DD&amp;A </w:t>
      </w:r>
      <w:r>
        <w:rPr>
          <w:rFonts w:ascii="Arial" w:cs="Arial" w:eastAsia="Arial" w:hAnsi="Arial"/>
          <w:sz w:val="18"/>
          <w:szCs w:val="18"/>
          <w:color w:val="auto"/>
        </w:rPr>
        <w:t>- Depletion, depreciation, and amortization.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EOR </w:t>
      </w:r>
      <w:r>
        <w:rPr>
          <w:rFonts w:ascii="Arial" w:cs="Arial" w:eastAsia="Arial" w:hAnsi="Arial"/>
          <w:sz w:val="18"/>
          <w:szCs w:val="18"/>
          <w:color w:val="auto"/>
        </w:rPr>
        <w:t>- Enhanced oil recovery.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EPA </w:t>
      </w:r>
      <w:r>
        <w:rPr>
          <w:rFonts w:ascii="Arial" w:cs="Arial" w:eastAsia="Arial" w:hAnsi="Arial"/>
          <w:sz w:val="18"/>
          <w:szCs w:val="18"/>
          <w:color w:val="auto"/>
        </w:rPr>
        <w:t>- United States Environmental Protection Agency.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ESG </w:t>
      </w:r>
      <w:r>
        <w:rPr>
          <w:rFonts w:ascii="Arial" w:cs="Arial" w:eastAsia="Arial" w:hAnsi="Arial"/>
          <w:sz w:val="18"/>
          <w:szCs w:val="18"/>
          <w:color w:val="auto"/>
        </w:rPr>
        <w:t>- Environmental, social and governance.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E&amp;P </w:t>
      </w:r>
      <w:r>
        <w:rPr>
          <w:rFonts w:ascii="Arial" w:cs="Arial" w:eastAsia="Arial" w:hAnsi="Arial"/>
          <w:sz w:val="18"/>
          <w:szCs w:val="18"/>
          <w:color w:val="auto"/>
        </w:rPr>
        <w:t>- Exploration and production.</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Full-Scope Net Zero </w:t>
      </w:r>
      <w:r>
        <w:rPr>
          <w:rFonts w:ascii="Arial" w:cs="Arial" w:eastAsia="Arial" w:hAnsi="Arial"/>
          <w:sz w:val="18"/>
          <w:szCs w:val="18"/>
          <w:color w:val="auto"/>
        </w:rPr>
        <w:t>- Achieving permanent storage of captured or removed carbon emissions in a volume equal to all of our scope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 2 and 3 emissions by 2045.</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 United States Generally Accepted Accounting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G&amp;A </w:t>
      </w:r>
      <w:r>
        <w:rPr>
          <w:rFonts w:ascii="Arial" w:cs="Arial" w:eastAsia="Arial" w:hAnsi="Arial"/>
          <w:sz w:val="18"/>
          <w:szCs w:val="18"/>
          <w:color w:val="auto"/>
        </w:rPr>
        <w:t>- General and administrative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GHG </w:t>
      </w:r>
      <w:r>
        <w:rPr>
          <w:rFonts w:ascii="Arial" w:cs="Arial" w:eastAsia="Arial" w:hAnsi="Arial"/>
          <w:sz w:val="18"/>
          <w:szCs w:val="18"/>
          <w:color w:val="auto"/>
        </w:rPr>
        <w:t>- Greenhouse gases.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JV </w:t>
      </w:r>
      <w:r>
        <w:rPr>
          <w:rFonts w:ascii="Arial" w:cs="Arial" w:eastAsia="Arial" w:hAnsi="Arial"/>
          <w:sz w:val="18"/>
          <w:szCs w:val="18"/>
          <w:color w:val="auto"/>
        </w:rPr>
        <w:t>- Joint venture.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LCFS </w:t>
      </w:r>
      <w:r>
        <w:rPr>
          <w:rFonts w:ascii="Arial" w:cs="Arial" w:eastAsia="Arial" w:hAnsi="Arial"/>
          <w:sz w:val="18"/>
          <w:szCs w:val="18"/>
          <w:color w:val="auto"/>
        </w:rPr>
        <w:t>- Low Carbon Fuel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LIBOR </w:t>
      </w:r>
      <w:r>
        <w:rPr>
          <w:rFonts w:ascii="Arial" w:cs="Arial" w:eastAsia="Arial" w:hAnsi="Arial"/>
          <w:sz w:val="18"/>
          <w:szCs w:val="18"/>
          <w:color w:val="auto"/>
        </w:rPr>
        <w:t>- London Interbank Offered 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 </w:t>
      </w:r>
      <w:r>
        <w:rPr>
          <w:rFonts w:ascii="Arial" w:cs="Arial" w:eastAsia="Arial" w:hAnsi="Arial"/>
          <w:sz w:val="18"/>
          <w:szCs w:val="18"/>
          <w:color w:val="auto"/>
        </w:rPr>
        <w:t>- One thousand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MBbl/d </w:t>
      </w:r>
      <w:r>
        <w:rPr>
          <w:rFonts w:ascii="Arial" w:cs="Arial" w:eastAsia="Arial" w:hAnsi="Arial"/>
          <w:sz w:val="18"/>
          <w:szCs w:val="18"/>
          <w:color w:val="auto"/>
        </w:rPr>
        <w:t>- One thousand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MBoe/d </w:t>
      </w:r>
      <w:r>
        <w:rPr>
          <w:rFonts w:ascii="Arial" w:cs="Arial" w:eastAsia="Arial" w:hAnsi="Arial"/>
          <w:sz w:val="18"/>
          <w:szCs w:val="18"/>
          <w:color w:val="auto"/>
        </w:rPr>
        <w:t>- One thousand barrels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MBw/d </w:t>
      </w:r>
      <w:r>
        <w:rPr>
          <w:rFonts w:ascii="Arial" w:cs="Arial" w:eastAsia="Arial" w:hAnsi="Arial"/>
          <w:sz w:val="18"/>
          <w:szCs w:val="18"/>
          <w:color w:val="auto"/>
        </w:rPr>
        <w:t>- One thousand barrels of water per day</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Mcf </w:t>
      </w:r>
      <w:r>
        <w:rPr>
          <w:rFonts w:ascii="Arial" w:cs="Arial" w:eastAsia="Arial" w:hAnsi="Arial"/>
          <w:sz w:val="18"/>
          <w:szCs w:val="18"/>
          <w:color w:val="auto"/>
        </w:rPr>
        <w:t>- One thousand cubic feet of natural gas equivalent, with liquids converted to an equivalent volume of natural gas using the ratio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one barrel of oil to six thousand cubic feet of natural gas.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MHp </w:t>
      </w:r>
      <w:r>
        <w:rPr>
          <w:rFonts w:ascii="Arial" w:cs="Arial" w:eastAsia="Arial" w:hAnsi="Arial"/>
          <w:sz w:val="18"/>
          <w:szCs w:val="18"/>
          <w:color w:val="auto"/>
        </w:rPr>
        <w:t>- One thousand horsepower.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MMBbl </w:t>
      </w:r>
      <w:r>
        <w:rPr>
          <w:rFonts w:ascii="Arial" w:cs="Arial" w:eastAsia="Arial" w:hAnsi="Arial"/>
          <w:sz w:val="18"/>
          <w:szCs w:val="18"/>
          <w:color w:val="auto"/>
        </w:rPr>
        <w:t>- One million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MMBoe </w:t>
      </w:r>
      <w:r>
        <w:rPr>
          <w:rFonts w:ascii="Arial" w:cs="Arial" w:eastAsia="Arial" w:hAnsi="Arial"/>
          <w:sz w:val="18"/>
          <w:szCs w:val="18"/>
          <w:color w:val="auto"/>
        </w:rPr>
        <w:t>- One million barrels of oil equivalent.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MMBtu </w:t>
      </w:r>
      <w:r>
        <w:rPr>
          <w:rFonts w:ascii="Arial" w:cs="Arial" w:eastAsia="Arial" w:hAnsi="Arial"/>
          <w:sz w:val="18"/>
          <w:szCs w:val="18"/>
          <w:color w:val="auto"/>
        </w:rPr>
        <w:t>- One million British thermal units.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MMcf/d </w:t>
      </w:r>
      <w:r>
        <w:rPr>
          <w:rFonts w:ascii="Arial" w:cs="Arial" w:eastAsia="Arial" w:hAnsi="Arial"/>
          <w:sz w:val="18"/>
          <w:szCs w:val="18"/>
          <w:color w:val="auto"/>
        </w:rPr>
        <w:t>- One million cubic feet of natural gas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MMT </w:t>
      </w:r>
      <w:r>
        <w:rPr>
          <w:rFonts w:ascii="Arial" w:cs="Arial" w:eastAsia="Arial" w:hAnsi="Arial"/>
          <w:sz w:val="18"/>
          <w:szCs w:val="18"/>
          <w:color w:val="auto"/>
        </w:rPr>
        <w:t>- Million metric tons.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MMTPA </w:t>
      </w:r>
      <w:r>
        <w:rPr>
          <w:rFonts w:ascii="Arial" w:cs="Arial" w:eastAsia="Arial" w:hAnsi="Arial"/>
          <w:sz w:val="18"/>
          <w:szCs w:val="18"/>
          <w:color w:val="auto"/>
        </w:rPr>
        <w:t>- Million metric tons per annum.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MW </w:t>
      </w:r>
      <w:r>
        <w:rPr>
          <w:rFonts w:ascii="Arial" w:cs="Arial" w:eastAsia="Arial" w:hAnsi="Arial"/>
          <w:sz w:val="18"/>
          <w:szCs w:val="18"/>
          <w:color w:val="auto"/>
        </w:rPr>
        <w:t>- Megawatts of power.</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NGLs </w:t>
      </w:r>
      <w:r>
        <w:rPr>
          <w:rFonts w:ascii="Arial" w:cs="Arial" w:eastAsia="Arial" w:hAnsi="Arial"/>
          <w:sz w:val="18"/>
          <w:szCs w:val="18"/>
          <w:color w:val="auto"/>
        </w:rPr>
        <w:t>- Natural gas liquids. Hydrocarbons found in natural gas that may be extracted as purity products such as ethane, propane,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isobutane and normal butane, and natural gasoline.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 </w:t>
      </w:r>
      <w:r>
        <w:rPr>
          <w:rFonts w:ascii="Arial" w:cs="Arial" w:eastAsia="Arial" w:hAnsi="Arial"/>
          <w:sz w:val="18"/>
          <w:szCs w:val="18"/>
          <w:color w:val="auto"/>
        </w:rPr>
        <w:t>- The New York Mercantile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OCTG </w:t>
      </w:r>
      <w:r>
        <w:rPr>
          <w:rFonts w:ascii="Arial" w:cs="Arial" w:eastAsia="Arial" w:hAnsi="Arial"/>
          <w:sz w:val="18"/>
          <w:szCs w:val="18"/>
          <w:color w:val="auto"/>
        </w:rPr>
        <w:t>- Oil country tubular goods.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Oil spill prevention rate </w:t>
      </w:r>
      <w:r>
        <w:rPr>
          <w:rFonts w:ascii="Arial" w:cs="Arial" w:eastAsia="Arial" w:hAnsi="Arial"/>
          <w:sz w:val="18"/>
          <w:szCs w:val="18"/>
          <w:color w:val="auto"/>
        </w:rPr>
        <w:t>- Calculated as total Boe less net barrels lost divided by total Boe.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Organization of the Petroleum Exporting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OPEC together with Russia and certain other producing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PHMSA </w:t>
      </w:r>
      <w:r>
        <w:rPr>
          <w:rFonts w:ascii="Arial" w:cs="Arial" w:eastAsia="Arial" w:hAnsi="Arial"/>
          <w:sz w:val="18"/>
          <w:szCs w:val="18"/>
          <w:color w:val="auto"/>
        </w:rPr>
        <w:t>- Pipeline and Hazardous Materials Safety Administration.</w:t>
      </w:r>
    </w:p>
    <w:p>
      <w:pPr>
        <w:sectPr>
          <w:pgSz w:w="11900" w:h="16838" w:orient="portrait"/>
          <w:cols w:equalWidth="0" w:num="1">
            <w:col w:w="11180"/>
          </w:cols>
          <w:pgMar w:left="320" w:top="890" w:right="39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type w:val="continuous"/>
        </w:sectPr>
      </w:pPr>
    </w:p>
    <w:bookmarkStart w:id="4" w:name="page5"/>
    <w:bookmarkEnd w:id="4"/>
    <w:p>
      <w:pPr>
        <w:ind w:left="328" w:right="260" w:hanging="328"/>
        <w:spacing w:after="0" w:line="26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developed reserves </w:t>
      </w:r>
      <w:r>
        <w:rPr>
          <w:rFonts w:ascii="Arial" w:cs="Arial" w:eastAsia="Arial" w:hAnsi="Arial"/>
          <w:sz w:val="18"/>
          <w:szCs w:val="18"/>
          <w:color w:val="auto"/>
        </w:rPr>
        <w:t>- Reserves that can be expected to be recovered through existing wells with existing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methods.</w:t>
      </w:r>
    </w:p>
    <w:p>
      <w:pPr>
        <w:spacing w:after="0" w:line="1" w:lineRule="exact"/>
        <w:rPr>
          <w:rFonts w:ascii="Arial" w:cs="Arial" w:eastAsia="Arial" w:hAnsi="Arial"/>
          <w:sz w:val="18"/>
          <w:szCs w:val="18"/>
          <w:color w:val="auto"/>
        </w:rPr>
      </w:pPr>
    </w:p>
    <w:p>
      <w:pPr>
        <w:ind w:left="328" w:right="3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The estimated quantities of natural gas, NGLs, and oil that geological and engineering data demonstrate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commercially recoverable in future years from known reservoirs under existing economic conditions, operating methods and government regulations.</w:t>
      </w:r>
    </w:p>
    <w:p>
      <w:pPr>
        <w:spacing w:after="0" w:line="1" w:lineRule="exact"/>
        <w:rPr>
          <w:rFonts w:ascii="Arial" w:cs="Arial" w:eastAsia="Arial" w:hAnsi="Arial"/>
          <w:sz w:val="18"/>
          <w:szCs w:val="18"/>
          <w:color w:val="auto"/>
        </w:rPr>
      </w:pPr>
    </w:p>
    <w:p>
      <w:pPr>
        <w:ind w:left="328" w:right="60"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Proved undeveloped reserves </w:t>
      </w:r>
      <w:r>
        <w:rPr>
          <w:rFonts w:ascii="Arial" w:cs="Arial" w:eastAsia="Arial" w:hAnsi="Arial"/>
          <w:sz w:val="17"/>
          <w:szCs w:val="17"/>
          <w:color w:val="auto"/>
        </w:rPr>
        <w:t>- Proved reserves that are expected to be recovered from new wells on undrilled acreage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reasonably certain of production when drilled or from existing wells where a relatively major expenditure is required for recompletion.</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PSCs </w:t>
      </w:r>
      <w:r>
        <w:rPr>
          <w:rFonts w:ascii="Arial" w:cs="Arial" w:eastAsia="Arial" w:hAnsi="Arial"/>
          <w:sz w:val="18"/>
          <w:szCs w:val="18"/>
          <w:color w:val="auto"/>
        </w:rPr>
        <w:t>- Production-sharing contracts.</w:t>
      </w:r>
    </w:p>
    <w:p>
      <w:pPr>
        <w:spacing w:after="0" w:line="9" w:lineRule="exact"/>
        <w:rPr>
          <w:rFonts w:ascii="Arial" w:cs="Arial" w:eastAsia="Arial" w:hAnsi="Arial"/>
          <w:sz w:val="18"/>
          <w:szCs w:val="18"/>
          <w:color w:val="auto"/>
        </w:rPr>
      </w:pPr>
    </w:p>
    <w:p>
      <w:pPr>
        <w:ind w:left="328" w:right="1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PV-10 </w:t>
      </w:r>
      <w:r>
        <w:rPr>
          <w:rFonts w:ascii="Arial" w:cs="Arial" w:eastAsia="Arial" w:hAnsi="Arial"/>
          <w:sz w:val="18"/>
          <w:szCs w:val="18"/>
          <w:color w:val="auto"/>
        </w:rPr>
        <w:t>- Non-GAAP financial measure and represents the year-end present value of estimated future cash flows from proved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reserves, less future development and operating costs, discounted at 10% per annum and using SEC Prices. PV-10 facilitates the comparisons to other companies as it is not dependent on the tax-paying status of the entity.</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1 emissions </w:t>
      </w:r>
      <w:r>
        <w:rPr>
          <w:rFonts w:ascii="Arial" w:cs="Arial" w:eastAsia="Arial" w:hAnsi="Arial"/>
          <w:sz w:val="18"/>
          <w:szCs w:val="18"/>
          <w:color w:val="auto"/>
        </w:rPr>
        <w:t>- Our direct emissions.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2 emissions </w:t>
      </w:r>
      <w:r>
        <w:rPr>
          <w:rFonts w:ascii="Arial" w:cs="Arial" w:eastAsia="Arial" w:hAnsi="Arial"/>
          <w:sz w:val="18"/>
          <w:szCs w:val="18"/>
          <w:color w:val="auto"/>
        </w:rPr>
        <w:t>- Indirect emissions from energy that we use (</w:t>
      </w:r>
      <w:r>
        <w:rPr>
          <w:rFonts w:ascii="Arial" w:cs="Arial" w:eastAsia="Arial" w:hAnsi="Arial"/>
          <w:sz w:val="18"/>
          <w:szCs w:val="18"/>
          <w:i w:val="1"/>
          <w:iCs w:val="1"/>
          <w:color w:val="auto"/>
        </w:rPr>
        <w:t>e.g.</w:t>
      </w:r>
      <w:r>
        <w:rPr>
          <w:rFonts w:ascii="Arial" w:cs="Arial" w:eastAsia="Arial" w:hAnsi="Arial"/>
          <w:sz w:val="18"/>
          <w:szCs w:val="18"/>
          <w:color w:val="auto"/>
        </w:rPr>
        <w:t>, electricity, heat, steam, cooling) that is produced by others.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3 emissions </w:t>
      </w:r>
      <w:r>
        <w:rPr>
          <w:rFonts w:ascii="Arial" w:cs="Arial" w:eastAsia="Arial" w:hAnsi="Arial"/>
          <w:sz w:val="18"/>
          <w:szCs w:val="18"/>
          <w:color w:val="auto"/>
        </w:rPr>
        <w:t>- Indirect emissions from upstream and downstream processing and use of our products.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SDWA </w:t>
      </w:r>
      <w:r>
        <w:rPr>
          <w:rFonts w:ascii="Arial" w:cs="Arial" w:eastAsia="Arial" w:hAnsi="Arial"/>
          <w:sz w:val="18"/>
          <w:szCs w:val="18"/>
          <w:color w:val="auto"/>
        </w:rPr>
        <w:t>- Safe Drinking Water Act.</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 United States Securities and Exchange Commission.</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Prices </w:t>
      </w:r>
      <w:r>
        <w:rPr>
          <w:rFonts w:ascii="Arial" w:cs="Arial" w:eastAsia="Arial" w:hAnsi="Arial"/>
          <w:sz w:val="18"/>
          <w:szCs w:val="18"/>
          <w:color w:val="auto"/>
        </w:rPr>
        <w:t>- The unweighted arithmetic average of the first day-of-the-month price for each month within the year used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volumes and cash flows for our proved reserves.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SOFR </w:t>
      </w:r>
      <w:r>
        <w:rPr>
          <w:rFonts w:ascii="Arial" w:cs="Arial" w:eastAsia="Arial" w:hAnsi="Arial"/>
          <w:sz w:val="18"/>
          <w:szCs w:val="18"/>
          <w:color w:val="auto"/>
        </w:rPr>
        <w:t>- Secured overnight financing rate as administered by the Federal Reserve Bank of New York.</w:t>
      </w:r>
    </w:p>
    <w:p>
      <w:pPr>
        <w:spacing w:after="0" w:line="9" w:lineRule="exact"/>
        <w:rPr>
          <w:rFonts w:ascii="Arial" w:cs="Arial" w:eastAsia="Arial" w:hAnsi="Arial"/>
          <w:sz w:val="18"/>
          <w:szCs w:val="18"/>
          <w:color w:val="auto"/>
        </w:rPr>
      </w:pPr>
    </w:p>
    <w:p>
      <w:pPr>
        <w:ind w:left="328" w:right="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Standardized measure </w:t>
      </w:r>
      <w:r>
        <w:rPr>
          <w:rFonts w:ascii="Arial" w:cs="Arial" w:eastAsia="Arial" w:hAnsi="Arial"/>
          <w:sz w:val="18"/>
          <w:szCs w:val="18"/>
          <w:color w:val="auto"/>
        </w:rPr>
        <w:t>- The year-end present value of after-tax estimated future cash flows from proved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spacing w:after="0" w:line="1" w:lineRule="exact"/>
        <w:rPr>
          <w:rFonts w:ascii="Arial" w:cs="Arial" w:eastAsia="Arial" w:hAnsi="Arial"/>
          <w:sz w:val="18"/>
          <w:szCs w:val="18"/>
          <w:color w:val="auto"/>
        </w:rPr>
      </w:pPr>
    </w:p>
    <w:p>
      <w:pPr>
        <w:ind w:left="328" w:right="78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TRIR </w:t>
      </w:r>
      <w:r>
        <w:rPr>
          <w:rFonts w:ascii="Arial" w:cs="Arial" w:eastAsia="Arial" w:hAnsi="Arial"/>
          <w:sz w:val="18"/>
          <w:szCs w:val="18"/>
          <w:color w:val="auto"/>
        </w:rPr>
        <w:t>- Total Recordable Incident Rate calculated as recordable incidents per 200,000 hours for all workers (employees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contractors).</w:t>
      </w:r>
    </w:p>
    <w:p>
      <w:pPr>
        <w:ind w:left="328" w:right="70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Working interest </w:t>
      </w:r>
      <w:r>
        <w:rPr>
          <w:rFonts w:ascii="Arial" w:cs="Arial" w:eastAsia="Arial" w:hAnsi="Arial"/>
          <w:sz w:val="18"/>
          <w:szCs w:val="18"/>
          <w:color w:val="auto"/>
        </w:rPr>
        <w:t>- The right granted to a lessee of a property to explore for and to produce and own oil, natural gas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minerals in-place. A working interest owner bears the cost of development and operations of the property.</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WTI </w:t>
      </w:r>
      <w:r>
        <w:rPr>
          <w:rFonts w:ascii="Arial" w:cs="Arial" w:eastAsia="Arial" w:hAnsi="Arial"/>
          <w:sz w:val="18"/>
          <w:szCs w:val="18"/>
          <w:color w:val="auto"/>
        </w:rPr>
        <w:t>- West Texas Intermediate.</w:t>
      </w:r>
    </w:p>
    <w:p>
      <w:pPr>
        <w:spacing w:after="0" w:line="200" w:lineRule="exact"/>
        <w:rPr>
          <w:sz w:val="20"/>
          <w:szCs w:val="20"/>
          <w:color w:val="auto"/>
        </w:rPr>
      </w:pPr>
    </w:p>
    <w:p>
      <w:pPr>
        <w:spacing w:after="0" w:line="34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tcPr>
          <w:p>
            <w:pPr>
              <w:ind w:left="3500"/>
              <w:spacing w:after="0"/>
              <w:rPr>
                <w:sz w:val="20"/>
                <w:szCs w:val="20"/>
                <w:color w:val="auto"/>
              </w:rPr>
            </w:pPr>
            <w:r>
              <w:rPr>
                <w:rFonts w:ascii="Arial" w:cs="Arial" w:eastAsia="Arial" w:hAnsi="Arial"/>
                <w:sz w:val="18"/>
                <w:szCs w:val="18"/>
                <w:b w:val="1"/>
                <w:bCs w:val="1"/>
                <w:color w:val="auto"/>
              </w:rPr>
              <w:t>PART I</w:t>
            </w:r>
          </w:p>
        </w:tc>
        <w:tc>
          <w:tcPr>
            <w:tcW w:w="326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FINANCIAL INFORMATION</w:t>
            </w: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18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 (unaudited)</w:t>
            </w: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960" w:type="dxa"/>
            <w:vAlign w:val="bottom"/>
            <w:gridSpan w:val="7"/>
          </w:tcPr>
          <w:p>
            <w:pPr>
              <w:jc w:val="center"/>
              <w:ind w:left="1010"/>
              <w:spacing w:after="0"/>
              <w:rPr>
                <w:sz w:val="20"/>
                <w:szCs w:val="20"/>
                <w:color w:val="auto"/>
              </w:rPr>
            </w:pPr>
            <w:r>
              <w:rPr>
                <w:rFonts w:ascii="Arial" w:cs="Arial" w:eastAsia="Arial" w:hAnsi="Arial"/>
                <w:sz w:val="18"/>
                <w:szCs w:val="18"/>
                <w:b w:val="1"/>
                <w:bCs w:val="1"/>
                <w:color w:val="auto"/>
                <w:w w:val="99"/>
              </w:rPr>
              <w:t>CALIFORNIA RESOURCES CORPORATION AND SUBSIDIARIES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40" w:type="dxa"/>
            <w:vAlign w:val="bottom"/>
            <w:gridSpan w:val="4"/>
          </w:tcPr>
          <w:p>
            <w:pPr>
              <w:jc w:val="center"/>
              <w:ind w:left="2510"/>
              <w:spacing w:after="0"/>
              <w:rPr>
                <w:sz w:val="20"/>
                <w:szCs w:val="20"/>
                <w:color w:val="auto"/>
              </w:rPr>
            </w:pPr>
            <w:r>
              <w:rPr>
                <w:rFonts w:ascii="Arial" w:cs="Arial" w:eastAsia="Arial" w:hAnsi="Arial"/>
                <w:sz w:val="18"/>
                <w:szCs w:val="18"/>
                <w:b w:val="1"/>
                <w:bCs w:val="1"/>
                <w:color w:val="auto"/>
              </w:rPr>
              <w:t>Condensed Consolidated Balance Sheets</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40" w:type="dxa"/>
            <w:vAlign w:val="bottom"/>
            <w:gridSpan w:val="4"/>
          </w:tcPr>
          <w:p>
            <w:pPr>
              <w:jc w:val="center"/>
              <w:ind w:left="2530"/>
              <w:spacing w:after="0"/>
              <w:rPr>
                <w:sz w:val="20"/>
                <w:szCs w:val="20"/>
                <w:color w:val="auto"/>
              </w:rPr>
            </w:pPr>
            <w:r>
              <w:rPr>
                <w:rFonts w:ascii="Arial" w:cs="Arial" w:eastAsia="Arial" w:hAnsi="Arial"/>
                <w:sz w:val="18"/>
                <w:szCs w:val="18"/>
                <w:b w:val="1"/>
                <w:bCs w:val="1"/>
                <w:color w:val="auto"/>
                <w:w w:val="99"/>
              </w:rPr>
              <w:t>As of March 31, 2023 and December 31, 2022</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40" w:type="dxa"/>
            <w:vAlign w:val="bottom"/>
            <w:gridSpan w:val="4"/>
          </w:tcPr>
          <w:p>
            <w:pPr>
              <w:jc w:val="center"/>
              <w:ind w:left="2510"/>
              <w:spacing w:after="0"/>
              <w:rPr>
                <w:sz w:val="20"/>
                <w:szCs w:val="20"/>
                <w:color w:val="auto"/>
              </w:rPr>
            </w:pPr>
            <w:r>
              <w:rPr>
                <w:rFonts w:ascii="Arial" w:cs="Arial" w:eastAsia="Arial" w:hAnsi="Arial"/>
                <w:sz w:val="18"/>
                <w:szCs w:val="18"/>
                <w:color w:val="auto"/>
                <w:w w:val="99"/>
              </w:rPr>
              <w:t>(in millions, except share data)</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3"/>
          </w:tcPr>
          <w:p>
            <w:pPr>
              <w:ind w:left="14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0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gridSpan w:val="2"/>
            <w:vMerge w:val="continue"/>
          </w:tcPr>
          <w:p>
            <w:pPr>
              <w:spacing w:after="0"/>
              <w:rPr>
                <w:sz w:val="19"/>
                <w:szCs w:val="19"/>
                <w:color w:val="auto"/>
              </w:rPr>
            </w:pP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Trade receivables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Assets held for sale</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 from affiliate</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current assets, net</w:t>
            </w:r>
          </w:p>
        </w:tc>
        <w:tc>
          <w:tcPr>
            <w:tcW w:w="3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depreciation, depletion and amortization</w:t>
            </w:r>
          </w:p>
        </w:tc>
        <w:tc>
          <w:tcPr>
            <w:tcW w:w="30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Total property, plant and equipment, net</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 UNCONSOLIDATED SUBSIDIARY</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NONCURRENT ASSETS</w:t>
            </w:r>
          </w:p>
        </w:tc>
        <w:tc>
          <w:tcPr>
            <w:tcW w:w="30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0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4780" w:type="dxa"/>
            <w:vAlign w:val="bottom"/>
            <w:gridSpan w:val="3"/>
          </w:tcPr>
          <w:p>
            <w:pPr>
              <w:spacing w:after="0"/>
              <w:rPr>
                <w:sz w:val="10"/>
                <w:szCs w:val="10"/>
                <w:color w:val="auto"/>
              </w:rPr>
            </w:pPr>
          </w:p>
        </w:tc>
        <w:tc>
          <w:tcPr>
            <w:tcW w:w="3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Liabilities associated with assets held for sale</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Fair value of derivative contracts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rPr>
              <w:t>Total current liabilities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Long-term debt, net</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Asset retirement obligations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Other long-term liabilities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00" w:type="dxa"/>
            <w:vAlign w:val="bottom"/>
            <w:gridSpan w:val="5"/>
          </w:tcPr>
          <w:p>
            <w:pPr>
              <w:ind w:left="320"/>
              <w:spacing w:after="0" w:line="176" w:lineRule="exact"/>
              <w:rPr>
                <w:sz w:val="20"/>
                <w:szCs w:val="20"/>
                <w:color w:val="auto"/>
              </w:rPr>
            </w:pPr>
            <w:r>
              <w:rPr>
                <w:rFonts w:ascii="Arial" w:cs="Arial" w:eastAsia="Arial" w:hAnsi="Arial"/>
                <w:sz w:val="18"/>
                <w:szCs w:val="18"/>
                <w:color w:val="auto"/>
              </w:rPr>
              <w:t>Preferred stock (20,000,000 shares authorized at $0.01 par value) no shares outstanding at</w:t>
            </w: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gridSpan w:val="2"/>
          </w:tcPr>
          <w:p>
            <w:pPr>
              <w:ind w:left="480"/>
              <w:spacing w:after="0"/>
              <w:rPr>
                <w:sz w:val="20"/>
                <w:szCs w:val="20"/>
                <w:color w:val="auto"/>
              </w:rPr>
            </w:pPr>
            <w:r>
              <w:rPr>
                <w:rFonts w:ascii="Arial" w:cs="Arial" w:eastAsia="Arial" w:hAnsi="Arial"/>
                <w:sz w:val="18"/>
                <w:szCs w:val="18"/>
                <w:color w:val="auto"/>
              </w:rPr>
              <w:t>March 31, 2023 and December 31, 2022</w:t>
            </w:r>
          </w:p>
        </w:tc>
        <w:tc>
          <w:tcPr>
            <w:tcW w:w="3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800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Common stock (200,000,000 shares authorized at $0.01 par value) (83,429,182 and</w:t>
            </w:r>
          </w:p>
        </w:tc>
        <w:tc>
          <w:tcPr>
            <w:tcW w:w="1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8000" w:type="dxa"/>
            <w:vAlign w:val="bottom"/>
            <w:gridSpan w:val="5"/>
            <w:shd w:val="clear" w:color="auto" w:fill="CCEEFF"/>
          </w:tcPr>
          <w:p>
            <w:pPr>
              <w:ind w:left="480"/>
              <w:spacing w:after="0" w:line="176" w:lineRule="exact"/>
              <w:rPr>
                <w:sz w:val="20"/>
                <w:szCs w:val="20"/>
                <w:color w:val="auto"/>
              </w:rPr>
            </w:pPr>
            <w:r>
              <w:rPr>
                <w:rFonts w:ascii="Arial" w:cs="Arial" w:eastAsia="Arial" w:hAnsi="Arial"/>
                <w:sz w:val="18"/>
                <w:szCs w:val="18"/>
                <w:color w:val="auto"/>
              </w:rPr>
              <w:t>83,406,002 shares issued; 70,549,158 and 71,949,742 shares outstanding at March 31,</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2023 and December 31, 2022)</w:t>
            </w:r>
          </w:p>
        </w:tc>
        <w:tc>
          <w:tcPr>
            <w:tcW w:w="3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00" w:type="dxa"/>
            <w:vAlign w:val="bottom"/>
            <w:gridSpan w:val="5"/>
          </w:tcPr>
          <w:p>
            <w:pPr>
              <w:ind w:left="320"/>
              <w:spacing w:after="0" w:line="176" w:lineRule="exact"/>
              <w:rPr>
                <w:sz w:val="20"/>
                <w:szCs w:val="20"/>
                <w:color w:val="auto"/>
              </w:rPr>
            </w:pPr>
            <w:r>
              <w:rPr>
                <w:rFonts w:ascii="Arial" w:cs="Arial" w:eastAsia="Arial" w:hAnsi="Arial"/>
                <w:sz w:val="18"/>
                <w:szCs w:val="18"/>
                <w:color w:val="auto"/>
              </w:rPr>
              <w:t>Treasury stock (12,880,024 shares held at cost at March 31, 2023 and 11,456,260 shares</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held at cost at December 31, 2022)</w:t>
            </w:r>
          </w:p>
        </w:tc>
        <w:tc>
          <w:tcPr>
            <w:tcW w:w="3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Retained earnings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stockholders' equity</w:t>
            </w:r>
          </w:p>
        </w:tc>
        <w:tc>
          <w:tcPr>
            <w:tcW w:w="3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2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80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7"/>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0" w:type="dxa"/>
            <w:vAlign w:val="bottom"/>
          </w:tcPr>
          <w:p>
            <w:pPr>
              <w:jc w:val="center"/>
              <w:ind w:right="1210"/>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three months ended March 31, 2023 and 2022</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(dollars in millions, except share and per share data)</w:t>
      </w:r>
    </w:p>
    <w:p>
      <w:pPr>
        <w:spacing w:after="0" w:line="30" w:lineRule="exact"/>
        <w:rPr>
          <w:sz w:val="20"/>
          <w:szCs w:val="20"/>
          <w:color w:val="auto"/>
        </w:rPr>
      </w:pPr>
    </w:p>
    <w:p>
      <w:pPr>
        <w:jc w:val="center"/>
        <w:ind w:left="7460"/>
        <w:spacing w:after="0"/>
        <w:rPr>
          <w:sz w:val="20"/>
          <w:szCs w:val="20"/>
          <w:color w:val="auto"/>
        </w:rPr>
      </w:pPr>
      <w:r>
        <w:rPr>
          <w:rFonts w:ascii="Arial" w:cs="Arial" w:eastAsia="Arial" w:hAnsi="Arial"/>
          <w:sz w:val="16"/>
          <w:szCs w:val="16"/>
          <w:b w:val="1"/>
          <w:bCs w:val="1"/>
          <w:color w:val="auto"/>
        </w:rPr>
        <w:t>Three months ended</w:t>
      </w:r>
    </w:p>
    <w:p>
      <w:pPr>
        <w:jc w:val="center"/>
        <w:ind w:left="746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180" w:type="dxa"/>
        <w:tblCellMar>
          <w:top w:w="0" w:type="dxa"/>
          <w:left w:w="0" w:type="dxa"/>
          <w:bottom w:w="0" w:type="dxa"/>
          <w:right w:w="0" w:type="dxa"/>
        </w:tblCellMar>
      </w:tblPr>
      <w:tr>
        <w:trPr>
          <w:trHeight w:val="209"/>
        </w:trPr>
        <w:tc>
          <w:tcPr>
            <w:tcW w:w="74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Oil, natural gas and NGL sales</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r>
      <w:tr>
        <w:trPr>
          <w:trHeight w:val="215"/>
        </w:trPr>
        <w:tc>
          <w:tcPr>
            <w:tcW w:w="7460" w:type="dxa"/>
            <w:vAlign w:val="bottom"/>
          </w:tcPr>
          <w:p>
            <w:pPr>
              <w:ind w:left="340"/>
              <w:spacing w:after="0"/>
              <w:rPr>
                <w:sz w:val="20"/>
                <w:szCs w:val="20"/>
                <w:color w:val="auto"/>
              </w:rPr>
            </w:pPr>
            <w:r>
              <w:rPr>
                <w:rFonts w:ascii="Arial" w:cs="Arial" w:eastAsia="Arial" w:hAnsi="Arial"/>
                <w:sz w:val="16"/>
                <w:szCs w:val="16"/>
                <w:color w:val="auto"/>
              </w:rPr>
              <w:t>Net gain (loss) from commodity derivatives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(562)</w:t>
            </w:r>
          </w:p>
        </w:tc>
      </w:tr>
      <w:tr>
        <w:trPr>
          <w:trHeight w:val="217"/>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of purchased natural gas</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7460" w:type="dxa"/>
            <w:vAlign w:val="bottom"/>
          </w:tcPr>
          <w:p>
            <w:pPr>
              <w:ind w:left="340"/>
              <w:spacing w:after="0"/>
              <w:rPr>
                <w:sz w:val="20"/>
                <w:szCs w:val="20"/>
                <w:color w:val="auto"/>
              </w:rPr>
            </w:pPr>
            <w:r>
              <w:rPr>
                <w:rFonts w:ascii="Arial" w:cs="Arial" w:eastAsia="Arial" w:hAnsi="Arial"/>
                <w:sz w:val="16"/>
                <w:szCs w:val="16"/>
                <w:color w:val="auto"/>
              </w:rPr>
              <w:t>Electricity sales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7"/>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revenue</w:t>
            </w:r>
          </w:p>
        </w:tc>
        <w:tc>
          <w:tcPr>
            <w:tcW w:w="1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74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revenues</w:t>
            </w: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r>
      <w:tr>
        <w:trPr>
          <w:trHeight w:val="75"/>
        </w:trPr>
        <w:tc>
          <w:tcPr>
            <w:tcW w:w="74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costs</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5"/>
        </w:trPr>
        <w:tc>
          <w:tcPr>
            <w:tcW w:w="7460" w:type="dxa"/>
            <w:vAlign w:val="bottom"/>
          </w:tcPr>
          <w:p>
            <w:pPr>
              <w:ind w:left="340"/>
              <w:spacing w:after="0"/>
              <w:rPr>
                <w:sz w:val="20"/>
                <w:szCs w:val="20"/>
                <w:color w:val="auto"/>
              </w:rPr>
            </w:pPr>
            <w:r>
              <w:rPr>
                <w:rFonts w:ascii="Arial" w:cs="Arial" w:eastAsia="Arial" w:hAnsi="Arial"/>
                <w:sz w:val="16"/>
                <w:szCs w:val="16"/>
                <w:color w:val="auto"/>
              </w:rPr>
              <w:t>General and administrative expenses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7"/>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depletion and amortization</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5"/>
        </w:trPr>
        <w:tc>
          <w:tcPr>
            <w:tcW w:w="7460" w:type="dxa"/>
            <w:vAlign w:val="bottom"/>
          </w:tcPr>
          <w:p>
            <w:pPr>
              <w:ind w:left="340"/>
              <w:spacing w:after="0"/>
              <w:rPr>
                <w:sz w:val="20"/>
                <w:szCs w:val="20"/>
                <w:color w:val="auto"/>
              </w:rPr>
            </w:pPr>
            <w:r>
              <w:rPr>
                <w:rFonts w:ascii="Arial" w:cs="Arial" w:eastAsia="Arial" w:hAnsi="Arial"/>
                <w:sz w:val="16"/>
                <w:szCs w:val="16"/>
                <w:color w:val="auto"/>
              </w:rPr>
              <w:t>Asset impairment</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 other than on income</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7460" w:type="dxa"/>
            <w:vAlign w:val="bottom"/>
          </w:tcPr>
          <w:p>
            <w:pPr>
              <w:ind w:left="340"/>
              <w:spacing w:after="0"/>
              <w:rPr>
                <w:sz w:val="20"/>
                <w:szCs w:val="20"/>
                <w:color w:val="auto"/>
              </w:rPr>
            </w:pPr>
            <w:r>
              <w:rPr>
                <w:rFonts w:ascii="Arial" w:cs="Arial" w:eastAsia="Arial" w:hAnsi="Arial"/>
                <w:sz w:val="16"/>
                <w:szCs w:val="16"/>
                <w:color w:val="auto"/>
              </w:rPr>
              <w:t>Exploration expense</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Purchased natural gas expense</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5"/>
        </w:trPr>
        <w:tc>
          <w:tcPr>
            <w:tcW w:w="7460" w:type="dxa"/>
            <w:vAlign w:val="bottom"/>
          </w:tcPr>
          <w:p>
            <w:pPr>
              <w:ind w:left="340"/>
              <w:spacing w:after="0"/>
              <w:rPr>
                <w:sz w:val="20"/>
                <w:szCs w:val="20"/>
                <w:color w:val="auto"/>
              </w:rPr>
            </w:pPr>
            <w:r>
              <w:rPr>
                <w:rFonts w:ascii="Arial" w:cs="Arial" w:eastAsia="Arial" w:hAnsi="Arial"/>
                <w:sz w:val="16"/>
                <w:szCs w:val="16"/>
                <w:color w:val="auto"/>
              </w:rPr>
              <w:t>Electricity generation expenses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Transportation costs</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460" w:type="dxa"/>
            <w:vAlign w:val="bottom"/>
          </w:tcPr>
          <w:p>
            <w:pPr>
              <w:ind w:left="340"/>
              <w:spacing w:after="0"/>
              <w:rPr>
                <w:sz w:val="20"/>
                <w:szCs w:val="20"/>
                <w:color w:val="auto"/>
              </w:rPr>
            </w:pPr>
            <w:r>
              <w:rPr>
                <w:rFonts w:ascii="Arial" w:cs="Arial" w:eastAsia="Arial" w:hAnsi="Arial"/>
                <w:sz w:val="16"/>
                <w:szCs w:val="16"/>
                <w:color w:val="auto"/>
              </w:rPr>
              <w:t>Accretion expense</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operating expenses, net</w:t>
            </w:r>
          </w:p>
        </w:tc>
        <w:tc>
          <w:tcPr>
            <w:tcW w:w="1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74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expenses</w:t>
            </w: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r>
      <w:tr>
        <w:trPr>
          <w:trHeight w:val="210"/>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gain on asset divestitures</w:t>
            </w:r>
          </w:p>
        </w:tc>
        <w:tc>
          <w:tcPr>
            <w:tcW w:w="1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94"/>
        </w:trPr>
        <w:tc>
          <w:tcPr>
            <w:tcW w:w="74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NON-OPERATING (EXPENSES) INCOME</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and debt expense</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7460" w:type="dxa"/>
            <w:vAlign w:val="bottom"/>
          </w:tcPr>
          <w:p>
            <w:pPr>
              <w:ind w:left="340"/>
              <w:spacing w:after="0"/>
              <w:rPr>
                <w:sz w:val="20"/>
                <w:szCs w:val="20"/>
                <w:color w:val="auto"/>
              </w:rPr>
            </w:pPr>
            <w:r>
              <w:rPr>
                <w:rFonts w:ascii="Arial" w:cs="Arial" w:eastAsia="Arial" w:hAnsi="Arial"/>
                <w:sz w:val="16"/>
                <w:szCs w:val="16"/>
                <w:color w:val="auto"/>
              </w:rPr>
              <w:t>Loss from investment in unconsolidated subsidiary</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non-operating (expense) income</w:t>
            </w:r>
          </w:p>
        </w:tc>
        <w:tc>
          <w:tcPr>
            <w:tcW w:w="1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183"/>
        </w:trPr>
        <w:tc>
          <w:tcPr>
            <w:tcW w:w="74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INCOME (LOSS)</w:t>
            </w:r>
          </w:p>
        </w:tc>
        <w:tc>
          <w:tcPr>
            <w:tcW w:w="1100" w:type="dxa"/>
            <w:vAlign w:val="bottom"/>
            <w:tcBorders>
              <w:bottom w:val="single" w:sz="8" w:color="auto"/>
            </w:tcBorders>
          </w:tcPr>
          <w:p>
            <w:pPr>
              <w:jc w:val="right"/>
              <w:ind w:right="899"/>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301</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(175)</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7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Net income (loss) per share</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Diluted</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17"/>
        </w:trPr>
        <w:tc>
          <w:tcPr>
            <w:tcW w:w="7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Diluted</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78.5</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31" w:right="5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10"/>
          </w:tcPr>
          <w:p>
            <w:pPr>
              <w:ind w:left="60"/>
              <w:spacing w:after="0"/>
              <w:rPr>
                <w:sz w:val="20"/>
                <w:szCs w:val="20"/>
                <w:color w:val="auto"/>
              </w:rPr>
            </w:pPr>
            <w:r>
              <w:rPr>
                <w:rFonts w:ascii="Arial" w:cs="Arial" w:eastAsia="Arial" w:hAnsi="Arial"/>
                <w:sz w:val="14"/>
                <w:szCs w:val="14"/>
                <w:b w:val="1"/>
                <w:bCs w:val="1"/>
                <w:color w:val="auto"/>
              </w:rPr>
              <w:t>Three months ended March 31, 2023</w:t>
            </w: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5"/>
          </w:tcPr>
          <w:p>
            <w:pPr>
              <w:spacing w:after="0" w:line="147" w:lineRule="exact"/>
              <w:rPr>
                <w:sz w:val="20"/>
                <w:szCs w:val="20"/>
                <w:color w:val="auto"/>
              </w:rPr>
            </w:pPr>
            <w:r>
              <w:rPr>
                <w:rFonts w:ascii="Arial" w:cs="Arial" w:eastAsia="Arial" w:hAnsi="Arial"/>
                <w:sz w:val="14"/>
                <w:szCs w:val="14"/>
                <w:b w:val="1"/>
                <w:bCs w:val="1"/>
                <w:color w:val="auto"/>
              </w:rPr>
              <w:t>Accumulated Other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ind w:left="40"/>
              <w:spacing w:after="0" w:line="145"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Paid-in Capital</w:t>
            </w:r>
          </w:p>
        </w:tc>
        <w:tc>
          <w:tcPr>
            <w:tcW w:w="10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gridSpan w:val="4"/>
          </w:tcPr>
          <w:p>
            <w:pPr>
              <w:jc w:val="right"/>
              <w:ind w:right="160"/>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480" w:type="dxa"/>
            <w:vAlign w:val="bottom"/>
          </w:tcPr>
          <w:p>
            <w:pPr>
              <w:ind w:left="120"/>
              <w:spacing w:after="0"/>
              <w:rPr>
                <w:sz w:val="20"/>
                <w:szCs w:val="20"/>
                <w:color w:val="auto"/>
              </w:rPr>
            </w:pPr>
            <w:r>
              <w:rPr>
                <w:rFonts w:ascii="Arial" w:cs="Arial" w:eastAsia="Arial" w:hAnsi="Arial"/>
                <w:sz w:val="14"/>
                <w:szCs w:val="14"/>
                <w:color w:val="auto"/>
              </w:rPr>
              <w:t>Repurchases of common stock</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gridSpan w:val="4"/>
          </w:tcPr>
          <w:p>
            <w:pPr>
              <w:jc w:val="right"/>
              <w:ind w:right="160"/>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dividend ($0.2825 per share)</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4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Shares cancelled for taxes</w:t>
            </w:r>
          </w:p>
        </w:tc>
        <w:tc>
          <w:tcPr>
            <w:tcW w:w="2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2023</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Three months ended March 31, 2022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5"/>
          </w:tcPr>
          <w:p>
            <w:pPr>
              <w:ind w:left="40"/>
              <w:spacing w:after="0" w:line="158" w:lineRule="exact"/>
              <w:rPr>
                <w:sz w:val="20"/>
                <w:szCs w:val="20"/>
                <w:color w:val="auto"/>
              </w:rPr>
            </w:pPr>
            <w:r>
              <w:rPr>
                <w:rFonts w:ascii="Arial" w:cs="Arial" w:eastAsia="Arial" w:hAnsi="Arial"/>
                <w:sz w:val="14"/>
                <w:szCs w:val="14"/>
                <w:b w:val="1"/>
                <w:bCs w:val="1"/>
                <w:color w:val="auto"/>
              </w:rPr>
              <w:t>Additional Paid-</w:t>
            </w:r>
          </w:p>
        </w:tc>
        <w:tc>
          <w:tcPr>
            <w:tcW w:w="180" w:type="dxa"/>
            <w:vAlign w:val="bottom"/>
          </w:tcPr>
          <w:p>
            <w:pPr>
              <w:spacing w:after="0"/>
              <w:rPr>
                <w:sz w:val="13"/>
                <w:szCs w:val="13"/>
                <w:color w:val="auto"/>
              </w:rPr>
            </w:pPr>
          </w:p>
        </w:tc>
        <w:tc>
          <w:tcPr>
            <w:tcW w:w="1040" w:type="dxa"/>
            <w:vAlign w:val="bottom"/>
            <w:gridSpan w:val="3"/>
          </w:tcPr>
          <w:p>
            <w:pPr>
              <w:ind w:left="100"/>
              <w:spacing w:after="0" w:line="158"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0" w:type="dxa"/>
            <w:vAlign w:val="bottom"/>
            <w:tcBorders>
              <w:bottom w:val="single" w:sz="8" w:color="CCEEFF"/>
            </w:tcBorders>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in Capital</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Income</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475</w:t>
            </w: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72</w:t>
            </w: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auto"/>
              </w:rPr>
              <w:t>Net loss</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(175)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Share-based compensation</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auto"/>
              </w:rPr>
              <w:t>Repurchases of common stock</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3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Cash dividend ($0.17 per share)</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0"/>
        </w:trPr>
        <w:tc>
          <w:tcPr>
            <w:tcW w:w="35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(219)</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1,293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286</w:t>
            </w:r>
          </w:p>
        </w:tc>
        <w:tc>
          <w:tcPr>
            <w:tcW w:w="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jc w:val="center"/>
        <w:ind w:right="-2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three months ended March 31, 2023 and 2022</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millions)</w:t>
      </w:r>
    </w:p>
    <w:p>
      <w:pPr>
        <w:spacing w:after="0" w:line="140" w:lineRule="exact"/>
        <w:rPr>
          <w:sz w:val="20"/>
          <w:szCs w:val="20"/>
          <w:color w:val="auto"/>
        </w:rPr>
      </w:pPr>
    </w:p>
    <w:tbl>
      <w:tblPr>
        <w:tblLayout w:type="fixed"/>
        <w:tblInd w:w="260" w:type="dxa"/>
        <w:tblCellMar>
          <w:top w:w="0" w:type="dxa"/>
          <w:left w:w="0" w:type="dxa"/>
          <w:bottom w:w="0" w:type="dxa"/>
          <w:right w:w="0" w:type="dxa"/>
        </w:tblCellMar>
      </w:tblPr>
      <w:tr>
        <w:trPr>
          <w:trHeight w:val="235"/>
        </w:trPr>
        <w:tc>
          <w:tcPr>
            <w:tcW w:w="7340" w:type="dxa"/>
            <w:vAlign w:val="bottom"/>
          </w:tcPr>
          <w:p>
            <w:pPr>
              <w:spacing w:after="0"/>
              <w:rPr>
                <w:sz w:val="20"/>
                <w:szCs w:val="20"/>
                <w:color w:val="auto"/>
              </w:rPr>
            </w:pPr>
          </w:p>
        </w:tc>
        <w:tc>
          <w:tcPr>
            <w:tcW w:w="342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7340" w:type="dxa"/>
            <w:vAlign w:val="bottom"/>
          </w:tcPr>
          <w:p>
            <w:pPr>
              <w:ind w:left="1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depletion and amortization</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7340" w:type="dxa"/>
            <w:vAlign w:val="bottom"/>
          </w:tcPr>
          <w:p>
            <w:pPr>
              <w:ind w:left="220"/>
              <w:spacing w:after="0"/>
              <w:rPr>
                <w:sz w:val="20"/>
                <w:szCs w:val="20"/>
                <w:color w:val="auto"/>
              </w:rPr>
            </w:pPr>
            <w:r>
              <w:rPr>
                <w:rFonts w:ascii="Arial" w:cs="Arial" w:eastAsia="Arial" w:hAnsi="Arial"/>
                <w:sz w:val="18"/>
                <w:szCs w:val="18"/>
                <w:color w:val="auto"/>
              </w:rPr>
              <w:t>Deferred income tax provision (benefit)</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impairment</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tcPr>
          <w:p>
            <w:pPr>
              <w:ind w:left="220"/>
              <w:spacing w:after="0"/>
              <w:rPr>
                <w:sz w:val="20"/>
                <w:szCs w:val="20"/>
                <w:color w:val="auto"/>
              </w:rPr>
            </w:pPr>
            <w:r>
              <w:rPr>
                <w:rFonts w:ascii="Arial" w:cs="Arial" w:eastAsia="Arial" w:hAnsi="Arial"/>
                <w:sz w:val="18"/>
                <w:szCs w:val="18"/>
                <w:color w:val="auto"/>
              </w:rPr>
              <w:t>Net (gain) loss from commodity derivatives</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payments on settled commodity derivatives</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7340" w:type="dxa"/>
            <w:vAlign w:val="bottom"/>
          </w:tcPr>
          <w:p>
            <w:pPr>
              <w:ind w:left="220"/>
              <w:spacing w:after="0"/>
              <w:rPr>
                <w:sz w:val="20"/>
                <w:szCs w:val="20"/>
                <w:color w:val="auto"/>
              </w:rPr>
            </w:pPr>
            <w:r>
              <w:rPr>
                <w:rFonts w:ascii="Arial" w:cs="Arial" w:eastAsia="Arial" w:hAnsi="Arial"/>
                <w:sz w:val="18"/>
                <w:szCs w:val="18"/>
                <w:color w:val="auto"/>
              </w:rPr>
              <w:t>Net gain on asset divestitures</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non-cash charges to income, net</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7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Changes in operating assets and liabilities, net</w:t>
            </w: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Net cash provided by operating activities</w:t>
            </w:r>
          </w:p>
        </w:tc>
        <w:tc>
          <w:tcPr>
            <w:tcW w:w="1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88"/>
        </w:trPr>
        <w:tc>
          <w:tcPr>
            <w:tcW w:w="7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120"/>
              <w:spacing w:after="0"/>
              <w:rPr>
                <w:sz w:val="20"/>
                <w:szCs w:val="20"/>
                <w:color w:val="auto"/>
              </w:rPr>
            </w:pPr>
            <w:r>
              <w:rPr>
                <w:rFonts w:ascii="Arial" w:cs="Arial" w:eastAsia="Arial" w:hAnsi="Arial"/>
                <w:sz w:val="18"/>
                <w:szCs w:val="18"/>
                <w:color w:val="auto"/>
              </w:rPr>
              <w:t>Capital investments</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accrued capital investments</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340" w:type="dxa"/>
            <w:vAlign w:val="bottom"/>
          </w:tcPr>
          <w:p>
            <w:pPr>
              <w:ind w:left="120"/>
              <w:spacing w:after="0"/>
              <w:rPr>
                <w:sz w:val="20"/>
                <w:szCs w:val="20"/>
                <w:color w:val="auto"/>
              </w:rPr>
            </w:pPr>
            <w:r>
              <w:rPr>
                <w:rFonts w:ascii="Arial" w:cs="Arial" w:eastAsia="Arial" w:hAnsi="Arial"/>
                <w:sz w:val="18"/>
                <w:szCs w:val="18"/>
                <w:color w:val="auto"/>
              </w:rPr>
              <w:t>Proceeds from asset divestitures, net</w:t>
            </w:r>
          </w:p>
        </w:tc>
        <w:tc>
          <w:tcPr>
            <w:tcW w:w="1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w:t>
            </w:r>
          </w:p>
        </w:tc>
        <w:tc>
          <w:tcPr>
            <w:tcW w:w="1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Net cash used in investing activities</w:t>
            </w:r>
          </w:p>
        </w:tc>
        <w:tc>
          <w:tcPr>
            <w:tcW w:w="1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88"/>
        </w:trPr>
        <w:tc>
          <w:tcPr>
            <w:tcW w:w="7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120"/>
              <w:spacing w:after="0"/>
              <w:rPr>
                <w:sz w:val="20"/>
                <w:szCs w:val="20"/>
                <w:color w:val="auto"/>
              </w:rPr>
            </w:pPr>
            <w:r>
              <w:rPr>
                <w:rFonts w:ascii="Arial" w:cs="Arial" w:eastAsia="Arial" w:hAnsi="Arial"/>
                <w:sz w:val="18"/>
                <w:szCs w:val="18"/>
                <w:color w:val="auto"/>
              </w:rPr>
              <w:t>Repurchases of common stock</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dividends</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34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cancelled for taxes</w:t>
            </w:r>
          </w:p>
        </w:tc>
        <w:tc>
          <w:tcPr>
            <w:tcW w:w="1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Net cash used in financing activities</w:t>
            </w: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equivalents—beginning of period</w:t>
            </w: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8"/>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equivalents—end of period</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31" w:right="5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23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BASIS OF PRESENTATION</w:t>
      </w:r>
    </w:p>
    <w:p>
      <w:pPr>
        <w:spacing w:after="0" w:line="252" w:lineRule="exact"/>
        <w:rPr>
          <w:sz w:val="20"/>
          <w:szCs w:val="20"/>
          <w:color w:val="auto"/>
        </w:rPr>
      </w:pPr>
    </w:p>
    <w:p>
      <w:pPr>
        <w:ind w:right="120" w:firstLine="324"/>
        <w:spacing w:after="0" w:line="245" w:lineRule="auto"/>
        <w:rPr>
          <w:sz w:val="20"/>
          <w:szCs w:val="20"/>
          <w:color w:val="auto"/>
        </w:rPr>
      </w:pPr>
      <w:r>
        <w:rPr>
          <w:rFonts w:ascii="Arial" w:cs="Arial" w:eastAsia="Arial" w:hAnsi="Arial"/>
          <w:sz w:val="18"/>
          <w:szCs w:val="18"/>
          <w:color w:val="auto"/>
        </w:rPr>
        <w:t>We are an independent energy and carbon management company committed to energy transition. We produce some of the lowest carbon intensity oil in the United States and are focused on maximizing the value of our land, minerals and technical resources for decarbonization efforts. We are in the early stages of developing several carbon capture and storage (CCS) projects in California and other emissions reducing projects. Our subsidiary Carbon TerraVault is expected to build, install, operate and maintain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 equipment, transportation assets and storage facilities in California. In August 2022, Carbon TerraVault entered into a joint venture with BGTF Sierra Aggregator LLC (Brookfield) to pursue certain of these opportunities (Carbon TerraVault JV). See </w:t>
      </w:r>
      <w:r>
        <w:rPr>
          <w:rFonts w:ascii="Arial" w:cs="Arial" w:eastAsia="Arial" w:hAnsi="Arial"/>
          <w:sz w:val="18"/>
          <w:szCs w:val="18"/>
          <w:i w:val="1"/>
          <w:iCs w:val="1"/>
          <w:color w:val="auto"/>
        </w:rPr>
        <w:t>Note 2 Investment in Unconsolidated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Subsidiary and Related Party Transactions </w:t>
      </w:r>
      <w:r>
        <w:rPr>
          <w:rFonts w:ascii="Arial" w:cs="Arial" w:eastAsia="Arial" w:hAnsi="Arial"/>
          <w:sz w:val="18"/>
          <w:szCs w:val="18"/>
          <w:color w:val="auto"/>
        </w:rPr>
        <w:t>for more information on the Carbon TerraVault JV. Separately, we are evaluating the feasibility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a carbon capture system to be located at our Elk Hills power plant.</w:t>
      </w:r>
    </w:p>
    <w:p>
      <w:pPr>
        <w:spacing w:after="0" w:line="222"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w:t>
      </w:r>
    </w:p>
    <w:p>
      <w:pPr>
        <w:spacing w:after="0" w:line="180"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the opinion of our management, the accompanying unaudited financial statements contain all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 In applying the equity method of accounting for variable interest entities that we do not control, the investment is initially recognized at cost and then adjusted for our proportionate share of income or loss, contributions and distributions.</w:t>
      </w:r>
    </w:p>
    <w:p>
      <w:pPr>
        <w:spacing w:after="0" w:line="21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w:t>
      </w:r>
    </w:p>
    <w:p>
      <w:pPr>
        <w:spacing w:after="0" w:line="20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2022 (2022 Annual Report).</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cash equivalents and on-balance sheet financial instruments, other than debt, approximate fair value.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3 Debt</w:t>
      </w:r>
      <w:r>
        <w:rPr>
          <w:rFonts w:ascii="Arial" w:cs="Arial" w:eastAsia="Arial" w:hAnsi="Arial"/>
          <w:sz w:val="18"/>
          <w:szCs w:val="18"/>
          <w:color w:val="auto"/>
        </w:rPr>
        <w:t xml:space="preserve"> for the fair value of our debt.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0" w:name="page11"/>
    <w:bookmarkEnd w:id="10"/>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INVESTMENT IN UNCONSOLIDATED SUBSIDIARY AND RELATED PARTY TRANSACTIONS</w:t>
      </w:r>
    </w:p>
    <w:p>
      <w:pPr>
        <w:spacing w:after="0" w:line="252" w:lineRule="exact"/>
        <w:rPr>
          <w:sz w:val="20"/>
          <w:szCs w:val="20"/>
          <w:color w:val="auto"/>
        </w:rPr>
      </w:pPr>
    </w:p>
    <w:p>
      <w:pPr>
        <w:ind w:right="60" w:firstLine="324"/>
        <w:spacing w:after="0" w:line="278" w:lineRule="auto"/>
        <w:rPr>
          <w:sz w:val="20"/>
          <w:szCs w:val="20"/>
          <w:color w:val="auto"/>
        </w:rPr>
      </w:pPr>
      <w:r>
        <w:rPr>
          <w:rFonts w:ascii="Arial" w:cs="Arial" w:eastAsia="Arial" w:hAnsi="Arial"/>
          <w:sz w:val="17"/>
          <w:szCs w:val="17"/>
          <w:color w:val="auto"/>
        </w:rPr>
        <w:t>In August 2022, our wholly-owned subsidiary Carbon TerraVault I, LLC entered into a joint venture with Brookfield for the further development of a carbon management business in California. We hold a 51% interest in the Carbon TerraVault JV and Brookfield holds a 49% interest. We determined that the Carbon TerraVault JV is a VIE; however, we share decision-making power with Brookfield on all matters that most significantly impact the economic performance of the joint venture. Therefore, we account for our investment in the Carbon TerraVault JV under the equity method of accounting. Transactions between us and the Carbon TerraVault JV are related party transactions.</w:t>
      </w:r>
    </w:p>
    <w:p>
      <w:pPr>
        <w:spacing w:after="0" w:line="191"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Brookfield has committed an initial $500 million to invest in CCS projects that are jointly approved through the Carbon TerraVault JV. As part of the formation of the Carbon TerraVault JV, we contributed rights to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into the 26R reservoir in our Elk Hills field for permanent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(26R reservoir) and Brookfield committed to make an initial investment of $137 million, payable in three equal installments with the last two installments subject to the achievement of certain milestones. Brookfield contributed the first $46 million installment of their initial investment to the Carbon TerraVault JV in 2022. This amount may, at our sole discretion, be distributed to us or used to satisfy future capital contributions, among other items. During 2022, $12 million was distributed to us (and used to pay transaction costs related to the formation of the joint venture) and $2 million was used to satisfy a capital call. During 2023, $2 million was used to satisfy a capital call. The remaining amount of the initial contribution by Brookfield available to us was reported as a receivable from affiliate on our condensed consolidated balance sheet. Because the parties have certain put and call rights (repurchase features) with respect to the 26R reservoir if certain milestones are not met, the initial investment by Brookfield is reflected as a contingent liability in other long-term liabilities on our condensed consolidated balance.</w:t>
      </w:r>
    </w:p>
    <w:p>
      <w:pPr>
        <w:spacing w:after="0" w:line="227"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We entered into a Management Services Agreement (MSA) with the Carbon TerraVault JV whereby we provide administrative, operational and commercial services under a cost-plus arrangement. Services may be supplemented by using third parties and payments to us under the MSA are limited to the amount in an approved budget. The MSA may be terminated by mutual agreement of the parties, among other events.</w:t>
      </w:r>
    </w:p>
    <w:p>
      <w:pPr>
        <w:spacing w:after="0" w:line="203"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tables below present the summarized financial information related to our equity method investment and related party transactions for the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360" w:type="dxa"/>
            <w:vAlign w:val="bottom"/>
          </w:tcPr>
          <w:p>
            <w:pPr>
              <w:spacing w:after="0"/>
              <w:rPr>
                <w:sz w:val="20"/>
                <w:szCs w:val="20"/>
                <w:color w:val="auto"/>
              </w:rPr>
            </w:pP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192"/>
        </w:trPr>
        <w:tc>
          <w:tcPr>
            <w:tcW w:w="7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6"/>
                <w:szCs w:val="16"/>
                <w:color w:val="auto"/>
              </w:rPr>
            </w:pPr>
          </w:p>
        </w:tc>
      </w:tr>
      <w:tr>
        <w:trPr>
          <w:trHeight w:val="234"/>
        </w:trPr>
        <w:tc>
          <w:tcPr>
            <w:tcW w:w="736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Investment in unconsolidated subsidiary</w:t>
            </w:r>
            <w:r>
              <w:rPr>
                <w:rFonts w:ascii="Arial" w:cs="Arial" w:eastAsia="Arial" w:hAnsi="Arial"/>
                <w:sz w:val="23"/>
                <w:szCs w:val="23"/>
                <w:color w:val="auto"/>
                <w:vertAlign w:val="superscript"/>
              </w:rPr>
              <w:t>(a)</w:t>
            </w: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360" w:type="dxa"/>
            <w:vAlign w:val="bottom"/>
          </w:tcPr>
          <w:p>
            <w:pPr>
              <w:ind w:left="20"/>
              <w:spacing w:after="0" w:line="230" w:lineRule="exact"/>
              <w:rPr>
                <w:sz w:val="20"/>
                <w:szCs w:val="20"/>
                <w:color w:val="auto"/>
              </w:rPr>
            </w:pPr>
            <w:r>
              <w:rPr>
                <w:rFonts w:ascii="Arial" w:cs="Arial" w:eastAsia="Arial" w:hAnsi="Arial"/>
                <w:sz w:val="18"/>
                <w:szCs w:val="18"/>
                <w:color w:val="auto"/>
              </w:rPr>
              <w:t>Receivable from affiliate</w:t>
            </w:r>
            <w:r>
              <w:rPr>
                <w:rFonts w:ascii="Arial" w:cs="Arial" w:eastAsia="Arial" w:hAnsi="Arial"/>
                <w:sz w:val="23"/>
                <w:szCs w:val="23"/>
                <w:color w:val="auto"/>
                <w:vertAlign w:val="superscript"/>
              </w:rPr>
              <w:t>(b)</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Property, plant and equipment</w:t>
            </w:r>
            <w:r>
              <w:rPr>
                <w:rFonts w:ascii="Arial" w:cs="Arial" w:eastAsia="Arial" w:hAnsi="Arial"/>
                <w:sz w:val="23"/>
                <w:szCs w:val="23"/>
                <w:color w:val="auto"/>
                <w:vertAlign w:val="superscript"/>
              </w:rPr>
              <w:t>(c)</w:t>
            </w: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11"/>
        </w:trPr>
        <w:tc>
          <w:tcPr>
            <w:tcW w:w="7360" w:type="dxa"/>
            <w:vAlign w:val="bottom"/>
          </w:tcPr>
          <w:p>
            <w:pPr>
              <w:ind w:left="20"/>
              <w:spacing w:after="0"/>
              <w:rPr>
                <w:sz w:val="20"/>
                <w:szCs w:val="20"/>
                <w:color w:val="auto"/>
              </w:rPr>
            </w:pPr>
            <w:r>
              <w:rPr>
                <w:rFonts w:ascii="Arial" w:cs="Arial" w:eastAsia="Arial" w:hAnsi="Arial"/>
                <w:sz w:val="18"/>
                <w:szCs w:val="18"/>
                <w:color w:val="auto"/>
              </w:rPr>
              <w:t>Contingent liability related to Carbon TerraVault JV put and call rights</w:t>
            </w:r>
            <w:r>
              <w:rPr>
                <w:rFonts w:ascii="Arial" w:cs="Arial" w:eastAsia="Arial" w:hAnsi="Arial"/>
                <w:sz w:val="23"/>
                <w:szCs w:val="23"/>
                <w:color w:val="auto"/>
                <w:vertAlign w:val="superscript"/>
              </w:rPr>
              <w:t>(d)</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4" w:lineRule="exact"/>
        <w:rPr>
          <w:sz w:val="20"/>
          <w:szCs w:val="20"/>
          <w:color w:val="auto"/>
        </w:rPr>
      </w:pPr>
    </w:p>
    <w:p>
      <w:pPr>
        <w:ind w:left="340" w:right="540" w:hanging="332"/>
        <w:spacing w:after="0" w:line="261"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Reflects our investment less losses allocated to us of $2 million and $1 million for the three months ended March 31, 2023 and the year ended December 31, 2022, respectively.</w:t>
      </w:r>
    </w:p>
    <w:p>
      <w:pPr>
        <w:spacing w:after="0" w:line="1" w:lineRule="exact"/>
        <w:rPr>
          <w:rFonts w:ascii="Arial" w:cs="Arial" w:eastAsia="Arial" w:hAnsi="Arial"/>
          <w:sz w:val="14"/>
          <w:szCs w:val="14"/>
          <w:color w:val="auto"/>
        </w:rPr>
      </w:pPr>
    </w:p>
    <w:p>
      <w:pPr>
        <w:ind w:left="340" w:right="20" w:hanging="332"/>
        <w:spacing w:after="0" w:line="261"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At March 31, 2023, the amount of $30 million includes $29 million which may be distributed to us or used to satisfy future capital calls and $1 million related to the MSA and vendor reimbursements. At December 31, 2022, the amount of $33 million includes $32 million which may be distributed to us or used to satisfy future capital calls and $1 million related to the MSA and vendor reimbursements.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This amount includes the reimbursement for plugging and abandonment activities at the 26R reservoir.</w:t>
      </w:r>
    </w:p>
    <w:p>
      <w:pPr>
        <w:spacing w:after="0" w:line="1" w:lineRule="exact"/>
        <w:rPr>
          <w:rFonts w:ascii="Arial" w:cs="Arial" w:eastAsia="Arial" w:hAnsi="Arial"/>
          <w:sz w:val="14"/>
          <w:szCs w:val="14"/>
          <w:color w:val="auto"/>
        </w:rPr>
      </w:pPr>
    </w:p>
    <w:p>
      <w:pPr>
        <w:ind w:left="340" w:right="440" w:hanging="332"/>
        <w:spacing w:after="0" w:line="284"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These amounts were included in other long-term liabilities on our condensed consolidated balance sheet. Our obligation includes $3 million and $2 million of accrued interest at March 31, 2023 and December 31, 2022, respectively, that we would be required to pay should Brookfield exercise its put right.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00" w:type="dxa"/>
            <w:vAlign w:val="bottom"/>
          </w:tcPr>
          <w:p>
            <w:pPr>
              <w:spacing w:after="0"/>
              <w:rPr>
                <w:sz w:val="20"/>
                <w:szCs w:val="20"/>
                <w:color w:val="auto"/>
              </w:rPr>
            </w:pPr>
          </w:p>
        </w:tc>
        <w:tc>
          <w:tcPr>
            <w:tcW w:w="40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c>
          <w:tcPr>
            <w:tcW w:w="600" w:type="dxa"/>
            <w:vAlign w:val="bottom"/>
            <w:tcBorders>
              <w:bottom w:val="single" w:sz="8" w:color="auto"/>
            </w:tcBorders>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r>
      <w:tr>
        <w:trPr>
          <w:trHeight w:val="192"/>
        </w:trPr>
        <w:tc>
          <w:tcPr>
            <w:tcW w:w="6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0" w:type="dxa"/>
            <w:vAlign w:val="bottom"/>
            <w:gridSpan w:val="2"/>
          </w:tcPr>
          <w:p>
            <w:pPr>
              <w:jc w:val="right"/>
              <w:ind w:right="1270"/>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6"/>
                <w:szCs w:val="16"/>
                <w:color w:val="auto"/>
              </w:rPr>
            </w:pPr>
          </w:p>
        </w:tc>
      </w:tr>
      <w:tr>
        <w:trPr>
          <w:trHeight w:val="23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 in unconsolidated subsidiary</w:t>
            </w:r>
          </w:p>
        </w:tc>
        <w:tc>
          <w:tcPr>
            <w:tcW w:w="164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7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311"/>
        </w:trPr>
        <w:tc>
          <w:tcPr>
            <w:tcW w:w="660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r>
              <w:rPr>
                <w:rFonts w:ascii="Arial" w:cs="Arial" w:eastAsia="Arial" w:hAnsi="Arial"/>
                <w:sz w:val="23"/>
                <w:szCs w:val="23"/>
                <w:color w:val="auto"/>
                <w:vertAlign w:val="superscript"/>
              </w:rPr>
              <w:t>(a)</w:t>
            </w:r>
          </w:p>
        </w:tc>
        <w:tc>
          <w:tcPr>
            <w:tcW w:w="1640" w:type="dxa"/>
            <w:vAlign w:val="bottom"/>
          </w:tcPr>
          <w:p>
            <w:pPr>
              <w:jc w:val="right"/>
              <w:ind w:right="14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172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r>
    </w:tbl>
    <w:p>
      <w:pPr>
        <w:spacing w:after="0" w:line="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Includes amounts recognized by us under the MSA for administrative, operational and commercial services.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ind w:right="300" w:firstLine="324"/>
        <w:spacing w:after="0" w:line="282" w:lineRule="auto"/>
        <w:rPr>
          <w:sz w:val="20"/>
          <w:szCs w:val="20"/>
          <w:color w:val="auto"/>
        </w:rPr>
      </w:pPr>
      <w:r>
        <w:rPr>
          <w:rFonts w:ascii="Arial" w:cs="Arial" w:eastAsia="Arial" w:hAnsi="Arial"/>
          <w:sz w:val="17"/>
          <w:szCs w:val="17"/>
          <w:color w:val="auto"/>
        </w:rPr>
        <w:t>The Carbon TerraVault JV has an option to participate in certain projects that involve the capture, transportation and storage of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in California. This option expires upon the earlier of (1) August 2027, (2) when a final investment decision has been approved by the Carbon TerraVault JV for storage projects representing in excess of 5 million metric tons per annum (MMTPA) in the aggregate, or (3) when Brookfield has made contributions to the joint venture in excess of $500 million (unless Brookfield elects to increase its commitment).</w:t>
      </w:r>
    </w:p>
    <w:p>
      <w:pPr>
        <w:spacing w:after="0" w:line="18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2023 and December 31, 2022, our long-term debt consisted of the following:</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7"/>
        </w:trPr>
        <w:tc>
          <w:tcPr>
            <w:tcW w:w="356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2023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Interest Rate</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192"/>
        </w:trPr>
        <w:tc>
          <w:tcPr>
            <w:tcW w:w="356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right"/>
              <w:ind w:right="799"/>
              <w:spacing w:after="0"/>
              <w:rPr>
                <w:sz w:val="20"/>
                <w:szCs w:val="20"/>
                <w:color w:val="auto"/>
              </w:rPr>
            </w:pPr>
            <w:r>
              <w:rPr>
                <w:rFonts w:ascii="Arial" w:cs="Arial" w:eastAsia="Arial" w:hAnsi="Arial"/>
                <w:sz w:val="14"/>
                <w:szCs w:val="14"/>
                <w:color w:val="auto"/>
              </w:rPr>
              <w:t>(in millions)</w:t>
            </w: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r>
      <w:tr>
        <w:trPr>
          <w:trHeight w:val="166"/>
        </w:trPr>
        <w:tc>
          <w:tcPr>
            <w:tcW w:w="356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rPr>
              <w:t>Revolving Credit Facility</w:t>
            </w:r>
          </w:p>
        </w:tc>
        <w:tc>
          <w:tcPr>
            <w:tcW w:w="1280" w:type="dxa"/>
            <w:vAlign w:val="bottom"/>
            <w:shd w:val="clear" w:color="auto" w:fill="CCEEFF"/>
          </w:tcPr>
          <w:p>
            <w:pPr>
              <w:jc w:val="right"/>
              <w:ind w:right="1099"/>
              <w:spacing w:after="0" w:line="166" w:lineRule="exact"/>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jc w:val="right"/>
              <w:ind w:right="160"/>
              <w:spacing w:after="0" w:line="166"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19"/>
              <w:spacing w:after="0" w:line="166" w:lineRule="exact"/>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jc w:val="center"/>
              <w:ind w:right="100"/>
              <w:spacing w:after="0" w:line="166" w:lineRule="exact"/>
              <w:rPr>
                <w:sz w:val="20"/>
                <w:szCs w:val="20"/>
                <w:color w:val="auto"/>
              </w:rPr>
            </w:pPr>
            <w:r>
              <w:rPr>
                <w:rFonts w:ascii="Arial" w:cs="Arial" w:eastAsia="Arial" w:hAnsi="Arial"/>
                <w:sz w:val="16"/>
                <w:szCs w:val="16"/>
                <w:color w:val="auto"/>
              </w:rPr>
              <w:t>SOFR plus 3%-4%</w:t>
            </w:r>
          </w:p>
        </w:tc>
        <w:tc>
          <w:tcPr>
            <w:tcW w:w="176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rPr>
              <w:t>April 29, 2024</w:t>
            </w:r>
          </w:p>
        </w:tc>
      </w:tr>
      <w:tr>
        <w:trPr>
          <w:trHeight w:val="216"/>
        </w:trPr>
        <w:tc>
          <w:tcPr>
            <w:tcW w:w="3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2%-3%</w:t>
            </w:r>
          </w:p>
        </w:tc>
        <w:tc>
          <w:tcPr>
            <w:tcW w:w="1760" w:type="dxa"/>
            <w:vAlign w:val="bottom"/>
            <w:shd w:val="clear" w:color="auto" w:fill="CCEEFF"/>
          </w:tcPr>
          <w:p>
            <w:pPr>
              <w:spacing w:after="0"/>
              <w:rPr>
                <w:sz w:val="18"/>
                <w:szCs w:val="18"/>
                <w:color w:val="auto"/>
              </w:rPr>
            </w:pPr>
          </w:p>
        </w:tc>
      </w:tr>
      <w:tr>
        <w:trPr>
          <w:trHeight w:val="215"/>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Senior Notes</w:t>
            </w:r>
          </w:p>
        </w:tc>
        <w:tc>
          <w:tcPr>
            <w:tcW w:w="1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23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rPr>
              <w:t>7.125%</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February 1, 2026</w:t>
            </w:r>
          </w:p>
        </w:tc>
      </w:tr>
      <w:tr>
        <w:trPr>
          <w:trHeight w:val="210"/>
        </w:trPr>
        <w:tc>
          <w:tcPr>
            <w:tcW w:w="35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Principal amount</w:t>
            </w:r>
          </w:p>
        </w:tc>
        <w:tc>
          <w:tcPr>
            <w:tcW w:w="128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Unamortized debt issuance costs</w:t>
            </w:r>
          </w:p>
        </w:tc>
        <w:tc>
          <w:tcPr>
            <w:tcW w:w="1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34"/>
        </w:trPr>
        <w:tc>
          <w:tcPr>
            <w:tcW w:w="3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Long-term debt, net</w:t>
            </w: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On October 27, 2020, we entered into a Credit Agreement with Citibank, N.A., as administrative agent, and certain other lenders. As of March 31, 2023, this credit agreement consisted of a senior revolving loan facility (Revolving Credit Facility) with an aggregate commitment of $602 million. Our Revolving Credit Facility also included a sub-limit of $200 million for the issuance of letters of credit as of March 31, 2023. Letters of credit were issued to support ordinary course marketing, insurance, regulatory and other matters.</w:t>
      </w:r>
    </w:p>
    <w:p>
      <w:pPr>
        <w:spacing w:after="0" w:line="203"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 borrowing base is redetermined semi-annually and was reaffirmed at $1.2 billion on April 26, 2023. The borrowing base takes into account the estimated value of our proved reserves, total indebtedness and other relevant factors consistent with customary reserves-based lending criteria. The amount we are able to borrow under our Revolving Credit Facility is limited to the amount of the commitment described above.</w:t>
      </w:r>
    </w:p>
    <w:p>
      <w:pPr>
        <w:spacing w:after="0" w:line="203" w:lineRule="exact"/>
        <w:rPr>
          <w:sz w:val="20"/>
          <w:szCs w:val="20"/>
          <w:color w:val="auto"/>
        </w:rPr>
      </w:pPr>
    </w:p>
    <w:p>
      <w:pPr>
        <w:jc w:val="both"/>
        <w:ind w:right="340" w:firstLine="324"/>
        <w:spacing w:after="0" w:line="268" w:lineRule="auto"/>
        <w:rPr>
          <w:sz w:val="20"/>
          <w:szCs w:val="20"/>
          <w:color w:val="auto"/>
        </w:rPr>
      </w:pPr>
      <w:r>
        <w:rPr>
          <w:rFonts w:ascii="Arial" w:cs="Arial" w:eastAsia="Arial" w:hAnsi="Arial"/>
          <w:sz w:val="18"/>
          <w:szCs w:val="18"/>
          <w:color w:val="auto"/>
        </w:rPr>
        <w:t xml:space="preserve">At March 31, 2023, we were in compliance with all financial and other debt covenants under our Revolving Credit Facility and Senior Notes. For more information on our Senior Notes, see </w:t>
      </w:r>
      <w:r>
        <w:rPr>
          <w:rFonts w:ascii="Arial" w:cs="Arial" w:eastAsia="Arial" w:hAnsi="Arial"/>
          <w:sz w:val="18"/>
          <w:szCs w:val="18"/>
          <w:i w:val="1"/>
          <w:iCs w:val="1"/>
          <w:color w:val="auto"/>
        </w:rPr>
        <w:t>Part II, Item 8 – Financial Statements and Supplementary Data, Note 4 Debt</w:t>
      </w:r>
      <w:r>
        <w:rPr>
          <w:rFonts w:ascii="Arial" w:cs="Arial" w:eastAsia="Arial" w:hAnsi="Arial"/>
          <w:sz w:val="18"/>
          <w:szCs w:val="18"/>
          <w:color w:val="auto"/>
        </w:rPr>
        <w:t xml:space="preserve"> in our 2022 Annual Report. See </w:t>
      </w:r>
      <w:r>
        <w:rPr>
          <w:rFonts w:ascii="Arial" w:cs="Arial" w:eastAsia="Arial" w:hAnsi="Arial"/>
          <w:sz w:val="18"/>
          <w:szCs w:val="18"/>
          <w:i w:val="1"/>
          <w:iCs w:val="1"/>
          <w:color w:val="auto"/>
        </w:rPr>
        <w:t>Note 14 Subsequent Events</w:t>
      </w:r>
      <w:r>
        <w:rPr>
          <w:rFonts w:ascii="Arial" w:cs="Arial" w:eastAsia="Arial" w:hAnsi="Arial"/>
          <w:sz w:val="18"/>
          <w:szCs w:val="18"/>
          <w:color w:val="auto"/>
        </w:rPr>
        <w:t xml:space="preserve"> for information regarding a recent amendment to our Revolving Credit Facility.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fair value of our fixed-rate debt at March 31, 2023 and December 31, 2022 was approximately $607 million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$574 million, respectively. We estimate fair value based on prices known from market transactions (using Level 1 inputs on the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hierarchy).</w:t>
      </w:r>
    </w:p>
    <w:p>
      <w:pPr>
        <w:spacing w:after="0" w:line="23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for these items at March 31, 2023 and December 31, 2022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2" w:name="page13"/>
    <w:bookmarkEnd w:id="12"/>
    <w:p>
      <w:pPr>
        <w:ind w:right="20" w:firstLine="324"/>
        <w:spacing w:after="0" w:line="256"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was challenging BSEE's order. Oxy notified us of the claim under the indemnification provisions of the Separation and Distribution Agreement between us and Oxy. In September 2021, we accepted the indemnification claim from Oxy and are challenging the order from BSEE.</w:t>
      </w: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DERIVATIVES</w:t>
      </w:r>
    </w:p>
    <w:p>
      <w:pPr>
        <w:spacing w:after="0" w:line="252"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We maintain a commodity hedging program primarily focused on crude oil to help protect our cash flows, margins and capital program from the volatility of commodity prices. We did not have any derivative instruments designated as accounting hedges as of and for the three months ended March 31, 2023 and 2022. Unless otherwise indicated, we use the term "hedge" to describe derivative instruments that are designed to achieve our hedging requirements and program goals.</w:t>
      </w:r>
    </w:p>
    <w:p>
      <w:pPr>
        <w:spacing w:after="0" w:line="203" w:lineRule="exact"/>
        <w:rPr>
          <w:sz w:val="20"/>
          <w:szCs w:val="20"/>
          <w:color w:val="auto"/>
        </w:rPr>
      </w:pPr>
    </w:p>
    <w:p>
      <w:pPr>
        <w:ind w:right="920" w:firstLine="324"/>
        <w:spacing w:after="0" w:line="287" w:lineRule="auto"/>
        <w:rPr>
          <w:sz w:val="20"/>
          <w:szCs w:val="20"/>
          <w:color w:val="auto"/>
        </w:rPr>
      </w:pPr>
      <w:r>
        <w:rPr>
          <w:rFonts w:ascii="Arial" w:cs="Arial" w:eastAsia="Arial" w:hAnsi="Arial"/>
          <w:sz w:val="18"/>
          <w:szCs w:val="18"/>
          <w:color w:val="auto"/>
        </w:rPr>
        <w:t>From time to time, we may enter into derivative contracts on natural gas to either protect our cash flows from commodity price movements or optimize margins for our marketing and trading activities.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Summary of open derivative contracts </w:t>
      </w:r>
      <w:r>
        <w:rPr>
          <w:rFonts w:ascii="Arial" w:cs="Arial" w:eastAsia="Arial" w:hAnsi="Arial"/>
          <w:sz w:val="18"/>
          <w:szCs w:val="18"/>
          <w:color w:val="auto"/>
        </w:rPr>
        <w:t>— We held the following Brent-based crude oil contracts as of March 31,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Q2</w:t>
            </w:r>
          </w:p>
        </w:tc>
        <w:tc>
          <w:tcPr>
            <w:tcW w:w="26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b w:val="1"/>
                <w:bCs w:val="1"/>
                <w:color w:val="auto"/>
              </w:rPr>
              <w:t>Q3</w:t>
            </w:r>
          </w:p>
        </w:tc>
        <w:tc>
          <w:tcPr>
            <w:tcW w:w="260" w:type="dxa"/>
            <w:vAlign w:val="bottom"/>
          </w:tcPr>
          <w:p>
            <w:pPr>
              <w:spacing w:after="0"/>
              <w:rPr>
                <w:sz w:val="17"/>
                <w:szCs w:val="17"/>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rPr>
              <w:t>Q4</w:t>
            </w:r>
          </w:p>
        </w:tc>
        <w:tc>
          <w:tcPr>
            <w:tcW w:w="24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1H</w:t>
            </w:r>
          </w:p>
        </w:tc>
        <w:tc>
          <w:tcPr>
            <w:tcW w:w="260" w:type="dxa"/>
            <w:vAlign w:val="bottom"/>
          </w:tcPr>
          <w:p>
            <w:pPr>
              <w:spacing w:after="0"/>
              <w:rPr>
                <w:sz w:val="17"/>
                <w:szCs w:val="17"/>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rPr>
              <w:t>2H</w:t>
            </w:r>
          </w:p>
        </w:tc>
        <w:tc>
          <w:tcPr>
            <w:tcW w:w="0" w:type="dxa"/>
            <w:vAlign w:val="bottom"/>
          </w:tcPr>
          <w:p>
            <w:pPr>
              <w:spacing w:after="0"/>
              <w:rPr>
                <w:sz w:val="1"/>
                <w:szCs w:val="1"/>
                <w:color w:val="auto"/>
              </w:rPr>
            </w:pPr>
          </w:p>
        </w:tc>
      </w:tr>
      <w:tr>
        <w:trPr>
          <w:trHeight w:val="235"/>
        </w:trPr>
        <w:tc>
          <w:tcPr>
            <w:tcW w:w="4980" w:type="dxa"/>
            <w:vAlign w:val="bottom"/>
            <w:vMerge w:val="restart"/>
          </w:tcPr>
          <w:p>
            <w:pPr>
              <w:ind w:left="20"/>
              <w:spacing w:after="0"/>
              <w:rPr>
                <w:sz w:val="20"/>
                <w:szCs w:val="20"/>
                <w:color w:val="auto"/>
              </w:rPr>
            </w:pPr>
            <w:r>
              <w:rPr>
                <w:rFonts w:ascii="Arial" w:cs="Arial" w:eastAsia="Arial" w:hAnsi="Arial"/>
                <w:sz w:val="18"/>
                <w:szCs w:val="18"/>
                <w:color w:val="auto"/>
              </w:rPr>
              <w:t>Sold Calls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9"/>
        </w:trPr>
        <w:tc>
          <w:tcPr>
            <w:tcW w:w="4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57.06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90.53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90.53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Swaps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69.27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70.73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78.79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77.20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line="230" w:lineRule="exact"/>
              <w:rPr>
                <w:sz w:val="20"/>
                <w:szCs w:val="20"/>
                <w:color w:val="auto"/>
              </w:rPr>
            </w:pPr>
            <w:r>
              <w:rPr>
                <w:rFonts w:ascii="Arial" w:cs="Arial" w:eastAsia="Arial" w:hAnsi="Arial"/>
                <w:sz w:val="18"/>
                <w:szCs w:val="18"/>
                <w:color w:val="auto"/>
              </w:rPr>
              <w:t>Net Purchased Puts</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9"/>
        </w:trPr>
        <w:tc>
          <w:tcPr>
            <w:tcW w:w="498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76.25</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71.80</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Purchased puts and sold puts with the same strike price have been presented on a net basis.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3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27" w:lineRule="exact"/>
        <w:rPr>
          <w:rFonts w:ascii="Arial" w:cs="Arial" w:eastAsia="Arial" w:hAnsi="Arial"/>
          <w:sz w:val="18"/>
          <w:szCs w:val="18"/>
          <w:color w:val="auto"/>
        </w:rPr>
      </w:pPr>
    </w:p>
    <w:p>
      <w:pPr>
        <w:ind w:left="660" w:right="420" w:hanging="328"/>
        <w:spacing w:after="0" w:line="249" w:lineRule="auto"/>
        <w:tabs>
          <w:tab w:leader="none" w:pos="655"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Swaps – we make settlement payments for prices above the indicated weighted-average price per barrel and receive settlement payments for prices below the indicated weighted-average price per barrel.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purchased puts – we receive settlement payments for prices below the indicated weighted-average price per barrel.</w:t>
      </w:r>
    </w:p>
    <w:p>
      <w:pPr>
        <w:spacing w:after="0" w:line="234" w:lineRule="exact"/>
        <w:rPr>
          <w:sz w:val="20"/>
          <w:szCs w:val="20"/>
          <w:color w:val="auto"/>
        </w:rPr>
      </w:pPr>
    </w:p>
    <w:p>
      <w:pPr>
        <w:ind w:right="40" w:firstLine="324"/>
        <w:spacing w:after="0" w:line="283" w:lineRule="auto"/>
        <w:rPr>
          <w:sz w:val="20"/>
          <w:szCs w:val="20"/>
          <w:color w:val="auto"/>
        </w:rPr>
      </w:pPr>
      <w:r>
        <w:rPr>
          <w:rFonts w:ascii="Arial" w:cs="Arial" w:eastAsia="Arial" w:hAnsi="Arial"/>
          <w:sz w:val="17"/>
          <w:szCs w:val="17"/>
          <w:color w:val="auto"/>
        </w:rPr>
        <w:t>We use combinations of these positions to increase the efficacy of our hedging program and, subject to certain conditions, meet the requirements of our Revolving Credit Facility. The majority of our derivative positions for the remainder of 2023 were entered into subsequent to our emergence from bankruptcy to comply with the hedging requirements of our Revolving Credit Facility that were applicable at the time.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ind w:right="720" w:firstLine="324"/>
        <w:spacing w:after="0" w:line="273" w:lineRule="auto"/>
        <w:rPr>
          <w:sz w:val="20"/>
          <w:szCs w:val="20"/>
          <w:color w:val="auto"/>
        </w:rPr>
      </w:pPr>
      <w:r>
        <w:rPr>
          <w:rFonts w:ascii="Arial" w:cs="Arial" w:eastAsia="Arial" w:hAnsi="Arial"/>
          <w:sz w:val="18"/>
          <w:szCs w:val="18"/>
          <w:i w:val="1"/>
          <w:iCs w:val="1"/>
          <w:color w:val="auto"/>
        </w:rPr>
        <w:t xml:space="preserve">Fair value of derivatives </w:t>
      </w:r>
      <w:r>
        <w:rPr>
          <w:rFonts w:ascii="Arial" w:cs="Arial" w:eastAsia="Arial" w:hAnsi="Arial"/>
          <w:sz w:val="18"/>
          <w:szCs w:val="18"/>
          <w:color w:val="auto"/>
        </w:rPr>
        <w:t>— The following tables present the fair values on a recurring basis (at gross and net) of our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derivatives as of March 31, 2023 and December 31, 2022:</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5980" w:type="dxa"/>
            <w:vAlign w:val="bottom"/>
            <w:tcBorders>
              <w:top w:val="single" w:sz="8" w:color="auto"/>
            </w:tcBorders>
            <w:gridSpan w:val="2"/>
            <w:vMerge w:val="restart"/>
          </w:tcPr>
          <w:p>
            <w:pPr>
              <w:ind w:left="2360"/>
              <w:spacing w:after="0"/>
              <w:rPr>
                <w:sz w:val="20"/>
                <w:szCs w:val="20"/>
                <w:color w:val="auto"/>
              </w:rPr>
            </w:pPr>
            <w:r>
              <w:rPr>
                <w:rFonts w:ascii="Arial" w:cs="Arial" w:eastAsia="Arial" w:hAnsi="Arial"/>
                <w:sz w:val="18"/>
                <w:szCs w:val="18"/>
                <w:b w:val="1"/>
                <w:bCs w:val="1"/>
                <w:color w:val="auto"/>
              </w:rPr>
              <w:t>Classification</w:t>
            </w:r>
          </w:p>
        </w:tc>
        <w:tc>
          <w:tcPr>
            <w:tcW w:w="1760" w:type="dxa"/>
            <w:vAlign w:val="bottom"/>
            <w:tcBorders>
              <w:top w:val="single" w:sz="8" w:color="auto"/>
            </w:tcBorders>
            <w:gridSpan w:val="3"/>
          </w:tcPr>
          <w:p>
            <w:pPr>
              <w:ind w:left="40"/>
              <w:spacing w:after="0" w:line="169" w:lineRule="exact"/>
              <w:rPr>
                <w:sz w:val="20"/>
                <w:szCs w:val="20"/>
                <w:color w:val="auto"/>
              </w:rPr>
            </w:pPr>
            <w:r>
              <w:rPr>
                <w:rFonts w:ascii="Arial" w:cs="Arial" w:eastAsia="Arial" w:hAnsi="Arial"/>
                <w:sz w:val="18"/>
                <w:szCs w:val="18"/>
                <w:b w:val="1"/>
                <w:bCs w:val="1"/>
                <w:color w:val="auto"/>
              </w:rPr>
              <w:t>Gross Amounts at</w:t>
            </w:r>
          </w:p>
        </w:tc>
        <w:tc>
          <w:tcPr>
            <w:tcW w:w="3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43"/>
        </w:trPr>
        <w:tc>
          <w:tcPr>
            <w:tcW w:w="59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assets - Fair value of derivative contracts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Other noncurrent assets - Fair value of derivative contracts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Current - Fair value of derivative contracts</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Noncurrent - Fair value of derivative contracts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right="60" w:hanging="332"/>
        <w:spacing w:after="0" w:line="284"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addition to our Brent based derivative contracts, we held swaps as of March 31, 2023 for offsetting notional volumes of natural gas to secure a margin for future physical sales of natural gas related to our marketing and trading activities. The fair value of these natural gas hedges was $15 million included in current liabilities at March 31, 2023.</w:t>
      </w:r>
    </w:p>
    <w:p>
      <w:pPr>
        <w:spacing w:after="0" w:line="16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December 31, 2022</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020" w:type="dxa"/>
            <w:vAlign w:val="bottom"/>
            <w:tcBorders>
              <w:top w:val="single" w:sz="8" w:color="auto"/>
            </w:tcBorders>
            <w:gridSpan w:val="2"/>
            <w:vMerge w:val="restart"/>
          </w:tcPr>
          <w:p>
            <w:pPr>
              <w:ind w:left="2360"/>
              <w:spacing w:after="0"/>
              <w:rPr>
                <w:sz w:val="20"/>
                <w:szCs w:val="20"/>
                <w:color w:val="auto"/>
              </w:rPr>
            </w:pPr>
            <w:r>
              <w:rPr>
                <w:rFonts w:ascii="Arial" w:cs="Arial" w:eastAsia="Arial" w:hAnsi="Arial"/>
                <w:sz w:val="18"/>
                <w:szCs w:val="18"/>
                <w:b w:val="1"/>
                <w:bCs w:val="1"/>
                <w:color w:val="auto"/>
              </w:rPr>
              <w:t>Classification</w:t>
            </w:r>
          </w:p>
        </w:tc>
        <w:tc>
          <w:tcPr>
            <w:tcW w:w="1760" w:type="dxa"/>
            <w:vAlign w:val="bottom"/>
            <w:tcBorders>
              <w:top w:val="single" w:sz="8" w:color="auto"/>
            </w:tcBorders>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9"/>
              </w:rPr>
              <w:t>Gross Amounts at</w:t>
            </w:r>
          </w:p>
        </w:tc>
        <w:tc>
          <w:tcPr>
            <w:tcW w:w="2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43"/>
        </w:trPr>
        <w:tc>
          <w:tcPr>
            <w:tcW w:w="60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Fair Value</w:t>
            </w:r>
          </w:p>
        </w:tc>
        <w:tc>
          <w:tcPr>
            <w:tcW w:w="28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assets - Fair value of derivative contracts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6020" w:type="dxa"/>
            <w:vAlign w:val="bottom"/>
            <w:gridSpan w:val="2"/>
          </w:tcPr>
          <w:p>
            <w:pPr>
              <w:ind w:left="100"/>
              <w:spacing w:after="0"/>
              <w:rPr>
                <w:sz w:val="20"/>
                <w:szCs w:val="20"/>
                <w:color w:val="auto"/>
              </w:rPr>
            </w:pPr>
            <w:r>
              <w:rPr>
                <w:rFonts w:ascii="Arial" w:cs="Arial" w:eastAsia="Arial" w:hAnsi="Arial"/>
                <w:sz w:val="18"/>
                <w:szCs w:val="18"/>
                <w:color w:val="auto"/>
              </w:rPr>
              <w:t>Other noncurrent assets - Fair value of derivative contracts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Current - Fair value of derivative contracts</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6020" w:type="dxa"/>
            <w:vAlign w:val="bottom"/>
            <w:gridSpan w:val="2"/>
          </w:tcPr>
          <w:p>
            <w:pPr>
              <w:ind w:left="120"/>
              <w:spacing w:after="0"/>
              <w:rPr>
                <w:sz w:val="20"/>
                <w:szCs w:val="20"/>
                <w:color w:val="auto"/>
              </w:rPr>
            </w:pPr>
            <w:r>
              <w:rPr>
                <w:rFonts w:ascii="Arial" w:cs="Arial" w:eastAsia="Arial" w:hAnsi="Arial"/>
                <w:sz w:val="18"/>
                <w:szCs w:val="18"/>
                <w:color w:val="auto"/>
              </w:rPr>
              <w:t>Noncurrent - Fair value of derivative contracts</w:t>
            </w: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right="340" w:hanging="332"/>
        <w:spacing w:after="0" w:line="273"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addition to our Brent based derivative contracts, we held swaps as of December 31, 2022 for offsetting notional volumes of natural gas to secure a margin for future physical sales of natural gas related to our marketing and trading activities. The fair value of these natural gas hedges was $4 million included in current liabilities at December 31, 2022.</w:t>
      </w:r>
    </w:p>
    <w:p>
      <w:pPr>
        <w:spacing w:after="0" w:line="19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 We recognized fair value changes on derivative instruments each reporting period in net gain (loss) from commodity derivatives on our condensed consolidated statements of operations for the three months ended March 31, 2023 and 2022. The changes in fair value result from the relationship between our existing positions, volatility, time to expiration, contract prices and the associated forward curves.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4" w:name="page15"/>
    <w:bookmarkEnd w:id="14"/>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INCOME TAXES</w:t>
      </w:r>
    </w:p>
    <w:p>
      <w:pPr>
        <w:spacing w:after="0" w:line="252"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The following table present the components of our total income tax provision and a reconciliation of the U.S. federal statutory rate to our effective tax rate:</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 before income taxes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income tax provision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income tax provision (benefit)</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income tax provision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federal statutory tax rate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 income taxes,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the valuation allowance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192"/>
        </w:trPr>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280" w:type="dxa"/>
            <w:vAlign w:val="bottom"/>
            <w:tcBorders>
              <w:bottom w:val="single" w:sz="8" w:color="auto"/>
            </w:tcBorders>
          </w:tcPr>
          <w:p>
            <w:pPr>
              <w:spacing w:after="0"/>
              <w:rPr>
                <w:sz w:val="16"/>
                <w:szCs w:val="16"/>
                <w:color w:val="auto"/>
              </w:rPr>
            </w:pPr>
          </w:p>
        </w:tc>
      </w:tr>
      <w:tr>
        <w:trPr>
          <w:trHeight w:val="227"/>
        </w:trPr>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461"/>
        </w:trPr>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5"/>
        </w:trPr>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-4693285</wp:posOffset>
            </wp:positionH>
            <wp:positionV relativeFrom="paragraph">
              <wp:posOffset>-796925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-479425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-187960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218"/>
        </w:trPr>
        <w:tc>
          <w:tcPr>
            <w:tcW w:w="1860" w:type="dxa"/>
            <w:vAlign w:val="bottom"/>
          </w:tcPr>
          <w:p>
            <w:pPr>
              <w:jc w:val="right"/>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186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7</w:t>
            </w:r>
          </w:p>
        </w:tc>
      </w:tr>
      <w:tr>
        <w:trPr>
          <w:trHeight w:val="235"/>
        </w:trPr>
        <w:tc>
          <w:tcPr>
            <w:tcW w:w="1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w:t>
            </w:r>
          </w:p>
        </w:tc>
      </w:tr>
      <w:tr>
        <w:trPr>
          <w:trHeight w:val="223"/>
        </w:trPr>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-4693285</wp:posOffset>
            </wp:positionH>
            <wp:positionV relativeFrom="paragraph">
              <wp:posOffset>-633730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-334010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0" w:space="720"/>
            <w:col w:w="3840"/>
          </w:cols>
          <w:pgMar w:left="320" w:top="890" w:right="339" w:bottom="1440" w:gutter="0" w:footer="0" w:header="0"/>
          <w:type w:val="continuous"/>
        </w:sectPr>
      </w:pPr>
    </w:p>
    <w:p>
      <w:pPr>
        <w:spacing w:after="0" w:line="105"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In the first quarter of 2022, we recognized a valuation allowance of $35 million for a portion of the tax loss on the sale of our Lost Hills assets, the deductibility of which was limited. We recognized the benefit of this tax loss in the first quarter of 2023 by releasing the valuation allowance after we jointly agreed to amend the original tax treatment with the buyer. Realization of our deferred tax assets is subjective and remains dependent on a number of factors including our ability to generate sufficient taxable income in future periods.</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DIVESTITURES AND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Ventura Basin Transactions</w:t>
      </w:r>
    </w:p>
    <w:p>
      <w:pPr>
        <w:spacing w:after="0" w:line="250"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 xml:space="preserve">In the three months ended March 31, 2022, we recorded a gain of $6 million related to the sale of certain Ventura basin assets. The closing of the sale of our remaining assets in the Ventura basin is subject to final approval from the State Lands Commission, which we expect to receive in the second half of 2023. These remaining assets, consisting of property, plant and equipment and associated asset retirement obligations, are classified as held for sale on our condensed consolidated balance sheets at March 31, 2023 and December 31, 2022. See </w:t>
      </w:r>
      <w:r>
        <w:rPr>
          <w:rFonts w:ascii="Arial" w:cs="Arial" w:eastAsia="Arial" w:hAnsi="Arial"/>
          <w:sz w:val="18"/>
          <w:szCs w:val="18"/>
          <w:i w:val="1"/>
          <w:iCs w:val="1"/>
          <w:color w:val="auto"/>
        </w:rPr>
        <w:t>Part II, Item 8 – Financial Statements and Supplementary Data, Note 3 Divestitures and Acquisitions</w:t>
      </w:r>
      <w:r>
        <w:rPr>
          <w:rFonts w:ascii="Arial" w:cs="Arial" w:eastAsia="Arial" w:hAnsi="Arial"/>
          <w:sz w:val="18"/>
          <w:szCs w:val="18"/>
          <w:color w:val="auto"/>
        </w:rPr>
        <w:t xml:space="preserve"> in our 2022 Annual Report for additional information on the Ventura basin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Lost Hills Transaction</w:t>
      </w:r>
    </w:p>
    <w:p>
      <w:pPr>
        <w:spacing w:after="0" w:line="250" w:lineRule="exact"/>
        <w:rPr>
          <w:sz w:val="20"/>
          <w:szCs w:val="20"/>
          <w:color w:val="auto"/>
        </w:rPr>
      </w:pPr>
    </w:p>
    <w:p>
      <w:pPr>
        <w:ind w:right="100" w:firstLine="324"/>
        <w:spacing w:after="0"/>
        <w:rPr>
          <w:sz w:val="20"/>
          <w:szCs w:val="20"/>
          <w:color w:val="auto"/>
        </w:rPr>
      </w:pPr>
      <w:r>
        <w:rPr>
          <w:rFonts w:ascii="Arial" w:cs="Arial" w:eastAsia="Arial" w:hAnsi="Arial"/>
          <w:sz w:val="18"/>
          <w:szCs w:val="18"/>
          <w:color w:val="auto"/>
        </w:rPr>
        <w:t>During the three months ended March 31, 2022, we sold our 50% non-operated working interest in certain horizons within our Lost Hills field, located in the San Joaquin basin, recognizing a gain of $49 million. We retained an option to capture, transport and store 100% of the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from steam generators across the Lost Hills field for future carbon management projects. We also retained 100% of the deep rights and related seismic data.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250"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During the three months ended March 31, 2023, we sold a non-core asset in exchange for the assumption of plugging and abandonment liabilities recognizing a $7 million gain. During the three months ended March 31, 2022, we sold non-core assets recognizing a $1 million loss.</w:t>
      </w:r>
    </w:p>
    <w:p>
      <w:pPr>
        <w:sectPr>
          <w:pgSz w:w="11900" w:h="16838" w:orient="portrait"/>
          <w:cols w:equalWidth="0" w:num="1">
            <w:col w:w="1124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the three months ended March 31, 2022, we acquired properties for carbon management activities for approximately $17 million. We are evaluating the sale of certain unwanted assets that were part of this acquisition and recognized an impairment of $3 million in the first quarter of 2023. The fair value of these assets, using Level 3 inputs in the fair value hierarchy, declined due to market conditions including inflation and rising interest rates. These assets are classified as held for sale as of March 31, 2023 on our condensed consolidated balance sheet.</w:t>
      </w: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STOCKHOLDERS' EQUITY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Board of Directors has authorized a Share Repurchase Program to acquire up to $ 1.1 billion of our common stock through June 30, 2024.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The following is a summary of our share repurchases, held as treasury stock for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Total Number of Shares</w:t>
            </w:r>
          </w:p>
        </w:tc>
        <w:tc>
          <w:tcPr>
            <w:tcW w:w="120" w:type="dxa"/>
            <w:vAlign w:val="bottom"/>
          </w:tcPr>
          <w:p>
            <w:pPr>
              <w:spacing w:after="0"/>
              <w:rPr>
                <w:sz w:val="17"/>
                <w:szCs w:val="17"/>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Dollar Value of Shares</w:t>
            </w:r>
          </w:p>
        </w:tc>
        <w:tc>
          <w:tcPr>
            <w:tcW w:w="2180" w:type="dxa"/>
            <w:vAlign w:val="bottom"/>
            <w:gridSpan w:val="2"/>
          </w:tcPr>
          <w:p>
            <w:pPr>
              <w:jc w:val="right"/>
              <w:ind w:right="14"/>
              <w:spacing w:after="0"/>
              <w:rPr>
                <w:sz w:val="20"/>
                <w:szCs w:val="20"/>
                <w:color w:val="auto"/>
              </w:rPr>
            </w:pPr>
            <w:r>
              <w:rPr>
                <w:rFonts w:ascii="Arial" w:cs="Arial" w:eastAsia="Arial" w:hAnsi="Arial"/>
                <w:sz w:val="18"/>
                <w:szCs w:val="18"/>
                <w:b w:val="1"/>
                <w:bCs w:val="1"/>
                <w:color w:val="auto"/>
              </w:rPr>
              <w:t>Average Price Paid per</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b w:val="1"/>
                <w:bCs w:val="1"/>
                <w:color w:val="auto"/>
                <w:w w:val="99"/>
              </w:rPr>
              <w:t>Purchased</w:t>
            </w:r>
          </w:p>
        </w:tc>
        <w:tc>
          <w:tcPr>
            <w:tcW w:w="2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color w:val="auto"/>
              </w:rPr>
              <w:t>(number of shares)</w:t>
            </w:r>
          </w:p>
        </w:tc>
        <w:tc>
          <w:tcPr>
            <w:tcW w:w="120" w:type="dxa"/>
            <w:vAlign w:val="bottom"/>
          </w:tcPr>
          <w:p>
            <w:pPr>
              <w:spacing w:after="0"/>
              <w:rPr>
                <w:sz w:val="16"/>
                <w:szCs w:val="16"/>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ind w:left="2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3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1,668,456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Three months ended March 31, 2023</w:t>
            </w:r>
          </w:p>
        </w:tc>
        <w:tc>
          <w:tcPr>
            <w:tcW w:w="2160" w:type="dxa"/>
            <w:vAlign w:val="bottom"/>
          </w:tcPr>
          <w:p>
            <w:pPr>
              <w:jc w:val="right"/>
              <w:spacing w:after="0"/>
              <w:rPr>
                <w:sz w:val="20"/>
                <w:szCs w:val="20"/>
                <w:color w:val="auto"/>
              </w:rPr>
            </w:pPr>
            <w:r>
              <w:rPr>
                <w:rFonts w:ascii="Arial" w:cs="Arial" w:eastAsia="Arial" w:hAnsi="Arial"/>
                <w:sz w:val="18"/>
                <w:szCs w:val="18"/>
                <w:color w:val="auto"/>
              </w:rPr>
              <w:t>1,423,764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rPr>
              <w:t>Inception of Program (May 2021) through March 31,</w:t>
            </w:r>
          </w:p>
        </w:tc>
        <w:tc>
          <w:tcPr>
            <w:tcW w:w="2160" w:type="dxa"/>
            <w:vAlign w:val="bottom"/>
            <w:vMerge w:val="restart"/>
          </w:tcPr>
          <w:p>
            <w:pPr>
              <w:jc w:val="right"/>
              <w:spacing w:after="0"/>
              <w:rPr>
                <w:sz w:val="20"/>
                <w:szCs w:val="20"/>
                <w:color w:val="auto"/>
              </w:rPr>
            </w:pPr>
            <w:r>
              <w:rPr>
                <w:rFonts w:ascii="Arial" w:cs="Arial" w:eastAsia="Arial" w:hAnsi="Arial"/>
                <w:sz w:val="18"/>
                <w:szCs w:val="18"/>
                <w:color w:val="auto"/>
              </w:rPr>
              <w:t>12,880,024</w:t>
            </w:r>
          </w:p>
        </w:tc>
        <w:tc>
          <w:tcPr>
            <w:tcW w:w="2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vMerge w:val="restart"/>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5"/>
                <w:szCs w:val="15"/>
                <w:color w:val="auto"/>
              </w:rPr>
            </w:pPr>
          </w:p>
        </w:tc>
        <w:tc>
          <w:tcPr>
            <w:tcW w:w="820" w:type="dxa"/>
            <w:vAlign w:val="bottom"/>
            <w:vMerge w:val="restart"/>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47"/>
        </w:trPr>
        <w:tc>
          <w:tcPr>
            <w:tcW w:w="4320" w:type="dxa"/>
            <w:vAlign w:val="bottom"/>
          </w:tcPr>
          <w:p>
            <w:pPr>
              <w:ind w:left="20"/>
              <w:spacing w:after="0"/>
              <w:rPr>
                <w:sz w:val="20"/>
                <w:szCs w:val="20"/>
                <w:color w:val="auto"/>
              </w:rPr>
            </w:pPr>
            <w:r>
              <w:rPr>
                <w:rFonts w:ascii="Arial" w:cs="Arial" w:eastAsia="Arial" w:hAnsi="Arial"/>
                <w:sz w:val="18"/>
                <w:szCs w:val="18"/>
                <w:color w:val="auto"/>
              </w:rPr>
              <w:t>2023</w:t>
            </w:r>
          </w:p>
        </w:tc>
        <w:tc>
          <w:tcPr>
            <w:tcW w:w="21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20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Note: The dollar value of shares purchased does not include commissions and excise taxes on share repurchases.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0" w:lineRule="exact"/>
        <w:rPr>
          <w:sz w:val="20"/>
          <w:szCs w:val="20"/>
          <w:color w:val="auto"/>
        </w:rPr>
      </w:pPr>
    </w:p>
    <w:p>
      <w:pPr>
        <w:jc w:val="both"/>
        <w:ind w:right="100" w:firstLine="324"/>
        <w:spacing w:after="0" w:line="268" w:lineRule="auto"/>
        <w:rPr>
          <w:sz w:val="20"/>
          <w:szCs w:val="20"/>
          <w:color w:val="auto"/>
        </w:rPr>
      </w:pPr>
      <w:r>
        <w:rPr>
          <w:rFonts w:ascii="Arial" w:cs="Arial" w:eastAsia="Arial" w:hAnsi="Arial"/>
          <w:sz w:val="18"/>
          <w:szCs w:val="18"/>
          <w:color w:val="auto"/>
        </w:rPr>
        <w:t>On February 23, 2023, our Board of Directors declared a quarterly cash dividend of $0.2825 per share of common stock and amounted to $20 million in the aggregate. The dividend was payable to shareholders of record at the close of business on March 6, 2023 and was paid on March 16, 2023.</w:t>
      </w:r>
    </w:p>
    <w:p>
      <w:pPr>
        <w:spacing w:after="0" w:line="19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 xml:space="preserve">Future cash dividends, and the establishment of record and payment dates, are subject to final determination by our Board of Directors each quarter after reviewing our financial performance and position. See </w:t>
      </w:r>
      <w:r>
        <w:rPr>
          <w:rFonts w:ascii="Arial" w:cs="Arial" w:eastAsia="Arial" w:hAnsi="Arial"/>
          <w:sz w:val="18"/>
          <w:szCs w:val="18"/>
          <w:i w:val="1"/>
          <w:iCs w:val="1"/>
          <w:color w:val="auto"/>
        </w:rPr>
        <w:t>Note 14 Subsequent Events</w:t>
      </w:r>
      <w:r>
        <w:rPr>
          <w:rFonts w:ascii="Arial" w:cs="Arial" w:eastAsia="Arial" w:hAnsi="Arial"/>
          <w:sz w:val="18"/>
          <w:szCs w:val="18"/>
          <w:color w:val="auto"/>
        </w:rPr>
        <w:t xml:space="preserve"> for information on future cash dividends.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50"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In October 2020, we reserved an aggregate 4,384,182 shares of our common stock for warrants which are exercisable at $36 per share through October 26, 2024.</w:t>
      </w:r>
    </w:p>
    <w:p>
      <w:pPr>
        <w:spacing w:after="0" w:line="180"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As of March 31, 2023, we had outstanding warrants exercisable into 4,295,321 shares of our common stock (subject to adjustments pursuant to the terms of the warrants). During the three months ended March 31, 2023 and 2022, we issued an insignificant amount of shares of our common stock in exchange for warrants.</w:t>
      </w:r>
    </w:p>
    <w:p>
      <w:pPr>
        <w:spacing w:after="0" w:line="198" w:lineRule="exact"/>
        <w:rPr>
          <w:sz w:val="20"/>
          <w:szCs w:val="20"/>
          <w:color w:val="auto"/>
        </w:rPr>
      </w:pPr>
    </w:p>
    <w:p>
      <w:pPr>
        <w:ind w:right="740" w:firstLine="324"/>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11 Stockholders' Equity</w:t>
      </w:r>
      <w:r>
        <w:rPr>
          <w:rFonts w:ascii="Arial" w:cs="Arial" w:eastAsia="Arial" w:hAnsi="Arial"/>
          <w:sz w:val="18"/>
          <w:szCs w:val="18"/>
          <w:color w:val="auto"/>
        </w:rPr>
        <w:t xml:space="preserve"> in our 2022 Annual Report for additional information on the terms of our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6" w:name="page17"/>
    <w:bookmarkEnd w:id="16"/>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EARNINGS PER SHARE</w:t>
      </w:r>
    </w:p>
    <w:p>
      <w:pPr>
        <w:spacing w:after="0" w:line="252"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Basic and diluted earnings per share (EPS) were calculated using the treasury stock method for the three months ended March 31, 2023 and 2022. Our restricted stock unit (RSU) and performance stock unit (PSU) awards are not considered participating securities since the dividend rights on unvested shares are forfeitable.</w:t>
      </w:r>
    </w:p>
    <w:p>
      <w:pPr>
        <w:spacing w:after="0" w:line="198"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For basic EPS, the weighted-average number of common shares outstanding excludes shares underlying our equity-settled awards and warrants. For diluted EPS, the basic shares outstanding are adjusted by adding potential common shares, if dilutive.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three months ended March 31, 2023 and 2022: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20" w:type="dxa"/>
            <w:vAlign w:val="bottom"/>
          </w:tcPr>
          <w:p>
            <w:pPr>
              <w:spacing w:after="0"/>
              <w:rPr>
                <w:sz w:val="20"/>
                <w:szCs w:val="20"/>
                <w:color w:val="auto"/>
              </w:rPr>
            </w:pPr>
          </w:p>
        </w:tc>
        <w:tc>
          <w:tcPr>
            <w:tcW w:w="342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820" w:type="dxa"/>
            <w:vAlign w:val="bottom"/>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188"/>
        </w:trPr>
        <w:tc>
          <w:tcPr>
            <w:tcW w:w="7820" w:type="dxa"/>
            <w:vAlign w:val="bottom"/>
          </w:tcPr>
          <w:p>
            <w:pPr>
              <w:spacing w:after="0"/>
              <w:rPr>
                <w:sz w:val="16"/>
                <w:szCs w:val="16"/>
                <w:color w:val="auto"/>
              </w:rPr>
            </w:pPr>
          </w:p>
        </w:tc>
        <w:tc>
          <w:tcPr>
            <w:tcW w:w="3420" w:type="dxa"/>
            <w:vAlign w:val="bottom"/>
            <w:gridSpan w:val="5"/>
          </w:tcPr>
          <w:p>
            <w:pPr>
              <w:jc w:val="right"/>
              <w:ind w:right="370"/>
              <w:spacing w:after="0"/>
              <w:rPr>
                <w:sz w:val="20"/>
                <w:szCs w:val="20"/>
                <w:color w:val="auto"/>
              </w:rPr>
            </w:pPr>
            <w:r>
              <w:rPr>
                <w:rFonts w:ascii="Arial" w:cs="Arial" w:eastAsia="Arial" w:hAnsi="Arial"/>
                <w:sz w:val="14"/>
                <w:szCs w:val="14"/>
                <w:color w:val="auto"/>
              </w:rPr>
              <w:t>(in millions, except per-share amounts)</w:t>
            </w:r>
          </w:p>
        </w:tc>
      </w:tr>
      <w:tr>
        <w:trPr>
          <w:trHeight w:val="238"/>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Numerator for Basic and Diluted EPS</w:t>
            </w: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140" w:type="dxa"/>
            <w:vAlign w:val="bottom"/>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70"/>
        </w:trPr>
        <w:tc>
          <w:tcPr>
            <w:tcW w:w="7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Basic EPS</w:t>
            </w:r>
          </w:p>
        </w:tc>
        <w:tc>
          <w:tcPr>
            <w:tcW w:w="1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r>
      <w:tr>
        <w:trPr>
          <w:trHeight w:val="223"/>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Weighted-average shares</w:t>
            </w: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r>
      <w:tr>
        <w:trPr>
          <w:trHeight w:val="250"/>
        </w:trPr>
        <w:tc>
          <w:tcPr>
            <w:tcW w:w="78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Potential Common Shares, if dilutive:</w:t>
            </w: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Restricted Stock Units</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Stock Units</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Diluted EPS</w:t>
            </w:r>
          </w:p>
        </w:tc>
        <w:tc>
          <w:tcPr>
            <w:tcW w:w="1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r>
      <w:tr>
        <w:trPr>
          <w:trHeight w:val="223"/>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Weighted-average shares</w:t>
            </w: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r>
      <w:tr>
        <w:trPr>
          <w:trHeight w:val="250"/>
        </w:trPr>
        <w:tc>
          <w:tcPr>
            <w:tcW w:w="78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EPS</w:t>
            </w: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140" w:type="dxa"/>
            <w:vAlign w:val="bottom"/>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9"/>
        </w:trPr>
        <w:tc>
          <w:tcPr>
            <w:tcW w:w="7820" w:type="dxa"/>
            <w:vAlign w:val="bottom"/>
          </w:tcPr>
          <w:p>
            <w:pPr>
              <w:ind w:left="140"/>
              <w:spacing w:after="0"/>
              <w:rPr>
                <w:sz w:val="20"/>
                <w:szCs w:val="20"/>
                <w:color w:val="auto"/>
              </w:rPr>
            </w:pPr>
            <w:r>
              <w:rPr>
                <w:rFonts w:ascii="Arial" w:cs="Arial" w:eastAsia="Arial" w:hAnsi="Arial"/>
                <w:sz w:val="18"/>
                <w:szCs w:val="18"/>
                <w:color w:val="auto"/>
              </w:rPr>
              <w:t>Diluted</w:t>
            </w:r>
          </w:p>
        </w:tc>
        <w:tc>
          <w:tcPr>
            <w:tcW w:w="1140" w:type="dxa"/>
            <w:vAlign w:val="bottom"/>
          </w:tcPr>
          <w:p>
            <w:pPr>
              <w:jc w:val="right"/>
              <w:ind w:right="93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(2.23)</w:t>
            </w:r>
          </w:p>
        </w:tc>
      </w:tr>
    </w:tbl>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potentially dilutive weighted-average common shares which were excluded from the denominator for diluted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EPS in the periods presented:</w:t>
      </w:r>
    </w:p>
    <w:p>
      <w:pPr>
        <w:spacing w:after="0" w:line="275"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7860" w:type="dxa"/>
        <w:tblCellMar>
          <w:top w:w="0" w:type="dxa"/>
          <w:left w:w="0" w:type="dxa"/>
          <w:bottom w:w="0" w:type="dxa"/>
          <w:right w:w="0" w:type="dxa"/>
        </w:tblCellMar>
      </w:tblPr>
      <w:tr>
        <w:trPr>
          <w:trHeight w:val="223"/>
        </w:trPr>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22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8"/>
                <w:szCs w:val="18"/>
                <w:b w:val="1"/>
                <w:bCs w:val="1"/>
                <w:color w:val="auto"/>
              </w:rPr>
              <w:t>2022</w:t>
            </w:r>
          </w:p>
        </w:tc>
      </w:tr>
      <w:tr>
        <w:trPr>
          <w:trHeight w:val="208"/>
        </w:trPr>
        <w:tc>
          <w:tcPr>
            <w:tcW w:w="1140" w:type="dxa"/>
            <w:vAlign w:val="bottom"/>
          </w:tcPr>
          <w:p>
            <w:pPr>
              <w:spacing w:after="0"/>
              <w:rPr>
                <w:sz w:val="18"/>
                <w:szCs w:val="18"/>
                <w:color w:val="auto"/>
              </w:rPr>
            </w:pPr>
          </w:p>
        </w:tc>
        <w:tc>
          <w:tcPr>
            <w:tcW w:w="2240" w:type="dxa"/>
            <w:vAlign w:val="bottom"/>
          </w:tcPr>
          <w:p>
            <w:pPr>
              <w:jc w:val="right"/>
              <w:ind w:right="1195"/>
              <w:spacing w:after="0"/>
              <w:rPr>
                <w:sz w:val="20"/>
                <w:szCs w:val="20"/>
                <w:color w:val="auto"/>
              </w:rPr>
            </w:pPr>
            <w:r>
              <w:rPr>
                <w:rFonts w:ascii="Arial" w:cs="Arial" w:eastAsia="Arial" w:hAnsi="Arial"/>
                <w:sz w:val="16"/>
                <w:szCs w:val="16"/>
                <w:color w:val="auto"/>
              </w:rPr>
              <w:t>(in millions)</w:t>
            </w:r>
          </w:p>
        </w:tc>
      </w:tr>
    </w:tbl>
    <w:p>
      <w:pPr>
        <w:spacing w:after="0" w:line="1" w:lineRule="exact"/>
        <w:rPr>
          <w:sz w:val="20"/>
          <w:szCs w:val="20"/>
          <w:color w:val="auto"/>
        </w:rPr>
      </w:pPr>
    </w:p>
    <w:p>
      <w:pPr>
        <w:sectPr>
          <w:pgSz w:w="11900" w:h="16838" w:orient="portrait"/>
          <w:cols w:equalWidth="0" w:num="1">
            <w:col w:w="11240"/>
          </w:cols>
          <w:pgMar w:left="320" w:top="890" w:right="339" w:bottom="1440" w:gutter="0" w:footer="0" w:header="0"/>
        </w:sectPr>
      </w:pPr>
    </w:p>
    <w:p>
      <w:pPr>
        <w:ind w:left="20"/>
        <w:spacing w:after="0"/>
        <w:rPr>
          <w:sz w:val="20"/>
          <w:szCs w:val="20"/>
          <w:color w:val="auto"/>
        </w:rPr>
      </w:pPr>
      <w:r>
        <w:rPr>
          <w:rFonts w:ascii="Arial" w:cs="Arial" w:eastAsia="Arial" w:hAnsi="Arial"/>
          <w:sz w:val="18"/>
          <w:szCs w:val="18"/>
          <w:color w:val="auto"/>
        </w:rPr>
        <w:t>Shares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issuable upon settlement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issuable upon settlement of PSUs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antidilutive 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5"/>
        </w:trPr>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164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40" w:space="720"/>
            <w:col w:w="338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7" w:name="page18"/>
    <w:bookmarkEnd w:id="17"/>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PENSION AND POSTRETIREMENT BENEFIT PLANS</w:t>
      </w:r>
    </w:p>
    <w:p>
      <w:pPr>
        <w:spacing w:after="0" w:line="252"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 for the three months ended March 31, 2023 and 2022:</w:t>
      </w:r>
    </w:p>
    <w:p>
      <w:pPr>
        <w:sectPr>
          <w:pgSz w:w="11900" w:h="16838" w:orient="portrait"/>
          <w:cols w:equalWidth="0" w:num="1">
            <w:col w:w="11240"/>
          </w:cols>
          <w:pgMar w:left="320" w:top="890" w:right="339" w:bottom="1440" w:gutter="0" w:footer="0" w:header="0"/>
        </w:sectPr>
      </w:pPr>
    </w:p>
    <w:p>
      <w:pPr>
        <w:spacing w:after="0" w:line="22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3340" w:type="dxa"/>
        <w:tblCellMar>
          <w:top w:w="0" w:type="dxa"/>
          <w:left w:w="0" w:type="dxa"/>
          <w:bottom w:w="0" w:type="dxa"/>
          <w:right w:w="0" w:type="dxa"/>
        </w:tblCellMar>
      </w:tblPr>
      <w:tr>
        <w:trPr>
          <w:trHeight w:val="223"/>
        </w:trPr>
        <w:tc>
          <w:tcPr>
            <w:tcW w:w="144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tcPr>
          <w:p>
            <w:pPr>
              <w:jc w:val="right"/>
              <w:ind w:right="1655"/>
              <w:spacing w:after="0"/>
              <w:rPr>
                <w:sz w:val="20"/>
                <w:szCs w:val="20"/>
                <w:color w:val="auto"/>
              </w:rPr>
            </w:pPr>
            <w:r>
              <w:rPr>
                <w:rFonts w:ascii="Arial" w:cs="Arial" w:eastAsia="Arial" w:hAnsi="Arial"/>
                <w:sz w:val="18"/>
                <w:szCs w:val="18"/>
                <w:b w:val="1"/>
                <w:bCs w:val="1"/>
                <w:color w:val="auto"/>
              </w:rPr>
              <w:t>2023</w:t>
            </w:r>
          </w:p>
        </w:tc>
      </w:tr>
      <w:tr>
        <w:trPr>
          <w:trHeight w:val="169"/>
        </w:trPr>
        <w:tc>
          <w:tcPr>
            <w:tcW w:w="1440" w:type="dxa"/>
            <w:vAlign w:val="bottom"/>
          </w:tcPr>
          <w:p>
            <w:pPr>
              <w:jc w:val="center"/>
              <w:ind w:left="370"/>
              <w:spacing w:after="0" w:line="169" w:lineRule="exact"/>
              <w:rPr>
                <w:sz w:val="20"/>
                <w:szCs w:val="20"/>
                <w:color w:val="auto"/>
              </w:rPr>
            </w:pPr>
            <w:r>
              <w:rPr>
                <w:rFonts w:ascii="Arial" w:cs="Arial" w:eastAsia="Arial" w:hAnsi="Arial"/>
                <w:sz w:val="18"/>
                <w:szCs w:val="18"/>
                <w:b w:val="1"/>
                <w:bCs w:val="1"/>
                <w:color w:val="auto"/>
                <w:w w:val="99"/>
              </w:rPr>
              <w:t>Pension</w:t>
            </w:r>
          </w:p>
        </w:tc>
        <w:tc>
          <w:tcPr>
            <w:tcW w:w="2440" w:type="dxa"/>
            <w:vAlign w:val="bottom"/>
          </w:tcPr>
          <w:p>
            <w:pPr>
              <w:jc w:val="center"/>
              <w:ind w:left="455"/>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43"/>
        </w:trPr>
        <w:tc>
          <w:tcPr>
            <w:tcW w:w="14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8"/>
              </w:rPr>
              <w:t>Benefit</w:t>
            </w:r>
          </w:p>
        </w:tc>
        <w:tc>
          <w:tcPr>
            <w:tcW w:w="2440" w:type="dxa"/>
            <w:vAlign w:val="bottom"/>
            <w:tcBorders>
              <w:bottom w:val="single" w:sz="8" w:color="auto"/>
            </w:tcBorders>
          </w:tcPr>
          <w:p>
            <w:pPr>
              <w:jc w:val="center"/>
              <w:ind w:left="455"/>
              <w:spacing w:after="0"/>
              <w:rPr>
                <w:sz w:val="20"/>
                <w:szCs w:val="20"/>
                <w:color w:val="auto"/>
              </w:rPr>
            </w:pPr>
            <w:r>
              <w:rPr>
                <w:rFonts w:ascii="Arial" w:cs="Arial" w:eastAsia="Arial" w:hAnsi="Arial"/>
                <w:sz w:val="18"/>
                <w:szCs w:val="18"/>
                <w:b w:val="1"/>
                <w:bCs w:val="1"/>
                <w:color w:val="auto"/>
              </w:rPr>
              <w:t>Benefit</w:t>
            </w:r>
          </w:p>
        </w:tc>
      </w:tr>
      <w:tr>
        <w:trPr>
          <w:trHeight w:val="188"/>
        </w:trPr>
        <w:tc>
          <w:tcPr>
            <w:tcW w:w="1440" w:type="dxa"/>
            <w:vAlign w:val="bottom"/>
          </w:tcPr>
          <w:p>
            <w:pPr>
              <w:spacing w:after="0"/>
              <w:rPr>
                <w:sz w:val="16"/>
                <w:szCs w:val="16"/>
                <w:color w:val="auto"/>
              </w:rPr>
            </w:pPr>
          </w:p>
        </w:tc>
        <w:tc>
          <w:tcPr>
            <w:tcW w:w="2440" w:type="dxa"/>
            <w:vAlign w:val="bottom"/>
          </w:tcPr>
          <w:p>
            <w:pPr>
              <w:jc w:val="center"/>
              <w:ind w:right="1355"/>
              <w:spacing w:after="0"/>
              <w:rPr>
                <w:sz w:val="20"/>
                <w:szCs w:val="20"/>
                <w:color w:val="auto"/>
              </w:rPr>
            </w:pPr>
            <w:r>
              <w:rPr>
                <w:rFonts w:ascii="Arial" w:cs="Arial" w:eastAsia="Arial" w:hAnsi="Arial"/>
                <w:sz w:val="14"/>
                <w:szCs w:val="14"/>
                <w:color w:val="auto"/>
              </w:rPr>
              <w:t>(in millions)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tcPr>
          <w:p>
            <w:pPr>
              <w:jc w:val="right"/>
              <w:ind w:right="1655"/>
              <w:spacing w:after="0"/>
              <w:rPr>
                <w:sz w:val="20"/>
                <w:szCs w:val="20"/>
                <w:color w:val="auto"/>
              </w:rPr>
            </w:pPr>
            <w:r>
              <w:rPr>
                <w:rFonts w:ascii="Arial" w:cs="Arial" w:eastAsia="Arial" w:hAnsi="Arial"/>
                <w:sz w:val="18"/>
                <w:szCs w:val="18"/>
                <w:b w:val="1"/>
                <w:bCs w:val="1"/>
                <w:color w:val="auto"/>
              </w:rPr>
              <w:t>2022</w:t>
            </w:r>
          </w:p>
        </w:tc>
      </w:tr>
      <w:tr>
        <w:trPr>
          <w:trHeight w:val="169"/>
        </w:trPr>
        <w:tc>
          <w:tcPr>
            <w:tcW w:w="1420" w:type="dxa"/>
            <w:vAlign w:val="bottom"/>
          </w:tcPr>
          <w:p>
            <w:pPr>
              <w:jc w:val="center"/>
              <w:ind w:left="350"/>
              <w:spacing w:after="0" w:line="169" w:lineRule="exact"/>
              <w:rPr>
                <w:sz w:val="20"/>
                <w:szCs w:val="20"/>
                <w:color w:val="auto"/>
              </w:rPr>
            </w:pPr>
            <w:r>
              <w:rPr>
                <w:rFonts w:ascii="Arial" w:cs="Arial" w:eastAsia="Arial" w:hAnsi="Arial"/>
                <w:sz w:val="18"/>
                <w:szCs w:val="18"/>
                <w:b w:val="1"/>
                <w:bCs w:val="1"/>
                <w:color w:val="auto"/>
                <w:w w:val="99"/>
              </w:rPr>
              <w:t>Pension</w:t>
            </w:r>
          </w:p>
        </w:tc>
        <w:tc>
          <w:tcPr>
            <w:tcW w:w="2460" w:type="dxa"/>
            <w:vAlign w:val="bottom"/>
          </w:tcPr>
          <w:p>
            <w:pPr>
              <w:jc w:val="center"/>
              <w:ind w:left="475"/>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43"/>
        </w:trPr>
        <w:tc>
          <w:tcPr>
            <w:tcW w:w="14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rPr>
              <w:t>Benefit</w:t>
            </w:r>
          </w:p>
        </w:tc>
        <w:tc>
          <w:tcPr>
            <w:tcW w:w="246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b w:val="1"/>
                <w:bCs w:val="1"/>
                <w:color w:val="auto"/>
              </w:rPr>
              <w:t>Benefit</w:t>
            </w:r>
          </w:p>
        </w:tc>
      </w:tr>
      <w:tr>
        <w:trPr>
          <w:trHeight w:val="188"/>
        </w:trPr>
        <w:tc>
          <w:tcPr>
            <w:tcW w:w="1420" w:type="dxa"/>
            <w:vAlign w:val="bottom"/>
          </w:tcPr>
          <w:p>
            <w:pPr>
              <w:spacing w:after="0"/>
              <w:rPr>
                <w:sz w:val="16"/>
                <w:szCs w:val="16"/>
                <w:color w:val="auto"/>
              </w:rPr>
            </w:pPr>
          </w:p>
        </w:tc>
        <w:tc>
          <w:tcPr>
            <w:tcW w:w="2460" w:type="dxa"/>
            <w:vAlign w:val="bottom"/>
          </w:tcPr>
          <w:p>
            <w:pPr>
              <w:jc w:val="center"/>
              <w:ind w:right="1335"/>
              <w:spacing w:after="0"/>
              <w:rPr>
                <w:sz w:val="20"/>
                <w:szCs w:val="20"/>
                <w:color w:val="auto"/>
              </w:rPr>
            </w:pPr>
            <w:r>
              <w:rPr>
                <w:rFonts w:ascii="Arial" w:cs="Arial" w:eastAsia="Arial" w:hAnsi="Arial"/>
                <w:sz w:val="14"/>
                <w:szCs w:val="14"/>
                <w:color w:val="auto"/>
              </w:rPr>
              <w:t>(in millions)</w:t>
            </w:r>
          </w:p>
        </w:tc>
      </w:tr>
    </w:tbl>
    <w:p>
      <w:pPr>
        <w:spacing w:after="0" w:line="1" w:lineRule="exact"/>
        <w:rPr>
          <w:sz w:val="20"/>
          <w:szCs w:val="20"/>
          <w:color w:val="auto"/>
        </w:rPr>
      </w:pPr>
    </w:p>
    <w:p>
      <w:pPr>
        <w:sectPr>
          <w:pgSz w:w="11900" w:h="16838" w:orient="portrait"/>
          <w:cols w:equalWidth="0" w:num="2">
            <w:col w:w="7220" w:space="140"/>
            <w:col w:w="3880"/>
          </w:cols>
          <w:pgMar w:left="320" w:top="890"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33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Service cost - benefits earned during the</w:t>
            </w: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880" w:type="dxa"/>
            <w:vAlign w:val="bottom"/>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88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33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periodic benefit costs</w:t>
            </w: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9"/>
              </w:rPr>
              <w:t>(1)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We did not make contributions to our defined benefit plans during the three months ended March 31, 2023 and do not expect to make any additional contributions during the remainder of the year. During the three months ended March 31, 2022, we made contributions of approximately $1 million to our defined benefit plans.</w:t>
      </w:r>
    </w:p>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11</w:t>
        <w:tab/>
        <w:t>REVENUE</w:t>
      </w:r>
    </w:p>
    <w:p>
      <w:pPr>
        <w:spacing w:after="0" w:line="239" w:lineRule="exact"/>
        <w:rPr>
          <w:sz w:val="20"/>
          <w:szCs w:val="20"/>
          <w:color w:val="auto"/>
        </w:rPr>
      </w:pPr>
    </w:p>
    <w:p>
      <w:pPr>
        <w:ind w:right="360" w:firstLine="324"/>
        <w:spacing w:after="0" w:line="271" w:lineRule="auto"/>
        <w:rPr>
          <w:sz w:val="20"/>
          <w:szCs w:val="20"/>
          <w:color w:val="auto"/>
        </w:rPr>
      </w:pPr>
      <w:r>
        <w:rPr>
          <w:rFonts w:ascii="Arial" w:cs="Arial" w:eastAsia="Arial" w:hAnsi="Arial"/>
          <w:sz w:val="18"/>
          <w:szCs w:val="18"/>
          <w:color w:val="auto"/>
        </w:rPr>
        <w:t>We derive most of our revenue from sales of oil, natural gas and NGLs, with the remaining revenue primarily generated from sales of electricity and marketing activities related to storage and managing excess pipeline capacity.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disaggregated revenue for sales of produced oil, natural gas and NGLs to customers: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20" w:type="dxa"/>
            <w:vAlign w:val="bottom"/>
          </w:tcPr>
          <w:p>
            <w:pPr>
              <w:spacing w:after="0"/>
              <w:rPr>
                <w:sz w:val="20"/>
                <w:szCs w:val="20"/>
                <w:color w:val="auto"/>
              </w:rPr>
            </w:pPr>
          </w:p>
        </w:tc>
        <w:tc>
          <w:tcPr>
            <w:tcW w:w="3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500" w:type="dxa"/>
            <w:vAlign w:val="bottom"/>
            <w:tcBorders>
              <w:bottom w:val="single" w:sz="8" w:color="auto"/>
            </w:tcBorders>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r>
      <w:tr>
        <w:trPr>
          <w:trHeight w:val="192"/>
        </w:trPr>
        <w:tc>
          <w:tcPr>
            <w:tcW w:w="7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80" w:type="dxa"/>
            <w:vAlign w:val="bottom"/>
            <w:gridSpan w:val="3"/>
          </w:tcPr>
          <w:p>
            <w:pPr>
              <w:jc w:val="right"/>
              <w:ind w:right="101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6"/>
                <w:szCs w:val="16"/>
                <w:color w:val="auto"/>
              </w:rPr>
            </w:pPr>
          </w:p>
        </w:tc>
      </w:tr>
      <w:tr>
        <w:trPr>
          <w:trHeight w:val="23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NGLs</w:t>
            </w:r>
          </w:p>
        </w:tc>
        <w:tc>
          <w:tcPr>
            <w:tcW w:w="1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Oil, natural gas and NGL sales</w:t>
            </w:r>
          </w:p>
        </w:tc>
        <w:tc>
          <w:tcPr>
            <w:tcW w:w="134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r>
      <w:tr>
        <w:trPr>
          <w:trHeight w:val="20"/>
        </w:trPr>
        <w:tc>
          <w:tcPr>
            <w:tcW w:w="7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8" w:name="page19"/>
    <w:bookmarkEnd w:id="18"/>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SUPPLEMENTAL ACCOUNT BALANCES</w:t>
      </w:r>
    </w:p>
    <w:p>
      <w:pPr>
        <w:spacing w:after="0" w:line="252" w:lineRule="exact"/>
        <w:rPr>
          <w:sz w:val="20"/>
          <w:szCs w:val="20"/>
          <w:color w:val="auto"/>
        </w:rPr>
      </w:pPr>
    </w:p>
    <w:p>
      <w:pPr>
        <w:ind w:right="280" w:firstLine="324"/>
        <w:spacing w:after="0" w:line="266"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Materials and supplies, which primarily consist of well equipment and tubular goods used in our oil and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are valued at weighted-average cost and are reviewed periodically for obsolescence. Finished goods include produced oil and NGLs in storage, which are valued at the lower of cost or net realizable value. Inventories, by category, are as follows:</w:t>
      </w: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center"/>
              <w:ind w:left="350"/>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420" w:type="dxa"/>
            <w:vAlign w:val="bottom"/>
            <w:tcBorders>
              <w:bottom w:val="single" w:sz="8" w:color="auto"/>
            </w:tcBorders>
            <w:gridSpan w:val="2"/>
          </w:tcPr>
          <w:p>
            <w:pPr>
              <w:jc w:val="center"/>
              <w:ind w:left="370"/>
              <w:spacing w:after="0"/>
              <w:rPr>
                <w:sz w:val="20"/>
                <w:szCs w:val="20"/>
                <w:color w:val="auto"/>
              </w:rPr>
            </w:pPr>
            <w:r>
              <w:rPr>
                <w:rFonts w:ascii="Arial" w:cs="Arial" w:eastAsia="Arial" w:hAnsi="Arial"/>
                <w:sz w:val="18"/>
                <w:szCs w:val="18"/>
                <w:b w:val="1"/>
                <w:bCs w:val="1"/>
                <w:color w:val="auto"/>
                <w:w w:val="99"/>
              </w:rPr>
              <w:t>2023</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Materials and supplies</w:t>
            </w:r>
          </w:p>
        </w:tc>
        <w:tc>
          <w:tcPr>
            <w:tcW w:w="1420" w:type="dxa"/>
            <w:vAlign w:val="bottom"/>
            <w:gridSpan w:val="2"/>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Finished goods</w:t>
            </w: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1420" w:type="dxa"/>
            <w:vAlign w:val="bottom"/>
            <w:tcBorders>
              <w:bottom w:val="single" w:sz="8" w:color="auto"/>
            </w:tcBorders>
            <w:gridSpan w:val="2"/>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i w:val="1"/>
                <w:iCs w:val="1"/>
                <w:color w:val="auto"/>
              </w:rPr>
              <w:t xml:space="preserve">Other current assets, net </w:t>
            </w:r>
            <w:r>
              <w:rPr>
                <w:rFonts w:ascii="Arial" w:cs="Arial" w:eastAsia="Arial" w:hAnsi="Arial"/>
                <w:sz w:val="18"/>
                <w:szCs w:val="18"/>
                <w:color w:val="auto"/>
              </w:rPr>
              <w:t>— Other current assets, net includes the following:</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40" w:type="dxa"/>
            <w:vAlign w:val="bottom"/>
          </w:tcPr>
          <w:p>
            <w:pPr>
              <w:spacing w:after="0"/>
              <w:rPr>
                <w:sz w:val="24"/>
                <w:szCs w:val="24"/>
                <w:color w:val="auto"/>
              </w:rPr>
            </w:pPr>
          </w:p>
        </w:tc>
        <w:tc>
          <w:tcPr>
            <w:tcW w:w="7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jc w:val="center"/>
              <w:ind w:left="350"/>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42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9"/>
              </w:rPr>
              <w:t>2023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340" w:type="dxa"/>
            <w:vAlign w:val="bottom"/>
            <w:shd w:val="clear" w:color="auto" w:fill="CCEEFF"/>
          </w:tcPr>
          <w:p>
            <w:pPr>
              <w:spacing w:after="0" w:line="233" w:lineRule="exact"/>
              <w:rPr>
                <w:sz w:val="20"/>
                <w:szCs w:val="20"/>
                <w:color w:val="auto"/>
              </w:rPr>
            </w:pPr>
            <w:r>
              <w:rPr>
                <w:rFonts w:ascii="Arial" w:cs="Arial" w:eastAsia="Arial" w:hAnsi="Arial"/>
                <w:sz w:val="18"/>
                <w:szCs w:val="18"/>
                <w:color w:val="auto"/>
              </w:rPr>
              <w:t>Net amounts due from joint interest partners</w:t>
            </w:r>
            <w:r>
              <w:rPr>
                <w:rFonts w:ascii="Arial" w:cs="Arial" w:eastAsia="Arial" w:hAnsi="Arial"/>
                <w:sz w:val="23"/>
                <w:szCs w:val="23"/>
                <w:color w:val="auto"/>
                <w:vertAlign w:val="superscript"/>
              </w:rPr>
              <w:t>(a)</w:t>
            </w:r>
          </w:p>
        </w:tc>
        <w:tc>
          <w:tcPr>
            <w:tcW w:w="1420" w:type="dxa"/>
            <w:vAlign w:val="bottom"/>
            <w:gridSpan w:val="2"/>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Fair value of derivative contracts</w:t>
            </w: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Greenhouse gas allowances</w:t>
            </w: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Natural gas margin deposits</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Income tax receivable</w:t>
            </w: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40" w:type="dxa"/>
            <w:vAlign w:val="bottom"/>
          </w:tcPr>
          <w:p>
            <w:pPr>
              <w:ind w:left="120"/>
              <w:spacing w:after="0"/>
              <w:rPr>
                <w:sz w:val="20"/>
                <w:szCs w:val="20"/>
                <w:color w:val="auto"/>
              </w:rPr>
            </w:pPr>
            <w:r>
              <w:rPr>
                <w:rFonts w:ascii="Arial" w:cs="Arial" w:eastAsia="Arial" w:hAnsi="Arial"/>
                <w:sz w:val="18"/>
                <w:szCs w:val="18"/>
                <w:color w:val="auto"/>
              </w:rPr>
              <w:t>Other current assets, net</w:t>
            </w:r>
          </w:p>
        </w:tc>
        <w:tc>
          <w:tcPr>
            <w:tcW w:w="20" w:type="dxa"/>
            <w:vAlign w:val="bottom"/>
          </w:tcPr>
          <w:p>
            <w:pPr>
              <w:spacing w:after="0"/>
              <w:rPr>
                <w:sz w:val="19"/>
                <w:szCs w:val="19"/>
                <w:color w:val="auto"/>
              </w:rPr>
            </w:pPr>
          </w:p>
        </w:tc>
        <w:tc>
          <w:tcPr>
            <w:tcW w:w="140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Included in the March 31, 2023 and December 31, 2022 net amounts due from joint interest partners are allowances of $1 million.</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7360" w:type="dxa"/>
            <w:vAlign w:val="bottom"/>
          </w:tcPr>
          <w:p>
            <w:pPr>
              <w:ind w:left="300"/>
              <w:spacing w:after="0"/>
              <w:rPr>
                <w:sz w:val="20"/>
                <w:szCs w:val="20"/>
                <w:color w:val="auto"/>
              </w:rPr>
            </w:pPr>
            <w:r>
              <w:rPr>
                <w:rFonts w:ascii="Arial" w:cs="Arial" w:eastAsia="Arial" w:hAnsi="Arial"/>
                <w:sz w:val="18"/>
                <w:szCs w:val="18"/>
                <w:i w:val="1"/>
                <w:iCs w:val="1"/>
                <w:color w:val="auto"/>
              </w:rPr>
              <w:t xml:space="preserve">Other noncurrent assets </w:t>
            </w:r>
            <w:r>
              <w:rPr>
                <w:rFonts w:ascii="Arial" w:cs="Arial" w:eastAsia="Arial" w:hAnsi="Arial"/>
                <w:sz w:val="18"/>
                <w:szCs w:val="18"/>
                <w:color w:val="auto"/>
              </w:rPr>
              <w:t>— Other noncurrent assets includes the following:</w:t>
            </w:r>
          </w:p>
        </w:tc>
        <w:tc>
          <w:tcPr>
            <w:tcW w:w="1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28"/>
        </w:trPr>
        <w:tc>
          <w:tcPr>
            <w:tcW w:w="73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360" w:type="dxa"/>
            <w:vAlign w:val="bottom"/>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192"/>
        </w:trPr>
        <w:tc>
          <w:tcPr>
            <w:tcW w:w="7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6"/>
                <w:szCs w:val="16"/>
                <w:color w:val="auto"/>
              </w:rPr>
            </w:pPr>
          </w:p>
        </w:tc>
      </w:tr>
      <w:tr>
        <w:trPr>
          <w:trHeight w:val="233"/>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4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Deferred financing costs - Revolving Credit Facility</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Emission reduction credits</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Prepaid power plant maintenance</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Deposits and other</w:t>
            </w: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7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noncurrent assets</w:t>
            </w: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320" w:type="dxa"/>
            <w:vAlign w:val="bottom"/>
          </w:tcPr>
          <w:p>
            <w:pPr>
              <w:ind w:left="300"/>
              <w:spacing w:after="0"/>
              <w:rPr>
                <w:sz w:val="20"/>
                <w:szCs w:val="20"/>
                <w:color w:val="auto"/>
              </w:rPr>
            </w:pP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 Accrued liabilities includes the following:</w:t>
            </w: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jc w:val="center"/>
              <w:ind w:left="350"/>
              <w:spacing w:after="0"/>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44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99"/>
              </w:rPr>
              <w:t>2023</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color w:val="auto"/>
              </w:rPr>
              <w:t>(in millions)</w:t>
            </w:r>
          </w:p>
        </w:tc>
        <w:tc>
          <w:tcPr>
            <w:tcW w:w="15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employee-related costs</w:t>
            </w:r>
          </w:p>
        </w:tc>
        <w:tc>
          <w:tcPr>
            <w:tcW w:w="1440" w:type="dxa"/>
            <w:vAlign w:val="bottom"/>
            <w:gridSpan w:val="2"/>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Accrued taxes other than on income</w:t>
            </w: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Accrued interest</w:t>
            </w: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Premiums due on derivative contracts</w:t>
            </w: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Liability for settlement payments on derivative contracts</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Amounts due under production-sharing contracts</w:t>
            </w: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2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i w:val="1"/>
                <w:iCs w:val="1"/>
                <w:color w:val="auto"/>
              </w:rPr>
              <w:t xml:space="preserve">Other long-term liabilities </w:t>
            </w:r>
            <w:r>
              <w:rPr>
                <w:rFonts w:ascii="Arial" w:cs="Arial" w:eastAsia="Arial" w:hAnsi="Arial"/>
                <w:sz w:val="18"/>
                <w:szCs w:val="18"/>
                <w:color w:val="auto"/>
              </w:rPr>
              <w:t>— Other long-term liabilities includes the following:</w:t>
            </w:r>
          </w:p>
        </w:tc>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0" w:type="dxa"/>
            <w:vAlign w:val="bottom"/>
          </w:tcPr>
          <w:p>
            <w:pPr>
              <w:spacing w:after="0"/>
              <w:rPr>
                <w:sz w:val="24"/>
                <w:szCs w:val="24"/>
                <w:color w:val="auto"/>
              </w:rPr>
            </w:pPr>
          </w:p>
        </w:tc>
        <w:tc>
          <w:tcPr>
            <w:tcW w:w="7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4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jc w:val="center"/>
              <w:ind w:left="310"/>
              <w:spacing w:after="0"/>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440" w:type="dxa"/>
            <w:vAlign w:val="bottom"/>
            <w:tcBorders>
              <w:bottom w:val="single" w:sz="8" w:color="auto"/>
            </w:tcBorders>
            <w:gridSpan w:val="2"/>
          </w:tcPr>
          <w:p>
            <w:pPr>
              <w:jc w:val="center"/>
              <w:ind w:left="350"/>
              <w:spacing w:after="0"/>
              <w:rPr>
                <w:sz w:val="20"/>
                <w:szCs w:val="20"/>
                <w:color w:val="auto"/>
              </w:rPr>
            </w:pPr>
            <w:r>
              <w:rPr>
                <w:rFonts w:ascii="Arial" w:cs="Arial" w:eastAsia="Arial" w:hAnsi="Arial"/>
                <w:sz w:val="18"/>
                <w:szCs w:val="18"/>
                <w:b w:val="1"/>
                <w:bCs w:val="1"/>
                <w:color w:val="auto"/>
                <w:w w:val="99"/>
              </w:rPr>
              <w:t>2023</w:t>
            </w:r>
          </w:p>
        </w:tc>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gridSpan w:val="5"/>
          </w:tcPr>
          <w:p>
            <w:pPr>
              <w:jc w:val="right"/>
              <w:spacing w:after="0"/>
              <w:rPr>
                <w:sz w:val="20"/>
                <w:szCs w:val="20"/>
                <w:color w:val="auto"/>
              </w:rPr>
            </w:pPr>
            <w:r>
              <w:rPr>
                <w:rFonts w:ascii="Arial" w:cs="Arial" w:eastAsia="Arial" w:hAnsi="Arial"/>
                <w:sz w:val="14"/>
                <w:szCs w:val="14"/>
                <w:color w:val="auto"/>
              </w:rPr>
              <w:t>(in millions)</w:t>
            </w: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Compensation-related liabilities</w:t>
            </w:r>
          </w:p>
        </w:tc>
        <w:tc>
          <w:tcPr>
            <w:tcW w:w="1440" w:type="dxa"/>
            <w:vAlign w:val="bottom"/>
            <w:gridSpan w:val="2"/>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Postretirement and pension benefit plans</w:t>
            </w: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Premiums due on derivative contracts</w:t>
            </w: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 liability related to Carbon TerraVault JV put and call rights</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long-term liabilities</w:t>
            </w:r>
          </w:p>
        </w:tc>
        <w:tc>
          <w:tcPr>
            <w:tcW w:w="1440" w:type="dxa"/>
            <w:vAlign w:val="bottom"/>
            <w:tcBorders>
              <w:bottom w:val="single" w:sz="8" w:color="auto"/>
            </w:tcBorders>
            <w:gridSpan w:val="2"/>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The table below shows G&amp;A expenses for our exploration and production business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to unallocated corporate overhead and other) separately from our carbon management business. The amounts shown for our carbon management business are net of amounts reimbursable to us under the MSA with the Carbon TerraVault JV.</w:t>
      </w:r>
    </w:p>
    <w:tbl>
      <w:tblPr>
        <w:tblLayout w:type="fixed"/>
        <w:tblInd w:w="0" w:type="dxa"/>
        <w:tblCellMar>
          <w:top w:w="0" w:type="dxa"/>
          <w:left w:w="0" w:type="dxa"/>
          <w:bottom w:w="0" w:type="dxa"/>
          <w:right w:w="0" w:type="dxa"/>
        </w:tblCellMar>
      </w:tblPr>
      <w:tr>
        <w:trPr>
          <w:trHeight w:val="235"/>
        </w:trPr>
        <w:tc>
          <w:tcPr>
            <w:tcW w:w="6600" w:type="dxa"/>
            <w:vAlign w:val="bottom"/>
          </w:tcPr>
          <w:p>
            <w:pPr>
              <w:spacing w:after="0"/>
              <w:rPr>
                <w:sz w:val="20"/>
                <w:szCs w:val="20"/>
                <w:color w:val="auto"/>
              </w:rPr>
            </w:pPr>
          </w:p>
        </w:tc>
        <w:tc>
          <w:tcPr>
            <w:tcW w:w="40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c>
          <w:tcPr>
            <w:tcW w:w="600" w:type="dxa"/>
            <w:vAlign w:val="bottom"/>
            <w:tcBorders>
              <w:bottom w:val="single" w:sz="8" w:color="auto"/>
            </w:tcBorders>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r>
      <w:tr>
        <w:trPr>
          <w:trHeight w:val="192"/>
        </w:trPr>
        <w:tc>
          <w:tcPr>
            <w:tcW w:w="6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0" w:type="dxa"/>
            <w:vAlign w:val="bottom"/>
            <w:gridSpan w:val="3"/>
          </w:tcPr>
          <w:p>
            <w:pPr>
              <w:jc w:val="right"/>
              <w:ind w:right="1270"/>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6"/>
                <w:szCs w:val="16"/>
                <w:color w:val="auto"/>
              </w:rPr>
            </w:pPr>
          </w:p>
        </w:tc>
      </w:tr>
      <w:tr>
        <w:trPr>
          <w:trHeight w:val="23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and production, corporate and other</w:t>
            </w:r>
          </w:p>
        </w:tc>
        <w:tc>
          <w:tcPr>
            <w:tcW w:w="164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Carbon management business</w:t>
            </w:r>
          </w:p>
        </w:tc>
        <w:tc>
          <w:tcPr>
            <w:tcW w:w="1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general and administrative expenses</w:t>
            </w:r>
          </w:p>
        </w:tc>
        <w:tc>
          <w:tcPr>
            <w:tcW w:w="1640" w:type="dxa"/>
            <w:vAlign w:val="bottom"/>
            <w:tcBorders>
              <w:bottom w:val="single" w:sz="8" w:color="auto"/>
            </w:tcBorders>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0" w:firstLine="324"/>
        <w:spacing w:after="0" w:line="268" w:lineRule="auto"/>
        <w:rPr>
          <w:sz w:val="20"/>
          <w:szCs w:val="20"/>
          <w:color w:val="auto"/>
        </w:rPr>
      </w:pPr>
      <w:r>
        <w:rPr>
          <w:rFonts w:ascii="Arial" w:cs="Arial" w:eastAsia="Arial" w:hAnsi="Arial"/>
          <w:sz w:val="18"/>
          <w:szCs w:val="18"/>
          <w:i w:val="1"/>
          <w:iCs w:val="1"/>
          <w:color w:val="auto"/>
        </w:rPr>
        <w:t xml:space="preserve">Other operating expenses, net </w:t>
      </w:r>
      <w:r>
        <w:rPr>
          <w:rFonts w:ascii="Arial" w:cs="Arial" w:eastAsia="Arial" w:hAnsi="Arial"/>
          <w:sz w:val="18"/>
          <w:szCs w:val="18"/>
          <w:color w:val="auto"/>
        </w:rPr>
        <w:t>— The table below shows other operating expenses, net for our exploration and production business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unallocated corporate overhead and other) separately from our carbon management business. Carbon management expenses includes lease cost for sequestration easements, advocacy, and other startup related costs.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00" w:type="dxa"/>
            <w:vAlign w:val="bottom"/>
          </w:tcPr>
          <w:p>
            <w:pPr>
              <w:spacing w:after="0"/>
              <w:rPr>
                <w:sz w:val="20"/>
                <w:szCs w:val="20"/>
                <w:color w:val="auto"/>
              </w:rPr>
            </w:pPr>
          </w:p>
        </w:tc>
        <w:tc>
          <w:tcPr>
            <w:tcW w:w="40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c>
          <w:tcPr>
            <w:tcW w:w="600" w:type="dxa"/>
            <w:vAlign w:val="bottom"/>
            <w:tcBorders>
              <w:bottom w:val="single" w:sz="8" w:color="auto"/>
            </w:tcBorders>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r>
      <w:tr>
        <w:trPr>
          <w:trHeight w:val="192"/>
        </w:trPr>
        <w:tc>
          <w:tcPr>
            <w:tcW w:w="6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0" w:type="dxa"/>
            <w:vAlign w:val="bottom"/>
            <w:gridSpan w:val="3"/>
          </w:tcPr>
          <w:p>
            <w:pPr>
              <w:jc w:val="right"/>
              <w:ind w:right="1270"/>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6"/>
                <w:szCs w:val="16"/>
                <w:color w:val="auto"/>
              </w:rPr>
            </w:pPr>
          </w:p>
        </w:tc>
      </w:tr>
      <w:tr>
        <w:trPr>
          <w:trHeight w:val="23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and production, corporate and other</w:t>
            </w:r>
          </w:p>
        </w:tc>
        <w:tc>
          <w:tcPr>
            <w:tcW w:w="164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Carbon management business</w:t>
            </w:r>
          </w:p>
        </w:tc>
        <w:tc>
          <w:tcPr>
            <w:tcW w:w="1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operating expenses, net</w:t>
            </w:r>
          </w:p>
        </w:tc>
        <w:tc>
          <w:tcPr>
            <w:tcW w:w="1640" w:type="dxa"/>
            <w:vAlign w:val="bottom"/>
            <w:tcBorders>
              <w:bottom w:val="single" w:sz="8" w:color="auto"/>
            </w:tcBorders>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20" w:name="page21"/>
    <w:bookmarkEnd w:id="20"/>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SUPPLEMENTAL CASH FLOW INFORMATION</w:t>
      </w:r>
    </w:p>
    <w:p>
      <w:pPr>
        <w:spacing w:after="0" w:line="252"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We did not make U.S. federal or state income tax payments during the three months ended March 31, 2023 or the three months ended March 31, 2022.</w:t>
      </w:r>
    </w:p>
    <w:p>
      <w:pPr>
        <w:spacing w:after="0" w:line="180" w:lineRule="exact"/>
        <w:rPr>
          <w:sz w:val="20"/>
          <w:szCs w:val="20"/>
          <w:color w:val="auto"/>
        </w:rPr>
      </w:pPr>
    </w:p>
    <w:p>
      <w:pPr>
        <w:ind w:right="800" w:firstLine="324"/>
        <w:spacing w:after="0" w:line="287" w:lineRule="auto"/>
        <w:rPr>
          <w:sz w:val="20"/>
          <w:szCs w:val="20"/>
          <w:color w:val="auto"/>
        </w:rPr>
      </w:pPr>
      <w:r>
        <w:rPr>
          <w:rFonts w:ascii="Arial" w:cs="Arial" w:eastAsia="Arial" w:hAnsi="Arial"/>
          <w:sz w:val="18"/>
          <w:szCs w:val="18"/>
          <w:color w:val="auto"/>
        </w:rPr>
        <w:t>Interest paid, net of capitalized amounts was $21 million and $22 million for the three months ended March 31, 2023 and 2022, respectively.</w:t>
      </w:r>
    </w:p>
    <w:p>
      <w:pPr>
        <w:spacing w:after="0" w:line="180" w:lineRule="exact"/>
        <w:rPr>
          <w:sz w:val="20"/>
          <w:szCs w:val="20"/>
          <w:color w:val="auto"/>
        </w:rPr>
      </w:pPr>
    </w:p>
    <w:p>
      <w:pPr>
        <w:ind w:right="600" w:firstLine="324"/>
        <w:spacing w:after="0" w:line="287" w:lineRule="auto"/>
        <w:rPr>
          <w:sz w:val="20"/>
          <w:szCs w:val="20"/>
          <w:color w:val="auto"/>
        </w:rPr>
      </w:pPr>
      <w:r>
        <w:rPr>
          <w:rFonts w:ascii="Arial" w:cs="Arial" w:eastAsia="Arial" w:hAnsi="Arial"/>
          <w:sz w:val="18"/>
          <w:szCs w:val="18"/>
          <w:color w:val="auto"/>
        </w:rPr>
        <w:t>Non-cash investing activities in the three months ended March 31, 2023 included $2 million related to a capital call for the Carbon TerraVault JV.</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Non-cash financing activities in the three months ended March 31, 2023 included an insignificant amount for dividends accrued for stock-</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based compensation awards. For the three months ended March 31, 2022 dividends accrued for stock-based compensation awards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million. Non-cash financing activities in the three months ended March 31, 2023 also included $1 million related to an excise tax on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repurchases that we expect will be paid in 2024.</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SUBSEQUENT EVENTS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our Revolving Credit Facility</w:t>
      </w:r>
    </w:p>
    <w:p>
      <w:pPr>
        <w:spacing w:after="0" w:line="250" w:lineRule="exact"/>
        <w:rPr>
          <w:sz w:val="20"/>
          <w:szCs w:val="20"/>
          <w:color w:val="auto"/>
        </w:rPr>
      </w:pPr>
    </w:p>
    <w:p>
      <w:pPr>
        <w:ind w:right="540" w:firstLine="324"/>
        <w:spacing w:after="0" w:line="287" w:lineRule="auto"/>
        <w:rPr>
          <w:sz w:val="20"/>
          <w:szCs w:val="20"/>
          <w:color w:val="auto"/>
        </w:rPr>
      </w:pPr>
      <w:r>
        <w:rPr>
          <w:rFonts w:ascii="Arial" w:cs="Arial" w:eastAsia="Arial" w:hAnsi="Arial"/>
          <w:sz w:val="18"/>
          <w:szCs w:val="18"/>
          <w:color w:val="auto"/>
        </w:rPr>
        <w:t>On April 26, 2023, we amended our existing Revolving Credit Facility. The amended Revolving Credit Facility provides for an initial aggregate commitment of $592 million and a borrowing base of $1.2 billion. The amendments included, among other things:</w:t>
      </w:r>
    </w:p>
    <w:p>
      <w:pPr>
        <w:spacing w:after="0" w:line="180" w:lineRule="exact"/>
        <w:rPr>
          <w:sz w:val="20"/>
          <w:szCs w:val="20"/>
          <w:color w:val="auto"/>
        </w:rPr>
      </w:pPr>
    </w:p>
    <w:p>
      <w:pPr>
        <w:ind w:left="660" w:right="72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extending the maturity date to July 31, 2027 (subject to a springing maturity to August 4, 2025 if any of our Senior Notes are outstanding on that date);</w:t>
      </w:r>
    </w:p>
    <w:p>
      <w:pPr>
        <w:spacing w:after="0" w:line="1"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our ability to make certain restricted payments (such as dividends and share repurchases) and certain investments (including in our carbon management business);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releasing liens on certain assets securing the loans made under the Revolving Credit Facility, including our Elk Hills power plant;</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permitting us to designate the entities that hold certain of our assets, including our Elk Hills power plant, as unrestricted subsidiaries subject to meeting certain conditions;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extending the period for which we can enter into hedges on our production from 48 months to 60 months;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our capacity to issue letters of credit from $200 million to $250 million.</w:t>
      </w:r>
    </w:p>
    <w:p>
      <w:pPr>
        <w:spacing w:after="0" w:line="23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also amended the interest rates and fees we pay under our Revolving Credit Facility. At our election, borrowings under the amended Revolving Credit Facility may be alternate base rate (ABR) loans or term SOFR loans, plus an applicable margin. ABR loans bear interest at a rate equal to the highest of (i) the federal funds effective rate plus 0.50%, (ii) the administrative agent prime rate and (iii) the one-month SOFR rate plus 1%. Term SOFR loans bear interest at term SOFR, plus an additional 10 basis points per annum credit spread adjustment. The applicable margin is adjusted based on the commitment utilization percentage and will vary from (i) in the case of ABR loans, 1.50% to 2.50% and (ii) in the case of term SOFR loans, 2.50% to 3.50%. We also pay customary fees and expenses. Interest is payable quarterly for ABR loans and at the end of the applicable interest period for term SOFR loans, but not less than quarterly. We also pay a commitment fee on unused capacity ranging from 37.5 to 50 basis points per annum, depending on the percentage of the commitment utilized.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0"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On April 28, 2023, our Board of Directors declared a quarterly cash dividend of $0.2825 per share of common stock. The dividend is payable to shareholders of record at the close of business on June 1, 2023 and is expected to be paid on June 16, 2023.</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21" w:name="page22"/>
    <w:bookmarkEnd w:id="21"/>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We are an independent energy and carbon management company committed to energy transition. We produce some of the lowest carbon intensity oil in the United States according to a joint report by Ceres and the Clean Air Task Force and are focused on maximizing the value of our land, minerals and technical resources for decarbonization efforts. We are in the early stages of developing several carbon capture and storage (CCS) projects in California and other emissions reducing projects. We intend to pursue some or all of these projects through our Carbon TerraVault JV that we formed with BGTF Sierra Aggregator LLC (Brookfield). While all of these projects are in early stages, we expect that the size and scope of our projects providing these and similar services and capital spent on such projects will continue to grow given our strategy of expansion into carbon management. For more information about the risks involved in our carbon capture projects, see </w:t>
      </w:r>
      <w:r>
        <w:rPr>
          <w:rFonts w:ascii="Arial" w:cs="Arial" w:eastAsia="Arial" w:hAnsi="Arial"/>
          <w:sz w:val="18"/>
          <w:szCs w:val="18"/>
          <w:i w:val="1"/>
          <w:iCs w:val="1"/>
          <w:color w:val="auto"/>
        </w:rPr>
        <w:t>Part I, Item 1A – Risk Factors</w:t>
      </w:r>
      <w:r>
        <w:rPr>
          <w:rFonts w:ascii="Arial" w:cs="Arial" w:eastAsia="Arial" w:hAnsi="Arial"/>
          <w:sz w:val="18"/>
          <w:szCs w:val="18"/>
          <w:color w:val="auto"/>
        </w:rPr>
        <w:t xml:space="preserve"> in our Annual Report on Form 10-K for the year ended December 31, 2022 (2022 Annual Report) and for more information on the Carbon TerraVault JV, see </w:t>
      </w:r>
      <w:r>
        <w:rPr>
          <w:rFonts w:ascii="Arial" w:cs="Arial" w:eastAsia="Arial" w:hAnsi="Arial"/>
          <w:sz w:val="18"/>
          <w:szCs w:val="18"/>
          <w:i w:val="1"/>
          <w:iCs w:val="1"/>
          <w:color w:val="auto"/>
        </w:rPr>
        <w:t>Part I, Item 1 – Financial Statements, Note 2 Investment in Unconsolidated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Subsidiary and Related Party Transactions.</w:t>
      </w:r>
    </w:p>
    <w:p>
      <w:pPr>
        <w:spacing w:after="0" w:line="212"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consolidated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Changes</w:t>
      </w:r>
    </w:p>
    <w:p>
      <w:pPr>
        <w:spacing w:after="0" w:line="252"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On February 24, 2023, we announced that Francisco J. Leon, our current Executive Vice President and Chief Financial Officer, will succeed Mark A. (Mac) McFarland as our President and Chief Executive Officer, and joined our Board of Directors. Mr. McFarland will continue to serve as a non-executive member of our Board of Directors and Chair of the Board of our Carbon TerraVault subsidiary. Manuela (Nelly) Molina has been appointed Executive Vice President and Chief Financial Officer, effective May 8,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operating results and those of the oil and natural gas industry as a whole are heavily influenced by commodity prices. Oil and natural gas prices and differentials may fluctuate significantly as a result of numerous market-related variables. These and other factors make it impossible to predict realized prices reliably. We respond to economic conditions by adjusting the amount and allocation of our capital program while continuing to identify efficiencies and cost savings. Volatility in oil prices may materially affect the quantities of oil and natural gas reserves we can economically produce over the longer term.</w:t>
      </w:r>
    </w:p>
    <w:p>
      <w:pPr>
        <w:spacing w:after="0" w:line="20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 xml:space="preserve">Global oil prices declined in the three months ended March 31, 2023 compared to the three months ended December 31, 2022 due to economic uncertainty and recession concerns amid the banking crisis. Natural gas index prices decreased in the three months ended March 31, 2023 compared to the three months ended December 31, 2022 as a result of generally warmer-than-normal weather across most of North America, the slow pace of storage draw-downs and increased natural gas production in the United States. However, local natural gas prices in California experienced significant volatility resulting in an increase in our average realized prices between these periods as discussed below in </w:t>
      </w:r>
      <w:r>
        <w:rPr>
          <w:rFonts w:ascii="Arial" w:cs="Arial" w:eastAsia="Arial" w:hAnsi="Arial"/>
          <w:sz w:val="18"/>
          <w:szCs w:val="18"/>
          <w:i w:val="1"/>
          <w:iCs w:val="1"/>
          <w:color w:val="auto"/>
        </w:rPr>
        <w:t>Prices and Realizations</w:t>
      </w:r>
      <w:r>
        <w:rPr>
          <w:rFonts w:ascii="Arial" w:cs="Arial" w:eastAsia="Arial" w:hAnsi="Arial"/>
          <w:sz w:val="18"/>
          <w:szCs w:val="18"/>
          <w:color w:val="auto"/>
        </w:rPr>
        <w: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average daily benchmark prices for oil and natural gas during the periods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680" w:type="dxa"/>
            <w:vAlign w:val="bottom"/>
            <w:tcBorders>
              <w:bottom w:val="single" w:sz="8" w:color="auto"/>
            </w:tcBorders>
          </w:tcPr>
          <w:p>
            <w:pPr>
              <w:spacing w:after="0"/>
              <w:rPr>
                <w:sz w:val="20"/>
                <w:szCs w:val="20"/>
                <w:color w:val="auto"/>
              </w:rPr>
            </w:pPr>
          </w:p>
        </w:tc>
      </w:tr>
      <w:tr>
        <w:trPr>
          <w:trHeight w:val="223"/>
        </w:trPr>
        <w:tc>
          <w:tcPr>
            <w:tcW w:w="7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60" w:type="dxa"/>
            <w:vAlign w:val="bottom"/>
            <w:gridSpan w:val="4"/>
          </w:tcPr>
          <w:p>
            <w:pPr>
              <w:jc w:val="right"/>
              <w:spacing w:after="0"/>
              <w:rPr>
                <w:sz w:val="20"/>
                <w:szCs w:val="20"/>
                <w:color w:val="auto"/>
              </w:rPr>
            </w:pPr>
            <w:r>
              <w:rPr>
                <w:rFonts w:ascii="Arial" w:cs="Arial" w:eastAsia="Arial" w:hAnsi="Arial"/>
                <w:sz w:val="18"/>
                <w:szCs w:val="18"/>
                <w:b w:val="1"/>
                <w:bCs w:val="1"/>
                <w:color w:val="auto"/>
              </w:rPr>
              <w:t>March 31, 2023   December 31, 2022</w:t>
            </w:r>
          </w:p>
        </w:tc>
      </w:tr>
      <w:tr>
        <w:trPr>
          <w:trHeight w:val="22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76.13</w:t>
            </w:r>
          </w:p>
        </w:tc>
        <w:tc>
          <w:tcPr>
            <w:tcW w:w="100" w:type="dxa"/>
            <w:vAlign w:val="bottom"/>
          </w:tcPr>
          <w:p>
            <w:pPr>
              <w:spacing w:after="0"/>
              <w:rPr>
                <w:sz w:val="19"/>
                <w:szCs w:val="19"/>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82.64</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Henry Hub ($/MMBtu) Average Monthly Settled Price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Regulatory Updates</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CalGEM is California's primary regulator of the oil and natural gas production industry on private and state lands, with additional oversight from the State Lands Commission’s administration of state surface and mineral interests. From time to time we have experienced significant delays with respect to obtaining drilling permits from CalGEM for our operations. A variety of factors outside of our control can lead to such delays. CalGEM has not issued any permits for new production wells to any operators since December 2022. However, other than in the Wilmington Field as described below, CalGEM is generally issuing permits for workovers and plugging and abandonment throughout California, including Kern County.</w:t>
      </w:r>
    </w:p>
    <w:p>
      <w:pPr>
        <w:spacing w:after="0" w:line="20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Commencing in February 2023, CalGEM began returning our applications for permits in the Wilmington Oil Field, including permits for new production wells, workovers and plugging and abandonment operations. CalGEM cited concerns regarding the adequacy of the related environmental impact report for purposes of meeting CEQA requirements. We are working together with the City of Long Beach to address CalGEM’s concerns regarding conducting future re-drills, workover and plugging and abandonment activities. Barring any additional or subsequent changes in our issued permits from CalGEM, our existing permit inventory will allow us to execute our previously announced capital program in the Wilmington Field for 2023.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66"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following table sets forth our average net production of oil, NGLs and natural gas per day in each of the California oil and natural gas basins in which we operated for the periods presented.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77"/>
        </w:trPr>
        <w:tc>
          <w:tcPr>
            <w:tcW w:w="7860" w:type="dxa"/>
            <w:vAlign w:val="bottom"/>
          </w:tcPr>
          <w:p>
            <w:pPr>
              <w:spacing w:after="0"/>
              <w:rPr>
                <w:sz w:val="15"/>
                <w:szCs w:val="15"/>
                <w:color w:val="auto"/>
              </w:rPr>
            </w:pPr>
          </w:p>
        </w:tc>
        <w:tc>
          <w:tcPr>
            <w:tcW w:w="17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March 31, 2023</w:t>
            </w:r>
          </w:p>
        </w:tc>
        <w:tc>
          <w:tcPr>
            <w:tcW w:w="164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Oil (MBbl/d)</w:t>
            </w:r>
          </w:p>
        </w:tc>
        <w:tc>
          <w:tcPr>
            <w:tcW w:w="1740" w:type="dxa"/>
            <w:vAlign w:val="bottom"/>
            <w:gridSpan w:val="2"/>
            <w:vMerge w:val="continue"/>
          </w:tcPr>
          <w:p>
            <w:pPr>
              <w:spacing w:after="0"/>
              <w:rPr>
                <w:sz w:val="20"/>
                <w:szCs w:val="20"/>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7860" w:type="dxa"/>
            <w:vAlign w:val="bottom"/>
            <w:vMerge w:val="continue"/>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Los Angeles Basin</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NGLs (MBbl/d)</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7860" w:type="dxa"/>
            <w:vAlign w:val="bottom"/>
          </w:tcPr>
          <w:p>
            <w:pPr>
              <w:ind w:left="520"/>
              <w:spacing w:after="0"/>
              <w:rPr>
                <w:sz w:val="20"/>
                <w:szCs w:val="20"/>
                <w:color w:val="auto"/>
              </w:rPr>
            </w:pPr>
            <w:r>
              <w:rPr>
                <w:rFonts w:ascii="Arial" w:cs="Arial" w:eastAsia="Arial" w:hAnsi="Arial"/>
                <w:sz w:val="18"/>
                <w:szCs w:val="18"/>
                <w:color w:val="auto"/>
              </w:rPr>
              <w:t>Total</w:t>
            </w: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Natural gas (MMcf/d)</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20"/>
              <w:spacing w:after="0"/>
              <w:rPr>
                <w:sz w:val="20"/>
                <w:szCs w:val="20"/>
                <w:color w:val="auto"/>
              </w:rPr>
            </w:pPr>
            <w:r>
              <w:rPr>
                <w:rFonts w:ascii="Arial" w:cs="Arial" w:eastAsia="Arial" w:hAnsi="Arial"/>
                <w:sz w:val="18"/>
                <w:szCs w:val="18"/>
                <w:color w:val="auto"/>
              </w:rPr>
              <w:t>San Joaquin Basin</w:t>
            </w:r>
          </w:p>
        </w:tc>
        <w:tc>
          <w:tcPr>
            <w:tcW w:w="16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 Angeles Basin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Sacramento Basin</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Production (MBoe/d)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Total daily net production for the three months ended March 31, 2023, compared to the three months ended December 31, 2022 decreased by 2 MBoe/d, or 2% largely due to higher amounts of rain and colder seasonal temperatures than normal in California which increased downtime in our operations. Our production-sharing contracts (PSCs), which are described below, did not have an impact on our net oil production in the three months ended March 31, 2023 compared to the three months ended December 31, 2022.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 w:name="page24"/>
    <w:bookmarkEnd w:id="23"/>
    <w:p>
      <w:pPr>
        <w:ind w:right="120" w:firstLine="324"/>
        <w:spacing w:after="0" w:line="281" w:lineRule="auto"/>
        <w:rPr>
          <w:sz w:val="20"/>
          <w:szCs w:val="20"/>
          <w:color w:val="auto"/>
        </w:rPr>
      </w:pPr>
      <w:r>
        <w:rPr>
          <w:rFonts w:ascii="Arial" w:cs="Arial" w:eastAsia="Arial" w:hAnsi="Arial"/>
          <w:sz w:val="18"/>
          <w:szCs w:val="18"/>
          <w:color w:val="auto"/>
        </w:rPr>
        <w:t>The following table reconciles our average net production to our average gross production (which includes production from the fields we operate and our share of production from fields operated by others)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77"/>
        </w:trPr>
        <w:tc>
          <w:tcPr>
            <w:tcW w:w="7860" w:type="dxa"/>
            <w:vAlign w:val="bottom"/>
          </w:tcPr>
          <w:p>
            <w:pPr>
              <w:spacing w:after="0"/>
              <w:rPr>
                <w:sz w:val="15"/>
                <w:szCs w:val="15"/>
                <w:color w:val="auto"/>
              </w:rPr>
            </w:pPr>
          </w:p>
        </w:tc>
        <w:tc>
          <w:tcPr>
            <w:tcW w:w="17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March 31, 2023</w:t>
            </w:r>
          </w:p>
        </w:tc>
        <w:tc>
          <w:tcPr>
            <w:tcW w:w="164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860" w:type="dxa"/>
            <w:vAlign w:val="bottom"/>
          </w:tcPr>
          <w:p>
            <w:pPr>
              <w:spacing w:after="0"/>
              <w:rPr>
                <w:sz w:val="20"/>
                <w:szCs w:val="20"/>
                <w:color w:val="auto"/>
              </w:rPr>
            </w:pPr>
          </w:p>
        </w:tc>
        <w:tc>
          <w:tcPr>
            <w:tcW w:w="1740" w:type="dxa"/>
            <w:vAlign w:val="bottom"/>
            <w:tcBorders>
              <w:bottom w:val="single" w:sz="8" w:color="auto"/>
            </w:tcBorders>
            <w:gridSpan w:val="2"/>
            <w:vMerge w:val="continue"/>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2"/>
        </w:trPr>
        <w:tc>
          <w:tcPr>
            <w:tcW w:w="7860" w:type="dxa"/>
            <w:vAlign w:val="bottom"/>
          </w:tcPr>
          <w:p>
            <w:pPr>
              <w:spacing w:after="0"/>
              <w:rPr>
                <w:sz w:val="16"/>
                <w:szCs w:val="16"/>
                <w:color w:val="auto"/>
              </w:rPr>
            </w:pPr>
          </w:p>
        </w:tc>
        <w:tc>
          <w:tcPr>
            <w:tcW w:w="3380" w:type="dxa"/>
            <w:vAlign w:val="bottom"/>
            <w:gridSpan w:val="3"/>
          </w:tcPr>
          <w:p>
            <w:pPr>
              <w:jc w:val="right"/>
              <w:ind w:right="1310"/>
              <w:spacing w:after="0"/>
              <w:rPr>
                <w:sz w:val="20"/>
                <w:szCs w:val="20"/>
                <w:color w:val="auto"/>
              </w:rPr>
            </w:pPr>
            <w:r>
              <w:rPr>
                <w:rFonts w:ascii="Arial" w:cs="Arial" w:eastAsia="Arial" w:hAnsi="Arial"/>
                <w:sz w:val="14"/>
                <w:szCs w:val="14"/>
                <w:color w:val="auto"/>
              </w:rPr>
              <w:t>(MBoe/d)</w:t>
            </w:r>
          </w:p>
        </w:tc>
        <w:tc>
          <w:tcPr>
            <w:tcW w:w="0" w:type="dxa"/>
            <w:vAlign w:val="bottom"/>
          </w:tcPr>
          <w:p>
            <w:pPr>
              <w:spacing w:after="0"/>
              <w:rPr>
                <w:sz w:val="1"/>
                <w:szCs w:val="1"/>
                <w:color w:val="auto"/>
              </w:rPr>
            </w:pPr>
          </w:p>
        </w:tc>
      </w:tr>
      <w:tr>
        <w:trPr>
          <w:trHeight w:val="23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Net Production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Partners' share under PSC-type contracts</w:t>
            </w:r>
          </w:p>
        </w:tc>
        <w:tc>
          <w:tcPr>
            <w:tcW w:w="16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Working interest and royalty holders' share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Gross Production</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Production-Sharing Contracts (PSCs)</w:t>
      </w:r>
    </w:p>
    <w:p>
      <w:pPr>
        <w:spacing w:after="0" w:line="25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share of production and reserves from operations in the Wilmington field in the Los Angeles basin is subject to contractual arrangements similar to production-sharing contracts (PSCs) that are in effect through the economic life of the assets. The reporting of our PSC-type contracts creates a difference between reported operating costs, which are for the full field, and reported volumes, which are only our net share, inflating the per barrel operating costs. Operating costs, excluding effects of PSC-type contracts is a non-GAAP measure which adjusts for excess costs attributable to PSC-type contracts for the periods presented in the tables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8"/>
                <w:szCs w:val="18"/>
                <w:b w:val="1"/>
                <w:bCs w:val="1"/>
                <w:color w:val="auto"/>
              </w:rPr>
              <w:t>March 31, 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8"/>
                <w:szCs w:val="18"/>
                <w:b w:val="1"/>
                <w:bCs w:val="1"/>
                <w:color w:val="auto"/>
              </w:rPr>
              <w:t>December 31, 2022</w:t>
            </w:r>
          </w:p>
        </w:tc>
      </w:tr>
      <w:tr>
        <w:trPr>
          <w:trHeight w:val="192"/>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color w:val="auto"/>
              </w:rPr>
              <w:t>($ per Boe)</w:t>
            </w:r>
          </w:p>
        </w:tc>
        <w:tc>
          <w:tcPr>
            <w:tcW w:w="18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6"/>
                <w:szCs w:val="16"/>
                <w:color w:val="auto"/>
              </w:rPr>
            </w:pPr>
          </w:p>
        </w:tc>
        <w:tc>
          <w:tcPr>
            <w:tcW w:w="1060" w:type="dxa"/>
            <w:vAlign w:val="bottom"/>
          </w:tcPr>
          <w:p>
            <w:pPr>
              <w:jc w:val="right"/>
              <w:ind w:right="175"/>
              <w:spacing w:after="0"/>
              <w:rPr>
                <w:sz w:val="20"/>
                <w:szCs w:val="20"/>
                <w:color w:val="auto"/>
              </w:rPr>
            </w:pPr>
            <w:r>
              <w:rPr>
                <w:rFonts w:ascii="Arial" w:cs="Arial" w:eastAsia="Arial" w:hAnsi="Arial"/>
                <w:sz w:val="14"/>
                <w:szCs w:val="14"/>
                <w:color w:val="auto"/>
              </w:rPr>
              <w:t>($ per Boe)</w:t>
            </w:r>
          </w:p>
        </w:tc>
      </w:tr>
      <w:tr>
        <w:trPr>
          <w:trHeight w:val="23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Excess costs attributable to PSC-type contracts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excluding effects of PSC-type contracts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780" w:firstLine="324"/>
        <w:spacing w:after="0" w:line="287" w:lineRule="auto"/>
        <w:rPr>
          <w:sz w:val="20"/>
          <w:szCs w:val="20"/>
          <w:color w:val="auto"/>
        </w:rPr>
      </w:pPr>
      <w:r>
        <w:rPr>
          <w:rFonts w:ascii="Arial" w:cs="Arial" w:eastAsia="Arial" w:hAnsi="Arial"/>
          <w:sz w:val="18"/>
          <w:szCs w:val="18"/>
          <w:color w:val="auto"/>
        </w:rPr>
        <w:t xml:space="preserve">For further information on our production-sharing contracts, see </w:t>
      </w:r>
      <w:r>
        <w:rPr>
          <w:rFonts w:ascii="Arial" w:cs="Arial" w:eastAsia="Arial" w:hAnsi="Arial"/>
          <w:sz w:val="18"/>
          <w:szCs w:val="18"/>
          <w:i w:val="1"/>
          <w:iCs w:val="1"/>
          <w:color w:val="auto"/>
        </w:rPr>
        <w:t>Part I, Item 1 &amp; 2 Business and Properties, Oil and Natural Gas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Production, Price and Cost History </w:t>
      </w:r>
      <w:r>
        <w:rPr>
          <w:rFonts w:ascii="Arial" w:cs="Arial" w:eastAsia="Arial" w:hAnsi="Arial"/>
          <w:sz w:val="18"/>
          <w:szCs w:val="18"/>
          <w:color w:val="auto"/>
        </w:rPr>
        <w:t>in our 2022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Prices and Realizations</w:t>
      </w:r>
    </w:p>
    <w:p>
      <w:pPr>
        <w:spacing w:after="0" w:line="252"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The following tables set forth the average realized prices and price realizations as a percentage of average Brent, WTI and NYMEX indexes for our products for the periods presented: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5"/>
        </w:trPr>
        <w:tc>
          <w:tcPr>
            <w:tcW w:w="5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gridSpan w:val="4"/>
          </w:tcPr>
          <w:p>
            <w:pPr>
              <w:ind w:left="400"/>
              <w:spacing w:after="0"/>
              <w:rPr>
                <w:sz w:val="20"/>
                <w:szCs w:val="20"/>
                <w:color w:val="auto"/>
              </w:rPr>
            </w:pPr>
            <w:r>
              <w:rPr>
                <w:rFonts w:ascii="Arial" w:cs="Arial" w:eastAsia="Arial" w:hAnsi="Arial"/>
                <w:sz w:val="17"/>
                <w:szCs w:val="17"/>
                <w:b w:val="1"/>
                <w:bCs w:val="1"/>
                <w:color w:val="auto"/>
              </w:rPr>
              <w:t>March 31, 2023</w:t>
            </w:r>
          </w:p>
        </w:tc>
        <w:tc>
          <w:tcPr>
            <w:tcW w:w="260" w:type="dxa"/>
            <w:vAlign w:val="bottom"/>
          </w:tcPr>
          <w:p>
            <w:pPr>
              <w:spacing w:after="0"/>
              <w:rPr>
                <w:sz w:val="19"/>
                <w:szCs w:val="19"/>
                <w:color w:val="auto"/>
              </w:rPr>
            </w:pPr>
          </w:p>
        </w:tc>
        <w:tc>
          <w:tcPr>
            <w:tcW w:w="2320" w:type="dxa"/>
            <w:vAlign w:val="bottom"/>
            <w:gridSpan w:val="3"/>
          </w:tcPr>
          <w:p>
            <w:pPr>
              <w:ind w:left="260"/>
              <w:spacing w:after="0"/>
              <w:rPr>
                <w:sz w:val="20"/>
                <w:szCs w:val="20"/>
                <w:color w:val="auto"/>
              </w:rPr>
            </w:pPr>
            <w:r>
              <w:rPr>
                <w:rFonts w:ascii="Arial" w:cs="Arial" w:eastAsia="Arial" w:hAnsi="Arial"/>
                <w:sz w:val="17"/>
                <w:szCs w:val="17"/>
                <w:b w:val="1"/>
                <w:bCs w:val="1"/>
                <w:color w:val="auto"/>
              </w:rPr>
              <w:t>December 31, 2022</w:t>
            </w:r>
          </w:p>
        </w:tc>
      </w:tr>
      <w:tr>
        <w:trPr>
          <w:trHeight w:val="223"/>
        </w:trPr>
        <w:tc>
          <w:tcPr>
            <w:tcW w:w="59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Price</w:t>
            </w:r>
          </w:p>
        </w:tc>
        <w:tc>
          <w:tcPr>
            <w:tcW w:w="8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Realization</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Price</w:t>
            </w:r>
          </w:p>
        </w:tc>
        <w:tc>
          <w:tcPr>
            <w:tcW w:w="1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rPr>
              <w:t>Realization</w:t>
            </w: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Brent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82.22</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88.60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2"/>
        </w:trPr>
        <w:tc>
          <w:tcPr>
            <w:tcW w:w="5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78.68</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96%</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87.15</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98%</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63.04</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61.33</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69%</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WTI</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76.13</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82.64</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2"/>
        </w:trPr>
        <w:tc>
          <w:tcPr>
            <w:tcW w:w="5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78.68</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87.15</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105%</w:t>
            </w: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63.04</w:t>
            </w:r>
          </w:p>
        </w:tc>
        <w:tc>
          <w:tcPr>
            <w:tcW w:w="13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9"/>
              </w:rPr>
              <w:t>83%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61.33</w:t>
            </w:r>
          </w:p>
        </w:tc>
        <w:tc>
          <w:tcPr>
            <w:tcW w:w="134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rPr>
              <w:t>74%</w:t>
            </w:r>
          </w:p>
        </w:tc>
      </w:tr>
      <w:tr>
        <w:trPr>
          <w:trHeight w:val="270"/>
        </w:trPr>
        <w:tc>
          <w:tcPr>
            <w:tcW w:w="5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NGLs ($ per Bbl)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 of Brent)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58.88</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72%</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56.55</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64%</w:t>
            </w: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WTI)</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58.88</w:t>
            </w:r>
          </w:p>
        </w:tc>
        <w:tc>
          <w:tcPr>
            <w:tcW w:w="13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9"/>
              </w:rPr>
              <w:t>77%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56.55</w:t>
            </w:r>
          </w:p>
        </w:tc>
        <w:tc>
          <w:tcPr>
            <w:tcW w:w="134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rPr>
              <w:t>68%</w:t>
            </w:r>
          </w:p>
        </w:tc>
      </w:tr>
      <w:tr>
        <w:trPr>
          <w:trHeight w:val="270"/>
        </w:trPr>
        <w:tc>
          <w:tcPr>
            <w:tcW w:w="5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NYMEX Henry Hub ($/MMBtu) - Average Monthly Settled Price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3.42</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6.26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2"/>
        </w:trPr>
        <w:tc>
          <w:tcPr>
            <w:tcW w:w="5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 ($/Mcf)</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21.56</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630%</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8.73</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139%</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 ($/Mcf)</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21.56</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630%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8.51</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136%</w:t>
            </w: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05"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prices decreased for the three months ended March 31, 2023 compared to the three months ended December 31, 2022 due</w:t>
      </w:r>
      <w:r>
        <w:rPr>
          <w:rFonts w:ascii="Arial" w:cs="Arial" w:eastAsia="Arial" w:hAnsi="Arial"/>
          <w:sz w:val="18"/>
          <w:szCs w:val="18"/>
          <w:i w:val="1"/>
          <w:iCs w:val="1"/>
          <w:color w:val="auto"/>
        </w:rPr>
        <w:t xml:space="preserve"> </w:t>
      </w:r>
      <w:r>
        <w:rPr>
          <w:rFonts w:ascii="Arial" w:cs="Arial" w:eastAsia="Arial" w:hAnsi="Arial"/>
          <w:sz w:val="18"/>
          <w:szCs w:val="18"/>
          <w:color w:val="auto"/>
        </w:rPr>
        <w:t>to recession concerns across Western economies and disappointment at the pace and scale of the post-COVID-19 reopening in China. Our realizations without derivative settlements also declined to 96% in the three months ended March 31, 2023 compared to 98% in the three months ended December 31, 2022, as a result of lower local posting prices relative to Brent pricing.</w:t>
      </w:r>
    </w:p>
    <w:p>
      <w:pPr>
        <w:spacing w:after="0" w:line="20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NGL prices for the three months ended March 31, 2023 increased compared to the three months ended December 31, 2022 as</w:t>
      </w:r>
      <w:r>
        <w:rPr>
          <w:rFonts w:ascii="Arial" w:cs="Arial" w:eastAsia="Arial" w:hAnsi="Arial"/>
          <w:sz w:val="18"/>
          <w:szCs w:val="18"/>
          <w:i w:val="1"/>
          <w:iCs w:val="1"/>
          <w:color w:val="auto"/>
        </w:rPr>
        <w:t xml:space="preserve"> </w:t>
      </w:r>
      <w:r>
        <w:rPr>
          <w:rFonts w:ascii="Arial" w:cs="Arial" w:eastAsia="Arial" w:hAnsi="Arial"/>
          <w:sz w:val="18"/>
          <w:szCs w:val="18"/>
          <w:color w:val="auto"/>
        </w:rPr>
        <w:t>a result of cooler-than-normal weather in California, which led to higher prices for NGL products including propane which is generally used for heating, among other things.</w:t>
      </w:r>
    </w:p>
    <w:p>
      <w:pPr>
        <w:spacing w:after="0" w:line="19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Our realized price for natural gas increased for the three months ended March 31, 2023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2022 due to higher demand as a result of colder weather across the West Coast of the United States. In addition, inventory levels of natural gas in California were lower than typical for this time of year which further contributed to this increase.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5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following table includes key operating data for our oil and gas operations, excluding certain corporate expenses, on a per Boe basis for the three months ended March 31, 2023 and December 31, 2022. Energy operating costs consist of purchased natural gas used to generate electricity for our operations and steam for our steamfloods, purchased electricity and internal costs to generate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8"/>
                <w:szCs w:val="18"/>
                <w:b w:val="1"/>
                <w:bCs w:val="1"/>
                <w:color w:val="auto"/>
              </w:rPr>
              <w:t>Three months ended</w:t>
            </w:r>
          </w:p>
        </w:tc>
        <w:tc>
          <w:tcPr>
            <w:tcW w:w="680" w:type="dxa"/>
            <w:vAlign w:val="bottom"/>
            <w:tcBorders>
              <w:bottom w:val="single" w:sz="8" w:color="auto"/>
            </w:tcBorders>
          </w:tcPr>
          <w:p>
            <w:pPr>
              <w:spacing w:after="0"/>
              <w:rPr>
                <w:sz w:val="20"/>
                <w:szCs w:val="20"/>
                <w:color w:val="auto"/>
              </w:rPr>
            </w:pPr>
          </w:p>
        </w:tc>
      </w:tr>
      <w:tr>
        <w:trPr>
          <w:trHeight w:val="223"/>
        </w:trPr>
        <w:tc>
          <w:tcPr>
            <w:tcW w:w="7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March 31, 2023</w:t>
            </w: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December 31, 2022</w:t>
            </w:r>
          </w:p>
        </w:tc>
      </w:tr>
      <w:tr>
        <w:trPr>
          <w:trHeight w:val="192"/>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3"/>
          </w:tcPr>
          <w:p>
            <w:pPr>
              <w:jc w:val="center"/>
              <w:ind w:left="452"/>
              <w:spacing w:after="0"/>
              <w:rPr>
                <w:sz w:val="20"/>
                <w:szCs w:val="20"/>
                <w:color w:val="auto"/>
              </w:rPr>
            </w:pPr>
            <w:r>
              <w:rPr>
                <w:rFonts w:ascii="Arial" w:cs="Arial" w:eastAsia="Arial" w:hAnsi="Arial"/>
                <w:sz w:val="14"/>
                <w:szCs w:val="14"/>
                <w:color w:val="auto"/>
              </w:rPr>
              <w:t>($ per Boe)</w:t>
            </w:r>
          </w:p>
        </w:tc>
        <w:tc>
          <w:tcPr>
            <w:tcW w:w="680" w:type="dxa"/>
            <w:vAlign w:val="bottom"/>
          </w:tcPr>
          <w:p>
            <w:pPr>
              <w:spacing w:after="0"/>
              <w:rPr>
                <w:sz w:val="16"/>
                <w:szCs w:val="16"/>
                <w:color w:val="auto"/>
              </w:rPr>
            </w:pPr>
          </w:p>
        </w:tc>
      </w:tr>
      <w:tr>
        <w:trPr>
          <w:trHeight w:val="23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operating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Gas processing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Non-energy operating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r>
      <w:tr>
        <w:trPr>
          <w:trHeight w:val="223"/>
        </w:trPr>
        <w:tc>
          <w:tcPr>
            <w:tcW w:w="78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3"/>
                <w:szCs w:val="23"/>
                <w:color w:val="auto"/>
                <w:vertAlign w:val="superscript"/>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7820" w:type="dxa"/>
            <w:vAlign w:val="bottom"/>
          </w:tcPr>
          <w:p>
            <w:pPr>
              <w:ind w:left="20"/>
              <w:spacing w:after="0" w:line="230" w:lineRule="exact"/>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3"/>
                <w:szCs w:val="23"/>
                <w:color w:val="auto"/>
                <w:vertAlign w:val="superscript"/>
              </w:rPr>
              <w:t>(b)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taxes other than on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bl>
    <w:p>
      <w:pPr>
        <w:spacing w:after="0" w:line="7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unallocated general and administrative expenses.</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depreciation, depletion and amortization related to our corporate assets, carbon management assets and our Elk Hills power plant.</w:t>
      </w:r>
    </w:p>
    <w:p>
      <w:pPr>
        <w:spacing w:after="0" w:line="234"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Operating costs increased during the three months ended March 31, 2023 compared to the three months ended December 31, 2022 primarily due to higher natural gas prices in California. Lower production volumes also contributed to the increase on a per Boe basis.</w:t>
      </w:r>
    </w:p>
    <w:p>
      <w:pPr>
        <w:spacing w:after="0" w:line="180"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Field depreciation, depletion and amortization increased during the three months ended March 31, 2023 compared to the three months ended December 31, 2022 due to a change in our depreciation, depletion and amortization rate for the current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2023 compared to December 31, 2022</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revenues for the three months ended March 31, 2023 and December 31,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40" w:type="dxa"/>
            <w:vAlign w:val="bottom"/>
          </w:tcPr>
          <w:p>
            <w:pPr>
              <w:spacing w:after="0"/>
              <w:rPr>
                <w:sz w:val="20"/>
                <w:szCs w:val="20"/>
                <w:color w:val="auto"/>
              </w:rPr>
            </w:pPr>
          </w:p>
        </w:tc>
        <w:tc>
          <w:tcPr>
            <w:tcW w:w="4840" w:type="dxa"/>
            <w:vAlign w:val="bottom"/>
            <w:tcBorders>
              <w:bottom w:val="single" w:sz="8" w:color="auto"/>
            </w:tcBorders>
            <w:gridSpan w:val="4"/>
          </w:tcPr>
          <w:p>
            <w:pPr>
              <w:jc w:val="right"/>
              <w:ind w:right="121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2023</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2022</w:t>
            </w:r>
          </w:p>
        </w:tc>
        <w:tc>
          <w:tcPr>
            <w:tcW w:w="460" w:type="dxa"/>
            <w:vAlign w:val="bottom"/>
            <w:tcBorders>
              <w:bottom w:val="single" w:sz="8" w:color="auto"/>
            </w:tcBorders>
          </w:tcPr>
          <w:p>
            <w:pPr>
              <w:spacing w:after="0"/>
              <w:rPr>
                <w:sz w:val="19"/>
                <w:szCs w:val="19"/>
                <w:color w:val="auto"/>
              </w:rPr>
            </w:pPr>
          </w:p>
        </w:tc>
      </w:tr>
      <w:tr>
        <w:trPr>
          <w:trHeight w:val="192"/>
        </w:trPr>
        <w:tc>
          <w:tcPr>
            <w:tcW w:w="59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60" w:type="dxa"/>
            <w:vAlign w:val="bottom"/>
            <w:gridSpan w:val="3"/>
          </w:tcPr>
          <w:p>
            <w:pPr>
              <w:jc w:val="right"/>
              <w:ind w:right="1730"/>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6"/>
                <w:szCs w:val="16"/>
                <w:color w:val="auto"/>
              </w:rPr>
            </w:pPr>
          </w:p>
        </w:tc>
      </w:tr>
      <w:tr>
        <w:trPr>
          <w:trHeight w:val="23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NGL sales</w:t>
            </w:r>
          </w:p>
        </w:tc>
        <w:tc>
          <w:tcPr>
            <w:tcW w:w="1980" w:type="dxa"/>
            <w:vAlign w:val="bottom"/>
            <w:shd w:val="clear" w:color="auto" w:fill="CCEEFF"/>
          </w:tcPr>
          <w:p>
            <w:pPr>
              <w:jc w:val="right"/>
              <w:ind w:right="17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20"/>
                <w:szCs w:val="20"/>
                <w:color w:val="auto"/>
              </w:rPr>
            </w:pPr>
          </w:p>
        </w:tc>
        <w:tc>
          <w:tcPr>
            <w:tcW w:w="2140" w:type="dxa"/>
            <w:vAlign w:val="bottom"/>
            <w:shd w:val="clear" w:color="auto" w:fill="CCEEFF"/>
          </w:tcPr>
          <w:p>
            <w:pPr>
              <w:jc w:val="right"/>
              <w:ind w:right="193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Net gain (loss) from commodity derivatives</w:t>
            </w:r>
          </w:p>
        </w:tc>
        <w:tc>
          <w:tcPr>
            <w:tcW w:w="1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(132)</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purchased natural gas</w:t>
            </w:r>
          </w:p>
        </w:tc>
        <w:tc>
          <w:tcPr>
            <w:tcW w:w="1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Electricity sales</w:t>
            </w:r>
          </w:p>
        </w:tc>
        <w:tc>
          <w:tcPr>
            <w:tcW w:w="1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940" w:type="dxa"/>
            <w:vAlign w:val="bottom"/>
          </w:tcPr>
          <w:p>
            <w:pPr>
              <w:ind w:left="240"/>
              <w:spacing w:after="0"/>
              <w:rPr>
                <w:sz w:val="20"/>
                <w:szCs w:val="20"/>
                <w:color w:val="auto"/>
              </w:rPr>
            </w:pPr>
            <w:r>
              <w:rPr>
                <w:rFonts w:ascii="Arial" w:cs="Arial" w:eastAsia="Arial" w:hAnsi="Arial"/>
                <w:sz w:val="18"/>
                <w:szCs w:val="18"/>
                <w:color w:val="auto"/>
              </w:rPr>
              <w:t>Total operating revenues</w:t>
            </w:r>
          </w:p>
        </w:tc>
        <w:tc>
          <w:tcPr>
            <w:tcW w:w="198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9"/>
                <w:szCs w:val="19"/>
                <w:color w:val="auto"/>
              </w:rPr>
            </w:pPr>
          </w:p>
        </w:tc>
        <w:tc>
          <w:tcPr>
            <w:tcW w:w="2140" w:type="dxa"/>
            <w:vAlign w:val="bottom"/>
            <w:tcBorders>
              <w:bottom w:val="single" w:sz="8" w:color="auto"/>
            </w:tcBorders>
          </w:tcPr>
          <w:p>
            <w:pPr>
              <w:jc w:val="right"/>
              <w:ind w:right="1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r>
      <w:tr>
        <w:trPr>
          <w:trHeight w:val="20"/>
        </w:trPr>
        <w:tc>
          <w:tcPr>
            <w:tcW w:w="59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6" w:name="page27"/>
    <w:bookmarkEnd w:id="26"/>
    <w:p>
      <w:pPr>
        <w:ind w:right="40" w:firstLine="324"/>
        <w:spacing w:after="0" w:line="262" w:lineRule="auto"/>
        <w:rPr>
          <w:sz w:val="20"/>
          <w:szCs w:val="20"/>
          <w:color w:val="auto"/>
        </w:rPr>
      </w:pPr>
      <w:r>
        <w:rPr>
          <w:rFonts w:ascii="Arial" w:cs="Arial" w:eastAsia="Arial" w:hAnsi="Arial"/>
          <w:sz w:val="18"/>
          <w:szCs w:val="18"/>
          <w:i w:val="1"/>
          <w:iCs w:val="1"/>
          <w:color w:val="auto"/>
        </w:rPr>
        <w:t xml:space="preserve">Oil, natural gas and NGL sales </w:t>
      </w:r>
      <w:r>
        <w:rPr>
          <w:rFonts w:ascii="Arial" w:cs="Arial" w:eastAsia="Arial" w:hAnsi="Arial"/>
          <w:sz w:val="18"/>
          <w:szCs w:val="18"/>
          <w:color w:val="auto"/>
        </w:rPr>
        <w:t>— Oil, natural gas and NGL sales, excluding the effects of cash settlements on our commodity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were $715 million for the three months ended March 31, 2023, which is an increase of $98 million compared to $617 million for the three months ended December 31, 2022. This increase was primarily due to changes in realized prices as shown in the table below, including higher realized prices for natural gas and NGLs partially offset by lower realized prices for oil.</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6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Oil</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NGLs</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Natural Gas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192"/>
        </w:trPr>
        <w:tc>
          <w:tcPr>
            <w:tcW w:w="4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December 31, 2022</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Three months ended March 31, 2023</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r>
      <w:tr>
        <w:trPr>
          <w:trHeight w:val="21"/>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for volumes by commodity type and </w:t>
      </w:r>
      <w:r>
        <w:rPr>
          <w:rFonts w:ascii="Arial" w:cs="Arial" w:eastAsia="Arial" w:hAnsi="Arial"/>
          <w:sz w:val="14"/>
          <w:szCs w:val="14"/>
          <w:i w:val="1"/>
          <w:iCs w:val="1"/>
          <w:color w:val="auto"/>
        </w:rPr>
        <w:t>Prices and Realizations</w:t>
      </w:r>
      <w:r>
        <w:rPr>
          <w:rFonts w:ascii="Arial" w:cs="Arial" w:eastAsia="Arial" w:hAnsi="Arial"/>
          <w:sz w:val="14"/>
          <w:szCs w:val="14"/>
          <w:color w:val="auto"/>
        </w:rPr>
        <w:t xml:space="preserve"> for index and realized prices for comparative periods.</w:t>
      </w:r>
    </w:p>
    <w:p>
      <w:pPr>
        <w:spacing w:after="0" w:line="248"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The effect of cash settlements on our commodity derivative contracts is not included in the table above. Payments on commodity derivatives were $65 million for the three months ended March 31, 2023 compared to payments of $134 million for the three months ended December 31, 2022. Including the effect of settlement payments for commodity derivatives, our oil, natural gas and NGL sales increased by $167 million, or 35% compared to the three months ended December 31, 2022.</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Net gain (loss) from commodity derivatives </w:t>
      </w:r>
      <w:r>
        <w:rPr>
          <w:rFonts w:ascii="Arial" w:cs="Arial" w:eastAsia="Arial" w:hAnsi="Arial"/>
          <w:sz w:val="18"/>
          <w:szCs w:val="18"/>
          <w:color w:val="auto"/>
        </w:rPr>
        <w:t>— Net gain from commodity derivatives was $42 million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2023 compared to a net loss of $132 million for the three months ended December 31, 2022. The change primarily resulted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non-cash changes in the fair value of our outstanding commodity derivatives from the positions held at the end of each measurement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well as the relationship between contract prices and the associated forward curves as shown in the table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20" w:type="dxa"/>
            <w:vAlign w:val="bottom"/>
          </w:tcPr>
          <w:p>
            <w:pPr>
              <w:spacing w:after="0"/>
              <w:rPr>
                <w:sz w:val="20"/>
                <w:szCs w:val="20"/>
                <w:color w:val="auto"/>
              </w:rPr>
            </w:pPr>
          </w:p>
        </w:tc>
        <w:tc>
          <w:tcPr>
            <w:tcW w:w="4720" w:type="dxa"/>
            <w:vAlign w:val="bottom"/>
            <w:tcBorders>
              <w:bottom w:val="single" w:sz="8" w:color="auto"/>
            </w:tcBorders>
            <w:gridSpan w:val="5"/>
          </w:tcPr>
          <w:p>
            <w:pPr>
              <w:jc w:val="right"/>
              <w:ind w:right="139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652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2023</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December 31, 2022</w:t>
            </w:r>
          </w:p>
        </w:tc>
      </w:tr>
      <w:tr>
        <w:trPr>
          <w:trHeight w:val="192"/>
        </w:trPr>
        <w:tc>
          <w:tcPr>
            <w:tcW w:w="65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960" w:type="dxa"/>
            <w:vAlign w:val="bottom"/>
          </w:tcPr>
          <w:p>
            <w:pPr>
              <w:spacing w:after="0"/>
              <w:rPr>
                <w:sz w:val="16"/>
                <w:szCs w:val="16"/>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gain</w:t>
            </w:r>
          </w:p>
        </w:tc>
        <w:tc>
          <w:tcPr>
            <w:tcW w:w="1900" w:type="dxa"/>
            <w:vAlign w:val="bottom"/>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payments on settled commodity derivatives</w:t>
            </w:r>
          </w:p>
        </w:tc>
        <w:tc>
          <w:tcPr>
            <w:tcW w:w="1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48"/>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 (loss) from commodity derivatives</w:t>
            </w:r>
          </w:p>
        </w:tc>
        <w:tc>
          <w:tcPr>
            <w:tcW w:w="1900" w:type="dxa"/>
            <w:vAlign w:val="bottom"/>
            <w:tcBorders>
              <w:bottom w:val="single" w:sz="8" w:color="auto"/>
            </w:tcBorders>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 xml:space="preserve">Sales of purchased natural gas </w:t>
      </w:r>
      <w:r>
        <w:rPr>
          <w:rFonts w:ascii="Arial" w:cs="Arial" w:eastAsia="Arial" w:hAnsi="Arial"/>
          <w:sz w:val="18"/>
          <w:szCs w:val="18"/>
          <w:color w:val="auto"/>
        </w:rPr>
        <w:t>— Sales of purchased natural gas relates to natural gas acquired from third parties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sold in connection with certain of our marketing activities. Sales of purchased natural gas were $184 million for the three months ended March 31, 2023, an increase of $90 million, or 96% from $94 million during the three months ended December 31, 2022. The increase was primarily the result of higher trading activity and market prices for natural gas. Our natural gas sales net of related purchased natural gas expense were $60 million for the three months ended March 31, 2023 compared to $7 million for the three months ended December 31, 2022.</w:t>
      </w:r>
    </w:p>
    <w:p>
      <w:pPr>
        <w:spacing w:after="0" w:line="209"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i w:val="1"/>
          <w:iCs w:val="1"/>
          <w:color w:val="auto"/>
        </w:rPr>
        <w:t xml:space="preserve">Electricity sales </w:t>
      </w:r>
      <w:r>
        <w:rPr>
          <w:rFonts w:ascii="Arial" w:cs="Arial" w:eastAsia="Arial" w:hAnsi="Arial"/>
          <w:sz w:val="18"/>
          <w:szCs w:val="18"/>
          <w:color w:val="auto"/>
        </w:rPr>
        <w:t>— Electricity sales decreased by $22 million to $68 million for the three months ended March 31, 2023 compared to $90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December 31, 2022. The decrease was primarily due to lower power prices in the first quarter of 2023 compared to the fourth quarter of 2022.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color w:val="auto"/>
        </w:rPr>
        <w:t>The following table presents our operating and non-operating expenses and income for the three months ended March 31, 2023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00" w:type="dxa"/>
            <w:vAlign w:val="bottom"/>
          </w:tcPr>
          <w:p>
            <w:pPr>
              <w:spacing w:after="0"/>
              <w:rPr>
                <w:sz w:val="20"/>
                <w:szCs w:val="20"/>
                <w:color w:val="auto"/>
              </w:rPr>
            </w:pPr>
          </w:p>
        </w:tc>
        <w:tc>
          <w:tcPr>
            <w:tcW w:w="5340" w:type="dxa"/>
            <w:vAlign w:val="bottom"/>
            <w:tcBorders>
              <w:bottom w:val="single" w:sz="8" w:color="auto"/>
            </w:tcBorders>
            <w:gridSpan w:val="4"/>
          </w:tcPr>
          <w:p>
            <w:pPr>
              <w:jc w:val="right"/>
              <w:ind w:right="145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Borders>
              <w:bottom w:val="single" w:sz="8" w:color="auto"/>
            </w:tcBorders>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2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March 31, 2023</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 31, 2022</w:t>
            </w:r>
          </w:p>
        </w:tc>
        <w:tc>
          <w:tcPr>
            <w:tcW w:w="500" w:type="dxa"/>
            <w:vAlign w:val="bottom"/>
            <w:tcBorders>
              <w:bottom w:val="single" w:sz="8" w:color="auto"/>
            </w:tcBorders>
          </w:tcPr>
          <w:p>
            <w:pPr>
              <w:spacing w:after="0"/>
              <w:rPr>
                <w:sz w:val="19"/>
                <w:szCs w:val="19"/>
                <w:color w:val="auto"/>
              </w:rPr>
            </w:pPr>
          </w:p>
        </w:tc>
      </w:tr>
      <w:tr>
        <w:trPr>
          <w:trHeight w:val="192"/>
        </w:trPr>
        <w:tc>
          <w:tcPr>
            <w:tcW w:w="54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060" w:type="dxa"/>
            <w:vAlign w:val="bottom"/>
            <w:gridSpan w:val="3"/>
          </w:tcPr>
          <w:p>
            <w:pPr>
              <w:jc w:val="right"/>
              <w:ind w:right="197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6"/>
                <w:szCs w:val="16"/>
                <w:color w:val="auto"/>
              </w:rPr>
            </w:pPr>
          </w:p>
        </w:tc>
      </w:tr>
      <w:tr>
        <w:trPr>
          <w:trHeight w:val="23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Energy operating costs</w:t>
            </w:r>
          </w:p>
        </w:tc>
        <w:tc>
          <w:tcPr>
            <w:tcW w:w="2280" w:type="dxa"/>
            <w:vAlign w:val="bottom"/>
          </w:tcPr>
          <w:p>
            <w:pPr>
              <w:jc w:val="right"/>
              <w:ind w:right="20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2340" w:type="dxa"/>
            <w:vAlign w:val="bottom"/>
          </w:tcPr>
          <w:p>
            <w:pPr>
              <w:jc w:val="right"/>
              <w:ind w:right="21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processing costs</w:t>
            </w:r>
          </w:p>
        </w:tc>
        <w:tc>
          <w:tcPr>
            <w:tcW w:w="2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Non-energy operating costs</w:t>
            </w:r>
          </w:p>
        </w:tc>
        <w:tc>
          <w:tcPr>
            <w:tcW w:w="2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2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2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w:t>
            </w:r>
          </w:p>
        </w:tc>
        <w:tc>
          <w:tcPr>
            <w:tcW w:w="2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Purchased natural gas expense</w:t>
            </w:r>
          </w:p>
        </w:tc>
        <w:tc>
          <w:tcPr>
            <w:tcW w:w="2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generation expenses</w:t>
            </w:r>
          </w:p>
        </w:tc>
        <w:tc>
          <w:tcPr>
            <w:tcW w:w="2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Transportation costs</w:t>
            </w:r>
          </w:p>
        </w:tc>
        <w:tc>
          <w:tcPr>
            <w:tcW w:w="2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2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net</w:t>
            </w:r>
          </w:p>
        </w:tc>
        <w:tc>
          <w:tcPr>
            <w:tcW w:w="2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2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(loss) on asset divestitures</w:t>
            </w:r>
          </w:p>
        </w:tc>
        <w:tc>
          <w:tcPr>
            <w:tcW w:w="2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2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7"/>
        </w:trPr>
        <w:tc>
          <w:tcPr>
            <w:tcW w:w="54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2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Interest and debt expense</w:t>
            </w:r>
          </w:p>
        </w:tc>
        <w:tc>
          <w:tcPr>
            <w:tcW w:w="2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 in unconsolidated subsidiary</w:t>
            </w:r>
          </w:p>
        </w:tc>
        <w:tc>
          <w:tcPr>
            <w:tcW w:w="2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(expense) income</w:t>
            </w:r>
          </w:p>
        </w:tc>
        <w:tc>
          <w:tcPr>
            <w:tcW w:w="2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2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2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48"/>
        </w:trPr>
        <w:tc>
          <w:tcPr>
            <w:tcW w:w="5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2280" w:type="dxa"/>
            <w:vAlign w:val="bottom"/>
            <w:tcBorders>
              <w:bottom w:val="single" w:sz="8" w:color="auto"/>
            </w:tcBorders>
            <w:shd w:val="clear" w:color="auto" w:fill="CCEEFF"/>
          </w:tcPr>
          <w:p>
            <w:pPr>
              <w:jc w:val="right"/>
              <w:ind w:right="20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jc w:val="right"/>
              <w:ind w:right="21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Energy operating costs </w:t>
      </w:r>
      <w:r>
        <w:rPr>
          <w:rFonts w:ascii="Arial" w:cs="Arial" w:eastAsia="Arial" w:hAnsi="Arial"/>
          <w:sz w:val="18"/>
          <w:szCs w:val="18"/>
          <w:color w:val="auto"/>
        </w:rPr>
        <w:t>— Energy operating costs for the three months ended March 31, 2023 were $125 million, which was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$45 million, or 56% from $80 million for the three months ended December 31, 2022. This increase includes $38 million for purchased electricity and purchased natural gas, which we use to generate electricity for our operations, and $7 million of purchased natural gas used to generate steam for our steamfloods. Natural gas used in our operations is purchased at first-of-the-month prices, which were higher than average daily prices during the period due to significant volatility in the natural gas market. For more information on our natural gas market prices, see </w:t>
      </w:r>
      <w:r>
        <w:rPr>
          <w:rFonts w:ascii="Arial" w:cs="Arial" w:eastAsia="Arial" w:hAnsi="Arial"/>
          <w:sz w:val="18"/>
          <w:szCs w:val="18"/>
          <w:i w:val="1"/>
          <w:iCs w:val="1"/>
          <w:color w:val="auto"/>
        </w:rPr>
        <w:t>Prices and Realizations</w:t>
      </w:r>
      <w:r>
        <w:rPr>
          <w:rFonts w:ascii="Arial" w:cs="Arial" w:eastAsia="Arial" w:hAnsi="Arial"/>
          <w:sz w:val="18"/>
          <w:szCs w:val="18"/>
          <w:color w:val="auto"/>
        </w:rPr>
        <w:t xml:space="preserve"> above.</w:t>
      </w:r>
    </w:p>
    <w:p>
      <w:pPr>
        <w:spacing w:after="0" w:line="20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i w:val="1"/>
          <w:iCs w:val="1"/>
          <w:color w:val="auto"/>
        </w:rPr>
        <w:t xml:space="preserve">Non-energy operating costs </w:t>
      </w:r>
      <w:r>
        <w:rPr>
          <w:rFonts w:ascii="Arial" w:cs="Arial" w:eastAsia="Arial" w:hAnsi="Arial"/>
          <w:sz w:val="18"/>
          <w:szCs w:val="18"/>
          <w:color w:val="auto"/>
        </w:rPr>
        <w:t>— Non-energy operating costs for the three months ended March 31, 2023 were $124 million, which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$9 million or 8% from $115 million for the three months ended December 31, 2022. This increase was primarily a result of increased downhole maintenance activity from the prior quarter.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ind w:right="140" w:firstLine="324"/>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General and administrative (G&amp;A) expenses were $65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2023, which was an increase of $6 million from $59 million for the three months ended December 31, 2022. The increase in G&amp;A expenses was primarily attributable to compensation-related expenses including stock-based compensation awards granted in the first quarter of 2023. The table below shows G&amp;A expenses for our exploration and production business (in addition to unallocated corporate overhead and other) separately from our carbon management business. The amounts shown for our carbon management business are net of amounts reimbursable to us under the MSA with the Carbon TerraVault JV.</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60" w:type="dxa"/>
            <w:vAlign w:val="bottom"/>
          </w:tcPr>
          <w:p>
            <w:pPr>
              <w:spacing w:after="0"/>
              <w:rPr>
                <w:sz w:val="20"/>
                <w:szCs w:val="20"/>
                <w:color w:val="auto"/>
              </w:rPr>
            </w:pPr>
          </w:p>
        </w:tc>
        <w:tc>
          <w:tcPr>
            <w:tcW w:w="4640" w:type="dxa"/>
            <w:vAlign w:val="bottom"/>
            <w:tcBorders>
              <w:bottom w:val="single" w:sz="8" w:color="auto"/>
            </w:tcBorders>
            <w:gridSpan w:val="4"/>
          </w:tcPr>
          <w:p>
            <w:pPr>
              <w:jc w:val="right"/>
              <w:ind w:right="117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Borders>
              <w:bottom w:val="single" w:sz="8" w:color="auto"/>
            </w:tcBorders>
          </w:tcPr>
          <w:p>
            <w:pPr>
              <w:spacing w:after="0"/>
              <w:rPr>
                <w:sz w:val="20"/>
                <w:szCs w:val="20"/>
                <w:color w:val="auto"/>
              </w:rPr>
            </w:pPr>
          </w:p>
        </w:tc>
      </w:tr>
      <w:tr>
        <w:trPr>
          <w:trHeight w:val="223"/>
        </w:trPr>
        <w:tc>
          <w:tcPr>
            <w:tcW w:w="6260" w:type="dxa"/>
            <w:vAlign w:val="bottom"/>
          </w:tcPr>
          <w:p>
            <w:pPr>
              <w:spacing w:after="0"/>
              <w:rPr>
                <w:sz w:val="19"/>
                <w:szCs w:val="19"/>
                <w:color w:val="auto"/>
              </w:rPr>
            </w:pPr>
          </w:p>
        </w:tc>
        <w:tc>
          <w:tcPr>
            <w:tcW w:w="1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March 31, 2023</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2022</w:t>
            </w:r>
          </w:p>
        </w:tc>
        <w:tc>
          <w:tcPr>
            <w:tcW w:w="340" w:type="dxa"/>
            <w:vAlign w:val="bottom"/>
            <w:tcBorders>
              <w:bottom w:val="single" w:sz="8" w:color="auto"/>
            </w:tcBorders>
          </w:tcPr>
          <w:p>
            <w:pPr>
              <w:spacing w:after="0"/>
              <w:rPr>
                <w:sz w:val="19"/>
                <w:szCs w:val="19"/>
                <w:color w:val="auto"/>
              </w:rPr>
            </w:pPr>
          </w:p>
        </w:tc>
      </w:tr>
      <w:tr>
        <w:trPr>
          <w:trHeight w:val="192"/>
        </w:trPr>
        <w:tc>
          <w:tcPr>
            <w:tcW w:w="6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60" w:type="dxa"/>
            <w:vAlign w:val="bottom"/>
            <w:gridSpan w:val="3"/>
          </w:tcPr>
          <w:p>
            <w:pPr>
              <w:jc w:val="right"/>
              <w:ind w:right="169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6"/>
                <w:szCs w:val="16"/>
                <w:color w:val="auto"/>
              </w:rPr>
            </w:pPr>
          </w:p>
        </w:tc>
      </w:tr>
      <w:tr>
        <w:trPr>
          <w:trHeight w:val="23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and production, corporate and other</w:t>
            </w:r>
          </w:p>
        </w:tc>
        <w:tc>
          <w:tcPr>
            <w:tcW w:w="1980" w:type="dxa"/>
            <w:vAlign w:val="bottom"/>
            <w:shd w:val="clear" w:color="auto" w:fill="CCEEFF"/>
          </w:tcPr>
          <w:p>
            <w:pPr>
              <w:jc w:val="right"/>
              <w:ind w:right="177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jc w:val="right"/>
              <w:ind w:right="18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Carbon management business</w:t>
            </w:r>
          </w:p>
        </w:tc>
        <w:tc>
          <w:tcPr>
            <w:tcW w:w="1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general and administrative expenses</w:t>
            </w:r>
          </w:p>
        </w:tc>
        <w:tc>
          <w:tcPr>
            <w:tcW w:w="1980" w:type="dxa"/>
            <w:vAlign w:val="bottom"/>
            <w:tcBorders>
              <w:bottom w:val="single" w:sz="8" w:color="auto"/>
            </w:tcBorders>
            <w:shd w:val="clear" w:color="auto" w:fill="CCEEFF"/>
          </w:tcPr>
          <w:p>
            <w:pPr>
              <w:jc w:val="right"/>
              <w:ind w:right="1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jc w:val="right"/>
              <w:ind w:right="18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0" w:firstLine="324"/>
        <w:spacing w:after="0" w:line="268"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 Depreciation, depletion and amortization (DD&amp;A) increased $9 million to $58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2023 from $49 million for the three months ended December 31, 2022. The increase was primarily due to a change in our DD&amp;A rate for the current year.</w:t>
      </w:r>
    </w:p>
    <w:p>
      <w:pPr>
        <w:spacing w:after="0" w:line="19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Purchased natural gas expense </w:t>
      </w:r>
      <w:r>
        <w:rPr>
          <w:rFonts w:ascii="Arial" w:cs="Arial" w:eastAsia="Arial" w:hAnsi="Arial"/>
          <w:sz w:val="18"/>
          <w:szCs w:val="18"/>
          <w:color w:val="auto"/>
        </w:rPr>
        <w:t>— Purchased natural gas expense relates to natural gas acquired from third parties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certain of our marketing activities. We purchased $124 million of natural gas for marketing activities during the three months ended March 31, 2023, which was an increase of $37 million, or 43% from $87 million for the three months ended December 31, 2022. The increase was predominantly the result of higher trading activity levels and natural gas market prices in the three months ended March 31, 2023 compared to the three months ended December 31, 2022. For more information on our natural gas market prices, see </w:t>
      </w:r>
      <w:r>
        <w:rPr>
          <w:rFonts w:ascii="Arial" w:cs="Arial" w:eastAsia="Arial" w:hAnsi="Arial"/>
          <w:sz w:val="18"/>
          <w:szCs w:val="18"/>
          <w:i w:val="1"/>
          <w:iCs w:val="1"/>
          <w:color w:val="auto"/>
        </w:rPr>
        <w:t>Prices and Realizations</w:t>
      </w:r>
      <w:r>
        <w:rPr>
          <w:rFonts w:ascii="Arial" w:cs="Arial" w:eastAsia="Arial" w:hAnsi="Arial"/>
          <w:sz w:val="18"/>
          <w:szCs w:val="18"/>
          <w:color w:val="auto"/>
        </w:rPr>
        <w:t xml:space="preserve"> above.</w:t>
      </w:r>
    </w:p>
    <w:p>
      <w:pPr>
        <w:spacing w:after="0" w:line="20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Electricity generation expenses </w:t>
      </w:r>
      <w:r>
        <w:rPr>
          <w:rFonts w:ascii="Arial" w:cs="Arial" w:eastAsia="Arial" w:hAnsi="Arial"/>
          <w:sz w:val="18"/>
          <w:szCs w:val="18"/>
          <w:color w:val="auto"/>
        </w:rPr>
        <w:t>— Electricity generation expenses for the three months ended March 31, 2023 were $49 million,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a decrease of $19 million or 28% from $ 68 million for the three months ended December 31, 2022. This decrease was primarily due to volatility in the prices for natural gas. Natural gas used for electricity generation at our Elk Hills power plant is purchased on a daily basis as opposed to the first-of-the-month prices paid for gas used in our operations. There was significant volatility for natural gas prices in California that led to much lower daily prices than first-of-the-month prices.</w:t>
      </w:r>
    </w:p>
    <w:p>
      <w:pPr>
        <w:spacing w:after="0" w:line="20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income tax provision for the three months ended March 31, 2023 was $75 million (effective tax rate of 20%),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$34 million (effective tax rate of 29%) for the three months ended December 31, 2022. Excluding the effect of the change in valuation allowance, our effective tax rate would be 28% in the three months ended March 31, 2023 compared to 29% in the three months ended December 31, 2022. See </w:t>
      </w:r>
      <w:r>
        <w:rPr>
          <w:rFonts w:ascii="Arial" w:cs="Arial" w:eastAsia="Arial" w:hAnsi="Arial"/>
          <w:sz w:val="18"/>
          <w:szCs w:val="18"/>
          <w:i w:val="1"/>
          <w:iCs w:val="1"/>
          <w:color w:val="auto"/>
        </w:rPr>
        <w:t>Part I, Item 1 – Financial Statements, Note 6 Income Taxes</w:t>
      </w:r>
      <w:r>
        <w:rPr>
          <w:rFonts w:ascii="Arial" w:cs="Arial" w:eastAsia="Arial" w:hAnsi="Arial"/>
          <w:sz w:val="18"/>
          <w:szCs w:val="18"/>
          <w:color w:val="auto"/>
        </w:rPr>
        <w:t xml:space="preserve"> for more information on a valuation allowance related to our Lost Hills divestiture.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 xml:space="preserve">Our primary sources of liquidity and capital resources are cash flows from operations, cash and cash equivalents and available borrowing capacity under our Revolving Credit Facility. See </w:t>
      </w:r>
      <w:r>
        <w:rPr>
          <w:rFonts w:ascii="Arial" w:cs="Arial" w:eastAsia="Arial" w:hAnsi="Arial"/>
          <w:sz w:val="18"/>
          <w:szCs w:val="18"/>
          <w:i w:val="1"/>
          <w:iCs w:val="1"/>
          <w:color w:val="auto"/>
        </w:rPr>
        <w:t>Part I, Item 1 – Financial Statements, Note 14 Subsequent Events</w:t>
      </w:r>
      <w:r>
        <w:rPr>
          <w:rFonts w:ascii="Arial" w:cs="Arial" w:eastAsia="Arial" w:hAnsi="Arial"/>
          <w:sz w:val="18"/>
          <w:szCs w:val="18"/>
          <w:color w:val="auto"/>
        </w:rPr>
        <w:t xml:space="preserve"> for more information on an April 2023 amendment to our Revolving Credit Facility. We consider our low leverage and ability to control costs to be a core strength and strategic advantage, which we are focused on maintaining. Our primary uses of operating cash flow for the three months ended March 31, 2023 were for capital investments, repurchases of our common stock and dividends.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color w:val="auto"/>
        </w:rPr>
        <w:t>The following table summarizes our liquidity: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center"/>
              <w:ind w:right="393"/>
              <w:spacing w:after="0"/>
              <w:rPr>
                <w:sz w:val="20"/>
                <w:szCs w:val="20"/>
                <w:color w:val="auto"/>
              </w:rPr>
            </w:pPr>
            <w:r>
              <w:rPr>
                <w:rFonts w:ascii="Arial" w:cs="Arial" w:eastAsia="Arial" w:hAnsi="Arial"/>
                <w:sz w:val="18"/>
                <w:szCs w:val="18"/>
                <w:b w:val="1"/>
                <w:bCs w:val="1"/>
                <w:color w:val="auto"/>
                <w:w w:val="99"/>
              </w:rPr>
              <w:t>March 31, 2023</w:t>
            </w:r>
          </w:p>
        </w:tc>
      </w:tr>
      <w:tr>
        <w:trPr>
          <w:trHeight w:val="192"/>
        </w:trPr>
        <w:tc>
          <w:tcPr>
            <w:tcW w:w="8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80" w:type="dxa"/>
            <w:vAlign w:val="bottom"/>
          </w:tcPr>
          <w:p>
            <w:pPr>
              <w:jc w:val="center"/>
              <w:ind w:right="393"/>
              <w:spacing w:after="0"/>
              <w:rPr>
                <w:sz w:val="20"/>
                <w:szCs w:val="20"/>
                <w:color w:val="auto"/>
              </w:rPr>
            </w:pPr>
            <w:r>
              <w:rPr>
                <w:rFonts w:ascii="Arial" w:cs="Arial" w:eastAsia="Arial" w:hAnsi="Arial"/>
                <w:sz w:val="14"/>
                <w:szCs w:val="14"/>
                <w:color w:val="auto"/>
              </w:rPr>
              <w:t>(in millions)</w:t>
            </w:r>
          </w:p>
        </w:tc>
      </w:tr>
      <w:tr>
        <w:trPr>
          <w:trHeight w:val="23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CEEFF"/>
          </w:tcPr>
          <w:p>
            <w:pPr>
              <w:jc w:val="center"/>
              <w:ind w:left="1933"/>
              <w:spacing w:after="0"/>
              <w:rPr>
                <w:sz w:val="20"/>
                <w:szCs w:val="20"/>
                <w:color w:val="auto"/>
              </w:rPr>
            </w:pPr>
            <w:r>
              <w:rPr>
                <w:rFonts w:ascii="Arial" w:cs="Arial" w:eastAsia="Arial" w:hAnsi="Arial"/>
                <w:sz w:val="18"/>
                <w:szCs w:val="18"/>
                <w:color w:val="auto"/>
                <w:w w:val="99"/>
              </w:rPr>
              <w:t>477</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48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 capacity</w:t>
            </w:r>
          </w:p>
        </w:tc>
        <w:tc>
          <w:tcPr>
            <w:tcW w:w="480" w:type="dxa"/>
            <w:vAlign w:val="bottom"/>
            <w:shd w:val="clear" w:color="auto" w:fill="CCEEFF"/>
          </w:tcPr>
          <w:p>
            <w:pPr>
              <w:spacing w:after="0"/>
              <w:rPr>
                <w:sz w:val="19"/>
                <w:szCs w:val="19"/>
                <w:color w:val="auto"/>
              </w:rPr>
            </w:pPr>
          </w:p>
        </w:tc>
        <w:tc>
          <w:tcPr>
            <w:tcW w:w="2480" w:type="dxa"/>
            <w:vAlign w:val="bottom"/>
            <w:shd w:val="clear" w:color="auto" w:fill="CCEEFF"/>
          </w:tcPr>
          <w:p>
            <w:pPr>
              <w:jc w:val="center"/>
              <w:ind w:left="1933"/>
              <w:spacing w:after="0"/>
              <w:rPr>
                <w:sz w:val="20"/>
                <w:szCs w:val="20"/>
                <w:color w:val="auto"/>
              </w:rPr>
            </w:pPr>
            <w:r>
              <w:rPr>
                <w:rFonts w:ascii="Arial" w:cs="Arial" w:eastAsia="Arial" w:hAnsi="Arial"/>
                <w:sz w:val="18"/>
                <w:szCs w:val="18"/>
                <w:color w:val="auto"/>
                <w:w w:val="99"/>
              </w:rPr>
              <w:t>602</w:t>
            </w:r>
          </w:p>
        </w:tc>
      </w:tr>
      <w:tr>
        <w:trPr>
          <w:trHeight w:val="229"/>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Outstanding letters of credit</w:t>
            </w:r>
          </w:p>
        </w:tc>
        <w:tc>
          <w:tcPr>
            <w:tcW w:w="4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center"/>
              <w:ind w:left="1933"/>
              <w:spacing w:after="0"/>
              <w:rPr>
                <w:sz w:val="20"/>
                <w:szCs w:val="20"/>
                <w:color w:val="auto"/>
              </w:rPr>
            </w:pPr>
            <w:r>
              <w:rPr>
                <w:rFonts w:ascii="Arial" w:cs="Arial" w:eastAsia="Arial" w:hAnsi="Arial"/>
                <w:sz w:val="18"/>
                <w:szCs w:val="18"/>
                <w:color w:val="auto"/>
                <w:w w:val="99"/>
              </w:rPr>
              <w:t>(148)</w:t>
            </w:r>
          </w:p>
        </w:tc>
      </w:tr>
      <w:tr>
        <w:trPr>
          <w:trHeight w:val="223"/>
        </w:trPr>
        <w:tc>
          <w:tcPr>
            <w:tcW w:w="82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Availability</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CEEFF"/>
          </w:tcPr>
          <w:p>
            <w:pPr>
              <w:jc w:val="center"/>
              <w:ind w:left="1933"/>
              <w:spacing w:after="0"/>
              <w:rPr>
                <w:sz w:val="20"/>
                <w:szCs w:val="20"/>
                <w:color w:val="auto"/>
              </w:rPr>
            </w:pPr>
            <w:r>
              <w:rPr>
                <w:rFonts w:ascii="Arial" w:cs="Arial" w:eastAsia="Arial" w:hAnsi="Arial"/>
                <w:sz w:val="18"/>
                <w:szCs w:val="18"/>
                <w:color w:val="auto"/>
                <w:w w:val="99"/>
              </w:rPr>
              <w:t>454</w:t>
            </w:r>
          </w:p>
        </w:tc>
      </w:tr>
      <w:tr>
        <w:trPr>
          <w:trHeight w:val="216"/>
        </w:trPr>
        <w:tc>
          <w:tcPr>
            <w:tcW w:w="82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r>
      <w:tr>
        <w:trPr>
          <w:trHeight w:val="248"/>
        </w:trPr>
        <w:tc>
          <w:tcPr>
            <w:tcW w:w="8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Liquidity</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auto"/>
            </w:tcBorders>
            <w:shd w:val="clear" w:color="auto" w:fill="CCEEFF"/>
          </w:tcPr>
          <w:p>
            <w:pPr>
              <w:jc w:val="center"/>
              <w:ind w:left="1933"/>
              <w:spacing w:after="0"/>
              <w:rPr>
                <w:sz w:val="20"/>
                <w:szCs w:val="20"/>
                <w:color w:val="auto"/>
              </w:rPr>
            </w:pPr>
            <w:r>
              <w:rPr>
                <w:rFonts w:ascii="Arial" w:cs="Arial" w:eastAsia="Arial" w:hAnsi="Arial"/>
                <w:sz w:val="18"/>
                <w:szCs w:val="18"/>
                <w:color w:val="auto"/>
                <w:w w:val="99"/>
              </w:rPr>
              <w:t>931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26, 2023, the borrowing base under our Revolving Credit Facility was reaffirmed at $1.2 billion.</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At current commodity prices and based upon our planned 2023 capital program described below, we expect to generate operating cash flow to support and invest in our core assets and preserve financial flexibility. We regularly review our financial position and evaluate whether to (i) adjust our drilling program, (ii) return available cash to shareholders through dividends or stock buybacks to the extent permitted under our Revolving Credit Facility and Senior Notes indenture, (iii) advance carbon management activities, or (iv) maintain cash on our balance sheet. We believe we have sufficient sources of liquidity to meet our obligations for the next twelve months.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25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 For the three months ended March 31, 2023, our operating cash flow increased 94%, or $150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to $310 million from $160 million in the same prior period of 2022. The increases in operating cash flow for the three months ended March 31, 2023 primarily relates to higher average realized prices (including the effects of settlements on our commodity derivatives) in 2023 compared to the same prior-year period. This increase was partially offset by lower production volumes in 2023 as compared to the same period in 2022. The increase in our revenue was partially offset by an increase in operating costs primarily related to higher prices for purchased natural gas and electricity used in our operations.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xml:space="preserve">Cash flows used in investing activities </w:t>
      </w:r>
      <w:r>
        <w:rPr>
          <w:rFonts w:ascii="Arial" w:cs="Arial" w:eastAsia="Arial" w:hAnsi="Arial"/>
          <w:sz w:val="18"/>
          <w:szCs w:val="18"/>
          <w:color w:val="auto"/>
        </w:rPr>
        <w:t>— The following table provides a comparative summary of net cash used in investing activities:</w:t>
      </w:r>
    </w:p>
    <w:p>
      <w:pPr>
        <w:spacing w:after="0" w:line="279"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Three months ended</w:t>
      </w:r>
    </w:p>
    <w:p>
      <w:pPr>
        <w:jc w:val="center"/>
        <w:ind w:left="78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192"/>
        </w:trPr>
        <w:tc>
          <w:tcPr>
            <w:tcW w:w="7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gridSpan w:val="3"/>
          </w:tcPr>
          <w:p>
            <w:pPr>
              <w:ind w:left="160"/>
              <w:spacing w:after="0"/>
              <w:rPr>
                <w:sz w:val="20"/>
                <w:szCs w:val="20"/>
                <w:color w:val="auto"/>
              </w:rPr>
            </w:pPr>
            <w:r>
              <w:rPr>
                <w:rFonts w:ascii="Arial" w:cs="Arial" w:eastAsia="Arial" w:hAnsi="Arial"/>
                <w:sz w:val="14"/>
                <w:szCs w:val="14"/>
                <w:color w:val="auto"/>
              </w:rPr>
              <w:t>(in millions)</w:t>
            </w:r>
          </w:p>
        </w:tc>
        <w:tc>
          <w:tcPr>
            <w:tcW w:w="1180" w:type="dxa"/>
            <w:vAlign w:val="bottom"/>
          </w:tcPr>
          <w:p>
            <w:pPr>
              <w:spacing w:after="0"/>
              <w:rPr>
                <w:sz w:val="16"/>
                <w:szCs w:val="16"/>
                <w:color w:val="auto"/>
              </w:rPr>
            </w:pPr>
          </w:p>
        </w:tc>
      </w:tr>
      <w:tr>
        <w:trPr>
          <w:trHeight w:val="23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investments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Changes in accrued capital investments</w:t>
            </w:r>
          </w:p>
        </w:tc>
        <w:tc>
          <w:tcPr>
            <w:tcW w:w="1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divestitures, net</w:t>
            </w:r>
          </w:p>
        </w:tc>
        <w:tc>
          <w:tcPr>
            <w:tcW w:w="1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18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2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i w:val="1"/>
          <w:iCs w:val="1"/>
          <w:color w:val="auto"/>
        </w:rPr>
        <w:t xml:space="preserve">Cash flows used in financing activities </w:t>
      </w:r>
      <w:r>
        <w:rPr>
          <w:rFonts w:ascii="Arial" w:cs="Arial" w:eastAsia="Arial" w:hAnsi="Arial"/>
          <w:sz w:val="18"/>
          <w:szCs w:val="18"/>
          <w:color w:val="auto"/>
        </w:rPr>
        <w:t>— The following table provides a comparative summary of net cash used in financing activities:</w:t>
      </w:r>
    </w:p>
    <w:p>
      <w:pPr>
        <w:spacing w:after="0" w:line="279" w:lineRule="exact"/>
        <w:rPr>
          <w:sz w:val="20"/>
          <w:szCs w:val="20"/>
          <w:color w:val="auto"/>
        </w:rPr>
      </w:pPr>
    </w:p>
    <w:p>
      <w:pPr>
        <w:jc w:val="center"/>
        <w:ind w:left="8040"/>
        <w:spacing w:after="0"/>
        <w:rPr>
          <w:sz w:val="20"/>
          <w:szCs w:val="20"/>
          <w:color w:val="auto"/>
        </w:rPr>
      </w:pPr>
      <w:r>
        <w:rPr>
          <w:rFonts w:ascii="Arial" w:cs="Arial" w:eastAsia="Arial" w:hAnsi="Arial"/>
          <w:sz w:val="18"/>
          <w:szCs w:val="18"/>
          <w:b w:val="1"/>
          <w:bCs w:val="1"/>
          <w:color w:val="auto"/>
        </w:rPr>
        <w:t>Three months ended</w:t>
      </w:r>
    </w:p>
    <w:p>
      <w:pPr>
        <w:jc w:val="center"/>
        <w:ind w:left="804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0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192"/>
        </w:trPr>
        <w:tc>
          <w:tcPr>
            <w:tcW w:w="8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gridSpan w:val="3"/>
          </w:tcPr>
          <w:p>
            <w:pPr>
              <w:jc w:val="right"/>
              <w:ind w:right="30"/>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16"/>
                <w:szCs w:val="16"/>
                <w:color w:val="auto"/>
              </w:rPr>
            </w:pPr>
          </w:p>
        </w:tc>
      </w:tr>
      <w:tr>
        <w:trPr>
          <w:trHeight w:val="23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9"/>
              </w:rPr>
              <w:t>(71)</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Common stock dividends</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center"/>
              <w:ind w:left="650"/>
              <w:spacing w:after="0"/>
              <w:rPr>
                <w:sz w:val="20"/>
                <w:szCs w:val="20"/>
                <w:color w:val="auto"/>
              </w:rPr>
            </w:pPr>
            <w:r>
              <w:rPr>
                <w:rFonts w:ascii="Arial" w:cs="Arial" w:eastAsia="Arial" w:hAnsi="Arial"/>
                <w:sz w:val="18"/>
                <w:szCs w:val="18"/>
                <w:color w:val="auto"/>
                <w:w w:val="99"/>
              </w:rPr>
              <w:t>(13)</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cancelled for taxes</w:t>
            </w: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9"/>
              </w:rPr>
              <w:t>—</w:t>
            </w:r>
          </w:p>
        </w:tc>
      </w:tr>
      <w:tr>
        <w:trPr>
          <w:trHeight w:val="248"/>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99"/>
              </w:rPr>
              <w:t>(84)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Capital Program</w:t>
      </w:r>
    </w:p>
    <w:p>
      <w:pPr>
        <w:spacing w:after="0" w:line="250" w:lineRule="exact"/>
        <w:rPr>
          <w:sz w:val="20"/>
          <w:szCs w:val="20"/>
          <w:color w:val="auto"/>
        </w:rPr>
      </w:pPr>
    </w:p>
    <w:p>
      <w:pPr>
        <w:jc w:val="both"/>
        <w:ind w:right="140" w:firstLine="324"/>
        <w:spacing w:after="0" w:line="291" w:lineRule="auto"/>
        <w:rPr>
          <w:sz w:val="20"/>
          <w:szCs w:val="20"/>
          <w:color w:val="auto"/>
        </w:rPr>
      </w:pPr>
      <w:r>
        <w:rPr>
          <w:rFonts w:ascii="Arial" w:cs="Arial" w:eastAsia="Arial" w:hAnsi="Arial"/>
          <w:sz w:val="17"/>
          <w:szCs w:val="17"/>
          <w:color w:val="auto"/>
        </w:rPr>
        <w:t>Our capital program is dynamic in response to commodity price volatility while focusing on oil production and maximizing our free cash flow. We expect our 2023 capital program to range between $200 and $245 million under current conditions. We expect our capital program related to oil and natural gas development to be focused primarily on executing projects using existing permits outside of Kern County.</w:t>
      </w:r>
    </w:p>
    <w:p>
      <w:pPr>
        <w:spacing w:after="0" w:line="180"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The amounts in the table below reflect components of our capital investment for the periods indicated, excluding changes in capital investment accruals: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17"/>
                <w:szCs w:val="17"/>
                <w:color w:val="auto"/>
              </w:rPr>
            </w:pPr>
          </w:p>
        </w:tc>
        <w:tc>
          <w:tcPr>
            <w:tcW w:w="244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2023 Full Year Estimate</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460" w:type="dxa"/>
            <w:vAlign w:val="bottom"/>
          </w:tcPr>
          <w:p>
            <w:pPr>
              <w:spacing w:after="0"/>
              <w:rPr>
                <w:sz w:val="13"/>
                <w:szCs w:val="13"/>
                <w:color w:val="auto"/>
              </w:rPr>
            </w:pPr>
          </w:p>
        </w:tc>
        <w:tc>
          <w:tcPr>
            <w:tcW w:w="2440" w:type="dxa"/>
            <w:vAlign w:val="bottom"/>
            <w:gridSpan w:val="3"/>
            <w:vMerge w:val="continue"/>
          </w:tcPr>
          <w:p>
            <w:pPr>
              <w:spacing w:after="0"/>
              <w:rPr>
                <w:sz w:val="13"/>
                <w:szCs w:val="13"/>
                <w:color w:val="auto"/>
              </w:rPr>
            </w:pPr>
          </w:p>
        </w:tc>
        <w:tc>
          <w:tcPr>
            <w:tcW w:w="20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March 31, 2023</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6460" w:type="dxa"/>
            <w:vAlign w:val="bottom"/>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64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520" w:type="dxa"/>
            <w:vAlign w:val="bottom"/>
            <w:gridSpan w:val="3"/>
          </w:tcPr>
          <w:p>
            <w:pPr>
              <w:jc w:val="right"/>
              <w:ind w:right="165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operations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$165 - $195</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right"/>
              <w:ind w:right="187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30"/>
        </w:trPr>
        <w:tc>
          <w:tcPr>
            <w:tcW w:w="6460" w:type="dxa"/>
            <w:vAlign w:val="bottom"/>
          </w:tcPr>
          <w:p>
            <w:pPr>
              <w:ind w:left="40"/>
              <w:spacing w:after="0"/>
              <w:rPr>
                <w:sz w:val="20"/>
                <w:szCs w:val="20"/>
                <w:color w:val="auto"/>
              </w:rPr>
            </w:pPr>
            <w:r>
              <w:rPr>
                <w:rFonts w:ascii="Arial" w:cs="Arial" w:eastAsia="Arial" w:hAnsi="Arial"/>
                <w:sz w:val="18"/>
                <w:szCs w:val="18"/>
                <w:color w:val="auto"/>
              </w:rPr>
              <w:t>Carbon management business</w:t>
            </w:r>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jc w:val="right"/>
              <w:spacing w:after="0"/>
              <w:rPr>
                <w:sz w:val="20"/>
                <w:szCs w:val="20"/>
                <w:color w:val="auto"/>
              </w:rPr>
            </w:pPr>
            <w:r>
              <w:rPr>
                <w:rFonts w:ascii="Arial" w:cs="Arial" w:eastAsia="Arial" w:hAnsi="Arial"/>
                <w:sz w:val="18"/>
                <w:szCs w:val="18"/>
                <w:color w:val="auto"/>
              </w:rPr>
              <w:t>- 15</w:t>
            </w: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- 35</w:t>
            </w:r>
          </w:p>
        </w:tc>
        <w:tc>
          <w:tcPr>
            <w:tcW w:w="100" w:type="dxa"/>
            <w:vAlign w:val="bottom"/>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460" w:type="dxa"/>
            <w:vAlign w:val="bottom"/>
          </w:tcPr>
          <w:p>
            <w:pPr>
              <w:ind w:left="140"/>
              <w:spacing w:after="0"/>
              <w:rPr>
                <w:sz w:val="20"/>
                <w:szCs w:val="20"/>
                <w:color w:val="auto"/>
              </w:rPr>
            </w:pPr>
            <w:r>
              <w:rPr>
                <w:rFonts w:ascii="Arial" w:cs="Arial" w:eastAsia="Arial" w:hAnsi="Arial"/>
                <w:sz w:val="18"/>
                <w:szCs w:val="18"/>
                <w:b w:val="1"/>
                <w:bCs w:val="1"/>
                <w:color w:val="auto"/>
              </w:rPr>
              <w:t>Total Capital</w:t>
            </w:r>
          </w:p>
        </w:tc>
        <w:tc>
          <w:tcPr>
            <w:tcW w:w="2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$200 - $245</w:t>
            </w:r>
          </w:p>
        </w:tc>
        <w:tc>
          <w:tcPr>
            <w:tcW w:w="100" w:type="dxa"/>
            <w:vAlign w:val="bottom"/>
          </w:tcPr>
          <w:p>
            <w:pPr>
              <w:spacing w:after="0"/>
              <w:rPr>
                <w:sz w:val="19"/>
                <w:szCs w:val="19"/>
                <w:color w:val="auto"/>
              </w:rPr>
            </w:pPr>
          </w:p>
        </w:tc>
        <w:tc>
          <w:tcPr>
            <w:tcW w:w="2060" w:type="dxa"/>
            <w:vAlign w:val="bottom"/>
            <w:tcBorders>
              <w:bottom w:val="single" w:sz="8" w:color="auto"/>
            </w:tcBorders>
          </w:tcPr>
          <w:p>
            <w:pPr>
              <w:jc w:val="right"/>
              <w:ind w:right="187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 xml:space="preserve">We recently amended and extended our Revolving Credit Facility as described in </w:t>
      </w:r>
      <w:r>
        <w:rPr>
          <w:rFonts w:ascii="Arial" w:cs="Arial" w:eastAsia="Arial" w:hAnsi="Arial"/>
          <w:sz w:val="18"/>
          <w:szCs w:val="18"/>
          <w:i w:val="1"/>
          <w:iCs w:val="1"/>
          <w:color w:val="auto"/>
        </w:rPr>
        <w:t>Part I, Item 1 – Financial Statements, Note 14</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Events</w:t>
      </w:r>
      <w:r>
        <w:rPr>
          <w:rFonts w:ascii="Arial" w:cs="Arial" w:eastAsia="Arial" w:hAnsi="Arial"/>
          <w:sz w:val="18"/>
          <w:szCs w:val="18"/>
          <w:color w:val="auto"/>
        </w:rPr>
        <w:t>, and are currently evaluating refinancing options for our Senior Notes, which we expect to provide us with greater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and financial flexibility to bolster our ongoing shareholder return program. We also intend to pursue financing options for our carbon management business that are separate from the rest of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Our hedging strategy seeks to mitigate our exposure to commodity price volatility and ensure our financial strength and liquidity by protecting our cash flows. We will continue to evaluate our hedging strategy based on prevailing market prices and conditions.</w:t>
      </w:r>
    </w:p>
    <w:p>
      <w:pPr>
        <w:spacing w:after="0" w:line="20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three months ended March 31, 2023. See </w:t>
      </w:r>
      <w:r>
        <w:rPr>
          <w:rFonts w:ascii="Arial" w:cs="Arial" w:eastAsia="Arial" w:hAnsi="Arial"/>
          <w:sz w:val="18"/>
          <w:szCs w:val="18"/>
          <w:i w:val="1"/>
          <w:iCs w:val="1"/>
          <w:color w:val="auto"/>
        </w:rPr>
        <w:t>Part I, Item 1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Note 5 Derivatives </w:t>
      </w:r>
      <w:r>
        <w:rPr>
          <w:rFonts w:ascii="Arial" w:cs="Arial" w:eastAsia="Arial" w:hAnsi="Arial"/>
          <w:sz w:val="18"/>
          <w:szCs w:val="18"/>
          <w:color w:val="auto"/>
        </w:rPr>
        <w:t>for further information on our derivatives and a summary of our open derivative contracts as of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2023 and </w:t>
      </w:r>
      <w:r>
        <w:rPr>
          <w:rFonts w:ascii="Arial" w:cs="Arial" w:eastAsia="Arial" w:hAnsi="Arial"/>
          <w:sz w:val="18"/>
          <w:szCs w:val="18"/>
          <w:i w:val="1"/>
          <w:iCs w:val="1"/>
          <w:color w:val="auto"/>
        </w:rPr>
        <w:t>Part II, Item 8 – Financial Statements and Supplementary Data, Note 4 Debt</w:t>
      </w:r>
      <w:r>
        <w:rPr>
          <w:rFonts w:ascii="Arial" w:cs="Arial" w:eastAsia="Arial" w:hAnsi="Arial"/>
          <w:sz w:val="18"/>
          <w:szCs w:val="18"/>
          <w:color w:val="auto"/>
        </w:rPr>
        <w:t xml:space="preserve"> in our 2022 Annual Report for information on the hedging requirements included in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February 23, 2023, our Board of Directors declared a quarterly cash dividend of $0.2825 per share of common stock and amounted to $20 million in the aggregate. The dividend was payable to shareholders of record at the close of business on March 6, 2023 and was paid on March 16, 2023. On April 28, 2023, our Board of Directors declared a quarterly cash dividend of $0.2825 per share of common stock. The dividend is payable to shareholders of record at the close of business on June 1, 2023 and is expected to be paid on June 16, 2023. The actual declaration of future cash dividends, and the establishment of record and payment dates, is subject to final determination by our Board of Directors each quarter after reviewing our financial performance and position.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Board of Directors has authorized a Share Repurchase Program to acquire up to $ 1.1 billion of our common stock through June 30, 2024. The repurchases may be effected from time-to-time through open market purchases, privately negotiated transactions, Rule 10b5-1 plans, accelerated stock repurchases, derivative contracts or otherwise in compliance with Rule 10b-18, subject to market conditions and contractual limitations in our debt agreements. The Share Repurchase Program does not obligate us to repurchase any dollar amount or number of shares and our Board of Directors may modify, suspend, or discontinue authorization of the program at any time. The following is a summary of our share repurchases, held as treasury stock for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Total Number of Shares</w:t>
            </w:r>
          </w:p>
        </w:tc>
        <w:tc>
          <w:tcPr>
            <w:tcW w:w="120" w:type="dxa"/>
            <w:vAlign w:val="bottom"/>
          </w:tcPr>
          <w:p>
            <w:pPr>
              <w:spacing w:after="0"/>
              <w:rPr>
                <w:sz w:val="17"/>
                <w:szCs w:val="17"/>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Dollar Value of Shares</w:t>
            </w:r>
          </w:p>
        </w:tc>
        <w:tc>
          <w:tcPr>
            <w:tcW w:w="2180" w:type="dxa"/>
            <w:vAlign w:val="bottom"/>
            <w:gridSpan w:val="2"/>
          </w:tcPr>
          <w:p>
            <w:pPr>
              <w:jc w:val="right"/>
              <w:ind w:right="14"/>
              <w:spacing w:after="0"/>
              <w:rPr>
                <w:sz w:val="20"/>
                <w:szCs w:val="20"/>
                <w:color w:val="auto"/>
              </w:rPr>
            </w:pPr>
            <w:r>
              <w:rPr>
                <w:rFonts w:ascii="Arial" w:cs="Arial" w:eastAsia="Arial" w:hAnsi="Arial"/>
                <w:sz w:val="18"/>
                <w:szCs w:val="18"/>
                <w:b w:val="1"/>
                <w:bCs w:val="1"/>
                <w:color w:val="auto"/>
              </w:rPr>
              <w:t>Average Price Paid per</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b w:val="1"/>
                <w:bCs w:val="1"/>
                <w:color w:val="auto"/>
                <w:w w:val="99"/>
              </w:rPr>
              <w:t>Purchased</w:t>
            </w:r>
          </w:p>
        </w:tc>
        <w:tc>
          <w:tcPr>
            <w:tcW w:w="2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color w:val="auto"/>
              </w:rPr>
              <w:t>(number of shares)</w:t>
            </w:r>
          </w:p>
        </w:tc>
        <w:tc>
          <w:tcPr>
            <w:tcW w:w="120" w:type="dxa"/>
            <w:vAlign w:val="bottom"/>
          </w:tcPr>
          <w:p>
            <w:pPr>
              <w:spacing w:after="0"/>
              <w:rPr>
                <w:sz w:val="16"/>
                <w:szCs w:val="16"/>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ind w:left="2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3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1,668,456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Three months ended March 31, 2023</w:t>
            </w:r>
          </w:p>
        </w:tc>
        <w:tc>
          <w:tcPr>
            <w:tcW w:w="2160" w:type="dxa"/>
            <w:vAlign w:val="bottom"/>
          </w:tcPr>
          <w:p>
            <w:pPr>
              <w:jc w:val="right"/>
              <w:spacing w:after="0"/>
              <w:rPr>
                <w:sz w:val="20"/>
                <w:szCs w:val="20"/>
                <w:color w:val="auto"/>
              </w:rPr>
            </w:pPr>
            <w:r>
              <w:rPr>
                <w:rFonts w:ascii="Arial" w:cs="Arial" w:eastAsia="Arial" w:hAnsi="Arial"/>
                <w:sz w:val="18"/>
                <w:szCs w:val="18"/>
                <w:color w:val="auto"/>
              </w:rPr>
              <w:t>1,423,764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rPr>
              <w:t>Inception of Program (May 2021) through March 31,</w:t>
            </w:r>
          </w:p>
        </w:tc>
        <w:tc>
          <w:tcPr>
            <w:tcW w:w="2160" w:type="dxa"/>
            <w:vAlign w:val="bottom"/>
            <w:vMerge w:val="restart"/>
          </w:tcPr>
          <w:p>
            <w:pPr>
              <w:jc w:val="right"/>
              <w:spacing w:after="0"/>
              <w:rPr>
                <w:sz w:val="20"/>
                <w:szCs w:val="20"/>
                <w:color w:val="auto"/>
              </w:rPr>
            </w:pPr>
            <w:r>
              <w:rPr>
                <w:rFonts w:ascii="Arial" w:cs="Arial" w:eastAsia="Arial" w:hAnsi="Arial"/>
                <w:sz w:val="18"/>
                <w:szCs w:val="18"/>
                <w:color w:val="auto"/>
              </w:rPr>
              <w:t>12,880,024</w:t>
            </w:r>
          </w:p>
        </w:tc>
        <w:tc>
          <w:tcPr>
            <w:tcW w:w="2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vMerge w:val="restart"/>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5"/>
                <w:szCs w:val="15"/>
                <w:color w:val="auto"/>
              </w:rPr>
            </w:pPr>
          </w:p>
        </w:tc>
        <w:tc>
          <w:tcPr>
            <w:tcW w:w="820" w:type="dxa"/>
            <w:vAlign w:val="bottom"/>
            <w:vMerge w:val="restart"/>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47"/>
        </w:trPr>
        <w:tc>
          <w:tcPr>
            <w:tcW w:w="4320" w:type="dxa"/>
            <w:vAlign w:val="bottom"/>
          </w:tcPr>
          <w:p>
            <w:pPr>
              <w:ind w:left="20"/>
              <w:spacing w:after="0"/>
              <w:rPr>
                <w:sz w:val="20"/>
                <w:szCs w:val="20"/>
                <w:color w:val="auto"/>
              </w:rPr>
            </w:pPr>
            <w:r>
              <w:rPr>
                <w:rFonts w:ascii="Arial" w:cs="Arial" w:eastAsia="Arial" w:hAnsi="Arial"/>
                <w:sz w:val="18"/>
                <w:szCs w:val="18"/>
                <w:color w:val="auto"/>
              </w:rPr>
              <w:t>2023</w:t>
            </w:r>
          </w:p>
        </w:tc>
        <w:tc>
          <w:tcPr>
            <w:tcW w:w="21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20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Note: The dollar value of shares purchased does not include commissions and excise taxes on share repurchases.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 and Acquisitions</w:t>
      </w:r>
    </w:p>
    <w:p>
      <w:pPr>
        <w:spacing w:after="0" w:line="252"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7 Divestitures and Acquisitions</w:t>
      </w:r>
      <w:r>
        <w:rPr>
          <w:rFonts w:ascii="Arial" w:cs="Arial" w:eastAsia="Arial" w:hAnsi="Arial"/>
          <w:sz w:val="18"/>
          <w:szCs w:val="18"/>
          <w:color w:val="auto"/>
        </w:rPr>
        <w:t xml:space="preserve"> for information on our transactions during the three months ended March 31, 2023 and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98" w:lineRule="exact"/>
        <w:rPr>
          <w:sz w:val="20"/>
          <w:szCs w:val="20"/>
          <w:color w:val="auto"/>
        </w:rPr>
      </w:pPr>
    </w:p>
    <w:p>
      <w:pPr>
        <w:jc w:val="both"/>
        <w:ind w:right="140" w:firstLine="324"/>
        <w:spacing w:after="0" w:line="262"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March 31, 2023 and December 31, 2022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4 Lawsuits, Claims, Commitments and Contingencies</w:t>
      </w:r>
      <w:r>
        <w:rPr>
          <w:rFonts w:ascii="Arial" w:cs="Arial" w:eastAsia="Arial" w:hAnsi="Arial"/>
          <w:sz w:val="18"/>
          <w:szCs w:val="18"/>
          <w:color w:val="auto"/>
        </w:rPr>
        <w:t xml:space="preserve"> for further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Significant Accounting and Disclosure Changes</w:t>
      </w:r>
    </w:p>
    <w:p>
      <w:pPr>
        <w:spacing w:after="0" w:line="252"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 xml:space="preserve">There have been no changes to our critical accounting estimates, which are summarized in </w:t>
      </w:r>
      <w:r>
        <w:rPr>
          <w:rFonts w:ascii="Arial" w:cs="Arial" w:eastAsia="Arial" w:hAnsi="Arial"/>
          <w:sz w:val="18"/>
          <w:szCs w:val="18"/>
          <w:i w:val="1"/>
          <w:iCs w:val="1"/>
          <w:color w:val="auto"/>
        </w:rPr>
        <w:t>Part II, Item 7 – 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 Critical Accounting Estimates </w:t>
      </w:r>
      <w:r>
        <w:rPr>
          <w:rFonts w:ascii="Arial" w:cs="Arial" w:eastAsia="Arial" w:hAnsi="Arial"/>
          <w:sz w:val="18"/>
          <w:szCs w:val="18"/>
          <w:color w:val="auto"/>
        </w:rPr>
        <w:t>of our 2022 Annual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Forward-Looking Statements</w:t>
      </w:r>
    </w:p>
    <w:p>
      <w:pPr>
        <w:spacing w:after="0" w:line="14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1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ectPr>
          <w:pgSz w:w="11900" w:h="16838" w:orient="portrait"/>
          <w:cols w:equalWidth="0" w:num="1">
            <w:col w:w="11140"/>
          </w:cols>
          <w:pgMar w:left="320" w:top="1039" w:right="439" w:bottom="1440" w:gutter="0" w:footer="0" w:header="0"/>
        </w:sectPr>
      </w:pPr>
    </w:p>
    <w:p>
      <w:pPr>
        <w:spacing w:after="0" w:line="206" w:lineRule="exact"/>
        <w:rPr>
          <w:sz w:val="20"/>
          <w:szCs w:val="20"/>
          <w:color w:val="auto"/>
        </w:rPr>
      </w:pPr>
    </w:p>
    <w:p>
      <w:pPr>
        <w:jc w:val="both"/>
        <w:ind w:left="660" w:right="569" w:hanging="328"/>
        <w:spacing w:after="0" w:line="276"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fluctuations in commodity prices, including supply and demand considerations for our products and services;</w:t>
      </w:r>
    </w:p>
    <w:p>
      <w:pPr>
        <w:ind w:left="660" w:right="329"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decisions as to production levels and/or pricing by OPEC or U.S. producers in future periods;</w:t>
      </w:r>
    </w:p>
    <w:p>
      <w:pPr>
        <w:ind w:left="660" w:right="369"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policy, war and political conditions and events, including the war in Ukraine and oil sanctions on Russia, Iran and others;</w:t>
      </w:r>
    </w:p>
    <w:p>
      <w:pPr>
        <w:spacing w:after="0" w:line="1" w:lineRule="exact"/>
        <w:rPr>
          <w:rFonts w:ascii="Arial" w:cs="Arial" w:eastAsia="Arial" w:hAnsi="Arial"/>
          <w:sz w:val="18"/>
          <w:szCs w:val="18"/>
          <w:color w:val="auto"/>
        </w:rPr>
      </w:pPr>
    </w:p>
    <w:p>
      <w:pPr>
        <w:ind w:left="660" w:right="289"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actions and changes that affect the oil and gas industry generally and us in particular, including (1) the availability or timing of, or conditions imposed on, permits and approvals necessary for drilling or development activities or our carbon management business; (2) the management of energy, water, land, greenhouse gases (GHGs) or other emissions, (3) the protection of health, safety and the environment, or (4) the transportation, marketing and sale of our products;</w:t>
      </w:r>
    </w:p>
    <w:p>
      <w:pPr>
        <w:spacing w:after="0" w:line="3" w:lineRule="exact"/>
        <w:rPr>
          <w:rFonts w:ascii="Arial" w:cs="Arial" w:eastAsia="Arial" w:hAnsi="Arial"/>
          <w:sz w:val="18"/>
          <w:szCs w:val="18"/>
          <w:color w:val="auto"/>
        </w:rPr>
      </w:pPr>
    </w:p>
    <w:p>
      <w:pPr>
        <w:ind w:left="660" w:right="489"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inflation on future expenses and changes generally in the prices of goods and services;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business strategy and our capital plan;</w:t>
      </w:r>
    </w:p>
    <w:p>
      <w:pPr>
        <w:spacing w:after="0" w:line="9" w:lineRule="exact"/>
        <w:rPr>
          <w:rFonts w:ascii="Arial" w:cs="Arial" w:eastAsia="Arial" w:hAnsi="Arial"/>
          <w:sz w:val="18"/>
          <w:szCs w:val="18"/>
          <w:color w:val="auto"/>
        </w:rPr>
      </w:pPr>
    </w:p>
    <w:p>
      <w:pPr>
        <w:ind w:left="660" w:right="369"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lower-than-expected production or higher-than-expected production decline rates;</w:t>
      </w:r>
    </w:p>
    <w:p>
      <w:pPr>
        <w:ind w:left="660" w:right="329"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our estimates of reserves and related future cash flows, including changes arising from our inability to develop such reserves in a timely manner, and any inability to replace such reserves;</w:t>
      </w:r>
    </w:p>
    <w:p>
      <w:pPr>
        <w:spacing w:after="0" w:line="1" w:lineRule="exact"/>
        <w:rPr>
          <w:rFonts w:ascii="Arial" w:cs="Arial" w:eastAsia="Arial" w:hAnsi="Arial"/>
          <w:sz w:val="18"/>
          <w:szCs w:val="18"/>
          <w:color w:val="auto"/>
        </w:rPr>
      </w:pPr>
    </w:p>
    <w:p>
      <w:pPr>
        <w:ind w:left="660" w:right="409"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ind w:left="660" w:right="649"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trends, including conditions in the worldwide financial, trade and credit markets;</w:t>
      </w:r>
    </w:p>
    <w:p>
      <w:pPr>
        <w:spacing w:after="0" w:line="1" w:lineRule="exact"/>
        <w:rPr>
          <w:rFonts w:ascii="Arial" w:cs="Arial" w:eastAsia="Arial" w:hAnsi="Arial"/>
          <w:sz w:val="18"/>
          <w:szCs w:val="18"/>
          <w:color w:val="auto"/>
        </w:rPr>
      </w:pPr>
    </w:p>
    <w:p>
      <w:pPr>
        <w:ind w:left="660" w:right="489" w:hanging="328"/>
        <w:spacing w:after="0" w:line="26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operating costs;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331" w:right="360" w:hanging="331"/>
        <w:spacing w:after="0" w:line="260"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lack of available equipment, service or labor price inflation;</w:t>
      </w:r>
    </w:p>
    <w:p>
      <w:pPr>
        <w:spacing w:after="0" w:line="1" w:lineRule="exact"/>
        <w:rPr>
          <w:rFonts w:ascii="Arial" w:cs="Arial" w:eastAsia="Arial" w:hAnsi="Arial"/>
          <w:sz w:val="18"/>
          <w:szCs w:val="18"/>
          <w:color w:val="auto"/>
        </w:rPr>
      </w:pPr>
    </w:p>
    <w:p>
      <w:pPr>
        <w:ind w:left="331" w:right="180" w:hanging="331"/>
        <w:spacing w:after="0" w:line="242"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shut-in wells;</w:t>
      </w:r>
    </w:p>
    <w:p>
      <w:pPr>
        <w:spacing w:after="0" w:line="1" w:lineRule="exact"/>
        <w:rPr>
          <w:rFonts w:ascii="Arial" w:cs="Arial" w:eastAsia="Arial" w:hAnsi="Arial"/>
          <w:sz w:val="18"/>
          <w:szCs w:val="18"/>
          <w:color w:val="auto"/>
        </w:rPr>
      </w:pPr>
    </w:p>
    <w:p>
      <w:pPr>
        <w:ind w:left="311" w:hanging="311"/>
        <w:spacing w:after="0" w:line="234" w:lineRule="auto"/>
        <w:tabs>
          <w:tab w:leader="none" w:pos="3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failure of risk management;</w:t>
      </w:r>
    </w:p>
    <w:p>
      <w:pPr>
        <w:ind w:left="331" w:right="140" w:hanging="331"/>
        <w:spacing w:after="0" w:line="234"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from operations and competition in the industries in which we operate;</w:t>
      </w:r>
    </w:p>
    <w:p>
      <w:pPr>
        <w:spacing w:after="0" w:line="1" w:lineRule="exact"/>
        <w:rPr>
          <w:rFonts w:ascii="Arial" w:cs="Arial" w:eastAsia="Arial" w:hAnsi="Arial"/>
          <w:sz w:val="18"/>
          <w:szCs w:val="18"/>
          <w:color w:val="auto"/>
        </w:rPr>
      </w:pPr>
    </w:p>
    <w:p>
      <w:pPr>
        <w:ind w:left="331" w:right="120" w:hanging="331"/>
        <w:spacing w:after="0" w:line="234"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prior or future efforts to reduce costs;</w:t>
      </w:r>
    </w:p>
    <w:p>
      <w:pPr>
        <w:spacing w:after="0" w:line="1" w:lineRule="exact"/>
        <w:rPr>
          <w:rFonts w:ascii="Arial" w:cs="Arial" w:eastAsia="Arial" w:hAnsi="Arial"/>
          <w:sz w:val="18"/>
          <w:szCs w:val="18"/>
          <w:color w:val="auto"/>
        </w:rPr>
      </w:pPr>
    </w:p>
    <w:p>
      <w:pPr>
        <w:ind w:left="331" w:right="200" w:hanging="331"/>
        <w:spacing w:after="0" w:line="234"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environmental risks and liability under federal, regional, state, provincial, tribal, local and international environmental laws and regulations (including remedial actions);</w:t>
      </w:r>
    </w:p>
    <w:p>
      <w:pPr>
        <w:spacing w:after="0" w:line="2" w:lineRule="exact"/>
        <w:rPr>
          <w:rFonts w:ascii="Arial" w:cs="Arial" w:eastAsia="Arial" w:hAnsi="Arial"/>
          <w:sz w:val="18"/>
          <w:szCs w:val="18"/>
          <w:color w:val="auto"/>
        </w:rPr>
      </w:pPr>
    </w:p>
    <w:p>
      <w:pPr>
        <w:ind w:left="331" w:right="180" w:hanging="331"/>
        <w:spacing w:after="0" w:line="243" w:lineRule="auto"/>
        <w:tabs>
          <w:tab w:leader="none" w:pos="37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creditworthiness and performance of our counterparties, including financial institutions, operating partners, CCS project participants and other parties;</w:t>
      </w:r>
    </w:p>
    <w:p>
      <w:pPr>
        <w:ind w:left="311" w:hanging="311"/>
        <w:spacing w:after="0"/>
        <w:tabs>
          <w:tab w:leader="none" w:pos="3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reorganization or restructuring of our operations;</w:t>
      </w:r>
    </w:p>
    <w:p>
      <w:pPr>
        <w:spacing w:after="0" w:line="9" w:lineRule="exact"/>
        <w:rPr>
          <w:rFonts w:ascii="Arial" w:cs="Arial" w:eastAsia="Arial" w:hAnsi="Arial"/>
          <w:sz w:val="18"/>
          <w:szCs w:val="18"/>
          <w:color w:val="auto"/>
        </w:rPr>
      </w:pPr>
    </w:p>
    <w:p>
      <w:pPr>
        <w:ind w:left="331" w:right="760" w:hanging="331"/>
        <w:spacing w:after="0" w:line="265" w:lineRule="auto"/>
        <w:tabs>
          <w:tab w:leader="none" w:pos="326"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claim and utilize tax credits or other incentives in connection with our CCS projects;</w:t>
      </w:r>
    </w:p>
    <w:p>
      <w:pPr>
        <w:ind w:left="331" w:right="40" w:hanging="331"/>
        <w:spacing w:after="0" w:line="250"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realize the benefits contemplated by our energy transition strategies and initiatives, including CCS projects and other renewable energy efforts;</w:t>
      </w:r>
    </w:p>
    <w:p>
      <w:pPr>
        <w:spacing w:after="0" w:line="1" w:lineRule="exact"/>
        <w:rPr>
          <w:rFonts w:ascii="Arial" w:cs="Arial" w:eastAsia="Arial" w:hAnsi="Arial"/>
          <w:sz w:val="18"/>
          <w:szCs w:val="18"/>
          <w:color w:val="auto"/>
        </w:rPr>
      </w:pPr>
    </w:p>
    <w:p>
      <w:pPr>
        <w:ind w:left="331" w:right="20" w:hanging="331"/>
        <w:spacing w:after="0" w:line="250"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identify, develop and finance carbon capture and storage projects and other renewable energy efforts, including those in connection with the Carbon TerraVault JV, and our ability to convert our CDMAs to definitive agreements and enter into other offtake agreements;</w:t>
      </w:r>
    </w:p>
    <w:p>
      <w:pPr>
        <w:spacing w:after="0" w:line="2" w:lineRule="exact"/>
        <w:rPr>
          <w:rFonts w:ascii="Arial" w:cs="Arial" w:eastAsia="Arial" w:hAnsi="Arial"/>
          <w:sz w:val="18"/>
          <w:szCs w:val="18"/>
          <w:color w:val="auto"/>
        </w:rPr>
      </w:pPr>
    </w:p>
    <w:p>
      <w:pPr>
        <w:ind w:left="331" w:right="240" w:hanging="331"/>
        <w:spacing w:after="0" w:line="250"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maximize the value of our carbon management business and operate it on a stand alone basis;</w:t>
      </w:r>
    </w:p>
    <w:p>
      <w:pPr>
        <w:spacing w:after="0" w:line="1" w:lineRule="exact"/>
        <w:rPr>
          <w:rFonts w:ascii="Arial" w:cs="Arial" w:eastAsia="Arial" w:hAnsi="Arial"/>
          <w:sz w:val="18"/>
          <w:szCs w:val="18"/>
          <w:color w:val="auto"/>
        </w:rPr>
      </w:pPr>
    </w:p>
    <w:p>
      <w:pPr>
        <w:ind w:left="331" w:right="140" w:hanging="331"/>
        <w:spacing w:after="0" w:line="250"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develop infrastructure projects and enter into third party contracts on contemplated terms;</w:t>
      </w:r>
    </w:p>
    <w:p>
      <w:pPr>
        <w:spacing w:after="0" w:line="1" w:lineRule="exact"/>
        <w:rPr>
          <w:rFonts w:ascii="Arial" w:cs="Arial" w:eastAsia="Arial" w:hAnsi="Arial"/>
          <w:sz w:val="18"/>
          <w:szCs w:val="18"/>
          <w:color w:val="auto"/>
        </w:rPr>
      </w:pPr>
    </w:p>
    <w:p>
      <w:pPr>
        <w:ind w:left="331" w:right="180" w:hanging="331"/>
        <w:spacing w:after="0" w:line="266"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uncertainty around the accounting of emissions and our ability to successfully</w:t>
      </w:r>
    </w:p>
    <w:p>
      <w:pPr>
        <w:spacing w:after="0" w:line="200" w:lineRule="exact"/>
        <w:rPr>
          <w:sz w:val="20"/>
          <w:szCs w:val="20"/>
          <w:color w:val="auto"/>
        </w:rPr>
      </w:pPr>
    </w:p>
    <w:p>
      <w:pPr>
        <w:sectPr>
          <w:pgSz w:w="11900" w:h="16838" w:orient="portrait"/>
          <w:cols w:equalWidth="0" w:num="2">
            <w:col w:w="5509" w:space="720"/>
            <w:col w:w="4911"/>
          </w:cols>
          <w:pgMar w:left="320" w:top="1039" w:right="439" w:bottom="1440" w:gutter="0" w:footer="0" w:header="0"/>
          <w:type w:val="continuous"/>
        </w:sect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9" w:right="439" w:bottom="1440" w:gutter="0" w:footer="0" w:header="0"/>
          <w:type w:val="continuous"/>
        </w:sectPr>
      </w:pPr>
    </w:p>
    <w:bookmarkStart w:id="33" w:name="page34"/>
    <w:bookmarkEnd w:id="33"/>
    <w:p>
      <w:pPr>
        <w:ind w:left="660" w:right="1449"/>
        <w:spacing w:after="0" w:line="260" w:lineRule="auto"/>
        <w:rPr>
          <w:sz w:val="20"/>
          <w:szCs w:val="20"/>
          <w:color w:val="auto"/>
        </w:rPr>
      </w:pPr>
      <w:r>
        <w:rPr>
          <w:rFonts w:ascii="Arial" w:cs="Arial" w:eastAsia="Arial" w:hAnsi="Arial"/>
          <w:sz w:val="18"/>
          <w:szCs w:val="18"/>
          <w:color w:val="auto"/>
        </w:rPr>
        <w:t>gather and verify emissions data and other environmental impacts;</w:t>
      </w:r>
    </w:p>
    <w:p>
      <w:pPr>
        <w:spacing w:after="0" w:line="2" w:lineRule="exact"/>
        <w:rPr>
          <w:sz w:val="20"/>
          <w:szCs w:val="20"/>
          <w:color w:val="auto"/>
        </w:rPr>
      </w:pPr>
    </w:p>
    <w:p>
      <w:pPr>
        <w:jc w:val="both"/>
        <w:ind w:left="660" w:right="589"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our dividend policy and share repurchase program, and our ability to declare future dividends or repurchase shares under our debt agreements;</w:t>
      </w:r>
    </w:p>
    <w:p>
      <w:pPr>
        <w:spacing w:after="0" w:line="1" w:lineRule="exact"/>
        <w:rPr>
          <w:rFonts w:ascii="Arial" w:cs="Arial" w:eastAsia="Arial" w:hAnsi="Arial"/>
          <w:sz w:val="18"/>
          <w:szCs w:val="18"/>
          <w:color w:val="auto"/>
        </w:rPr>
      </w:pPr>
    </w:p>
    <w:p>
      <w:pPr>
        <w:ind w:left="660" w:right="489"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our financial flexibility due to existing and future debt;</w:t>
      </w:r>
    </w:p>
    <w:p>
      <w:pPr>
        <w:ind w:left="660" w:right="429" w:hanging="328"/>
        <w:spacing w:after="0" w:line="265"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insufficient cash flow to fund our capital plan and other planned investments and return capital to shareholders;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 w:lineRule="exact"/>
        <w:rPr>
          <w:rFonts w:ascii="Arial" w:cs="Arial" w:eastAsia="Arial" w:hAnsi="Arial"/>
          <w:sz w:val="18"/>
          <w:szCs w:val="18"/>
          <w:color w:val="auto"/>
        </w:rPr>
      </w:pPr>
    </w:p>
    <w:p>
      <w:pPr>
        <w:ind w:left="660" w:right="569"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access to and the terms of credit in commercial banking and capital markets, including our ability to refinance our debt or obtain separate financing for our carbon management business;</w:t>
      </w:r>
    </w:p>
    <w:p>
      <w:pPr>
        <w:spacing w:after="0" w:line="1" w:lineRule="exact"/>
        <w:rPr>
          <w:rFonts w:ascii="Arial" w:cs="Arial" w:eastAsia="Arial" w:hAnsi="Arial"/>
          <w:sz w:val="18"/>
          <w:szCs w:val="18"/>
          <w:color w:val="auto"/>
        </w:rPr>
      </w:pPr>
    </w:p>
    <w:p>
      <w:pPr>
        <w:jc w:val="both"/>
        <w:ind w:left="660" w:right="769" w:hanging="328"/>
        <w:spacing w:after="0" w:line="280"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state, federal or international tax rates, including our ability to utilize our net operating loss carryforwards to reduce our income tax obligations;</w:t>
      </w:r>
    </w:p>
    <w:p>
      <w:pPr>
        <w:spacing w:after="0" w:line="20" w:lineRule="exact"/>
        <w:rPr>
          <w:sz w:val="20"/>
          <w:szCs w:val="20"/>
          <w:color w:val="auto"/>
        </w:rPr>
      </w:pPr>
      <w:r>
        <w:rPr>
          <w:sz w:val="20"/>
          <w:szCs w:val="20"/>
          <w:color w:val="auto"/>
        </w:rPr>
        <w:br w:type="column"/>
      </w:r>
    </w:p>
    <w:p>
      <w:pPr>
        <w:ind w:left="311" w:hanging="311"/>
        <w:spacing w:after="0"/>
        <w:tabs>
          <w:tab w:leader="none" w:pos="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27" w:lineRule="exact"/>
        <w:rPr>
          <w:rFonts w:ascii="Arial" w:cs="Arial" w:eastAsia="Arial" w:hAnsi="Arial"/>
          <w:sz w:val="18"/>
          <w:szCs w:val="18"/>
          <w:color w:val="auto"/>
        </w:rPr>
      </w:pPr>
    </w:p>
    <w:p>
      <w:pPr>
        <w:ind w:left="331" w:right="440" w:hanging="331"/>
        <w:spacing w:after="0" w:line="250" w:lineRule="auto"/>
        <w:tabs>
          <w:tab w:leader="none" w:pos="32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our stock price on costs associated with incentive compensation;</w:t>
      </w:r>
    </w:p>
    <w:p>
      <w:pPr>
        <w:ind w:left="331" w:right="380" w:hanging="331"/>
        <w:spacing w:after="0" w:line="265" w:lineRule="auto"/>
        <w:tabs>
          <w:tab w:leader="none" w:pos="32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inability to enter into desirable transactions, including joint ventures, divestitures of oil and natural gas properties and real estate, and acquisitions, and our ability to achieve any expected synergies;</w:t>
      </w:r>
    </w:p>
    <w:p>
      <w:pPr>
        <w:ind w:left="331" w:right="220" w:hanging="331"/>
        <w:spacing w:after="0" w:line="250" w:lineRule="auto"/>
        <w:tabs>
          <w:tab w:leader="none" w:pos="326"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spacing w:after="0" w:line="2" w:lineRule="exact"/>
        <w:rPr>
          <w:rFonts w:ascii="Arial" w:cs="Arial" w:eastAsia="Arial" w:hAnsi="Arial"/>
          <w:sz w:val="18"/>
          <w:szCs w:val="18"/>
          <w:color w:val="auto"/>
        </w:rPr>
      </w:pPr>
    </w:p>
    <w:p>
      <w:pPr>
        <w:ind w:left="331" w:right="140" w:hanging="331"/>
        <w:spacing w:after="0" w:line="250" w:lineRule="auto"/>
        <w:tabs>
          <w:tab w:leader="none" w:pos="326"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pandemic; and</w:t>
      </w:r>
    </w:p>
    <w:p>
      <w:pPr>
        <w:ind w:left="331" w:right="160" w:hanging="331"/>
        <w:spacing w:after="0" w:line="266" w:lineRule="auto"/>
        <w:tabs>
          <w:tab w:leader="none" w:pos="326"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other factors discussed in </w:t>
      </w:r>
      <w:r>
        <w:rPr>
          <w:rFonts w:ascii="Arial" w:cs="Arial" w:eastAsia="Arial" w:hAnsi="Arial"/>
          <w:sz w:val="18"/>
          <w:szCs w:val="18"/>
          <w:i w:val="1"/>
          <w:iCs w:val="1"/>
          <w:color w:val="auto"/>
        </w:rPr>
        <w:t>Part I, Item 1A – Risk Factors</w:t>
      </w:r>
      <w:r>
        <w:rPr>
          <w:rFonts w:ascii="Arial" w:cs="Arial" w:eastAsia="Arial" w:hAnsi="Arial"/>
          <w:sz w:val="18"/>
          <w:szCs w:val="18"/>
          <w:color w:val="auto"/>
        </w:rPr>
        <w:t xml:space="preserve"> in our 2022 Annual Report</w:t>
      </w:r>
      <w:r>
        <w:rPr>
          <w:rFonts w:ascii="Arial" w:cs="Arial" w:eastAsia="Arial" w:hAnsi="Arial"/>
          <w:sz w:val="18"/>
          <w:szCs w:val="18"/>
          <w:i w:val="1"/>
          <w:iCs w:val="1"/>
          <w:color w:val="auto"/>
        </w:rPr>
        <w:t>.</w:t>
      </w:r>
    </w:p>
    <w:p>
      <w:pPr>
        <w:spacing w:after="0" w:line="209" w:lineRule="exact"/>
        <w:rPr>
          <w:sz w:val="20"/>
          <w:szCs w:val="20"/>
          <w:color w:val="auto"/>
        </w:rPr>
      </w:pPr>
    </w:p>
    <w:p>
      <w:pPr>
        <w:sectPr>
          <w:pgSz w:w="11900" w:h="16838" w:orient="portrait"/>
          <w:cols w:equalWidth="0" w:num="2">
            <w:col w:w="5509" w:space="720"/>
            <w:col w:w="4911"/>
          </w:cols>
          <w:pgMar w:left="320" w:top="890" w:right="4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type w:val="continuous"/>
        </w:sectPr>
      </w:pPr>
    </w:p>
    <w:bookmarkStart w:id="34" w:name="page35"/>
    <w:bookmarkEnd w:id="34"/>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ind w:right="220" w:firstLine="324"/>
        <w:spacing w:after="0" w:line="268" w:lineRule="auto"/>
        <w:rPr>
          <w:sz w:val="20"/>
          <w:szCs w:val="20"/>
          <w:color w:val="auto"/>
        </w:rPr>
      </w:pPr>
      <w:r>
        <w:rPr>
          <w:rFonts w:ascii="Arial" w:cs="Arial" w:eastAsia="Arial" w:hAnsi="Arial"/>
          <w:sz w:val="18"/>
          <w:szCs w:val="18"/>
          <w:color w:val="auto"/>
        </w:rPr>
        <w:t xml:space="preserve">For the three months ended March 31, 2023, there were no material changes to market risks from the information provided under Item 305 of Regulation S-K included under the caption </w:t>
      </w:r>
      <w:r>
        <w:rPr>
          <w:rFonts w:ascii="Arial" w:cs="Arial" w:eastAsia="Arial" w:hAnsi="Arial"/>
          <w:sz w:val="18"/>
          <w:szCs w:val="18"/>
          <w:i w:val="1"/>
          <w:iCs w:val="1"/>
          <w:color w:val="auto"/>
        </w:rPr>
        <w:t>Part II, Item 7A – Quantitative and Qualitative Disclosures About Market Risk</w:t>
      </w:r>
      <w:r>
        <w:rPr>
          <w:rFonts w:ascii="Arial" w:cs="Arial" w:eastAsia="Arial" w:hAnsi="Arial"/>
          <w:sz w:val="18"/>
          <w:szCs w:val="18"/>
          <w:color w:val="auto"/>
        </w:rPr>
        <w:t xml:space="preserve"> in the 2022 Annual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0"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 xml:space="preserve">Our financial results are sensitive to fluctuations in oil, NGL and natural gas prices. These commodity price changes also impact the volume changes under our PSC-type contracts. We maintain a commodity hedging program primarily focused on hedging crude oil sales to help protect our cash flows, margins and capital program from the volatility of crude oil prices. As of March 31, 2023, we had net liabilities of $111 million for our derivative commodity positions which are carried at fair value. For more information on our derivative positions as of March 31, 2023, refer to </w:t>
      </w:r>
      <w:r>
        <w:rPr>
          <w:rFonts w:ascii="Arial" w:cs="Arial" w:eastAsia="Arial" w:hAnsi="Arial"/>
          <w:sz w:val="18"/>
          <w:szCs w:val="18"/>
          <w:i w:val="1"/>
          <w:iCs w:val="1"/>
          <w:color w:val="auto"/>
        </w:rPr>
        <w:t>Part I, Item 1 – Financial Statements, Note 5 Derivatives.</w:t>
      </w:r>
      <w:r>
        <w:rPr>
          <w:rFonts w:ascii="Arial" w:cs="Arial" w:eastAsia="Arial" w:hAnsi="Arial"/>
          <w:sz w:val="18"/>
          <w:szCs w:val="18"/>
          <w:color w:val="auto"/>
        </w:rPr>
        <w:t xml:space="preserve"> We have price exposure for natural gas we purchase and use in our business. We used natural gas to generate electricity for our operations and higher natural gas prices will also result in an increase to our electricity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50"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Counterparty credit limits have been established based upon the financial health of our counterparties, and these limits are actively monitored. In the event counterparty credit risk is heightened, we may request collateral and accelerate payment dates. Concentration of credit risk is regularly reviewed to ensure that counterparty credit risk is adequately diversified.</w:t>
      </w:r>
    </w:p>
    <w:p>
      <w:pPr>
        <w:spacing w:after="0" w:line="203"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As of March 31, 2023, the majority of our credit exposure was with investment-grade counterparties. We believe exposure to counterparty credit-related losses related to our business at March 31, 2023 was not material and losses associated with counterparty credit risk have been insignificant for all periods presented.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Interest-Rate Risk</w:t>
      </w:r>
    </w:p>
    <w:p>
      <w:pPr>
        <w:spacing w:after="0" w:line="25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Changes in interest rate may affect the amount of interest we pay on our long-term debt. We had no variable-rate debt outstanding as of March 31, 2023. Our Senior Notes bear interest at a fixed rate of 7.125% per annum.</w:t>
      </w:r>
    </w:p>
    <w:p>
      <w:pPr>
        <w:spacing w:after="0" w:line="1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5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Chief Executive Officer (acting as both principal executive officer and principal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(acting as both principal executive officer and principal financial officer) concluded that our disclosure controls and procedures were effective as of March 31, 2023.</w:t>
      </w:r>
    </w:p>
    <w:p>
      <w:pPr>
        <w:spacing w:after="0" w:line="139"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There were no changes in our internal controls over financial reporting (as defined in Rules 13a-15(f) and 15d-15(f) under the Securities Exchange Act of 1934) during the three months ended March 31, 2023 that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5" w:name="page36"/>
    <w:bookmarkEnd w:id="35"/>
    <w:p>
      <w:pPr>
        <w:jc w:val="center"/>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 xml:space="preserve">For additional information regarding legal proceedings, see </w:t>
      </w:r>
      <w:r>
        <w:rPr>
          <w:rFonts w:ascii="Arial" w:cs="Arial" w:eastAsia="Arial" w:hAnsi="Arial"/>
          <w:sz w:val="18"/>
          <w:szCs w:val="18"/>
          <w:i w:val="1"/>
          <w:iCs w:val="1"/>
          <w:color w:val="auto"/>
        </w:rPr>
        <w:t>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4 Lawsuits, Claims,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 the Notes to the Condensed Consolidated Financial Statements included in Part I of this Form 10-Q,</w:t>
      </w:r>
      <w:r>
        <w:rPr>
          <w:rFonts w:ascii="Arial" w:cs="Arial" w:eastAsia="Arial" w:hAnsi="Arial"/>
          <w:sz w:val="18"/>
          <w:szCs w:val="18"/>
          <w:i w:val="1"/>
          <w:iCs w:val="1"/>
          <w:color w:val="auto"/>
        </w:rPr>
        <w:t xml:space="preserve"> Part I, Item 2 – Management's Discussion and Analysis of Financial Condition and Results of Operations, Lawsuits, Claims, Commitments and Contingencies </w:t>
      </w:r>
      <w:r>
        <w:rPr>
          <w:rFonts w:ascii="Arial" w:cs="Arial" w:eastAsia="Arial" w:hAnsi="Arial"/>
          <w:sz w:val="18"/>
          <w:szCs w:val="18"/>
          <w:color w:val="auto"/>
        </w:rPr>
        <w:t>in this Form 10-Q, and</w:t>
      </w:r>
      <w:r>
        <w:rPr>
          <w:rFonts w:ascii="Arial" w:cs="Arial" w:eastAsia="Arial" w:hAnsi="Arial"/>
          <w:sz w:val="18"/>
          <w:szCs w:val="18"/>
          <w:i w:val="1"/>
          <w:iCs w:val="1"/>
          <w:color w:val="auto"/>
        </w:rPr>
        <w:t xml:space="preserve"> Part I, Item 3, Legal Proceedings </w:t>
      </w:r>
      <w:r>
        <w:rPr>
          <w:rFonts w:ascii="Arial" w:cs="Arial" w:eastAsia="Arial" w:hAnsi="Arial"/>
          <w:sz w:val="18"/>
          <w:szCs w:val="18"/>
          <w:color w:val="auto"/>
        </w:rPr>
        <w:t>in our 2022 Annual Report.</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2022 Annual Report. Except as set forth below, there were no material changes to those risk factors during the three months ended March 31, 2023.</w:t>
      </w:r>
    </w:p>
    <w:p>
      <w:pPr>
        <w:spacing w:after="0" w:line="200" w:lineRule="exact"/>
        <w:rPr>
          <w:sz w:val="20"/>
          <w:szCs w:val="20"/>
          <w:color w:val="auto"/>
        </w:rPr>
      </w:pPr>
    </w:p>
    <w:p>
      <w:pPr>
        <w:ind w:right="80" w:firstLine="324"/>
        <w:spacing w:after="0" w:line="294" w:lineRule="auto"/>
        <w:rPr>
          <w:sz w:val="20"/>
          <w:szCs w:val="20"/>
          <w:color w:val="auto"/>
        </w:rPr>
      </w:pPr>
      <w:r>
        <w:rPr>
          <w:rFonts w:ascii="Arial" w:cs="Arial" w:eastAsia="Arial" w:hAnsi="Arial"/>
          <w:sz w:val="18"/>
          <w:szCs w:val="18"/>
          <w:b w:val="1"/>
          <w:bCs w:val="1"/>
          <w:i w:val="1"/>
          <w:iCs w:val="1"/>
          <w:color w:val="auto"/>
        </w:rPr>
        <w:t>We may face material delays related to our ability to timely obtain permits necessary for our operations, or be unable to secure such permits on favorable terms or at all as a result of numerous California political, regulatory, and legal developments.</w:t>
      </w:r>
    </w:p>
    <w:p>
      <w:pPr>
        <w:spacing w:after="0" w:line="16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must obtain various governmental permits to conduct exploration and production activities, as well as other aspects of our operations. Obtaining the necessary governmental permits is often a complex and time-consuming process involving numerous federal, state and local agencies. The duration and success of each permitting effort is contingent upon many variables not within our control. In the context of obtaining permits or approvals, the Company will need to comply with known standards, existing laws (such as CEQA), and regulations that may entail greater or lesser costs and delays depending on the nature of the activity to be permitted and the interpretation of the laws and regulations implemented by the permitting authority.</w:t>
      </w:r>
    </w:p>
    <w:p>
      <w:pPr>
        <w:spacing w:after="0" w:line="209"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From time to time we have experienced significant delays with respect to obtaining drilling permits for our operations. A variety of factors outside of our control can lead to such delays. CalGEM has not issued any permits for new production wells to any operators since December 2022.</w:t>
      </w:r>
    </w:p>
    <w:p>
      <w:pPr>
        <w:spacing w:after="0" w:line="19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experienced delays obtaining permits as a result of litigation related to the Kern County EIR. On January 26, 2023, an appellate court issued a preliminary order reinstating a suspension of Kern County’s ability to rely on an existing Environmental Impact Report (EIR) to meet the County’s obligations under CEQA in connection with oil and gas permitting. The original suspension was put in place in October 2021 in response to a lawsuit challenging the adequacy of that EIR for CEQA purposes. The county subsequently issued a supplemental EIR and took other steps to address the issues raised by the original lawsuit and in November 2022 a trial court approved the sufficiency of the supplemental EIR and lifted the suspension on Kern County’s reliance on the EIR. The preliminary order of the appellate court referenced above is still pending. While we can and intend to address CEQA compliance for our oil and natural gas permitting process through alternative pathways, this would be a lengthy process and we cannot predict whether we would be able to timely obtain permits using this alternative. As a result of these issues and current lack of permits with respect to our Kern County properties, we do not currently plan to drill and complete any additional wells within Kern County until permitting is resumed in Kern County, which may be later in the 2024 calendar year. However, there is no certainty that we will obtain permits on that timeline or at all, which may further adversely affect our future development plans, proved undeveloped reserves, business, operations, cash flows, financial position, and results of operation. As of December 31, 2022, approximately 71% of our proved undeveloped reserves or 9% of our total proved reserves relate to wells to be drilled in Kern County beginning in 2024 for which we would need to obtain permits.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6" w:name="page37"/>
    <w:bookmarkEnd w:id="36"/>
    <w:p>
      <w:pPr>
        <w:ind w:firstLine="324"/>
        <w:spacing w:after="0" w:line="253" w:lineRule="auto"/>
        <w:rPr>
          <w:sz w:val="20"/>
          <w:szCs w:val="20"/>
          <w:color w:val="auto"/>
        </w:rPr>
      </w:pPr>
      <w:r>
        <w:rPr>
          <w:rFonts w:ascii="Arial" w:cs="Arial" w:eastAsia="Arial" w:hAnsi="Arial"/>
          <w:sz w:val="18"/>
          <w:szCs w:val="18"/>
          <w:color w:val="auto"/>
        </w:rPr>
        <w:t>We have also experienced delays obtaining drilling permits from CalGEM since the passage of Senate Bill No. 1137, which established 3,200 feet as the minimum distance between new oil and natural gas production wells and certain sensitive receptors such as homes, schools and businesses open to the public (a “setback zone”). The law became effective January 1, 2023 and CalGEM issued emergency regulations implementing the requirements of the law on January 6, 2023. However, on February 3, 2023, the Secretary of State of California certified voter signatures collected in connection with a referendum for the November 2024 ballot to repeal Senate Bill No. 1137. As a result, any implementation of Senate Bill No. 1137 is stayed until it is put to a vote, although any stay could be delayed if there are legal challenges to the Secretary of State’s certification. In addition, even during the stay, CalGEM could attempt to initiate new rulemaking with respect to setbacks. There is significant uncertainty with respect to the ability to book proved undeveloped reserves and drill within the setback zone established by Senate Bill No. 1137 and, as a result, we have only booked proved undeveloped reserves for which we already have permits within the zone and intend to develop prior to the November 2024 ballot. As of December 31, 2022, changes in our development plans due to Senate Bill No. 1137 reduced the net present value of our proved undeveloped reserves by 24% and our overall proved reserves by 4%. A legislator recently introduced a bill in the California Senate providing for liability for certain adverse health conditions in a setback zone, subject to limited defenses. If the subject bill in its current preliminary form was ultimately passed by both houses of the legislature and enacted, the legislation would further impact our ability to operate in a setback zone and increase our exposure to liability.</w:t>
      </w:r>
    </w:p>
    <w:p>
      <w:pPr>
        <w:spacing w:after="0" w:line="212"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 xml:space="preserve">In addition, commencing in February 2023, CalGEM began returning our applications for permits in the Wilmington Oil Field, including permits for new production wells, workovers and plugging and abandonment operations. See </w:t>
      </w:r>
      <w:r>
        <w:rPr>
          <w:rFonts w:ascii="Arial" w:cs="Arial" w:eastAsia="Arial" w:hAnsi="Arial"/>
          <w:sz w:val="18"/>
          <w:szCs w:val="18"/>
          <w:i w:val="1"/>
          <w:iCs w:val="1"/>
          <w:color w:val="auto"/>
        </w:rPr>
        <w:t>Part I, Item 2 –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 Regulatory Updates</w:t>
      </w:r>
      <w:r>
        <w:rPr>
          <w:rFonts w:ascii="Arial" w:cs="Arial" w:eastAsia="Arial" w:hAnsi="Arial"/>
          <w:sz w:val="18"/>
          <w:szCs w:val="18"/>
          <w:color w:val="auto"/>
        </w:rPr>
        <w:t>. Recent changes in CalGEM management have further lead</w:t>
      </w:r>
      <w:r>
        <w:rPr>
          <w:rFonts w:ascii="Arial" w:cs="Arial" w:eastAsia="Arial" w:hAnsi="Arial"/>
          <w:sz w:val="18"/>
          <w:szCs w:val="18"/>
          <w:i w:val="1"/>
          <w:iCs w:val="1"/>
          <w:color w:val="auto"/>
        </w:rPr>
        <w:t xml:space="preserve"> </w:t>
      </w:r>
      <w:r>
        <w:rPr>
          <w:rFonts w:ascii="Arial" w:cs="Arial" w:eastAsia="Arial" w:hAnsi="Arial"/>
          <w:sz w:val="18"/>
          <w:szCs w:val="18"/>
          <w:color w:val="auto"/>
        </w:rPr>
        <w:t>to additional permitting delays and uncertainty with respect to our ability to timely obtain permits for our operations.</w:t>
      </w:r>
    </w:p>
    <w:p>
      <w:pPr>
        <w:spacing w:after="0" w:line="20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cannot guarantee that these issues or new ones that may arise in the future will not continue to delay or otherwise impair our ability to obtain drilling permits. In the past we have generally been able to mitigate permitting risks by building up a reserve of drilling permits for use throughout the year, but as a result of the issues described above we have not been able to build our reserve of approved permits to the same level as we have in the past. If we cannot obtain new drilling permits in a timely manner, we have limited options to meet our drilling plans that may not ultimately be sufficient to achieve our business goals. Accordingly, the failure to obtain certain permits or the adoption of more stringent permitting requirements could have a material adverse effect on our business, operations, properties, results of operations, and our financial condition.</w:t>
      </w:r>
    </w:p>
    <w:p>
      <w:pPr>
        <w:spacing w:after="0" w:line="212" w:lineRule="exact"/>
        <w:rPr>
          <w:sz w:val="20"/>
          <w:szCs w:val="20"/>
          <w:color w:val="auto"/>
        </w:rPr>
      </w:pPr>
    </w:p>
    <w:p>
      <w:pPr>
        <w:ind w:right="140" w:firstLine="324"/>
        <w:spacing w:after="0" w:line="294" w:lineRule="auto"/>
        <w:rPr>
          <w:sz w:val="20"/>
          <w:szCs w:val="20"/>
          <w:color w:val="auto"/>
        </w:rPr>
      </w:pPr>
      <w:r>
        <w:rPr>
          <w:rFonts w:ascii="Arial" w:cs="Arial" w:eastAsia="Arial" w:hAnsi="Arial"/>
          <w:sz w:val="18"/>
          <w:szCs w:val="18"/>
          <w:b w:val="1"/>
          <w:bCs w:val="1"/>
          <w:i w:val="1"/>
          <w:iCs w:val="1"/>
          <w:color w:val="auto"/>
        </w:rPr>
        <w:t>Recent and future actions by the State of California could reduce both the demand for and supply of oil and natural gas within the state and consequently have a material and adverse effect on our business, results of operations and financial condition.</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In recent years, the Governor of California, the Legislature and state agencies have taken a series of actions that could materially and adversely affect the state's oil and natural gas sector. On September 16, 2022, the Governor of California signed Senate Bill No. 1137 into law, which establishes 3,200 feet as the minimum distance between new oil and natural gas production wells and certain sensitive receptors such as homes, schools or parks. Senate Bill No. 1137 is currently stayed pending the outcome of the California General Election in November 2024. A legislator recently introduced a bill in the California Senate providing for liability for certain adverse health conditions in a setback zone, subject to limited defenses. If the subject bill in its current preliminary form was ultimately passed by both houses of the legislature and enacted, the legislation would further impact our ability to operate in a setback zone and increase our exposure to liability. For additional information, see </w:t>
      </w:r>
      <w:r>
        <w:rPr>
          <w:rFonts w:ascii="Arial" w:cs="Arial" w:eastAsia="Arial" w:hAnsi="Arial"/>
          <w:sz w:val="18"/>
          <w:szCs w:val="18"/>
          <w:i w:val="1"/>
          <w:iCs w:val="1"/>
          <w:color w:val="auto"/>
        </w:rPr>
        <w:t>Part I, Item 1 and 2 – Business and Properties, Regulation of the Industries in Which We Operate, Regulation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Exploration and Production Activities </w:t>
      </w:r>
      <w:r>
        <w:rPr>
          <w:rFonts w:ascii="Arial" w:cs="Arial" w:eastAsia="Arial" w:hAnsi="Arial"/>
          <w:sz w:val="18"/>
          <w:szCs w:val="18"/>
          <w:color w:val="auto"/>
        </w:rPr>
        <w:t>in our 2022 Annual Report.</w:t>
      </w:r>
    </w:p>
    <w:p>
      <w:pPr>
        <w:spacing w:after="0" w:line="20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trend in California is to impose increasingly stringent restrictions on oil and natural gas activities. We cannot predict what actions the Governor of California, the Legislature or state agencies may take in the future, but we could face increased compliance costs, delays in obtaining the approvals necessary for our operations, exposure to increased liability, or other limitations as a result of future actions by these parties. Moreover, new developments resulting from the current and future actions of these parties could also materially and adversely affect our ability to operate, successfully execute drilling plans, or otherwise develop our reserves. Accordingly, recent and future actions by the Governor of California, the Legislature, and state agencies could materially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7" w:name="page38"/>
    <w:bookmarkEnd w:id="37"/>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Board of Directors has authorized a Share Repurchase Program to acquire up to $ 1.1 billion of our common stock through June 30, 2024. The repurchases may be affected from time-to-time through open market purchases, privately negotiated transactions, Rule 10b5-1 plans, accelerated stock repurchases, derivative contracts or otherwise in compliance with Rule 10b-18, subject to market and contractual limitations in our debt agreements. The Share Repurchase Program does not obligate us to repurchase any dollar amount or number of shares and our Board of Directors may modify, suspend, or discontinue authorization of the program at any time. Shares repurchased are held as treasury stock.</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share repurchase activity for the three months ended March 31, 2023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Total Number</w:t>
            </w:r>
          </w:p>
        </w:tc>
        <w:tc>
          <w:tcPr>
            <w:tcW w:w="140" w:type="dxa"/>
            <w:vAlign w:val="bottom"/>
          </w:tcPr>
          <w:p>
            <w:pPr>
              <w:spacing w:after="0"/>
              <w:rPr>
                <w:sz w:val="17"/>
                <w:szCs w:val="17"/>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8"/>
              </w:rPr>
              <w:t>Average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Total Number of Shares</w:t>
            </w: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Dollar Value of</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Purchased as Part of</w:t>
            </w:r>
          </w:p>
        </w:tc>
        <w:tc>
          <w:tcPr>
            <w:tcW w:w="140" w:type="dxa"/>
            <w:vAlign w:val="bottom"/>
          </w:tcPr>
          <w:p>
            <w:pPr>
              <w:spacing w:after="0"/>
              <w:rPr>
                <w:sz w:val="15"/>
                <w:szCs w:val="15"/>
                <w:color w:val="auto"/>
              </w:rPr>
            </w:pPr>
          </w:p>
        </w:tc>
        <w:tc>
          <w:tcPr>
            <w:tcW w:w="2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89"/>
        </w:trPr>
        <w:tc>
          <w:tcPr>
            <w:tcW w:w="420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Period</w:t>
            </w:r>
          </w:p>
        </w:tc>
        <w:tc>
          <w:tcPr>
            <w:tcW w:w="134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99"/>
              </w:rPr>
              <w:t>of Shares</w:t>
            </w:r>
          </w:p>
        </w:tc>
        <w:tc>
          <w:tcPr>
            <w:tcW w:w="1100" w:type="dxa"/>
            <w:vAlign w:val="bottom"/>
            <w:gridSpan w:val="3"/>
          </w:tcPr>
          <w:p>
            <w:pPr>
              <w:jc w:val="center"/>
              <w:ind w:right="100"/>
              <w:spacing w:after="0" w:line="189" w:lineRule="exact"/>
              <w:rPr>
                <w:sz w:val="20"/>
                <w:szCs w:val="20"/>
                <w:color w:val="auto"/>
              </w:rPr>
            </w:pPr>
            <w:r>
              <w:rPr>
                <w:rFonts w:ascii="Arial" w:cs="Arial" w:eastAsia="Arial" w:hAnsi="Arial"/>
                <w:sz w:val="18"/>
                <w:szCs w:val="18"/>
                <w:b w:val="1"/>
                <w:bCs w:val="1"/>
                <w:color w:val="auto"/>
              </w:rPr>
              <w:t>Price Paid</w:t>
            </w:r>
          </w:p>
        </w:tc>
        <w:tc>
          <w:tcPr>
            <w:tcW w:w="226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Publicly Announced</w:t>
            </w:r>
          </w:p>
        </w:tc>
        <w:tc>
          <w:tcPr>
            <w:tcW w:w="140" w:type="dxa"/>
            <w:vAlign w:val="bottom"/>
          </w:tcPr>
          <w:p>
            <w:pPr>
              <w:spacing w:after="0"/>
              <w:rPr>
                <w:sz w:val="16"/>
                <w:szCs w:val="16"/>
                <w:color w:val="auto"/>
              </w:rPr>
            </w:pPr>
          </w:p>
        </w:tc>
        <w:tc>
          <w:tcPr>
            <w:tcW w:w="2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29"/>
        </w:trPr>
        <w:tc>
          <w:tcPr>
            <w:tcW w:w="4200" w:type="dxa"/>
            <w:vAlign w:val="bottom"/>
            <w:vMerge w:val="continue"/>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Purchased</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per Share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Plans or Programs</w:t>
            </w:r>
          </w:p>
        </w:tc>
        <w:tc>
          <w:tcPr>
            <w:tcW w:w="140" w:type="dxa"/>
            <w:vAlign w:val="bottom"/>
          </w:tcPr>
          <w:p>
            <w:pPr>
              <w:spacing w:after="0"/>
              <w:rPr>
                <w:sz w:val="19"/>
                <w:szCs w:val="19"/>
                <w:color w:val="auto"/>
              </w:rPr>
            </w:pPr>
          </w:p>
        </w:tc>
        <w:tc>
          <w:tcPr>
            <w:tcW w:w="2200" w:type="dxa"/>
            <w:vAlign w:val="bottom"/>
          </w:tcPr>
          <w:p>
            <w:pPr>
              <w:jc w:val="center"/>
              <w:ind w:right="50"/>
              <w:spacing w:after="0" w:line="230" w:lineRule="exact"/>
              <w:rPr>
                <w:sz w:val="20"/>
                <w:szCs w:val="20"/>
                <w:color w:val="auto"/>
              </w:rPr>
            </w:pPr>
            <w:r>
              <w:rPr>
                <w:rFonts w:ascii="Arial" w:cs="Arial" w:eastAsia="Arial" w:hAnsi="Arial"/>
                <w:sz w:val="18"/>
                <w:szCs w:val="18"/>
                <w:b w:val="1"/>
                <w:bCs w:val="1"/>
                <w:color w:val="auto"/>
                <w:w w:val="97"/>
              </w:rPr>
              <w:t>Plans or Programs</w:t>
            </w:r>
            <w:r>
              <w:rPr>
                <w:rFonts w:ascii="Arial" w:cs="Arial" w:eastAsia="Arial" w:hAnsi="Arial"/>
                <w:sz w:val="23"/>
                <w:szCs w:val="23"/>
                <w:b w:val="1"/>
                <w:bCs w:val="1"/>
                <w:color w:val="auto"/>
                <w:w w:val="97"/>
                <w:vertAlign w:val="superscript"/>
              </w:rPr>
              <w:t>(a)</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2023 - January 31,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February 1, 2023 - February 28, 2023</w:t>
            </w:r>
          </w:p>
        </w:tc>
        <w:tc>
          <w:tcPr>
            <w:tcW w:w="1240" w:type="dxa"/>
            <w:vAlign w:val="bottom"/>
          </w:tcPr>
          <w:p>
            <w:pPr>
              <w:jc w:val="right"/>
              <w:spacing w:after="0"/>
              <w:rPr>
                <w:sz w:val="20"/>
                <w:szCs w:val="20"/>
                <w:color w:val="auto"/>
              </w:rPr>
            </w:pPr>
            <w:r>
              <w:rPr>
                <w:rFonts w:ascii="Arial" w:cs="Arial" w:eastAsia="Arial" w:hAnsi="Arial"/>
                <w:sz w:val="18"/>
                <w:szCs w:val="18"/>
                <w:color w:val="auto"/>
              </w:rPr>
              <w:t>322,931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322,931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2023 - March 31,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1,423,764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1,423,764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The dollar value of shares that may yet be purchased under the Share Repurchase Program totaled $581 million as of March 31, 2023.</w:t>
      </w:r>
    </w:p>
    <w:p>
      <w:pPr>
        <w:spacing w:after="0" w:line="23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Disclosures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47"/>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23"/>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12"/>
        </w:trPr>
        <w:tc>
          <w:tcPr>
            <w:tcW w:w="900" w:type="dxa"/>
            <w:vAlign w:val="bottom"/>
          </w:tcPr>
          <w:p>
            <w:pPr>
              <w:ind w:left="2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rPr>
            </w:pPr>
            <w:hyperlink r:id="rId54">
              <w:r>
                <w:rPr>
                  <w:rFonts w:ascii="Arial" w:cs="Arial" w:eastAsia="Arial" w:hAnsi="Arial"/>
                  <w:sz w:val="18"/>
                  <w:szCs w:val="18"/>
                  <w:color w:val="0000FF"/>
                </w:rPr>
                <w:t>Amended and Restated Certificate of Incorporation of California Resources Corporation (filed as Exhibit 3.1 to Registrant’s</w:t>
              </w:r>
            </w:hyperlink>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2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Registration Statement on Form 8-A filed October 27, 2020 and incorporated herein by reference).</w:t>
              </w:r>
            </w:hyperlink>
          </w:p>
        </w:tc>
        <w:tc>
          <w:tcPr>
            <w:tcW w:w="1900" w:type="dxa"/>
            <w:vAlign w:val="bottom"/>
            <w:tcBorders>
              <w:top w:val="single" w:sz="8" w:color="0000FF"/>
            </w:tcBorders>
            <w:gridSpan w:val="6"/>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00" w:type="dxa"/>
            <w:vAlign w:val="bottom"/>
          </w:tcPr>
          <w:p>
            <w:pPr>
              <w:ind w:left="2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rPr>
            </w:pPr>
            <w:hyperlink r:id="rId55">
              <w:r>
                <w:rPr>
                  <w:rFonts w:ascii="Arial" w:cs="Arial" w:eastAsia="Arial" w:hAnsi="Arial"/>
                  <w:sz w:val="18"/>
                  <w:szCs w:val="18"/>
                  <w:color w:val="0000FF"/>
                </w:rPr>
                <w:t>Certificate of Amendment of Amended and Restated Certificate of Incorporation of California Resources Corporation (filed as</w:t>
              </w:r>
            </w:hyperlink>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92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Exhibit 3.1 to Registrant's Current Report on Form 8-K filed on May 6, 2022 and incorporated herein by reference).</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rPr>
            </w:pPr>
            <w:hyperlink r:id="rId56">
              <w:r>
                <w:rPr>
                  <w:rFonts w:ascii="Arial" w:cs="Arial" w:eastAsia="Arial" w:hAnsi="Arial"/>
                  <w:sz w:val="18"/>
                  <w:szCs w:val="18"/>
                  <w:color w:val="0000FF"/>
                </w:rPr>
                <w:t>Certificate of Amendment of Amended and Restated Certificate of Incorporation of California Resources Corporation (filed as</w:t>
              </w:r>
            </w:hyperlink>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92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56">
              <w:r>
                <w:rPr>
                  <w:rFonts w:ascii="Arial" w:cs="Arial" w:eastAsia="Arial" w:hAnsi="Arial"/>
                  <w:sz w:val="18"/>
                  <w:szCs w:val="18"/>
                  <w:color w:val="0000FF"/>
                </w:rPr>
                <w:t>Exhibit 3.1 to Registrant's Current Report on Form 8-K filed on May 1, 2023 and incorporated herein by reference).</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rPr>
            </w:pPr>
            <w:hyperlink r:id="rId57">
              <w:r>
                <w:rPr>
                  <w:rFonts w:ascii="Arial" w:cs="Arial" w:eastAsia="Arial" w:hAnsi="Arial"/>
                  <w:sz w:val="18"/>
                  <w:szCs w:val="18"/>
                  <w:color w:val="0000FF"/>
                </w:rPr>
                <w:t>Amended and Restated Bylaws of California Resources Corporation (filed as Exhibit 3.2 to the Registrant’s Registration</w:t>
              </w:r>
            </w:hyperlink>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50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57">
              <w:r>
                <w:rPr>
                  <w:rFonts w:ascii="Arial" w:cs="Arial" w:eastAsia="Arial" w:hAnsi="Arial"/>
                  <w:sz w:val="18"/>
                  <w:szCs w:val="18"/>
                  <w:color w:val="0000FF"/>
                </w:rPr>
                <w:t>Statement on Form 8-A filed October 27, 2020 and incorporated herein by reference).</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00" w:type="dxa"/>
            <w:vAlign w:val="bottom"/>
          </w:tcPr>
          <w:p>
            <w:pPr>
              <w:ind w:left="2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860" w:type="dxa"/>
            <w:vAlign w:val="bottom"/>
            <w:tcBorders>
              <w:bottom w:val="single" w:sz="8" w:color="0000FF"/>
            </w:tcBorders>
            <w:gridSpan w:val="16"/>
          </w:tcPr>
          <w:p>
            <w:pPr>
              <w:spacing w:after="0"/>
              <w:rPr>
                <w:rFonts w:ascii="Arial" w:cs="Arial" w:eastAsia="Arial" w:hAnsi="Arial"/>
                <w:sz w:val="18"/>
                <w:szCs w:val="18"/>
                <w:color w:val="0000FF"/>
                <w:w w:val="99"/>
              </w:rPr>
            </w:pPr>
            <w:hyperlink r:id="rId58">
              <w:r>
                <w:rPr>
                  <w:rFonts w:ascii="Arial" w:cs="Arial" w:eastAsia="Arial" w:hAnsi="Arial"/>
                  <w:sz w:val="18"/>
                  <w:szCs w:val="18"/>
                  <w:color w:val="0000FF"/>
                  <w:w w:val="99"/>
                </w:rPr>
                <w:t>Employment Agreement by and between Francisco J. Leon and California Resources Corporation, dated February 23, 2023</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60" w:type="dxa"/>
            <w:vAlign w:val="bottom"/>
            <w:gridSpan w:val="22"/>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(filed as Exhibit 10.25 to the Registrant’s Annual Report on Form 10-K filed on February 24, 2023 and incorporated herein by</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9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reference).</w:t>
              </w:r>
            </w:hyperlink>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tcPr>
          <w:p>
            <w:pPr>
              <w:ind w:left="2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9400" w:type="dxa"/>
            <w:vAlign w:val="bottom"/>
            <w:tcBorders>
              <w:bottom w:val="single" w:sz="8" w:color="0000FF"/>
            </w:tcBorders>
            <w:gridSpan w:val="10"/>
          </w:tcPr>
          <w:p>
            <w:pPr>
              <w:spacing w:after="0"/>
              <w:rPr>
                <w:rFonts w:ascii="Arial" w:cs="Arial" w:eastAsia="Arial" w:hAnsi="Arial"/>
                <w:sz w:val="18"/>
                <w:szCs w:val="18"/>
                <w:color w:val="0000FF"/>
                <w:w w:val="99"/>
              </w:rPr>
            </w:pPr>
            <w:hyperlink r:id="rId59">
              <w:r>
                <w:rPr>
                  <w:rFonts w:ascii="Arial" w:cs="Arial" w:eastAsia="Arial" w:hAnsi="Arial"/>
                  <w:sz w:val="18"/>
                  <w:szCs w:val="18"/>
                  <w:color w:val="0000FF"/>
                  <w:w w:val="99"/>
                </w:rPr>
                <w:t>2023 Form of California Resources Corporation 2021 Long Term Incentive Plan Restricted Stock Unit Award Term and</w:t>
              </w:r>
            </w:hyperlink>
          </w:p>
        </w:tc>
        <w:tc>
          <w:tcPr>
            <w:tcW w:w="6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gridSpan w:val="22"/>
          </w:tcPr>
          <w:p>
            <w:pPr>
              <w:spacing w:after="0" w:line="182" w:lineRule="exact"/>
              <w:rPr>
                <w:rFonts w:ascii="Arial" w:cs="Arial" w:eastAsia="Arial" w:hAnsi="Arial"/>
                <w:sz w:val="18"/>
                <w:szCs w:val="18"/>
                <w:color w:val="0000FF"/>
              </w:rPr>
            </w:pPr>
            <w:hyperlink r:id="rId59">
              <w:r>
                <w:rPr>
                  <w:rFonts w:ascii="Arial" w:cs="Arial" w:eastAsia="Arial" w:hAnsi="Arial"/>
                  <w:sz w:val="18"/>
                  <w:szCs w:val="18"/>
                  <w:color w:val="0000FF"/>
                </w:rPr>
                <w:t>Conditions (filed as Exhibit 10.26 to the Registrant’s Annual Report on Form 10-K filed on February 24, 2023 and incorporated</w:t>
              </w:r>
            </w:hyperlink>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8"/>
              </w:rPr>
            </w:pPr>
            <w:hyperlink r:id="rId59">
              <w:r>
                <w:rPr>
                  <w:rFonts w:ascii="Arial" w:cs="Arial" w:eastAsia="Arial" w:hAnsi="Arial"/>
                  <w:sz w:val="18"/>
                  <w:szCs w:val="18"/>
                  <w:color w:val="0000FF"/>
                  <w:w w:val="98"/>
                </w:rPr>
                <w:t>herein by reference).</w:t>
              </w:r>
            </w:hyperlink>
          </w:p>
        </w:tc>
        <w:tc>
          <w:tcPr>
            <w:tcW w:w="836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00" w:type="dxa"/>
            <w:vAlign w:val="bottom"/>
          </w:tcPr>
          <w:p>
            <w:pPr>
              <w:ind w:left="2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9620" w:type="dxa"/>
            <w:vAlign w:val="bottom"/>
            <w:tcBorders>
              <w:bottom w:val="single" w:sz="8" w:color="0000FF"/>
            </w:tcBorders>
            <w:gridSpan w:val="12"/>
          </w:tcPr>
          <w:p>
            <w:pPr>
              <w:spacing w:after="0"/>
              <w:rPr>
                <w:rFonts w:ascii="Arial" w:cs="Arial" w:eastAsia="Arial" w:hAnsi="Arial"/>
                <w:sz w:val="18"/>
                <w:szCs w:val="18"/>
                <w:color w:val="0000FF"/>
                <w:w w:val="99"/>
              </w:rPr>
            </w:pPr>
            <w:hyperlink r:id="rId60">
              <w:r>
                <w:rPr>
                  <w:rFonts w:ascii="Arial" w:cs="Arial" w:eastAsia="Arial" w:hAnsi="Arial"/>
                  <w:sz w:val="18"/>
                  <w:szCs w:val="18"/>
                  <w:color w:val="0000FF"/>
                  <w:w w:val="99"/>
                </w:rPr>
                <w:t>2023 Form of California Resources Corporation 2021 Long Term Incentive Plan Performance Stock Unit Award Term and</w:t>
              </w:r>
            </w:hyperlink>
          </w:p>
        </w:tc>
        <w:tc>
          <w:tcPr>
            <w:tcW w:w="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gridSpan w:val="22"/>
          </w:tcPr>
          <w:p>
            <w:pPr>
              <w:spacing w:after="0" w:line="182" w:lineRule="exact"/>
              <w:rPr>
                <w:rFonts w:ascii="Arial" w:cs="Arial" w:eastAsia="Arial" w:hAnsi="Arial"/>
                <w:sz w:val="18"/>
                <w:szCs w:val="18"/>
                <w:color w:val="0000FF"/>
              </w:rPr>
            </w:pPr>
            <w:hyperlink r:id="rId60">
              <w:r>
                <w:rPr>
                  <w:rFonts w:ascii="Arial" w:cs="Arial" w:eastAsia="Arial" w:hAnsi="Arial"/>
                  <w:sz w:val="18"/>
                  <w:szCs w:val="18"/>
                  <w:color w:val="0000FF"/>
                </w:rPr>
                <w:t>Conditions (filed as Exhibit 10.27 to the Registrant’s Annual Report on Form 10-K filed on February 24, 2023 and incorporated</w:t>
              </w:r>
            </w:hyperlink>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8"/>
              </w:rPr>
            </w:pPr>
            <w:hyperlink r:id="rId60">
              <w:r>
                <w:rPr>
                  <w:rFonts w:ascii="Arial" w:cs="Arial" w:eastAsia="Arial" w:hAnsi="Arial"/>
                  <w:sz w:val="18"/>
                  <w:szCs w:val="18"/>
                  <w:color w:val="0000FF"/>
                  <w:w w:val="98"/>
                </w:rPr>
                <w:t>herein by reference).</w:t>
              </w:r>
            </w:hyperlink>
          </w:p>
        </w:tc>
        <w:tc>
          <w:tcPr>
            <w:tcW w:w="836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00" w:type="dxa"/>
            <w:vAlign w:val="bottom"/>
          </w:tcPr>
          <w:p>
            <w:pPr>
              <w:ind w:left="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FF"/>
              </w:rPr>
            </w:pPr>
            <w:hyperlink r:id="rId61">
              <w:r>
                <w:rPr>
                  <w:rFonts w:ascii="Arial" w:cs="Arial" w:eastAsia="Arial" w:hAnsi="Arial"/>
                  <w:sz w:val="18"/>
                  <w:szCs w:val="18"/>
                  <w:color w:val="0000FF"/>
                </w:rPr>
                <w:t>Form of Cash Retention Bonus Agreement (filed as Exhibit 10.28 to the Registrant’s Annual Report on Form 10-K filed on</w:t>
              </w:r>
            </w:hyperlink>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4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61">
              <w:r>
                <w:rPr>
                  <w:rFonts w:ascii="Arial" w:cs="Arial" w:eastAsia="Arial" w:hAnsi="Arial"/>
                  <w:sz w:val="18"/>
                  <w:szCs w:val="18"/>
                  <w:color w:val="0000FF"/>
                </w:rPr>
                <w:t>February 24, 2023 and incorporated herein by reference).</w:t>
              </w:r>
            </w:hyperlink>
          </w:p>
        </w:tc>
        <w:tc>
          <w:tcPr>
            <w:tcW w:w="16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00" w:type="dxa"/>
            <w:vAlign w:val="bottom"/>
          </w:tcPr>
          <w:p>
            <w:pPr>
              <w:ind w:left="2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0000FF"/>
                <w:w w:val="99"/>
              </w:rPr>
              <w:t>Amended and Restated Credit Agreement, dated as of April 26, 2023, by and among California Resources Corporation, as the</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4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Borrower, the several lenders from time to time parties thereto and Citibank, N.A., as Administrative Agent, Collateral Agent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8"/>
              </w:rPr>
              <w:t>and an Issuing Bank.</w:t>
            </w:r>
          </w:p>
        </w:tc>
        <w:tc>
          <w:tcPr>
            <w:tcW w:w="8120" w:type="dxa"/>
            <w:vAlign w:val="bottom"/>
            <w:tcBorders>
              <w:top w:val="single" w:sz="8" w:color="0000FF"/>
            </w:tcBorders>
            <w:gridSpan w:val="10"/>
          </w:tcPr>
          <w:p>
            <w:pPr>
              <w:spacing w:after="0"/>
              <w:rPr>
                <w:sz w:val="15"/>
                <w:szCs w:val="15"/>
                <w:color w:val="auto"/>
              </w:rPr>
            </w:pPr>
          </w:p>
        </w:tc>
        <w:tc>
          <w:tcPr>
            <w:tcW w:w="140" w:type="dxa"/>
            <w:vAlign w:val="bottom"/>
            <w:gridSpan w:val="4"/>
          </w:tcPr>
          <w:p>
            <w:pPr>
              <w:spacing w:after="0"/>
              <w:rPr>
                <w:sz w:val="15"/>
                <w:szCs w:val="15"/>
                <w:color w:val="auto"/>
              </w:rPr>
            </w:pPr>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00" w:type="dxa"/>
            <w:vAlign w:val="bottom"/>
          </w:tcPr>
          <w:p>
            <w:pPr>
              <w:ind w:left="2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9"/>
              </w:rPr>
              <w:t>Certification of Principal Executive Officer and Principal Financial Officer Pursuant to Section 302 of the Sarbanes-Oxley Act of</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Borders>
              <w:bottom w:val="single" w:sz="8" w:color="0000FF"/>
            </w:tcBorders>
          </w:tcPr>
          <w:p>
            <w:pPr>
              <w:spacing w:after="0" w:line="156" w:lineRule="exact"/>
              <w:rPr>
                <w:sz w:val="20"/>
                <w:szCs w:val="20"/>
                <w:color w:val="auto"/>
              </w:rPr>
            </w:pPr>
            <w:r>
              <w:rPr>
                <w:rFonts w:ascii="Arial" w:cs="Arial" w:eastAsia="Arial" w:hAnsi="Arial"/>
                <w:sz w:val="18"/>
                <w:szCs w:val="18"/>
                <w:color w:val="0000FF"/>
                <w:w w:val="93"/>
              </w:rPr>
              <w:t>2002.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00" w:type="dxa"/>
            <w:vAlign w:val="bottom"/>
          </w:tcPr>
          <w:p>
            <w:pPr>
              <w:ind w:left="2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0000FF"/>
              </w:rPr>
              <w:t>Certifications of Principal Executive Officer and Principal Financial Officer Pursuant to Section 906 of the Sarbanes-Oxley Act</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940" w:type="dxa"/>
            <w:vAlign w:val="bottom"/>
            <w:tcBorders>
              <w:top w:val="single" w:sz="8" w:color="0000FF"/>
            </w:tcBorders>
            <w:gridSpan w:val="19"/>
          </w:tcPr>
          <w:p>
            <w:pPr>
              <w:spacing w:after="0" w:line="156" w:lineRule="exact"/>
              <w:rPr>
                <w:sz w:val="20"/>
                <w:szCs w:val="20"/>
                <w:color w:val="auto"/>
              </w:rPr>
            </w:pPr>
            <w:r>
              <w:rPr>
                <w:rFonts w:ascii="Arial" w:cs="Arial" w:eastAsia="Arial" w:hAnsi="Arial"/>
                <w:sz w:val="18"/>
                <w:szCs w:val="18"/>
                <w:color w:val="0000FF"/>
              </w:rPr>
              <w:t>of 2002.</w:t>
            </w: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42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00" w:type="dxa"/>
            <w:vAlign w:val="bottom"/>
          </w:tcPr>
          <w:p>
            <w:pPr>
              <w:ind w:left="20"/>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900" w:type="dxa"/>
            <w:vAlign w:val="bottom"/>
          </w:tcPr>
          <w:p>
            <w:pPr>
              <w:ind w:left="20"/>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900" w:type="dxa"/>
            <w:vAlign w:val="bottom"/>
          </w:tcPr>
          <w:p>
            <w:pPr>
              <w:ind w:left="20"/>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900" w:type="dxa"/>
            <w:vAlign w:val="bottom"/>
          </w:tcPr>
          <w:p>
            <w:pPr>
              <w:ind w:left="20"/>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900" w:type="dxa"/>
            <w:vAlign w:val="bottom"/>
          </w:tcPr>
          <w:p>
            <w:pPr>
              <w:ind w:left="20"/>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900" w:type="dxa"/>
            <w:vAlign w:val="bottom"/>
          </w:tcPr>
          <w:p>
            <w:pPr>
              <w:ind w:left="20"/>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1006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120" w:hanging="1094"/>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w:t>
      </w:r>
    </w:p>
    <w:p>
      <w:pPr>
        <w:spacing w:after="0" w:line="9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 Filed herewith</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320" w:type="dxa"/>
            <w:vAlign w:val="bottom"/>
            <w:gridSpan w:val="2"/>
          </w:tcPr>
          <w:p>
            <w:pPr>
              <w:ind w:left="1060"/>
              <w:spacing w:after="0"/>
              <w:rPr>
                <w:sz w:val="20"/>
                <w:szCs w:val="20"/>
                <w:color w:val="auto"/>
              </w:rPr>
            </w:pPr>
            <w:r>
              <w:rPr>
                <w:rFonts w:ascii="Arial" w:cs="Arial" w:eastAsia="Arial" w:hAnsi="Arial"/>
                <w:sz w:val="18"/>
                <w:szCs w:val="18"/>
                <w:color w:val="auto"/>
              </w:rPr>
              <w:t>CALIFORNIA RESOURCES CORPORATION</w:t>
            </w:r>
          </w:p>
        </w:tc>
      </w:tr>
      <w:tr>
        <w:trPr>
          <w:trHeight w:val="59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300" w:type="dxa"/>
            <w:vAlign w:val="bottom"/>
          </w:tcPr>
          <w:p>
            <w:pPr>
              <w:ind w:left="240"/>
              <w:spacing w:after="0"/>
              <w:rPr>
                <w:sz w:val="20"/>
                <w:szCs w:val="20"/>
                <w:color w:val="auto"/>
              </w:rPr>
            </w:pPr>
            <w:r>
              <w:rPr>
                <w:rFonts w:ascii="Arial" w:cs="Arial" w:eastAsia="Arial" w:hAnsi="Arial"/>
                <w:sz w:val="18"/>
                <w:szCs w:val="18"/>
                <w:color w:val="auto"/>
              </w:rPr>
              <w:t>May 2, 2023</w:t>
            </w:r>
          </w:p>
        </w:tc>
        <w:tc>
          <w:tcPr>
            <w:tcW w:w="106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Noelle M. Repetti</w:t>
            </w:r>
          </w:p>
        </w:tc>
      </w:tr>
      <w:tr>
        <w:trPr>
          <w:trHeight w:val="218"/>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Noelle M. Repetti</w:t>
            </w:r>
          </w:p>
        </w:tc>
      </w:tr>
      <w:tr>
        <w:trPr>
          <w:trHeight w:val="229"/>
        </w:trPr>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Senior Vice President and Controller</w:t>
            </w:r>
          </w:p>
        </w:tc>
      </w:tr>
      <w:tr>
        <w:trPr>
          <w:trHeight w:val="239"/>
        </w:trPr>
        <w:tc>
          <w:tcPr>
            <w:tcW w:w="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890" w:right="339" w:bottom="1440" w:gutter="0" w:footer="0" w:header="0"/>
        </w:sectPr>
      </w:pPr>
    </w:p>
    <w:bookmarkStart w:id="40" w:name="page41"/>
    <w:bookmarkEnd w:id="40"/>
    <w:p>
      <w:pPr>
        <w:ind w:left="10220"/>
        <w:spacing w:after="0"/>
        <w:rPr>
          <w:sz w:val="20"/>
          <w:szCs w:val="20"/>
          <w:color w:val="auto"/>
        </w:rPr>
      </w:pPr>
      <w:r>
        <w:rPr>
          <w:rFonts w:ascii="Times New Roman" w:cs="Times New Roman" w:eastAsia="Times New Roman" w:hAnsi="Times New Roman"/>
          <w:sz w:val="19"/>
          <w:szCs w:val="19"/>
          <w:b w:val="1"/>
          <w:bCs w:val="1"/>
          <w:color w:val="auto"/>
        </w:rPr>
        <w:t>Exhibit 10.5</w:t>
      </w:r>
    </w:p>
    <w:p>
      <w:pPr>
        <w:spacing w:after="0" w:line="10" w:lineRule="exact"/>
        <w:rPr>
          <w:sz w:val="20"/>
          <w:szCs w:val="20"/>
          <w:color w:val="auto"/>
        </w:rPr>
      </w:pPr>
    </w:p>
    <w:p>
      <w:pPr>
        <w:jc w:val="both"/>
        <w:ind w:left="9800" w:hanging="9331"/>
        <w:spacing w:after="0" w:line="233" w:lineRule="auto"/>
        <w:rPr>
          <w:sz w:val="20"/>
          <w:szCs w:val="20"/>
          <w:color w:val="auto"/>
        </w:rPr>
      </w:pPr>
      <w:r>
        <w:rPr>
          <w:rFonts w:ascii="Times New Roman" w:cs="Times New Roman" w:eastAsia="Times New Roman" w:hAnsi="Times New Roman"/>
          <w:sz w:val="19"/>
          <w:szCs w:val="19"/>
          <w:b w:val="1"/>
          <w:bCs w:val="1"/>
          <w:color w:val="auto"/>
        </w:rPr>
        <w:t xml:space="preserve">Certain portions of this exhibit (indicated by “[*****]”) have been omitted pursuant to Item 601(b)(10) of Regulation S-K. </w:t>
      </w:r>
      <w:r>
        <w:rPr>
          <w:rFonts w:ascii="Times New Roman" w:cs="Times New Roman" w:eastAsia="Times New Roman" w:hAnsi="Times New Roman"/>
          <w:sz w:val="19"/>
          <w:szCs w:val="19"/>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1094105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AMENDED AND RESTATED CREDIT AGREEMENT</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Dated as of April 26, 2023</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among</w:t>
      </w:r>
    </w:p>
    <w:p>
      <w:pPr>
        <w:spacing w:after="0" w:line="18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CALIFORNIA RESOURCES CORPORATION</w:t>
      </w:r>
    </w:p>
    <w:p>
      <w:pPr>
        <w:ind w:left="4980"/>
        <w:spacing w:after="0"/>
        <w:rPr>
          <w:sz w:val="20"/>
          <w:szCs w:val="20"/>
          <w:color w:val="auto"/>
        </w:rPr>
      </w:pPr>
      <w:r>
        <w:rPr>
          <w:rFonts w:ascii="Times New Roman" w:cs="Times New Roman" w:eastAsia="Times New Roman" w:hAnsi="Times New Roman"/>
          <w:sz w:val="20"/>
          <w:szCs w:val="20"/>
          <w:color w:val="auto"/>
        </w:rPr>
        <w:t>as the Borrower,</w:t>
      </w:r>
    </w:p>
    <w:p>
      <w:pPr>
        <w:spacing w:after="0" w:line="14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The Several Lenders</w:t>
      </w:r>
    </w:p>
    <w:p>
      <w:pPr>
        <w:ind w:left="4260"/>
        <w:spacing w:after="0"/>
        <w:rPr>
          <w:sz w:val="20"/>
          <w:szCs w:val="20"/>
          <w:color w:val="auto"/>
        </w:rPr>
      </w:pPr>
      <w:r>
        <w:rPr>
          <w:rFonts w:ascii="Times New Roman" w:cs="Times New Roman" w:eastAsia="Times New Roman" w:hAnsi="Times New Roman"/>
          <w:sz w:val="20"/>
          <w:szCs w:val="20"/>
          <w:color w:val="auto"/>
        </w:rPr>
        <w:t>from Time to Time Parties Hereto,</w:t>
      </w:r>
    </w:p>
    <w:p>
      <w:pPr>
        <w:spacing w:after="0" w:line="16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and</w:t>
      </w:r>
    </w:p>
    <w:p>
      <w:pPr>
        <w:spacing w:after="0" w:line="17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CITIBANK, N.A.,</w:t>
      </w:r>
    </w:p>
    <w:p>
      <w:pPr>
        <w:jc w:val="center"/>
        <w:spacing w:after="0"/>
        <w:rPr>
          <w:sz w:val="20"/>
          <w:szCs w:val="20"/>
          <w:color w:val="auto"/>
        </w:rPr>
      </w:pPr>
      <w:r>
        <w:rPr>
          <w:rFonts w:ascii="Times New Roman" w:cs="Times New Roman" w:eastAsia="Times New Roman" w:hAnsi="Times New Roman"/>
          <w:sz w:val="20"/>
          <w:szCs w:val="20"/>
          <w:color w:val="auto"/>
        </w:rPr>
        <w:t>as Administrative Agent, Collateral Agent and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CITIBANK, N.A., KEYBANC CAPITAL MARKETS INC., MIZUHO BANK, LTD.,</w:t>
      </w:r>
    </w:p>
    <w:p>
      <w:pPr>
        <w:jc w:val="center"/>
        <w:spacing w:after="0" w:line="211" w:lineRule="auto"/>
        <w:rPr>
          <w:sz w:val="20"/>
          <w:szCs w:val="20"/>
          <w:color w:val="auto"/>
        </w:rPr>
      </w:pPr>
      <w:r>
        <w:rPr>
          <w:rFonts w:ascii="Times New Roman" w:cs="Times New Roman" w:eastAsia="Times New Roman" w:hAnsi="Times New Roman"/>
          <w:sz w:val="20"/>
          <w:szCs w:val="20"/>
          <w:color w:val="auto"/>
        </w:rPr>
        <w:t>MUFG BANK, LTD. and RBC CAPITAL MARKETS,</w:t>
      </w:r>
    </w:p>
    <w:p>
      <w:pPr>
        <w:jc w:val="center"/>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CITIBANK, N.A.,</w:t>
      </w:r>
    </w:p>
    <w:p>
      <w:pPr>
        <w:jc w:val="center"/>
        <w:spacing w:after="0"/>
        <w:rPr>
          <w:sz w:val="20"/>
          <w:szCs w:val="20"/>
          <w:color w:val="auto"/>
        </w:rPr>
      </w:pPr>
      <w:r>
        <w:rPr>
          <w:rFonts w:ascii="Times New Roman" w:cs="Times New Roman" w:eastAsia="Times New Roman" w:hAnsi="Times New Roman"/>
          <w:sz w:val="20"/>
          <w:szCs w:val="20"/>
          <w:color w:val="auto"/>
        </w:rPr>
        <w:t>as Syndication Agent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CITIBANK, N.A.,</w:t>
      </w:r>
    </w:p>
    <w:p>
      <w:pPr>
        <w:jc w:val="center"/>
        <w:spacing w:after="0"/>
        <w:rPr>
          <w:sz w:val="20"/>
          <w:szCs w:val="20"/>
          <w:color w:val="auto"/>
        </w:rPr>
      </w:pPr>
      <w:r>
        <w:rPr>
          <w:rFonts w:ascii="Times New Roman" w:cs="Times New Roman" w:eastAsia="Times New Roman" w:hAnsi="Times New Roman"/>
          <w:sz w:val="20"/>
          <w:szCs w:val="20"/>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|US-DOCS\140643908.13||</w:t>
      </w:r>
    </w:p>
    <w:p>
      <w:pPr>
        <w:sectPr>
          <w:pgSz w:w="11900" w:h="16838" w:orient="portrait"/>
          <w:cols w:equalWidth="0" w:num="1">
            <w:col w:w="11240"/>
          </w:cols>
          <w:pgMar w:left="320" w:top="100" w:right="339" w:bottom="1440" w:gutter="0" w:footer="0" w:header="0"/>
        </w:sectPr>
      </w:pPr>
    </w:p>
    <w:bookmarkStart w:id="41" w:name="page42"/>
    <w:bookmarkEnd w:id="41"/>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ectPr>
          <w:pgSz w:w="11900" w:h="16838" w:orient="portrait"/>
          <w:cols w:equalWidth="0" w:num="1">
            <w:col w:w="11160"/>
          </w:cols>
          <w:pgMar w:left="40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color w:val="auto"/>
        </w:rPr>
        <w:t>Definitions.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Defined Terms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Other Interpretive Provisions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Accounting Terms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Rounding</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References to Agreements, Laws, Etc</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Times of Day</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Timing of Payment or Performance</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Classification of Loans and Borrowings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Hedging Requirements Generally</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Certain Determinations</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Pro Forma and Other Calculations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Rates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Divisions</w:t>
      </w:r>
    </w:p>
    <w:p>
      <w:pPr>
        <w:spacing w:after="0" w:line="4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color w:val="auto"/>
        </w:rPr>
        <w:t>Amount and Terms of Credit</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Commitments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Minimum Amount of Each Borrowing; Maximum Number of Borrowings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Notice of Borrowing</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Disbursement of Funds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Repayment of Loans; Evidence of Debt</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Conversions and Continuations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Pro Rata Borrowings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2.8</w:t>
        <w:tab/>
        <w:t>Interest</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color w:val="auto"/>
        </w:rPr>
        <w:t>Interest Periods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color w:val="auto"/>
        </w:rPr>
        <w:t>Increased Costs, Illegality, Changed Circumstances, Etc</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color w:val="auto"/>
        </w:rPr>
        <w:t>Compensation</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Change of Lending Office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color w:val="auto"/>
        </w:rPr>
        <w:t>Notice of Certain Costs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color w:val="auto"/>
        </w:rPr>
        <w:t>Borrowing Base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color w:val="auto"/>
        </w:rPr>
        <w:t>Defaulting Lenders</w:t>
      </w:r>
    </w:p>
    <w:p>
      <w:pPr>
        <w:spacing w:after="0" w:line="4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2.16 Termination, Revision and Reduction of Commitments and Aggregate Maximum Credit Amounts; Increase, Reduction and Termination of Aggregate Elected Commitment Amount</w:t>
      </w:r>
    </w:p>
    <w:p>
      <w:pPr>
        <w:spacing w:after="0" w:line="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color w:val="auto"/>
        </w:rPr>
        <w:t>Letters of Credit</w:t>
      </w:r>
    </w:p>
    <w:p>
      <w:pPr>
        <w:spacing w:after="0" w:line="3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Letters of Credit</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Letter of Credit Applications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color w:val="auto"/>
        </w:rPr>
        <w:t>Letter of Credit Participations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color w:val="auto"/>
        </w:rPr>
        <w:t>Agreement to Repay Letter of Credit Drawings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color w:val="auto"/>
        </w:rPr>
        <w:t>New or Successor Issuing Bank</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color w:val="auto"/>
        </w:rPr>
        <w:t>Role of Issuing Bank</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color w:val="auto"/>
        </w:rPr>
        <w:t>Cash Collateral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w:t>
      </w:r>
    </w:p>
    <w:p>
      <w:pPr>
        <w:spacing w:after="0" w:line="200" w:lineRule="exact"/>
        <w:rPr>
          <w:sz w:val="20"/>
          <w:szCs w:val="20"/>
          <w:color w:val="auto"/>
        </w:rPr>
      </w:pPr>
    </w:p>
    <w:p>
      <w:pPr>
        <w:sectPr>
          <w:pgSz w:w="11900" w:h="16838" w:orient="portrait"/>
          <w:cols w:equalWidth="0" w:num="2">
            <w:col w:w="9900" w:space="520"/>
            <w:col w:w="740"/>
          </w:cols>
          <w:pgMar w:left="400" w:top="1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160"/>
          </w:cols>
          <w:pgMar w:left="400" w:top="100" w:right="339" w:bottom="1440" w:gutter="0" w:footer="0" w:header="0"/>
          <w:type w:val="continuous"/>
        </w:sectPr>
      </w:pPr>
    </w:p>
    <w:bookmarkStart w:id="42" w:name="page43"/>
    <w:bookmarkEnd w:id="42"/>
    <w:p>
      <w:pPr>
        <w:spacing w:after="0" w:line="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1"/>
          <w:szCs w:val="21"/>
          <w:color w:val="auto"/>
        </w:rPr>
        <w:t>Applicability of ISP and UCP</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3.9</w:t>
      </w:r>
      <w:r>
        <w:rPr>
          <w:sz w:val="20"/>
          <w:szCs w:val="20"/>
          <w:color w:val="auto"/>
        </w:rPr>
        <w:tab/>
      </w:r>
      <w:r>
        <w:rPr>
          <w:rFonts w:ascii="Times New Roman" w:cs="Times New Roman" w:eastAsia="Times New Roman" w:hAnsi="Times New Roman"/>
          <w:sz w:val="21"/>
          <w:szCs w:val="21"/>
          <w:color w:val="auto"/>
        </w:rPr>
        <w:t>Conflict with Issuer Documents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3.10</w:t>
      </w:r>
      <w:r>
        <w:rPr>
          <w:sz w:val="20"/>
          <w:szCs w:val="20"/>
          <w:color w:val="auto"/>
        </w:rPr>
        <w:tab/>
      </w:r>
      <w:r>
        <w:rPr>
          <w:rFonts w:ascii="Times New Roman" w:cs="Times New Roman" w:eastAsia="Times New Roman" w:hAnsi="Times New Roman"/>
          <w:sz w:val="21"/>
          <w:szCs w:val="21"/>
          <w:color w:val="auto"/>
        </w:rPr>
        <w:t>Letters of Credit Issued for Subsidiaries</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3.11</w:t>
      </w:r>
      <w:r>
        <w:rPr>
          <w:sz w:val="20"/>
          <w:szCs w:val="20"/>
          <w:color w:val="auto"/>
        </w:rPr>
        <w:tab/>
      </w:r>
      <w:r>
        <w:rPr>
          <w:rFonts w:ascii="Times New Roman" w:cs="Times New Roman" w:eastAsia="Times New Roman" w:hAnsi="Times New Roman"/>
          <w:sz w:val="21"/>
          <w:szCs w:val="21"/>
          <w:color w:val="auto"/>
        </w:rPr>
        <w:t>Increased Costs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3.12</w:t>
      </w:r>
      <w:r>
        <w:rPr>
          <w:sz w:val="20"/>
          <w:szCs w:val="20"/>
          <w:color w:val="auto"/>
        </w:rPr>
        <w:tab/>
      </w:r>
      <w:r>
        <w:rPr>
          <w:rFonts w:ascii="Times New Roman" w:cs="Times New Roman" w:eastAsia="Times New Roman" w:hAnsi="Times New Roman"/>
          <w:sz w:val="21"/>
          <w:szCs w:val="21"/>
          <w:color w:val="auto"/>
        </w:rPr>
        <w:t>Independence</w:t>
      </w:r>
    </w:p>
    <w:p>
      <w:pPr>
        <w:spacing w:after="0" w:line="4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Section 4.</w:t>
        <w:tab/>
        <w:t>Fees.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color w:val="auto"/>
        </w:rPr>
        <w:t>Fees</w:t>
      </w:r>
    </w:p>
    <w:p>
      <w:pPr>
        <w:spacing w:after="0" w:line="4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color w:val="auto"/>
        </w:rPr>
        <w:t>Payments.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Voluntary Prepayments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Mandatory Prepayments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color w:val="auto"/>
        </w:rPr>
        <w:t>Method and Place of Payment</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color w:val="auto"/>
        </w:rPr>
        <w:t>Net Payments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color w:val="auto"/>
        </w:rPr>
        <w:t>Computations of Interest and Fees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color w:val="auto"/>
        </w:rPr>
        <w:t>Limit on Rate of Interest</w:t>
      </w:r>
    </w:p>
    <w:p>
      <w:pPr>
        <w:spacing w:after="0" w:line="4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color w:val="auto"/>
        </w:rPr>
        <w:t>Conditions Precedent to Initial Borrowing.</w:t>
      </w:r>
    </w:p>
    <w:p>
      <w:pPr>
        <w:spacing w:after="0" w:line="4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color w:val="auto"/>
        </w:rPr>
        <w:t>Conditions Precedent to All Subsequent Credit Events.</w:t>
      </w:r>
    </w:p>
    <w:p>
      <w:pPr>
        <w:spacing w:after="0" w:line="4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color w:val="auto"/>
        </w:rPr>
        <w:t>Representations, Warranties and Agreements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color w:val="auto"/>
        </w:rPr>
        <w:t>Existence, Qualification and Power</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color w:val="auto"/>
        </w:rPr>
        <w:t>Corporate Power and Authority; Enforceability; Binding Effect</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color w:val="auto"/>
        </w:rPr>
        <w:t>No Violation</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color w:val="auto"/>
        </w:rPr>
        <w:t>Litigation</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color w:val="auto"/>
        </w:rPr>
        <w:t>Margin Regulations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color w:val="auto"/>
        </w:rPr>
        <w:t>Governmental Authorization</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color w:val="auto"/>
        </w:rPr>
        <w:t>Investment Company Act</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8.8</w:t>
      </w:r>
      <w:r>
        <w:rPr>
          <w:sz w:val="20"/>
          <w:szCs w:val="20"/>
          <w:color w:val="auto"/>
        </w:rPr>
        <w:tab/>
      </w:r>
      <w:r>
        <w:rPr>
          <w:rFonts w:ascii="Times New Roman" w:cs="Times New Roman" w:eastAsia="Times New Roman" w:hAnsi="Times New Roman"/>
          <w:sz w:val="21"/>
          <w:szCs w:val="21"/>
          <w:color w:val="auto"/>
        </w:rPr>
        <w:t>True and Complete Disclosure</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8.9</w:t>
      </w:r>
      <w:r>
        <w:rPr>
          <w:sz w:val="20"/>
          <w:szCs w:val="20"/>
          <w:color w:val="auto"/>
        </w:rPr>
        <w:tab/>
      </w:r>
      <w:r>
        <w:rPr>
          <w:rFonts w:ascii="Times New Roman" w:cs="Times New Roman" w:eastAsia="Times New Roman" w:hAnsi="Times New Roman"/>
          <w:sz w:val="21"/>
          <w:szCs w:val="21"/>
          <w:color w:val="auto"/>
        </w:rPr>
        <w:t>Tax Matters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8.10</w:t>
      </w:r>
      <w:r>
        <w:rPr>
          <w:sz w:val="20"/>
          <w:szCs w:val="20"/>
          <w:color w:val="auto"/>
        </w:rPr>
        <w:tab/>
      </w:r>
      <w:r>
        <w:rPr>
          <w:rFonts w:ascii="Times New Roman" w:cs="Times New Roman" w:eastAsia="Times New Roman" w:hAnsi="Times New Roman"/>
          <w:sz w:val="21"/>
          <w:szCs w:val="21"/>
          <w:color w:val="auto"/>
        </w:rPr>
        <w:t>Compliance with ERISA</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8.11</w:t>
      </w:r>
      <w:r>
        <w:rPr>
          <w:sz w:val="20"/>
          <w:szCs w:val="20"/>
          <w:color w:val="auto"/>
        </w:rPr>
        <w:tab/>
      </w:r>
      <w:r>
        <w:rPr>
          <w:rFonts w:ascii="Times New Roman" w:cs="Times New Roman" w:eastAsia="Times New Roman" w:hAnsi="Times New Roman"/>
          <w:sz w:val="21"/>
          <w:szCs w:val="21"/>
          <w:color w:val="auto"/>
        </w:rPr>
        <w:t>Subsidiaries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8.12</w:t>
      </w:r>
      <w:r>
        <w:rPr>
          <w:sz w:val="20"/>
          <w:szCs w:val="20"/>
          <w:color w:val="auto"/>
        </w:rPr>
        <w:tab/>
      </w:r>
      <w:r>
        <w:rPr>
          <w:rFonts w:ascii="Times New Roman" w:cs="Times New Roman" w:eastAsia="Times New Roman" w:hAnsi="Times New Roman"/>
          <w:sz w:val="21"/>
          <w:szCs w:val="21"/>
          <w:color w:val="auto"/>
        </w:rPr>
        <w:t>Intellectual Property</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8.13</w:t>
      </w:r>
      <w:r>
        <w:rPr>
          <w:sz w:val="20"/>
          <w:szCs w:val="20"/>
          <w:color w:val="auto"/>
        </w:rPr>
        <w:tab/>
      </w:r>
      <w:r>
        <w:rPr>
          <w:rFonts w:ascii="Times New Roman" w:cs="Times New Roman" w:eastAsia="Times New Roman" w:hAnsi="Times New Roman"/>
          <w:sz w:val="21"/>
          <w:szCs w:val="21"/>
          <w:color w:val="auto"/>
        </w:rPr>
        <w:t>Environmental Laws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8.14</w:t>
      </w:r>
      <w:r>
        <w:rPr>
          <w:sz w:val="20"/>
          <w:szCs w:val="20"/>
          <w:color w:val="auto"/>
        </w:rPr>
        <w:tab/>
      </w:r>
      <w:r>
        <w:rPr>
          <w:rFonts w:ascii="Times New Roman" w:cs="Times New Roman" w:eastAsia="Times New Roman" w:hAnsi="Times New Roman"/>
          <w:sz w:val="21"/>
          <w:szCs w:val="21"/>
          <w:color w:val="auto"/>
        </w:rPr>
        <w:t>Properties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8.15</w:t>
      </w:r>
      <w:r>
        <w:rPr>
          <w:sz w:val="20"/>
          <w:szCs w:val="20"/>
          <w:color w:val="auto"/>
        </w:rPr>
        <w:tab/>
      </w:r>
      <w:r>
        <w:rPr>
          <w:rFonts w:ascii="Times New Roman" w:cs="Times New Roman" w:eastAsia="Times New Roman" w:hAnsi="Times New Roman"/>
          <w:sz w:val="21"/>
          <w:szCs w:val="21"/>
          <w:color w:val="auto"/>
        </w:rPr>
        <w:t>Solvency</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8.16</w:t>
      </w:r>
      <w:r>
        <w:rPr>
          <w:sz w:val="20"/>
          <w:szCs w:val="20"/>
          <w:color w:val="auto"/>
        </w:rPr>
        <w:tab/>
      </w:r>
      <w:r>
        <w:rPr>
          <w:rFonts w:ascii="Times New Roman" w:cs="Times New Roman" w:eastAsia="Times New Roman" w:hAnsi="Times New Roman"/>
          <w:sz w:val="21"/>
          <w:szCs w:val="21"/>
          <w:color w:val="auto"/>
        </w:rPr>
        <w:t>Security Documents; Restrictions on Liens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8.18</w:t>
      </w:r>
      <w:r>
        <w:rPr>
          <w:sz w:val="20"/>
          <w:szCs w:val="20"/>
          <w:color w:val="auto"/>
        </w:rPr>
        <w:tab/>
      </w:r>
      <w:r>
        <w:rPr>
          <w:rFonts w:ascii="Times New Roman" w:cs="Times New Roman" w:eastAsia="Times New Roman" w:hAnsi="Times New Roman"/>
          <w:sz w:val="21"/>
          <w:szCs w:val="21"/>
          <w:color w:val="auto"/>
        </w:rPr>
        <w:t>Marketing of Production</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8.19</w:t>
      </w:r>
      <w:r>
        <w:rPr>
          <w:sz w:val="20"/>
          <w:szCs w:val="20"/>
          <w:color w:val="auto"/>
        </w:rPr>
        <w:tab/>
      </w:r>
      <w:r>
        <w:rPr>
          <w:rFonts w:ascii="Times New Roman" w:cs="Times New Roman" w:eastAsia="Times New Roman" w:hAnsi="Times New Roman"/>
          <w:sz w:val="21"/>
          <w:szCs w:val="21"/>
          <w:color w:val="auto"/>
        </w:rPr>
        <w:t>Financial Statements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8.20</w:t>
      </w:r>
      <w:r>
        <w:rPr>
          <w:sz w:val="20"/>
          <w:szCs w:val="20"/>
          <w:color w:val="auto"/>
        </w:rPr>
        <w:tab/>
      </w:r>
      <w:r>
        <w:rPr>
          <w:rFonts w:ascii="Times New Roman" w:cs="Times New Roman" w:eastAsia="Times New Roman" w:hAnsi="Times New Roman"/>
          <w:sz w:val="21"/>
          <w:szCs w:val="21"/>
          <w:color w:val="auto"/>
        </w:rPr>
        <w:t>OFAC; Patriot Act; FCPA; Use of Proceeds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8.21</w:t>
      </w:r>
      <w:r>
        <w:rPr>
          <w:sz w:val="20"/>
          <w:szCs w:val="20"/>
          <w:color w:val="auto"/>
        </w:rPr>
        <w:tab/>
      </w:r>
      <w:r>
        <w:rPr>
          <w:rFonts w:ascii="Times New Roman" w:cs="Times New Roman" w:eastAsia="Times New Roman" w:hAnsi="Times New Roman"/>
          <w:sz w:val="21"/>
          <w:szCs w:val="21"/>
          <w:color w:val="auto"/>
        </w:rPr>
        <w:t>Hedge Agreements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8.22</w:t>
      </w:r>
      <w:r>
        <w:rPr>
          <w:sz w:val="20"/>
          <w:szCs w:val="20"/>
          <w:color w:val="auto"/>
        </w:rPr>
        <w:tab/>
      </w:r>
      <w:r>
        <w:rPr>
          <w:rFonts w:ascii="Times New Roman" w:cs="Times New Roman" w:eastAsia="Times New Roman" w:hAnsi="Times New Roman"/>
          <w:sz w:val="21"/>
          <w:szCs w:val="21"/>
          <w:color w:val="auto"/>
        </w:rPr>
        <w:t>EEA Financial Institutions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8.23</w:t>
      </w:r>
      <w:r>
        <w:rPr>
          <w:sz w:val="20"/>
          <w:szCs w:val="20"/>
          <w:color w:val="auto"/>
        </w:rPr>
        <w:tab/>
      </w:r>
      <w:r>
        <w:rPr>
          <w:rFonts w:ascii="Times New Roman" w:cs="Times New Roman" w:eastAsia="Times New Roman" w:hAnsi="Times New Roman"/>
          <w:sz w:val="21"/>
          <w:szCs w:val="21"/>
          <w:color w:val="auto"/>
        </w:rPr>
        <w:t>Compliance with Laws and Agreements; No Default</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8.24</w:t>
      </w:r>
      <w:r>
        <w:rPr>
          <w:sz w:val="20"/>
          <w:szCs w:val="20"/>
          <w:color w:val="auto"/>
        </w:rPr>
        <w:tab/>
      </w:r>
      <w:r>
        <w:rPr>
          <w:rFonts w:ascii="Times New Roman" w:cs="Times New Roman" w:eastAsia="Times New Roman" w:hAnsi="Times New Roman"/>
          <w:sz w:val="21"/>
          <w:szCs w:val="21"/>
          <w:color w:val="auto"/>
        </w:rPr>
        <w:t>Insurance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8.25</w:t>
      </w:r>
      <w:r>
        <w:rPr>
          <w:sz w:val="20"/>
          <w:szCs w:val="20"/>
          <w:color w:val="auto"/>
        </w:rPr>
        <w:tab/>
      </w:r>
      <w:r>
        <w:rPr>
          <w:rFonts w:ascii="Times New Roman" w:cs="Times New Roman" w:eastAsia="Times New Roman" w:hAnsi="Times New Roman"/>
          <w:sz w:val="21"/>
          <w:szCs w:val="21"/>
          <w:color w:val="auto"/>
        </w:rPr>
        <w:t>Foreign Operations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w:t>
      </w:r>
    </w:p>
    <w:p>
      <w:pPr>
        <w:spacing w:after="0" w:line="200" w:lineRule="exact"/>
        <w:rPr>
          <w:sz w:val="20"/>
          <w:szCs w:val="20"/>
          <w:color w:val="auto"/>
        </w:rPr>
      </w:pPr>
    </w:p>
    <w:p>
      <w:pPr>
        <w:sectPr>
          <w:pgSz w:w="11900" w:h="16838" w:orient="portrait"/>
          <w:cols w:equalWidth="0" w:num="2">
            <w:col w:w="9700" w:space="720"/>
            <w:col w:w="220"/>
          </w:cols>
          <w:pgMar w:left="400"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640"/>
          </w:cols>
          <w:pgMar w:left="400" w:top="1440" w:right="859" w:bottom="1440" w:gutter="0" w:footer="0" w:header="0"/>
          <w:type w:val="continuous"/>
        </w:sectPr>
      </w:pPr>
    </w:p>
    <w:bookmarkStart w:id="43" w:name="page44"/>
    <w:bookmarkEnd w:id="43"/>
    <w:p>
      <w:pPr>
        <w:spacing w:after="0" w:line="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color w:val="auto"/>
        </w:rPr>
        <w:t>Affirmative Covenants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color w:val="auto"/>
        </w:rPr>
        <w:t>Information Covenants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color w:val="auto"/>
        </w:rPr>
        <w:t>Books, Records and Inspections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color w:val="auto"/>
        </w:rPr>
        <w:t>Maintenance of Insurance</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color w:val="auto"/>
        </w:rPr>
        <w:t>Payment of Obligations; Performance of Obligations under Credit Documents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1"/>
          <w:szCs w:val="21"/>
          <w:color w:val="auto"/>
        </w:rPr>
        <w:t>Preservation of Existence, Compliance, Etc</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9.6</w:t>
      </w:r>
      <w:r>
        <w:rPr>
          <w:sz w:val="20"/>
          <w:szCs w:val="20"/>
          <w:color w:val="auto"/>
        </w:rPr>
        <w:tab/>
      </w:r>
      <w:r>
        <w:rPr>
          <w:rFonts w:ascii="Times New Roman" w:cs="Times New Roman" w:eastAsia="Times New Roman" w:hAnsi="Times New Roman"/>
          <w:sz w:val="21"/>
          <w:szCs w:val="21"/>
          <w:color w:val="auto"/>
        </w:rPr>
        <w:t>Compliance with Requirements of Law</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9.7</w:t>
        <w:tab/>
        <w:t>ERISA</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9.8</w:t>
      </w:r>
      <w:r>
        <w:rPr>
          <w:sz w:val="20"/>
          <w:szCs w:val="20"/>
          <w:color w:val="auto"/>
        </w:rPr>
        <w:tab/>
      </w:r>
      <w:r>
        <w:rPr>
          <w:rFonts w:ascii="Times New Roman" w:cs="Times New Roman" w:eastAsia="Times New Roman" w:hAnsi="Times New Roman"/>
          <w:sz w:val="21"/>
          <w:szCs w:val="21"/>
          <w:color w:val="auto"/>
        </w:rPr>
        <w:t>Maintenance of Properties</w:t>
      </w:r>
    </w:p>
    <w:p>
      <w:pPr>
        <w:spacing w:after="0" w:line="4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9.9</w:t>
      </w:r>
      <w:r>
        <w:rPr>
          <w:sz w:val="20"/>
          <w:szCs w:val="20"/>
          <w:color w:val="auto"/>
        </w:rPr>
        <w:tab/>
      </w:r>
      <w:r>
        <w:rPr>
          <w:rFonts w:ascii="Times New Roman" w:cs="Times New Roman" w:eastAsia="Times New Roman" w:hAnsi="Times New Roman"/>
          <w:sz w:val="21"/>
          <w:szCs w:val="21"/>
          <w:color w:val="auto"/>
        </w:rPr>
        <w:t>Compliance with Environmental Laws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9.10</w:t>
      </w:r>
      <w:r>
        <w:rPr>
          <w:sz w:val="20"/>
          <w:szCs w:val="20"/>
          <w:color w:val="auto"/>
        </w:rPr>
        <w:tab/>
      </w:r>
      <w:r>
        <w:rPr>
          <w:rFonts w:ascii="Times New Roman" w:cs="Times New Roman" w:eastAsia="Times New Roman" w:hAnsi="Times New Roman"/>
          <w:sz w:val="21"/>
          <w:szCs w:val="21"/>
          <w:color w:val="auto"/>
        </w:rPr>
        <w:t>Additional Guarantors, Grantors and Collateral</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9.11</w:t>
      </w:r>
      <w:r>
        <w:rPr>
          <w:sz w:val="20"/>
          <w:szCs w:val="20"/>
          <w:color w:val="auto"/>
        </w:rPr>
        <w:tab/>
      </w:r>
      <w:r>
        <w:rPr>
          <w:rFonts w:ascii="Times New Roman" w:cs="Times New Roman" w:eastAsia="Times New Roman" w:hAnsi="Times New Roman"/>
          <w:sz w:val="21"/>
          <w:szCs w:val="21"/>
          <w:color w:val="auto"/>
        </w:rPr>
        <w:t>Use of Proceeds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9.12</w:t>
      </w:r>
      <w:r>
        <w:rPr>
          <w:sz w:val="20"/>
          <w:szCs w:val="20"/>
          <w:color w:val="auto"/>
        </w:rPr>
        <w:tab/>
      </w:r>
      <w:r>
        <w:rPr>
          <w:rFonts w:ascii="Times New Roman" w:cs="Times New Roman" w:eastAsia="Times New Roman" w:hAnsi="Times New Roman"/>
          <w:sz w:val="21"/>
          <w:szCs w:val="21"/>
          <w:color w:val="auto"/>
        </w:rPr>
        <w:t>Further Assurances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9.13</w:t>
      </w:r>
      <w:r>
        <w:rPr>
          <w:sz w:val="20"/>
          <w:szCs w:val="20"/>
          <w:color w:val="auto"/>
        </w:rPr>
        <w:tab/>
      </w:r>
      <w:r>
        <w:rPr>
          <w:rFonts w:ascii="Times New Roman" w:cs="Times New Roman" w:eastAsia="Times New Roman" w:hAnsi="Times New Roman"/>
          <w:sz w:val="21"/>
          <w:szCs w:val="21"/>
          <w:color w:val="auto"/>
        </w:rPr>
        <w:t>Reserve Reports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9.14</w:t>
      </w:r>
      <w:r>
        <w:rPr>
          <w:sz w:val="20"/>
          <w:szCs w:val="20"/>
          <w:color w:val="auto"/>
        </w:rPr>
        <w:tab/>
      </w:r>
      <w:r>
        <w:rPr>
          <w:rFonts w:ascii="Times New Roman" w:cs="Times New Roman" w:eastAsia="Times New Roman" w:hAnsi="Times New Roman"/>
          <w:sz w:val="21"/>
          <w:szCs w:val="21"/>
          <w:color w:val="auto"/>
        </w:rPr>
        <w:t>Reserved</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9.15</w:t>
      </w:r>
      <w:r>
        <w:rPr>
          <w:sz w:val="20"/>
          <w:szCs w:val="20"/>
          <w:color w:val="auto"/>
        </w:rPr>
        <w:tab/>
      </w:r>
      <w:r>
        <w:rPr>
          <w:rFonts w:ascii="Times New Roman" w:cs="Times New Roman" w:eastAsia="Times New Roman" w:hAnsi="Times New Roman"/>
          <w:sz w:val="21"/>
          <w:szCs w:val="21"/>
          <w:color w:val="auto"/>
        </w:rPr>
        <w:t>Title Information</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9.16</w:t>
      </w:r>
      <w:r>
        <w:rPr>
          <w:sz w:val="20"/>
          <w:szCs w:val="20"/>
          <w:color w:val="auto"/>
        </w:rPr>
        <w:tab/>
      </w:r>
      <w:r>
        <w:rPr>
          <w:rFonts w:ascii="Times New Roman" w:cs="Times New Roman" w:eastAsia="Times New Roman" w:hAnsi="Times New Roman"/>
          <w:sz w:val="21"/>
          <w:szCs w:val="21"/>
          <w:color w:val="auto"/>
        </w:rPr>
        <w:t>Deposit Account, Securities Account and Commodity Account Control Agreements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9.17</w:t>
      </w:r>
      <w:r>
        <w:rPr>
          <w:sz w:val="20"/>
          <w:szCs w:val="20"/>
          <w:color w:val="auto"/>
        </w:rPr>
        <w:tab/>
      </w:r>
      <w:r>
        <w:rPr>
          <w:rFonts w:ascii="Times New Roman" w:cs="Times New Roman" w:eastAsia="Times New Roman" w:hAnsi="Times New Roman"/>
          <w:sz w:val="21"/>
          <w:szCs w:val="21"/>
          <w:color w:val="auto"/>
        </w:rPr>
        <w:t>Minimum Hedged Volumes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9.18</w:t>
      </w:r>
      <w:r>
        <w:rPr>
          <w:sz w:val="20"/>
          <w:szCs w:val="20"/>
          <w:color w:val="auto"/>
        </w:rPr>
        <w:tab/>
      </w:r>
      <w:r>
        <w:rPr>
          <w:rFonts w:ascii="Times New Roman" w:cs="Times New Roman" w:eastAsia="Times New Roman" w:hAnsi="Times New Roman"/>
          <w:sz w:val="21"/>
          <w:szCs w:val="21"/>
          <w:color w:val="auto"/>
        </w:rPr>
        <w:t>Unrestricted Subsidiaries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9.19</w:t>
      </w:r>
      <w:r>
        <w:rPr>
          <w:sz w:val="20"/>
          <w:szCs w:val="20"/>
          <w:color w:val="auto"/>
        </w:rPr>
        <w:tab/>
      </w:r>
      <w:r>
        <w:rPr>
          <w:rFonts w:ascii="Times New Roman" w:cs="Times New Roman" w:eastAsia="Times New Roman" w:hAnsi="Times New Roman"/>
          <w:sz w:val="21"/>
          <w:szCs w:val="21"/>
          <w:color w:val="auto"/>
        </w:rPr>
        <w:t>Marketing Activities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9.20</w:t>
      </w:r>
      <w:r>
        <w:rPr>
          <w:sz w:val="20"/>
          <w:szCs w:val="20"/>
          <w:color w:val="auto"/>
        </w:rPr>
        <w:tab/>
      </w:r>
      <w:r>
        <w:rPr>
          <w:rFonts w:ascii="Times New Roman" w:cs="Times New Roman" w:eastAsia="Times New Roman" w:hAnsi="Times New Roman"/>
          <w:sz w:val="21"/>
          <w:szCs w:val="21"/>
          <w:color w:val="auto"/>
        </w:rPr>
        <w:t>Keepwell</w:t>
      </w:r>
    </w:p>
    <w:p>
      <w:pPr>
        <w:spacing w:after="0" w:line="4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21"/>
          <w:szCs w:val="21"/>
          <w:color w:val="auto"/>
        </w:rPr>
        <w:t>Negative Covenants.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color w:val="auto"/>
        </w:rPr>
        <w:t>Limitation on Indebtedness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color w:val="auto"/>
        </w:rPr>
        <w:t>Limitation on Liens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color w:val="auto"/>
        </w:rPr>
        <w:t>Limitation on Fundamental Changes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Limitation on Sale of Assets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color w:val="auto"/>
        </w:rPr>
        <w:t>Limitation on Investments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10.6</w:t>
      </w:r>
      <w:r>
        <w:rPr>
          <w:sz w:val="20"/>
          <w:szCs w:val="20"/>
          <w:color w:val="auto"/>
        </w:rPr>
        <w:tab/>
      </w:r>
      <w:r>
        <w:rPr>
          <w:rFonts w:ascii="Times New Roman" w:cs="Times New Roman" w:eastAsia="Times New Roman" w:hAnsi="Times New Roman"/>
          <w:sz w:val="21"/>
          <w:szCs w:val="21"/>
          <w:color w:val="auto"/>
        </w:rPr>
        <w:t>Limitation on Restricted Payments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10.7</w:t>
      </w:r>
      <w:r>
        <w:rPr>
          <w:sz w:val="20"/>
          <w:szCs w:val="20"/>
          <w:color w:val="auto"/>
        </w:rPr>
        <w:tab/>
      </w:r>
      <w:r>
        <w:rPr>
          <w:rFonts w:ascii="Times New Roman" w:cs="Times New Roman" w:eastAsia="Times New Roman" w:hAnsi="Times New Roman"/>
          <w:sz w:val="21"/>
          <w:szCs w:val="21"/>
          <w:color w:val="auto"/>
        </w:rPr>
        <w:t>Limitations on Debt Payments and Amendments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10.8</w:t>
      </w:r>
      <w:r>
        <w:rPr>
          <w:sz w:val="20"/>
          <w:szCs w:val="20"/>
          <w:color w:val="auto"/>
        </w:rPr>
        <w:tab/>
      </w:r>
      <w:r>
        <w:rPr>
          <w:rFonts w:ascii="Times New Roman" w:cs="Times New Roman" w:eastAsia="Times New Roman" w:hAnsi="Times New Roman"/>
          <w:sz w:val="21"/>
          <w:szCs w:val="21"/>
          <w:color w:val="auto"/>
        </w:rPr>
        <w:t>Negative Pledge Agreements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10.9</w:t>
      </w:r>
      <w:r>
        <w:rPr>
          <w:sz w:val="20"/>
          <w:szCs w:val="20"/>
          <w:color w:val="auto"/>
        </w:rPr>
        <w:tab/>
      </w:r>
      <w:r>
        <w:rPr>
          <w:rFonts w:ascii="Times New Roman" w:cs="Times New Roman" w:eastAsia="Times New Roman" w:hAnsi="Times New Roman"/>
          <w:sz w:val="21"/>
          <w:szCs w:val="21"/>
          <w:color w:val="auto"/>
        </w:rPr>
        <w:t>Limitation on Subsidiary Distributions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10.10</w:t>
      </w:r>
      <w:r>
        <w:rPr>
          <w:sz w:val="20"/>
          <w:szCs w:val="20"/>
          <w:color w:val="auto"/>
        </w:rPr>
        <w:tab/>
      </w:r>
      <w:r>
        <w:rPr>
          <w:rFonts w:ascii="Times New Roman" w:cs="Times New Roman" w:eastAsia="Times New Roman" w:hAnsi="Times New Roman"/>
          <w:sz w:val="21"/>
          <w:szCs w:val="21"/>
          <w:color w:val="auto"/>
        </w:rPr>
        <w:t>Hedge Agreements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10.11</w:t>
      </w:r>
      <w:r>
        <w:rPr>
          <w:sz w:val="20"/>
          <w:szCs w:val="20"/>
          <w:color w:val="auto"/>
        </w:rPr>
        <w:tab/>
      </w:r>
      <w:r>
        <w:rPr>
          <w:rFonts w:ascii="Times New Roman" w:cs="Times New Roman" w:eastAsia="Times New Roman" w:hAnsi="Times New Roman"/>
          <w:sz w:val="21"/>
          <w:szCs w:val="21"/>
          <w:color w:val="auto"/>
        </w:rPr>
        <w:t>Financial Covenants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10.12</w:t>
      </w:r>
      <w:r>
        <w:rPr>
          <w:sz w:val="20"/>
          <w:szCs w:val="20"/>
          <w:color w:val="auto"/>
        </w:rPr>
        <w:tab/>
      </w:r>
      <w:r>
        <w:rPr>
          <w:rFonts w:ascii="Times New Roman" w:cs="Times New Roman" w:eastAsia="Times New Roman" w:hAnsi="Times New Roman"/>
          <w:sz w:val="21"/>
          <w:szCs w:val="21"/>
          <w:color w:val="auto"/>
        </w:rPr>
        <w:t>Accounting Changes; Amendments to Organization Documents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10.13</w:t>
      </w:r>
      <w:r>
        <w:rPr>
          <w:sz w:val="20"/>
          <w:szCs w:val="20"/>
          <w:color w:val="auto"/>
        </w:rPr>
        <w:tab/>
      </w:r>
      <w:r>
        <w:rPr>
          <w:rFonts w:ascii="Times New Roman" w:cs="Times New Roman" w:eastAsia="Times New Roman" w:hAnsi="Times New Roman"/>
          <w:sz w:val="21"/>
          <w:szCs w:val="21"/>
          <w:color w:val="auto"/>
        </w:rPr>
        <w:t>Change in Business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10.14</w:t>
      </w:r>
      <w:r>
        <w:rPr>
          <w:sz w:val="20"/>
          <w:szCs w:val="20"/>
          <w:color w:val="auto"/>
        </w:rPr>
        <w:tab/>
      </w:r>
      <w:r>
        <w:rPr>
          <w:rFonts w:ascii="Times New Roman" w:cs="Times New Roman" w:eastAsia="Times New Roman" w:hAnsi="Times New Roman"/>
          <w:sz w:val="21"/>
          <w:szCs w:val="21"/>
          <w:color w:val="auto"/>
        </w:rPr>
        <w:t>Transactions with Affiliates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10.15</w:t>
      </w:r>
      <w:r>
        <w:rPr>
          <w:sz w:val="20"/>
          <w:szCs w:val="20"/>
          <w:color w:val="auto"/>
        </w:rPr>
        <w:tab/>
      </w:r>
      <w:r>
        <w:rPr>
          <w:rFonts w:ascii="Times New Roman" w:cs="Times New Roman" w:eastAsia="Times New Roman" w:hAnsi="Times New Roman"/>
          <w:sz w:val="21"/>
          <w:szCs w:val="21"/>
          <w:color w:val="auto"/>
        </w:rPr>
        <w:t>Sale or Discount of Receivables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10.16</w:t>
      </w:r>
      <w:r>
        <w:rPr>
          <w:sz w:val="20"/>
          <w:szCs w:val="20"/>
          <w:color w:val="auto"/>
        </w:rPr>
        <w:tab/>
      </w:r>
      <w:r>
        <w:rPr>
          <w:rFonts w:ascii="Times New Roman" w:cs="Times New Roman" w:eastAsia="Times New Roman" w:hAnsi="Times New Roman"/>
          <w:sz w:val="21"/>
          <w:szCs w:val="21"/>
          <w:color w:val="auto"/>
        </w:rPr>
        <w:t>Gas Imbalances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10.17</w:t>
      </w:r>
      <w:r>
        <w:rPr>
          <w:sz w:val="20"/>
          <w:szCs w:val="20"/>
          <w:color w:val="auto"/>
        </w:rPr>
        <w:tab/>
      </w:r>
      <w:r>
        <w:rPr>
          <w:rFonts w:ascii="Times New Roman" w:cs="Times New Roman" w:eastAsia="Times New Roman" w:hAnsi="Times New Roman"/>
          <w:sz w:val="21"/>
          <w:szCs w:val="21"/>
          <w:color w:val="auto"/>
        </w:rPr>
        <w:t>ERISA Compliance</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10.18</w:t>
      </w:r>
      <w:r>
        <w:rPr>
          <w:sz w:val="20"/>
          <w:szCs w:val="20"/>
          <w:color w:val="auto"/>
        </w:rPr>
        <w:tab/>
      </w:r>
      <w:r>
        <w:rPr>
          <w:rFonts w:ascii="Times New Roman" w:cs="Times New Roman" w:eastAsia="Times New Roman" w:hAnsi="Times New Roman"/>
          <w:sz w:val="21"/>
          <w:szCs w:val="21"/>
          <w:color w:val="auto"/>
        </w:rPr>
        <w:t>Production Sharing Entities; Production Sharing Contracts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107</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107</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107</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137</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140</w:t>
      </w:r>
    </w:p>
    <w:p>
      <w:pPr>
        <w:spacing w:after="0" w:line="200" w:lineRule="exact"/>
        <w:rPr>
          <w:sz w:val="20"/>
          <w:szCs w:val="20"/>
          <w:color w:val="auto"/>
        </w:rPr>
      </w:pPr>
    </w:p>
    <w:p>
      <w:pPr>
        <w:sectPr>
          <w:pgSz w:w="11900" w:h="16838" w:orient="portrait"/>
          <w:cols w:equalWidth="0" w:num="2">
            <w:col w:w="9700" w:space="720"/>
            <w:col w:w="320"/>
          </w:cols>
          <w:pgMar w:left="40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740"/>
          </w:cols>
          <w:pgMar w:left="400" w:top="1440" w:right="759" w:bottom="1440" w:gutter="0" w:footer="0" w:header="0"/>
          <w:type w:val="continuous"/>
        </w:sectPr>
      </w:pPr>
    </w:p>
    <w:bookmarkStart w:id="44" w:name="page45"/>
    <w:bookmarkEnd w:id="44"/>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color w:val="auto"/>
        </w:rPr>
        <w:t>Events of Default</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Payments</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Representations, Etc</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Covenants</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Default Under Other Agreements</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Bankruptcy, Etc</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11.6</w:t>
        <w:tab/>
        <w:t>ERISA</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Credit Documents</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color w:val="auto"/>
        </w:rPr>
        <w:t>Security Documents</w:t>
      </w:r>
    </w:p>
    <w:p>
      <w:pPr>
        <w:spacing w:after="0" w:line="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color w:val="auto"/>
        </w:rPr>
        <w:t>Judgments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11.10</w:t>
      </w:r>
      <w:r>
        <w:rPr>
          <w:sz w:val="20"/>
          <w:szCs w:val="20"/>
          <w:color w:val="auto"/>
        </w:rPr>
        <w:tab/>
      </w:r>
      <w:r>
        <w:rPr>
          <w:rFonts w:ascii="Times New Roman" w:cs="Times New Roman" w:eastAsia="Times New Roman" w:hAnsi="Times New Roman"/>
          <w:sz w:val="21"/>
          <w:szCs w:val="21"/>
          <w:color w:val="auto"/>
        </w:rPr>
        <w:t>Change of Control</w:t>
      </w:r>
    </w:p>
    <w:p>
      <w:pPr>
        <w:spacing w:after="0" w:line="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11.11</w:t>
      </w:r>
      <w:r>
        <w:rPr>
          <w:sz w:val="20"/>
          <w:szCs w:val="20"/>
          <w:color w:val="auto"/>
        </w:rPr>
        <w:tab/>
      </w:r>
      <w:r>
        <w:rPr>
          <w:rFonts w:ascii="Times New Roman" w:cs="Times New Roman" w:eastAsia="Times New Roman" w:hAnsi="Times New Roman"/>
          <w:sz w:val="21"/>
          <w:szCs w:val="21"/>
          <w:color w:val="auto"/>
        </w:rPr>
        <w:t>Intercreditor Agreements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11.12</w:t>
      </w:r>
      <w:r>
        <w:rPr>
          <w:sz w:val="20"/>
          <w:szCs w:val="20"/>
          <w:color w:val="auto"/>
        </w:rPr>
        <w:tab/>
      </w:r>
      <w:r>
        <w:rPr>
          <w:rFonts w:ascii="Times New Roman" w:cs="Times New Roman" w:eastAsia="Times New Roman" w:hAnsi="Times New Roman"/>
          <w:sz w:val="21"/>
          <w:szCs w:val="21"/>
          <w:color w:val="auto"/>
        </w:rPr>
        <w:t>Application of Proceeds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11.13</w:t>
      </w:r>
      <w:r>
        <w:rPr>
          <w:sz w:val="20"/>
          <w:szCs w:val="20"/>
          <w:color w:val="auto"/>
        </w:rPr>
        <w:tab/>
      </w:r>
      <w:r>
        <w:rPr>
          <w:rFonts w:ascii="Times New Roman" w:cs="Times New Roman" w:eastAsia="Times New Roman" w:hAnsi="Times New Roman"/>
          <w:sz w:val="21"/>
          <w:szCs w:val="21"/>
          <w:color w:val="auto"/>
        </w:rPr>
        <w:t>Equity Cure</w:t>
      </w:r>
    </w:p>
    <w:p>
      <w:pPr>
        <w:spacing w:after="0" w:line="4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color w:val="auto"/>
        </w:rPr>
        <w:t>The Agents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Appointment</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Delegation of Duties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Exculpatory Provisions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color w:val="auto"/>
        </w:rPr>
        <w:t>Reliance by Agents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color w:val="auto"/>
        </w:rPr>
        <w:t>Notice of Default</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Non-Reliance on Administrative Agent, Collateral Agent and Other Lenders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12.7</w:t>
      </w:r>
      <w:r>
        <w:rPr>
          <w:sz w:val="20"/>
          <w:szCs w:val="20"/>
          <w:color w:val="auto"/>
        </w:rPr>
        <w:tab/>
      </w:r>
      <w:r>
        <w:rPr>
          <w:rFonts w:ascii="Times New Roman" w:cs="Times New Roman" w:eastAsia="Times New Roman" w:hAnsi="Times New Roman"/>
          <w:sz w:val="21"/>
          <w:szCs w:val="21"/>
          <w:color w:val="auto"/>
        </w:rPr>
        <w:t>Indemnification</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12.8</w:t>
      </w:r>
      <w:r>
        <w:rPr>
          <w:sz w:val="20"/>
          <w:szCs w:val="20"/>
          <w:color w:val="auto"/>
        </w:rPr>
        <w:tab/>
      </w:r>
      <w:r>
        <w:rPr>
          <w:rFonts w:ascii="Times New Roman" w:cs="Times New Roman" w:eastAsia="Times New Roman" w:hAnsi="Times New Roman"/>
          <w:sz w:val="21"/>
          <w:szCs w:val="21"/>
          <w:color w:val="auto"/>
        </w:rPr>
        <w:t>Agents in Its Individual Capacities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1"/>
          <w:szCs w:val="21"/>
          <w:color w:val="auto"/>
        </w:rPr>
        <w:t>Successor Agents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12.10</w:t>
      </w:r>
      <w:r>
        <w:rPr>
          <w:sz w:val="20"/>
          <w:szCs w:val="20"/>
          <w:color w:val="auto"/>
        </w:rPr>
        <w:tab/>
      </w:r>
      <w:r>
        <w:rPr>
          <w:rFonts w:ascii="Times New Roman" w:cs="Times New Roman" w:eastAsia="Times New Roman" w:hAnsi="Times New Roman"/>
          <w:sz w:val="21"/>
          <w:szCs w:val="21"/>
          <w:color w:val="auto"/>
        </w:rPr>
        <w:t>Security Documents and Collateral Agent under Security Documents and Guarantee</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12.11</w:t>
      </w:r>
      <w:r>
        <w:rPr>
          <w:sz w:val="20"/>
          <w:szCs w:val="20"/>
          <w:color w:val="auto"/>
        </w:rPr>
        <w:tab/>
      </w:r>
      <w:r>
        <w:rPr>
          <w:rFonts w:ascii="Times New Roman" w:cs="Times New Roman" w:eastAsia="Times New Roman" w:hAnsi="Times New Roman"/>
          <w:sz w:val="21"/>
          <w:szCs w:val="21"/>
          <w:color w:val="auto"/>
        </w:rPr>
        <w:t>Right to Realize on Collateral and Enforce Guarantee</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12.12</w:t>
      </w:r>
      <w:r>
        <w:rPr>
          <w:sz w:val="20"/>
          <w:szCs w:val="20"/>
          <w:color w:val="auto"/>
        </w:rPr>
        <w:tab/>
      </w:r>
      <w:r>
        <w:rPr>
          <w:rFonts w:ascii="Times New Roman" w:cs="Times New Roman" w:eastAsia="Times New Roman" w:hAnsi="Times New Roman"/>
          <w:sz w:val="21"/>
          <w:szCs w:val="21"/>
          <w:color w:val="auto"/>
        </w:rPr>
        <w:t>Administrative Agent May File Proofs of Claim</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12.13</w:t>
      </w:r>
      <w:r>
        <w:rPr>
          <w:sz w:val="20"/>
          <w:szCs w:val="20"/>
          <w:color w:val="auto"/>
        </w:rPr>
        <w:tab/>
      </w:r>
      <w:r>
        <w:rPr>
          <w:rFonts w:ascii="Times New Roman" w:cs="Times New Roman" w:eastAsia="Times New Roman" w:hAnsi="Times New Roman"/>
          <w:sz w:val="21"/>
          <w:szCs w:val="21"/>
          <w:color w:val="auto"/>
        </w:rPr>
        <w:t>Certain ERISA Matters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12.14</w:t>
      </w:r>
      <w:r>
        <w:rPr>
          <w:sz w:val="20"/>
          <w:szCs w:val="20"/>
          <w:color w:val="auto"/>
        </w:rPr>
        <w:tab/>
      </w:r>
      <w:r>
        <w:rPr>
          <w:rFonts w:ascii="Times New Roman" w:cs="Times New Roman" w:eastAsia="Times New Roman" w:hAnsi="Times New Roman"/>
          <w:sz w:val="21"/>
          <w:szCs w:val="21"/>
          <w:color w:val="auto"/>
        </w:rPr>
        <w:t>Credit Bidding</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12.15</w:t>
      </w:r>
      <w:r>
        <w:rPr>
          <w:sz w:val="20"/>
          <w:szCs w:val="20"/>
          <w:color w:val="auto"/>
        </w:rPr>
        <w:tab/>
      </w:r>
      <w:r>
        <w:rPr>
          <w:rFonts w:ascii="Times New Roman" w:cs="Times New Roman" w:eastAsia="Times New Roman" w:hAnsi="Times New Roman"/>
          <w:sz w:val="21"/>
          <w:szCs w:val="21"/>
          <w:color w:val="auto"/>
        </w:rPr>
        <w:t>Erroneous Payments</w:t>
      </w:r>
    </w:p>
    <w:p>
      <w:pPr>
        <w:spacing w:after="0" w:line="4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color w:val="auto"/>
        </w:rPr>
        <w:t>Miscellaneous.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color w:val="auto"/>
        </w:rPr>
        <w:t>Amendments, Waivers and Releases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Notices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No Waiver; Cumulative Remedies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color w:val="auto"/>
        </w:rPr>
        <w:t>Survival of Representations and Warranties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1"/>
          <w:szCs w:val="21"/>
          <w:color w:val="auto"/>
        </w:rPr>
        <w:t>Payment of Expenses; Indemnification</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color w:val="auto"/>
        </w:rPr>
        <w:t>Successors and Assigns; Participations and Assignments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color w:val="auto"/>
        </w:rPr>
        <w:t>Replacements of Lenders under Certain Circumstances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13.8</w:t>
      </w:r>
      <w:r>
        <w:rPr>
          <w:sz w:val="20"/>
          <w:szCs w:val="20"/>
          <w:color w:val="auto"/>
        </w:rPr>
        <w:tab/>
      </w:r>
      <w:r>
        <w:rPr>
          <w:rFonts w:ascii="Times New Roman" w:cs="Times New Roman" w:eastAsia="Times New Roman" w:hAnsi="Times New Roman"/>
          <w:sz w:val="21"/>
          <w:szCs w:val="21"/>
          <w:color w:val="auto"/>
        </w:rPr>
        <w:t>Adjustments; Set-off</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color w:val="auto"/>
        </w:rPr>
        <w:t>Counterparts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147</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147</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167</w:t>
      </w:r>
    </w:p>
    <w:p>
      <w:pPr>
        <w:spacing w:after="0" w:line="200" w:lineRule="exact"/>
        <w:rPr>
          <w:sz w:val="20"/>
          <w:szCs w:val="20"/>
          <w:color w:val="auto"/>
        </w:rPr>
      </w:pPr>
    </w:p>
    <w:p>
      <w:pPr>
        <w:sectPr>
          <w:pgSz w:w="11900" w:h="16838" w:orient="portrait"/>
          <w:cols w:equalWidth="0" w:num="2">
            <w:col w:w="9700" w:space="720"/>
            <w:col w:w="320"/>
          </w:cols>
          <w:pgMar w:left="40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740"/>
          </w:cols>
          <w:pgMar w:left="400" w:top="1440" w:right="759" w:bottom="1440" w:gutter="0" w:footer="0" w:header="0"/>
          <w:type w:val="continuous"/>
        </w:sectPr>
      </w:pPr>
    </w:p>
    <w:bookmarkStart w:id="45" w:name="page46"/>
    <w:bookmarkEnd w:id="45"/>
    <w:p>
      <w:pPr>
        <w:spacing w:after="0" w:line="9"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13.10</w:t>
      </w:r>
      <w:r>
        <w:rPr>
          <w:sz w:val="20"/>
          <w:szCs w:val="20"/>
          <w:color w:val="auto"/>
        </w:rPr>
        <w:tab/>
      </w:r>
      <w:r>
        <w:rPr>
          <w:rFonts w:ascii="Times New Roman" w:cs="Times New Roman" w:eastAsia="Times New Roman" w:hAnsi="Times New Roman"/>
          <w:sz w:val="21"/>
          <w:szCs w:val="21"/>
          <w:color w:val="auto"/>
        </w:rPr>
        <w:t>Severability</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13.11</w:t>
      </w:r>
      <w:r>
        <w:rPr>
          <w:sz w:val="20"/>
          <w:szCs w:val="20"/>
          <w:color w:val="auto"/>
        </w:rPr>
        <w:tab/>
      </w:r>
      <w:r>
        <w:rPr>
          <w:rFonts w:ascii="Times New Roman" w:cs="Times New Roman" w:eastAsia="Times New Roman" w:hAnsi="Times New Roman"/>
          <w:sz w:val="21"/>
          <w:szCs w:val="21"/>
          <w:color w:val="auto"/>
        </w:rPr>
        <w:t>Integration</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13.12</w:t>
      </w:r>
      <w:r>
        <w:rPr>
          <w:sz w:val="20"/>
          <w:szCs w:val="20"/>
          <w:color w:val="auto"/>
        </w:rPr>
        <w:tab/>
      </w:r>
      <w:r>
        <w:rPr>
          <w:rFonts w:ascii="Times New Roman" w:cs="Times New Roman" w:eastAsia="Times New Roman" w:hAnsi="Times New Roman"/>
          <w:sz w:val="21"/>
          <w:szCs w:val="21"/>
          <w:color w:val="auto"/>
        </w:rPr>
        <w:t>GOVERNING LAW</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13.13</w:t>
      </w:r>
      <w:r>
        <w:rPr>
          <w:sz w:val="20"/>
          <w:szCs w:val="20"/>
          <w:color w:val="auto"/>
        </w:rPr>
        <w:tab/>
      </w:r>
      <w:r>
        <w:rPr>
          <w:rFonts w:ascii="Times New Roman" w:cs="Times New Roman" w:eastAsia="Times New Roman" w:hAnsi="Times New Roman"/>
          <w:sz w:val="21"/>
          <w:szCs w:val="21"/>
          <w:color w:val="auto"/>
        </w:rPr>
        <w:t>Submission to Jurisdiction; Waivers</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13.14</w:t>
      </w:r>
      <w:r>
        <w:rPr>
          <w:sz w:val="20"/>
          <w:szCs w:val="20"/>
          <w:color w:val="auto"/>
        </w:rPr>
        <w:tab/>
      </w:r>
      <w:r>
        <w:rPr>
          <w:rFonts w:ascii="Times New Roman" w:cs="Times New Roman" w:eastAsia="Times New Roman" w:hAnsi="Times New Roman"/>
          <w:sz w:val="21"/>
          <w:szCs w:val="21"/>
          <w:color w:val="auto"/>
        </w:rPr>
        <w:t>Acknowledgments</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13.15</w:t>
      </w:r>
      <w:r>
        <w:rPr>
          <w:sz w:val="20"/>
          <w:szCs w:val="20"/>
          <w:color w:val="auto"/>
        </w:rPr>
        <w:tab/>
      </w:r>
      <w:r>
        <w:rPr>
          <w:rFonts w:ascii="Times New Roman" w:cs="Times New Roman" w:eastAsia="Times New Roman" w:hAnsi="Times New Roman"/>
          <w:sz w:val="21"/>
          <w:szCs w:val="21"/>
          <w:color w:val="auto"/>
        </w:rPr>
        <w:t>WAIVERS OF JURY TRIAL</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13.16</w:t>
      </w:r>
      <w:r>
        <w:rPr>
          <w:sz w:val="20"/>
          <w:szCs w:val="20"/>
          <w:color w:val="auto"/>
        </w:rPr>
        <w:tab/>
      </w:r>
      <w:r>
        <w:rPr>
          <w:rFonts w:ascii="Times New Roman" w:cs="Times New Roman" w:eastAsia="Times New Roman" w:hAnsi="Times New Roman"/>
          <w:sz w:val="21"/>
          <w:szCs w:val="21"/>
          <w:color w:val="auto"/>
        </w:rPr>
        <w:t>Confidentiality</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13.17</w:t>
      </w:r>
      <w:r>
        <w:rPr>
          <w:sz w:val="20"/>
          <w:szCs w:val="20"/>
          <w:color w:val="auto"/>
        </w:rPr>
        <w:tab/>
      </w:r>
      <w:r>
        <w:rPr>
          <w:rFonts w:ascii="Times New Roman" w:cs="Times New Roman" w:eastAsia="Times New Roman" w:hAnsi="Times New Roman"/>
          <w:sz w:val="21"/>
          <w:szCs w:val="21"/>
          <w:color w:val="auto"/>
        </w:rPr>
        <w:t>Release of Collateral and Guarantee Obligations</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13.18</w:t>
      </w:r>
      <w:r>
        <w:rPr>
          <w:sz w:val="20"/>
          <w:szCs w:val="20"/>
          <w:color w:val="auto"/>
        </w:rPr>
        <w:tab/>
      </w:r>
      <w:r>
        <w:rPr>
          <w:rFonts w:ascii="Times New Roman" w:cs="Times New Roman" w:eastAsia="Times New Roman" w:hAnsi="Times New Roman"/>
          <w:sz w:val="21"/>
          <w:szCs w:val="21"/>
          <w:color w:val="auto"/>
        </w:rPr>
        <w:t>Patriot Act</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13.19</w:t>
      </w:r>
      <w:r>
        <w:rPr>
          <w:sz w:val="20"/>
          <w:szCs w:val="20"/>
          <w:color w:val="auto"/>
        </w:rPr>
        <w:tab/>
      </w:r>
      <w:r>
        <w:rPr>
          <w:rFonts w:ascii="Times New Roman" w:cs="Times New Roman" w:eastAsia="Times New Roman" w:hAnsi="Times New Roman"/>
          <w:sz w:val="21"/>
          <w:szCs w:val="21"/>
          <w:color w:val="auto"/>
        </w:rPr>
        <w:t>Payments Set Aside</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13.20</w:t>
      </w:r>
      <w:r>
        <w:rPr>
          <w:sz w:val="20"/>
          <w:szCs w:val="20"/>
          <w:color w:val="auto"/>
        </w:rPr>
        <w:tab/>
      </w:r>
      <w:r>
        <w:rPr>
          <w:rFonts w:ascii="Times New Roman" w:cs="Times New Roman" w:eastAsia="Times New Roman" w:hAnsi="Times New Roman"/>
          <w:sz w:val="21"/>
          <w:szCs w:val="21"/>
          <w:color w:val="auto"/>
        </w:rPr>
        <w:t>Reinstatement</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13.21</w:t>
      </w:r>
      <w:r>
        <w:rPr>
          <w:sz w:val="20"/>
          <w:szCs w:val="20"/>
          <w:color w:val="auto"/>
        </w:rPr>
        <w:tab/>
      </w:r>
      <w:r>
        <w:rPr>
          <w:rFonts w:ascii="Times New Roman" w:cs="Times New Roman" w:eastAsia="Times New Roman" w:hAnsi="Times New Roman"/>
          <w:sz w:val="21"/>
          <w:szCs w:val="21"/>
          <w:color w:val="auto"/>
        </w:rPr>
        <w:t>Disposition of Proceeds</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13.22</w:t>
      </w:r>
      <w:r>
        <w:rPr>
          <w:sz w:val="20"/>
          <w:szCs w:val="20"/>
          <w:color w:val="auto"/>
        </w:rPr>
        <w:tab/>
      </w:r>
      <w:r>
        <w:rPr>
          <w:rFonts w:ascii="Times New Roman" w:cs="Times New Roman" w:eastAsia="Times New Roman" w:hAnsi="Times New Roman"/>
          <w:sz w:val="21"/>
          <w:szCs w:val="21"/>
          <w:color w:val="auto"/>
        </w:rPr>
        <w:t>Collateral Matters; Hedge Agreements</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13.23</w:t>
      </w:r>
      <w:r>
        <w:rPr>
          <w:sz w:val="20"/>
          <w:szCs w:val="20"/>
          <w:color w:val="auto"/>
        </w:rPr>
        <w:tab/>
      </w:r>
      <w:r>
        <w:rPr>
          <w:rFonts w:ascii="Times New Roman" w:cs="Times New Roman" w:eastAsia="Times New Roman" w:hAnsi="Times New Roman"/>
          <w:sz w:val="21"/>
          <w:szCs w:val="21"/>
          <w:color w:val="auto"/>
        </w:rPr>
        <w:t>Agency of the Borrower for the Other Credit Parties</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13.24</w:t>
      </w:r>
      <w:r>
        <w:rPr>
          <w:sz w:val="20"/>
          <w:szCs w:val="20"/>
          <w:color w:val="auto"/>
        </w:rPr>
        <w:tab/>
      </w:r>
      <w:r>
        <w:rPr>
          <w:rFonts w:ascii="Times New Roman" w:cs="Times New Roman" w:eastAsia="Times New Roman" w:hAnsi="Times New Roman"/>
          <w:sz w:val="21"/>
          <w:szCs w:val="21"/>
          <w:color w:val="auto"/>
        </w:rPr>
        <w:t>Acknowledgement and Consent to Bail-In of EEA Financial Institutions</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13.25</w:t>
      </w:r>
      <w:r>
        <w:rPr>
          <w:sz w:val="20"/>
          <w:szCs w:val="20"/>
          <w:color w:val="auto"/>
        </w:rPr>
        <w:tab/>
      </w:r>
      <w:r>
        <w:rPr>
          <w:rFonts w:ascii="Times New Roman" w:cs="Times New Roman" w:eastAsia="Times New Roman" w:hAnsi="Times New Roman"/>
          <w:sz w:val="21"/>
          <w:szCs w:val="21"/>
          <w:color w:val="auto"/>
        </w:rPr>
        <w:t>Acknowledgement Regarding Any Supported QFCs</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13.26</w:t>
      </w:r>
      <w:r>
        <w:rPr>
          <w:sz w:val="20"/>
          <w:szCs w:val="20"/>
          <w:color w:val="auto"/>
        </w:rPr>
        <w:tab/>
      </w:r>
      <w:r>
        <w:rPr>
          <w:rFonts w:ascii="Times New Roman" w:cs="Times New Roman" w:eastAsia="Times New Roman" w:hAnsi="Times New Roman"/>
          <w:sz w:val="21"/>
          <w:szCs w:val="21"/>
          <w:color w:val="auto"/>
        </w:rPr>
        <w:t>Existing Credit Agreement</w:t>
      </w:r>
    </w:p>
    <w:p>
      <w:pPr>
        <w:spacing w:after="0" w:line="44"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22"/>
          <w:szCs w:val="22"/>
          <w:color w:val="auto"/>
        </w:rPr>
        <w:t>13.27</w:t>
      </w:r>
      <w:r>
        <w:rPr>
          <w:sz w:val="20"/>
          <w:szCs w:val="20"/>
          <w:color w:val="auto"/>
        </w:rPr>
        <w:tab/>
      </w:r>
      <w:r>
        <w:rPr>
          <w:rFonts w:ascii="Times New Roman" w:cs="Times New Roman" w:eastAsia="Times New Roman" w:hAnsi="Times New Roman"/>
          <w:sz w:val="21"/>
          <w:szCs w:val="21"/>
          <w:color w:val="auto"/>
        </w:rPr>
        <w:t>Exiting Lenders.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EXHIBITS</w:t>
      </w:r>
    </w:p>
    <w:p>
      <w:pPr>
        <w:spacing w:after="0" w:line="14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Reserve Report Certificate</w:t>
      </w:r>
    </w:p>
    <w:p>
      <w:pPr>
        <w:spacing w:after="0" w:line="222" w:lineRule="auto"/>
        <w:tabs>
          <w:tab w:leader="none" w:pos="94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Notice of Borrowing</w:t>
      </w:r>
    </w:p>
    <w:p>
      <w:pPr>
        <w:spacing w:after="0" w:line="207" w:lineRule="auto"/>
        <w:tabs>
          <w:tab w:leader="none" w:pos="94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Guarantee</w:t>
      </w:r>
    </w:p>
    <w:p>
      <w:pPr>
        <w:spacing w:after="0" w:line="223" w:lineRule="auto"/>
        <w:tabs>
          <w:tab w:leader="none" w:pos="96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Form of Mortgage/Deed of Trust</w:t>
      </w:r>
    </w:p>
    <w:p>
      <w:pPr>
        <w:spacing w:after="0" w:line="222" w:lineRule="auto"/>
        <w:tabs>
          <w:tab w:leader="none" w:pos="94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Form of Collateral Agreement</w:t>
      </w:r>
    </w:p>
    <w:p>
      <w:pPr>
        <w:spacing w:after="0" w:line="208" w:lineRule="auto"/>
        <w:tabs>
          <w:tab w:leader="none" w:pos="920" w:val="left"/>
        </w:tabs>
        <w:rPr>
          <w:sz w:val="20"/>
          <w:szCs w:val="20"/>
          <w:color w:val="auto"/>
        </w:rPr>
      </w:pPr>
      <w:r>
        <w:rPr>
          <w:rFonts w:ascii="Times New Roman" w:cs="Times New Roman" w:eastAsia="Times New Roman" w:hAnsi="Times New Roman"/>
          <w:sz w:val="20"/>
          <w:szCs w:val="20"/>
          <w:color w:val="auto"/>
        </w:rPr>
        <w:t>Exhibit F</w:t>
      </w:r>
      <w:r>
        <w:rPr>
          <w:sz w:val="20"/>
          <w:szCs w:val="20"/>
          <w:color w:val="auto"/>
        </w:rPr>
        <w:tab/>
      </w:r>
      <w:r>
        <w:rPr>
          <w:rFonts w:ascii="Times New Roman" w:cs="Times New Roman" w:eastAsia="Times New Roman" w:hAnsi="Times New Roman"/>
          <w:sz w:val="19"/>
          <w:szCs w:val="19"/>
          <w:color w:val="auto"/>
        </w:rPr>
        <w:t>Form of Assignment and Assumption</w:t>
      </w:r>
    </w:p>
    <w:p>
      <w:pPr>
        <w:spacing w:after="0" w:line="222" w:lineRule="auto"/>
        <w:tabs>
          <w:tab w:leader="none" w:pos="96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19"/>
          <w:szCs w:val="19"/>
          <w:color w:val="auto"/>
        </w:rPr>
        <w:t>Form of Promissory Note (Loan)</w:t>
      </w:r>
    </w:p>
    <w:p>
      <w:pPr>
        <w:spacing w:after="0" w:line="222" w:lineRule="auto"/>
        <w:tabs>
          <w:tab w:leader="none" w:pos="960" w:val="left"/>
        </w:tabs>
        <w:rPr>
          <w:sz w:val="20"/>
          <w:szCs w:val="20"/>
          <w:color w:val="auto"/>
        </w:rPr>
      </w:pPr>
      <w:r>
        <w:rPr>
          <w:rFonts w:ascii="Times New Roman" w:cs="Times New Roman" w:eastAsia="Times New Roman" w:hAnsi="Times New Roman"/>
          <w:sz w:val="20"/>
          <w:szCs w:val="20"/>
          <w:color w:val="auto"/>
        </w:rPr>
        <w:t>Exhibit H</w:t>
      </w:r>
      <w:r>
        <w:rPr>
          <w:sz w:val="20"/>
          <w:szCs w:val="20"/>
          <w:color w:val="auto"/>
        </w:rPr>
        <w:tab/>
      </w:r>
      <w:r>
        <w:rPr>
          <w:rFonts w:ascii="Times New Roman" w:cs="Times New Roman" w:eastAsia="Times New Roman" w:hAnsi="Times New Roman"/>
          <w:sz w:val="19"/>
          <w:szCs w:val="19"/>
          <w:color w:val="auto"/>
        </w:rPr>
        <w:t>Form of Solvency Certificate</w:t>
      </w:r>
    </w:p>
    <w:p>
      <w:pPr>
        <w:spacing w:after="0" w:line="208" w:lineRule="auto"/>
        <w:tabs>
          <w:tab w:leader="none" w:pos="880" w:val="left"/>
        </w:tabs>
        <w:rPr>
          <w:sz w:val="20"/>
          <w:szCs w:val="20"/>
          <w:color w:val="auto"/>
        </w:rPr>
      </w:pPr>
      <w:r>
        <w:rPr>
          <w:rFonts w:ascii="Times New Roman" w:cs="Times New Roman" w:eastAsia="Times New Roman" w:hAnsi="Times New Roman"/>
          <w:sz w:val="20"/>
          <w:szCs w:val="20"/>
          <w:color w:val="auto"/>
        </w:rPr>
        <w:t>Exhibit I</w:t>
      </w:r>
      <w:r>
        <w:rPr>
          <w:sz w:val="20"/>
          <w:szCs w:val="20"/>
          <w:color w:val="auto"/>
        </w:rPr>
        <w:tab/>
      </w:r>
      <w:r>
        <w:rPr>
          <w:rFonts w:ascii="Times New Roman" w:cs="Times New Roman" w:eastAsia="Times New Roman" w:hAnsi="Times New Roman"/>
          <w:sz w:val="19"/>
          <w:szCs w:val="19"/>
          <w:color w:val="auto"/>
        </w:rPr>
        <w:t>Form of Non-Bank Tax Certificate</w:t>
      </w:r>
    </w:p>
    <w:p>
      <w:pPr>
        <w:spacing w:after="0" w:line="222" w:lineRule="auto"/>
        <w:tabs>
          <w:tab w:leader="none" w:pos="900" w:val="left"/>
        </w:tabs>
        <w:rPr>
          <w:sz w:val="20"/>
          <w:szCs w:val="20"/>
          <w:color w:val="auto"/>
        </w:rPr>
      </w:pPr>
      <w:r>
        <w:rPr>
          <w:rFonts w:ascii="Times New Roman" w:cs="Times New Roman" w:eastAsia="Times New Roman" w:hAnsi="Times New Roman"/>
          <w:sz w:val="20"/>
          <w:szCs w:val="20"/>
          <w:color w:val="auto"/>
        </w:rPr>
        <w:t>Exhibit J</w:t>
      </w:r>
      <w:r>
        <w:rPr>
          <w:sz w:val="20"/>
          <w:szCs w:val="20"/>
          <w:color w:val="auto"/>
        </w:rPr>
        <w:tab/>
      </w:r>
      <w:r>
        <w:rPr>
          <w:rFonts w:ascii="Times New Roman" w:cs="Times New Roman" w:eastAsia="Times New Roman" w:hAnsi="Times New Roman"/>
          <w:sz w:val="19"/>
          <w:szCs w:val="19"/>
          <w:color w:val="auto"/>
        </w:rPr>
        <w:t>Form of Intercompany Note</w:t>
      </w:r>
    </w:p>
    <w:p>
      <w:pPr>
        <w:spacing w:after="0" w:line="223" w:lineRule="auto"/>
        <w:tabs>
          <w:tab w:leader="none" w:pos="960" w:val="left"/>
        </w:tabs>
        <w:rPr>
          <w:sz w:val="20"/>
          <w:szCs w:val="20"/>
          <w:color w:val="auto"/>
        </w:rPr>
      </w:pPr>
      <w:r>
        <w:rPr>
          <w:rFonts w:ascii="Times New Roman" w:cs="Times New Roman" w:eastAsia="Times New Roman" w:hAnsi="Times New Roman"/>
          <w:sz w:val="20"/>
          <w:szCs w:val="20"/>
          <w:color w:val="auto"/>
        </w:rPr>
        <w:t>Exhibit K</w:t>
      </w:r>
      <w:r>
        <w:rPr>
          <w:sz w:val="20"/>
          <w:szCs w:val="20"/>
          <w:color w:val="auto"/>
        </w:rPr>
        <w:tab/>
      </w:r>
      <w:r>
        <w:rPr>
          <w:rFonts w:ascii="Times New Roman" w:cs="Times New Roman" w:eastAsia="Times New Roman" w:hAnsi="Times New Roman"/>
          <w:sz w:val="19"/>
          <w:szCs w:val="19"/>
          <w:color w:val="auto"/>
        </w:rPr>
        <w:t>Form of Elected Commitment Increase Certificate</w:t>
      </w: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L</w:t>
      </w:r>
      <w:r>
        <w:rPr>
          <w:sz w:val="20"/>
          <w:szCs w:val="20"/>
          <w:color w:val="auto"/>
        </w:rPr>
        <w:tab/>
      </w:r>
      <w:r>
        <w:rPr>
          <w:rFonts w:ascii="Times New Roman" w:cs="Times New Roman" w:eastAsia="Times New Roman" w:hAnsi="Times New Roman"/>
          <w:sz w:val="19"/>
          <w:szCs w:val="19"/>
          <w:color w:val="auto"/>
        </w:rPr>
        <w:t>Form of Additional Lender Certificate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SCHEDULES</w:t>
      </w:r>
    </w:p>
    <w:p>
      <w:pPr>
        <w:spacing w:after="0" w:line="15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Schedule 1.1(a)</w:t>
      </w:r>
      <w:r>
        <w:rPr>
          <w:sz w:val="20"/>
          <w:szCs w:val="20"/>
          <w:color w:val="auto"/>
        </w:rPr>
        <w:tab/>
      </w:r>
      <w:r>
        <w:rPr>
          <w:rFonts w:ascii="Times New Roman" w:cs="Times New Roman" w:eastAsia="Times New Roman" w:hAnsi="Times New Roman"/>
          <w:sz w:val="19"/>
          <w:szCs w:val="19"/>
          <w:color w:val="auto"/>
        </w:rPr>
        <w:t>Commitments</w:t>
      </w:r>
    </w:p>
    <w:p>
      <w:pPr>
        <w:spacing w:after="0" w:line="207" w:lineRule="auto"/>
        <w:tabs>
          <w:tab w:leader="none" w:pos="1440" w:val="left"/>
        </w:tabs>
        <w:rPr>
          <w:sz w:val="20"/>
          <w:szCs w:val="20"/>
          <w:color w:val="auto"/>
        </w:rPr>
      </w:pPr>
      <w:r>
        <w:rPr>
          <w:rFonts w:ascii="Times New Roman" w:cs="Times New Roman" w:eastAsia="Times New Roman" w:hAnsi="Times New Roman"/>
          <w:sz w:val="20"/>
          <w:szCs w:val="20"/>
          <w:color w:val="auto"/>
        </w:rPr>
        <w:t>Schedule 1.1(b)</w:t>
      </w:r>
      <w:r>
        <w:rPr>
          <w:sz w:val="20"/>
          <w:szCs w:val="20"/>
          <w:color w:val="auto"/>
        </w:rPr>
        <w:tab/>
      </w:r>
      <w:r>
        <w:rPr>
          <w:rFonts w:ascii="Times New Roman" w:cs="Times New Roman" w:eastAsia="Times New Roman" w:hAnsi="Times New Roman"/>
          <w:sz w:val="19"/>
          <w:szCs w:val="19"/>
          <w:color w:val="auto"/>
        </w:rPr>
        <w:t>Excluded Equity Interests</w:t>
      </w:r>
    </w:p>
    <w:p>
      <w:pPr>
        <w:spacing w:after="0" w:line="222" w:lineRule="auto"/>
        <w:tabs>
          <w:tab w:leader="none" w:pos="1420" w:val="left"/>
        </w:tabs>
        <w:rPr>
          <w:sz w:val="20"/>
          <w:szCs w:val="20"/>
          <w:color w:val="auto"/>
        </w:rPr>
      </w:pPr>
      <w:r>
        <w:rPr>
          <w:rFonts w:ascii="Times New Roman" w:cs="Times New Roman" w:eastAsia="Times New Roman" w:hAnsi="Times New Roman"/>
          <w:sz w:val="20"/>
          <w:szCs w:val="20"/>
          <w:color w:val="auto"/>
        </w:rPr>
        <w:t>Schedule 1.1(c)</w:t>
      </w:r>
      <w:r>
        <w:rPr>
          <w:sz w:val="20"/>
          <w:szCs w:val="20"/>
          <w:color w:val="auto"/>
        </w:rPr>
        <w:tab/>
      </w:r>
      <w:r>
        <w:rPr>
          <w:rFonts w:ascii="Times New Roman" w:cs="Times New Roman" w:eastAsia="Times New Roman" w:hAnsi="Times New Roman"/>
          <w:sz w:val="19"/>
          <w:szCs w:val="19"/>
          <w:color w:val="auto"/>
        </w:rPr>
        <w:t>Closing Date Subsidiary Guarantors and Subsidiary Grantors</w:t>
      </w:r>
    </w:p>
    <w:p>
      <w:pPr>
        <w:spacing w:after="0" w:line="208" w:lineRule="auto"/>
        <w:tabs>
          <w:tab w:leader="none" w:pos="1440" w:val="left"/>
        </w:tabs>
        <w:rPr>
          <w:sz w:val="20"/>
          <w:szCs w:val="20"/>
          <w:color w:val="auto"/>
        </w:rPr>
      </w:pPr>
      <w:r>
        <w:rPr>
          <w:rFonts w:ascii="Times New Roman" w:cs="Times New Roman" w:eastAsia="Times New Roman" w:hAnsi="Times New Roman"/>
          <w:sz w:val="20"/>
          <w:szCs w:val="20"/>
          <w:color w:val="auto"/>
        </w:rPr>
        <w:t>Schedule 1.1(d)</w:t>
      </w:r>
      <w:r>
        <w:rPr>
          <w:sz w:val="20"/>
          <w:szCs w:val="20"/>
          <w:color w:val="auto"/>
        </w:rPr>
        <w:tab/>
      </w:r>
      <w:r>
        <w:rPr>
          <w:rFonts w:ascii="Times New Roman" w:cs="Times New Roman" w:eastAsia="Times New Roman" w:hAnsi="Times New Roman"/>
          <w:sz w:val="19"/>
          <w:szCs w:val="19"/>
          <w:color w:val="auto"/>
        </w:rPr>
        <w:t>Existing Letters of Credit</w:t>
      </w:r>
    </w:p>
    <w:p>
      <w:pPr>
        <w:spacing w:after="0" w:line="222" w:lineRule="auto"/>
        <w:tabs>
          <w:tab w:leader="none" w:pos="1420" w:val="left"/>
        </w:tabs>
        <w:rPr>
          <w:sz w:val="20"/>
          <w:szCs w:val="20"/>
          <w:color w:val="auto"/>
        </w:rPr>
      </w:pPr>
      <w:r>
        <w:rPr>
          <w:rFonts w:ascii="Times New Roman" w:cs="Times New Roman" w:eastAsia="Times New Roman" w:hAnsi="Times New Roman"/>
          <w:sz w:val="20"/>
          <w:szCs w:val="20"/>
          <w:color w:val="auto"/>
        </w:rPr>
        <w:t>Schedule 1.1(e)</w:t>
      </w:r>
      <w:r>
        <w:rPr>
          <w:sz w:val="20"/>
          <w:szCs w:val="20"/>
          <w:color w:val="auto"/>
        </w:rPr>
        <w:tab/>
      </w:r>
      <w:r>
        <w:rPr>
          <w:rFonts w:ascii="Times New Roman" w:cs="Times New Roman" w:eastAsia="Times New Roman" w:hAnsi="Times New Roman"/>
          <w:sz w:val="19"/>
          <w:szCs w:val="19"/>
          <w:color w:val="auto"/>
        </w:rPr>
        <w:t>Closing Date Unrestricted Subsidiaries</w:t>
      </w:r>
    </w:p>
    <w:p>
      <w:pPr>
        <w:spacing w:after="0" w:line="223" w:lineRule="auto"/>
        <w:tabs>
          <w:tab w:leader="none" w:pos="1200" w:val="left"/>
        </w:tabs>
        <w:rPr>
          <w:sz w:val="20"/>
          <w:szCs w:val="20"/>
          <w:color w:val="auto"/>
        </w:rPr>
      </w:pPr>
      <w:r>
        <w:rPr>
          <w:rFonts w:ascii="Times New Roman" w:cs="Times New Roman" w:eastAsia="Times New Roman" w:hAnsi="Times New Roman"/>
          <w:sz w:val="20"/>
          <w:szCs w:val="20"/>
          <w:color w:val="auto"/>
        </w:rPr>
        <w:t>Schedule 8.4</w:t>
      </w:r>
      <w:r>
        <w:rPr>
          <w:sz w:val="20"/>
          <w:szCs w:val="20"/>
          <w:color w:val="auto"/>
        </w:rPr>
        <w:tab/>
      </w:r>
      <w:r>
        <w:rPr>
          <w:rFonts w:ascii="Times New Roman" w:cs="Times New Roman" w:eastAsia="Times New Roman" w:hAnsi="Times New Roman"/>
          <w:sz w:val="19"/>
          <w:szCs w:val="19"/>
          <w:color w:val="auto"/>
        </w:rPr>
        <w:t>Litigation</w:t>
      </w:r>
    </w:p>
    <w:p>
      <w:pPr>
        <w:spacing w:after="0" w:line="207" w:lineRule="auto"/>
        <w:tabs>
          <w:tab w:leader="none" w:pos="1520" w:val="left"/>
        </w:tabs>
        <w:rPr>
          <w:sz w:val="20"/>
          <w:szCs w:val="20"/>
          <w:color w:val="auto"/>
        </w:rPr>
      </w:pPr>
      <w:r>
        <w:rPr>
          <w:rFonts w:ascii="Times New Roman" w:cs="Times New Roman" w:eastAsia="Times New Roman" w:hAnsi="Times New Roman"/>
          <w:sz w:val="20"/>
          <w:szCs w:val="20"/>
          <w:color w:val="auto"/>
        </w:rPr>
        <w:t>Schedule 8.10(a)</w:t>
      </w:r>
      <w:r>
        <w:rPr>
          <w:sz w:val="20"/>
          <w:szCs w:val="20"/>
          <w:color w:val="auto"/>
        </w:rPr>
        <w:tab/>
      </w:r>
      <w:r>
        <w:rPr>
          <w:rFonts w:ascii="Times New Roman" w:cs="Times New Roman" w:eastAsia="Times New Roman" w:hAnsi="Times New Roman"/>
          <w:sz w:val="19"/>
          <w:szCs w:val="19"/>
          <w:color w:val="auto"/>
        </w:rPr>
        <w:t>Closing Date ERISA Matters</w:t>
      </w:r>
    </w:p>
    <w:p>
      <w:pPr>
        <w:spacing w:after="0" w:line="222" w:lineRule="auto"/>
        <w:tabs>
          <w:tab w:leader="none" w:pos="1300" w:val="left"/>
        </w:tabs>
        <w:rPr>
          <w:sz w:val="20"/>
          <w:szCs w:val="20"/>
          <w:color w:val="auto"/>
        </w:rPr>
      </w:pPr>
      <w:r>
        <w:rPr>
          <w:rFonts w:ascii="Times New Roman" w:cs="Times New Roman" w:eastAsia="Times New Roman" w:hAnsi="Times New Roman"/>
          <w:sz w:val="20"/>
          <w:szCs w:val="20"/>
          <w:color w:val="auto"/>
        </w:rPr>
        <w:t>Schedule 8.11</w:t>
      </w:r>
      <w:r>
        <w:rPr>
          <w:sz w:val="20"/>
          <w:szCs w:val="20"/>
          <w:color w:val="auto"/>
        </w:rPr>
        <w:tab/>
      </w:r>
      <w:r>
        <w:rPr>
          <w:rFonts w:ascii="Times New Roman" w:cs="Times New Roman" w:eastAsia="Times New Roman" w:hAnsi="Times New Roman"/>
          <w:sz w:val="19"/>
          <w:szCs w:val="19"/>
          <w:color w:val="auto"/>
        </w:rPr>
        <w:t>Subsidiaries</w:t>
      </w:r>
    </w:p>
    <w:p>
      <w:pPr>
        <w:spacing w:after="0" w:line="223" w:lineRule="auto"/>
        <w:tabs>
          <w:tab w:leader="none" w:pos="1300" w:val="left"/>
        </w:tabs>
        <w:rPr>
          <w:sz w:val="20"/>
          <w:szCs w:val="20"/>
          <w:color w:val="auto"/>
        </w:rPr>
      </w:pPr>
      <w:r>
        <w:rPr>
          <w:rFonts w:ascii="Times New Roman" w:cs="Times New Roman" w:eastAsia="Times New Roman" w:hAnsi="Times New Roman"/>
          <w:sz w:val="20"/>
          <w:szCs w:val="20"/>
          <w:color w:val="auto"/>
        </w:rPr>
        <w:t>Schedule 8.14</w:t>
      </w:r>
      <w:r>
        <w:rPr>
          <w:sz w:val="20"/>
          <w:szCs w:val="20"/>
          <w:color w:val="auto"/>
        </w:rPr>
        <w:tab/>
      </w:r>
      <w:r>
        <w:rPr>
          <w:rFonts w:ascii="Times New Roman" w:cs="Times New Roman" w:eastAsia="Times New Roman" w:hAnsi="Times New Roman"/>
          <w:sz w:val="19"/>
          <w:szCs w:val="19"/>
          <w:color w:val="auto"/>
        </w:rPr>
        <w:t>Properties</w:t>
      </w:r>
    </w:p>
    <w:p>
      <w:pPr>
        <w:spacing w:after="0" w:line="207" w:lineRule="auto"/>
        <w:tabs>
          <w:tab w:leader="none" w:pos="1300" w:val="left"/>
        </w:tabs>
        <w:rPr>
          <w:sz w:val="20"/>
          <w:szCs w:val="20"/>
          <w:color w:val="auto"/>
        </w:rPr>
      </w:pPr>
      <w:r>
        <w:rPr>
          <w:rFonts w:ascii="Times New Roman" w:cs="Times New Roman" w:eastAsia="Times New Roman" w:hAnsi="Times New Roman"/>
          <w:sz w:val="20"/>
          <w:szCs w:val="20"/>
          <w:color w:val="auto"/>
        </w:rPr>
        <w:t>Schedule 8.17</w:t>
      </w:r>
      <w:r>
        <w:rPr>
          <w:sz w:val="20"/>
          <w:szCs w:val="20"/>
          <w:color w:val="auto"/>
        </w:rPr>
        <w:tab/>
      </w:r>
      <w:r>
        <w:rPr>
          <w:rFonts w:ascii="Times New Roman" w:cs="Times New Roman" w:eastAsia="Times New Roman" w:hAnsi="Times New Roman"/>
          <w:sz w:val="19"/>
          <w:szCs w:val="19"/>
          <w:color w:val="auto"/>
        </w:rPr>
        <w:t>Closing Date Gas Imbalance</w:t>
      </w:r>
    </w:p>
    <w:p>
      <w:pPr>
        <w:spacing w:after="0" w:line="222" w:lineRule="auto"/>
        <w:tabs>
          <w:tab w:leader="none" w:pos="1300" w:val="left"/>
        </w:tabs>
        <w:rPr>
          <w:sz w:val="20"/>
          <w:szCs w:val="20"/>
          <w:color w:val="auto"/>
        </w:rPr>
      </w:pPr>
      <w:r>
        <w:rPr>
          <w:rFonts w:ascii="Times New Roman" w:cs="Times New Roman" w:eastAsia="Times New Roman" w:hAnsi="Times New Roman"/>
          <w:sz w:val="20"/>
          <w:szCs w:val="20"/>
          <w:color w:val="auto"/>
        </w:rPr>
        <w:t>Schedule 8.18</w:t>
      </w:r>
      <w:r>
        <w:rPr>
          <w:sz w:val="20"/>
          <w:szCs w:val="20"/>
          <w:color w:val="auto"/>
        </w:rPr>
        <w:tab/>
      </w:r>
      <w:r>
        <w:rPr>
          <w:rFonts w:ascii="Times New Roman" w:cs="Times New Roman" w:eastAsia="Times New Roman" w:hAnsi="Times New Roman"/>
          <w:sz w:val="19"/>
          <w:szCs w:val="19"/>
          <w:color w:val="auto"/>
        </w:rPr>
        <w:t>Closing Date Marketing Agreements</w:t>
      </w:r>
    </w:p>
    <w:p>
      <w:pPr>
        <w:spacing w:after="0" w:line="223" w:lineRule="auto"/>
        <w:tabs>
          <w:tab w:leader="none" w:pos="1300" w:val="left"/>
        </w:tabs>
        <w:rPr>
          <w:sz w:val="20"/>
          <w:szCs w:val="20"/>
          <w:color w:val="auto"/>
        </w:rPr>
      </w:pPr>
      <w:r>
        <w:rPr>
          <w:rFonts w:ascii="Times New Roman" w:cs="Times New Roman" w:eastAsia="Times New Roman" w:hAnsi="Times New Roman"/>
          <w:sz w:val="20"/>
          <w:szCs w:val="20"/>
          <w:color w:val="auto"/>
        </w:rPr>
        <w:t>Schedule 8.21</w:t>
      </w:r>
      <w:r>
        <w:rPr>
          <w:sz w:val="20"/>
          <w:szCs w:val="20"/>
          <w:color w:val="auto"/>
        </w:rPr>
        <w:tab/>
      </w:r>
      <w:r>
        <w:rPr>
          <w:rFonts w:ascii="Times New Roman" w:cs="Times New Roman" w:eastAsia="Times New Roman" w:hAnsi="Times New Roman"/>
          <w:sz w:val="19"/>
          <w:szCs w:val="19"/>
          <w:color w:val="auto"/>
        </w:rPr>
        <w:t>Closing Date Hedge Agreements</w:t>
      </w:r>
    </w:p>
    <w:p>
      <w:pPr>
        <w:spacing w:after="0" w:line="207" w:lineRule="auto"/>
        <w:tabs>
          <w:tab w:leader="none" w:pos="1300" w:val="left"/>
        </w:tabs>
        <w:rPr>
          <w:sz w:val="20"/>
          <w:szCs w:val="20"/>
          <w:color w:val="auto"/>
        </w:rPr>
      </w:pPr>
      <w:r>
        <w:rPr>
          <w:rFonts w:ascii="Times New Roman" w:cs="Times New Roman" w:eastAsia="Times New Roman" w:hAnsi="Times New Roman"/>
          <w:sz w:val="20"/>
          <w:szCs w:val="20"/>
          <w:color w:val="auto"/>
        </w:rPr>
        <w:t>Schedule 10.1</w:t>
      </w:r>
      <w:r>
        <w:rPr>
          <w:sz w:val="20"/>
          <w:szCs w:val="20"/>
          <w:color w:val="auto"/>
        </w:rPr>
        <w:tab/>
      </w:r>
      <w:r>
        <w:rPr>
          <w:rFonts w:ascii="Times New Roman" w:cs="Times New Roman" w:eastAsia="Times New Roman" w:hAnsi="Times New Roman"/>
          <w:sz w:val="19"/>
          <w:szCs w:val="19"/>
          <w:color w:val="auto"/>
        </w:rPr>
        <w:t>Closing Date Indebtedness</w:t>
      </w: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Schedule 10.2(d)</w:t>
      </w:r>
      <w:r>
        <w:rPr>
          <w:sz w:val="20"/>
          <w:szCs w:val="20"/>
          <w:color w:val="auto"/>
        </w:rPr>
        <w:tab/>
      </w:r>
      <w:r>
        <w:rPr>
          <w:rFonts w:ascii="Times New Roman" w:cs="Times New Roman" w:eastAsia="Times New Roman" w:hAnsi="Times New Roman"/>
          <w:sz w:val="19"/>
          <w:szCs w:val="19"/>
          <w:color w:val="auto"/>
        </w:rPr>
        <w:t>Closing Date Liens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167</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174</w:t>
      </w:r>
    </w:p>
    <w:p>
      <w:pPr>
        <w:spacing w:after="0" w:line="6749" w:lineRule="exact"/>
        <w:rPr>
          <w:sz w:val="20"/>
          <w:szCs w:val="20"/>
          <w:color w:val="auto"/>
        </w:rPr>
      </w:pPr>
    </w:p>
    <w:p>
      <w:pPr>
        <w:sectPr>
          <w:pgSz w:w="11900" w:h="16838" w:orient="portrait"/>
          <w:cols w:equalWidth="0" w:num="2">
            <w:col w:w="9780" w:space="720"/>
            <w:col w:w="320"/>
          </w:cols>
          <w:pgMar w:left="320" w:top="1440" w:right="7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820"/>
          </w:cols>
          <w:pgMar w:left="320" w:top="1440" w:right="759" w:bottom="1440" w:gutter="0" w:footer="0" w:header="0"/>
          <w:type w:val="continuous"/>
        </w:sectPr>
      </w:pPr>
    </w:p>
    <w:bookmarkStart w:id="46" w:name="page47"/>
    <w:bookmarkEnd w:id="46"/>
    <w:p>
      <w:pPr>
        <w:spacing w:after="0"/>
        <w:tabs>
          <w:tab w:leader="none" w:pos="1540" w:val="left"/>
        </w:tabs>
        <w:rPr>
          <w:sz w:val="20"/>
          <w:szCs w:val="20"/>
          <w:color w:val="auto"/>
        </w:rPr>
      </w:pPr>
      <w:r>
        <w:rPr>
          <w:rFonts w:ascii="Times New Roman" w:cs="Times New Roman" w:eastAsia="Times New Roman" w:hAnsi="Times New Roman"/>
          <w:sz w:val="20"/>
          <w:szCs w:val="20"/>
          <w:color w:val="auto"/>
        </w:rPr>
        <w:t>Schedule 10.4(n)</w:t>
      </w:r>
      <w:r>
        <w:rPr>
          <w:sz w:val="20"/>
          <w:szCs w:val="20"/>
          <w:color w:val="auto"/>
        </w:rPr>
        <w:tab/>
      </w:r>
      <w:r>
        <w:rPr>
          <w:rFonts w:ascii="Times New Roman" w:cs="Times New Roman" w:eastAsia="Times New Roman" w:hAnsi="Times New Roman"/>
          <w:sz w:val="19"/>
          <w:szCs w:val="19"/>
          <w:color w:val="auto"/>
        </w:rPr>
        <w:t>Scheduled Dispositions</w:t>
      </w:r>
    </w:p>
    <w:p>
      <w:pPr>
        <w:spacing w:after="0" w:line="207" w:lineRule="auto"/>
        <w:tabs>
          <w:tab w:leader="none" w:pos="1540" w:val="left"/>
        </w:tabs>
        <w:rPr>
          <w:sz w:val="20"/>
          <w:szCs w:val="20"/>
          <w:color w:val="auto"/>
        </w:rPr>
      </w:pPr>
      <w:r>
        <w:rPr>
          <w:rFonts w:ascii="Times New Roman" w:cs="Times New Roman" w:eastAsia="Times New Roman" w:hAnsi="Times New Roman"/>
          <w:sz w:val="20"/>
          <w:szCs w:val="20"/>
          <w:color w:val="auto"/>
        </w:rPr>
        <w:t>Schedule 10.5(d)</w:t>
      </w:r>
      <w:r>
        <w:rPr>
          <w:sz w:val="20"/>
          <w:szCs w:val="20"/>
          <w:color w:val="auto"/>
        </w:rPr>
        <w:tab/>
      </w:r>
      <w:r>
        <w:rPr>
          <w:rFonts w:ascii="Times New Roman" w:cs="Times New Roman" w:eastAsia="Times New Roman" w:hAnsi="Times New Roman"/>
          <w:sz w:val="19"/>
          <w:szCs w:val="19"/>
          <w:color w:val="auto"/>
        </w:rPr>
        <w:t>Closing Date Investments</w:t>
      </w:r>
    </w:p>
    <w:p>
      <w:pPr>
        <w:spacing w:after="0" w:line="222" w:lineRule="auto"/>
        <w:tabs>
          <w:tab w:leader="none" w:pos="1300" w:val="left"/>
        </w:tabs>
        <w:rPr>
          <w:sz w:val="20"/>
          <w:szCs w:val="20"/>
          <w:color w:val="auto"/>
        </w:rPr>
      </w:pPr>
      <w:r>
        <w:rPr>
          <w:rFonts w:ascii="Times New Roman" w:cs="Times New Roman" w:eastAsia="Times New Roman" w:hAnsi="Times New Roman"/>
          <w:sz w:val="20"/>
          <w:szCs w:val="20"/>
          <w:color w:val="auto"/>
        </w:rPr>
        <w:t>Schedule 10.8</w:t>
      </w:r>
      <w:r>
        <w:rPr>
          <w:sz w:val="20"/>
          <w:szCs w:val="20"/>
          <w:color w:val="auto"/>
        </w:rPr>
        <w:tab/>
      </w:r>
      <w:r>
        <w:rPr>
          <w:rFonts w:ascii="Times New Roman" w:cs="Times New Roman" w:eastAsia="Times New Roman" w:hAnsi="Times New Roman"/>
          <w:sz w:val="19"/>
          <w:szCs w:val="19"/>
          <w:color w:val="auto"/>
        </w:rPr>
        <w:t>Closing Date Negative Pledge Agreements</w:t>
      </w:r>
    </w:p>
    <w:p>
      <w:pPr>
        <w:spacing w:after="0" w:line="223" w:lineRule="auto"/>
        <w:tabs>
          <w:tab w:leader="none" w:pos="1400" w:val="left"/>
        </w:tabs>
        <w:rPr>
          <w:sz w:val="20"/>
          <w:szCs w:val="20"/>
          <w:color w:val="auto"/>
        </w:rPr>
      </w:pPr>
      <w:r>
        <w:rPr>
          <w:rFonts w:ascii="Times New Roman" w:cs="Times New Roman" w:eastAsia="Times New Roman" w:hAnsi="Times New Roman"/>
          <w:sz w:val="20"/>
          <w:szCs w:val="20"/>
          <w:color w:val="auto"/>
        </w:rPr>
        <w:t>Schedule 10.14</w:t>
      </w:r>
      <w:r>
        <w:rPr>
          <w:sz w:val="20"/>
          <w:szCs w:val="20"/>
          <w:color w:val="auto"/>
        </w:rPr>
        <w:tab/>
      </w:r>
      <w:r>
        <w:rPr>
          <w:rFonts w:ascii="Times New Roman" w:cs="Times New Roman" w:eastAsia="Times New Roman" w:hAnsi="Times New Roman"/>
          <w:sz w:val="19"/>
          <w:szCs w:val="19"/>
          <w:color w:val="auto"/>
        </w:rPr>
        <w:t>Closing Date Affiliate Transactions</w:t>
      </w:r>
    </w:p>
    <w:p>
      <w:pPr>
        <w:spacing w:after="0" w:line="207" w:lineRule="auto"/>
        <w:tabs>
          <w:tab w:leader="none" w:pos="1620" w:val="left"/>
        </w:tabs>
        <w:rPr>
          <w:sz w:val="20"/>
          <w:szCs w:val="20"/>
          <w:color w:val="auto"/>
        </w:rPr>
      </w:pPr>
      <w:r>
        <w:rPr>
          <w:rFonts w:ascii="Times New Roman" w:cs="Times New Roman" w:eastAsia="Times New Roman" w:hAnsi="Times New Roman"/>
          <w:sz w:val="20"/>
          <w:szCs w:val="20"/>
          <w:color w:val="auto"/>
        </w:rPr>
        <w:t>Schedule 10.17(c)</w:t>
      </w:r>
      <w:r>
        <w:rPr>
          <w:sz w:val="20"/>
          <w:szCs w:val="20"/>
          <w:color w:val="auto"/>
        </w:rPr>
        <w:tab/>
      </w:r>
      <w:r>
        <w:rPr>
          <w:rFonts w:ascii="Times New Roman" w:cs="Times New Roman" w:eastAsia="Times New Roman" w:hAnsi="Times New Roman"/>
          <w:sz w:val="19"/>
          <w:szCs w:val="19"/>
          <w:color w:val="auto"/>
        </w:rPr>
        <w:t>Continuing ERISA Plans</w:t>
      </w:r>
    </w:p>
    <w:p>
      <w:pPr>
        <w:spacing w:after="0" w:line="222" w:lineRule="auto"/>
        <w:tabs>
          <w:tab w:leader="none" w:pos="1300" w:val="left"/>
        </w:tabs>
        <w:rPr>
          <w:sz w:val="20"/>
          <w:szCs w:val="20"/>
          <w:color w:val="auto"/>
        </w:rPr>
      </w:pPr>
      <w:r>
        <w:rPr>
          <w:rFonts w:ascii="Times New Roman" w:cs="Times New Roman" w:eastAsia="Times New Roman" w:hAnsi="Times New Roman"/>
          <w:sz w:val="20"/>
          <w:szCs w:val="20"/>
          <w:color w:val="auto"/>
        </w:rPr>
        <w:t>Schedule 13.2</w:t>
      </w:r>
      <w:r>
        <w:rPr>
          <w:sz w:val="20"/>
          <w:szCs w:val="20"/>
          <w:color w:val="auto"/>
        </w:rPr>
        <w:tab/>
      </w:r>
      <w:r>
        <w:rPr>
          <w:rFonts w:ascii="Times New Roman" w:cs="Times New Roman" w:eastAsia="Times New Roman" w:hAnsi="Times New Roman"/>
          <w:sz w:val="19"/>
          <w:szCs w:val="19"/>
          <w:color w:val="auto"/>
        </w:rPr>
        <w:t>Notice Addresses</w:t>
      </w:r>
    </w:p>
    <w:p>
      <w:pPr>
        <w:spacing w:after="0" w:line="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color w:val="auto"/>
        </w:rPr>
        <w:t>Schedule 13.17</w:t>
      </w:r>
      <w:r>
        <w:rPr>
          <w:sz w:val="20"/>
          <w:szCs w:val="20"/>
          <w:color w:val="auto"/>
        </w:rPr>
        <w:tab/>
      </w:r>
      <w:r>
        <w:rPr>
          <w:rFonts w:ascii="Times New Roman" w:cs="Times New Roman" w:eastAsia="Times New Roman" w:hAnsi="Times New Roman"/>
          <w:sz w:val="19"/>
          <w:szCs w:val="19"/>
          <w:color w:val="auto"/>
        </w:rPr>
        <w:t>Closing Date Released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0139"/>
          </w:cols>
          <w:pgMar w:left="320" w:top="1394" w:right="1440"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9"/>
          <w:szCs w:val="19"/>
          <w:color w:val="auto"/>
        </w:rPr>
        <w:t>This AMENDED AND RESTATED CREDIT AGREEMENT, dated as of April 26, 2023, among California Resources Corporation,</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banks, financial institutions and other lending institutions from time to time parties as lenders hereto (each a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Citibank, N.A. (“</w:t>
      </w:r>
      <w:r>
        <w:rPr>
          <w:rFonts w:ascii="Times New Roman" w:cs="Times New Roman" w:eastAsia="Times New Roman" w:hAnsi="Times New Roman"/>
          <w:sz w:val="19"/>
          <w:szCs w:val="19"/>
          <w:u w:val="single" w:color="auto"/>
          <w:color w:val="auto"/>
        </w:rPr>
        <w:t>Citi</w:t>
      </w:r>
      <w:r>
        <w:rPr>
          <w:rFonts w:ascii="Times New Roman" w:cs="Times New Roman" w:eastAsia="Times New Roman" w:hAnsi="Times New Roman"/>
          <w:sz w:val="19"/>
          <w:szCs w:val="19"/>
          <w:color w:val="auto"/>
        </w:rPr>
        <w:t>”), as administrative agent and collateral agent for the Lenders</w:t>
      </w:r>
    </w:p>
    <w:p>
      <w:pPr>
        <w:spacing w:after="0"/>
        <w:rPr>
          <w:sz w:val="20"/>
          <w:szCs w:val="20"/>
          <w:color w:val="auto"/>
        </w:rPr>
      </w:pPr>
      <w:r>
        <w:rPr>
          <w:rFonts w:ascii="Times New Roman" w:cs="Times New Roman" w:eastAsia="Times New Roman" w:hAnsi="Times New Roman"/>
          <w:sz w:val="20"/>
          <w:szCs w:val="20"/>
          <w:color w:val="auto"/>
        </w:rPr>
        <w:t>and an Issuing Bank, and each other Issuing Bank from time to time party hereto.</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WHEREAS, the Borrower, Citi and certain Lenders (as defined therein) entered into that certain Credit Agreement dated as of October 27, 2020 (as amended, restated, supplemented or otherwise modified from time to time prior to the date hereof, the “</w:t>
      </w:r>
      <w:r>
        <w:rPr>
          <w:rFonts w:ascii="Times New Roman" w:cs="Times New Roman" w:eastAsia="Times New Roman" w:hAnsi="Times New Roman"/>
          <w:sz w:val="20"/>
          <w:szCs w:val="20"/>
          <w:u w:val="single" w:color="auto"/>
          <w:color w:val="auto"/>
        </w:rPr>
        <w:t>Existing Credit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pursuant to which such Lenders (as defined therein) provided certain loans and extensions of credit to the Borrower; and</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WHEREAS, subject to the conditions precedent set forth herein, the parties hereto desire to amend and restate the Existing Credit Agreement in its entirety in the form of this Agreement on the terms and conditions set forth herein to amend certain terms of the Existing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Agreement as provided in this Agreement; and</w:t>
      </w:r>
    </w:p>
    <w:p>
      <w:pPr>
        <w:spacing w:after="0" w:line="167" w:lineRule="exact"/>
        <w:rPr>
          <w:sz w:val="20"/>
          <w:szCs w:val="20"/>
          <w:color w:val="auto"/>
        </w:rPr>
      </w:pPr>
    </w:p>
    <w:p>
      <w:pPr>
        <w:ind w:right="460" w:firstLine="648"/>
        <w:spacing w:after="0" w:line="227" w:lineRule="auto"/>
        <w:rPr>
          <w:sz w:val="20"/>
          <w:szCs w:val="20"/>
          <w:color w:val="auto"/>
        </w:rPr>
      </w:pPr>
      <w:r>
        <w:rPr>
          <w:rFonts w:ascii="Times New Roman" w:cs="Times New Roman" w:eastAsia="Times New Roman" w:hAnsi="Times New Roman"/>
          <w:sz w:val="19"/>
          <w:szCs w:val="19"/>
          <w:color w:val="auto"/>
        </w:rPr>
        <w:t>WHEREAS, in connection with the foregoing, (a) the Borrower has requested that (i) the Lenders provide certain loans to and extensions of credit on behalf of the Borrower and (ii) at any time and from time to time after the Closing Date and prior to the Maturity</w:t>
      </w:r>
    </w:p>
    <w:p>
      <w:pPr>
        <w:spacing w:after="0" w:line="211" w:lineRule="auto"/>
        <w:rPr>
          <w:sz w:val="20"/>
          <w:szCs w:val="20"/>
          <w:color w:val="auto"/>
        </w:rPr>
      </w:pPr>
      <w:r>
        <w:rPr>
          <w:rFonts w:ascii="Times New Roman" w:cs="Times New Roman" w:eastAsia="Times New Roman" w:hAnsi="Times New Roman"/>
          <w:sz w:val="20"/>
          <w:szCs w:val="20"/>
          <w:color w:val="auto"/>
        </w:rPr>
        <w:t>Date, the Lenders provide Loans to the Borrower subject to the Available Commitment and (b) the Borrower has requested that at any time</w:t>
      </w:r>
    </w:p>
    <w:p>
      <w:pPr>
        <w:spacing w:after="0" w:line="1" w:lineRule="exact"/>
        <w:rPr>
          <w:sz w:val="20"/>
          <w:szCs w:val="20"/>
          <w:color w:val="auto"/>
        </w:rPr>
      </w:pPr>
    </w:p>
    <w:p>
      <w:pPr>
        <w:ind w:right="400"/>
        <w:spacing w:after="0" w:line="221" w:lineRule="auto"/>
        <w:rPr>
          <w:sz w:val="20"/>
          <w:szCs w:val="20"/>
          <w:color w:val="auto"/>
        </w:rPr>
      </w:pPr>
      <w:r>
        <w:rPr>
          <w:rFonts w:ascii="Times New Roman" w:cs="Times New Roman" w:eastAsia="Times New Roman" w:hAnsi="Times New Roman"/>
          <w:sz w:val="20"/>
          <w:szCs w:val="20"/>
          <w:color w:val="auto"/>
        </w:rPr>
        <w:t>and from time to time after the Closing Date and prior to the L/C Maturity Date, each Issuing Bank issue Letters of Credit (subject to the Available Commitment); and</w:t>
      </w:r>
    </w:p>
    <w:p>
      <w:pPr>
        <w:spacing w:after="0" w:line="162" w:lineRule="exact"/>
        <w:rPr>
          <w:sz w:val="20"/>
          <w:szCs w:val="20"/>
          <w:color w:val="auto"/>
        </w:rPr>
      </w:pPr>
    </w:p>
    <w:p>
      <w:pPr>
        <w:ind w:right="440" w:firstLine="648"/>
        <w:spacing w:after="0"/>
        <w:rPr>
          <w:sz w:val="20"/>
          <w:szCs w:val="20"/>
          <w:color w:val="auto"/>
        </w:rPr>
      </w:pPr>
      <w:r>
        <w:rPr>
          <w:rFonts w:ascii="Times New Roman" w:cs="Times New Roman" w:eastAsia="Times New Roman" w:hAnsi="Times New Roman"/>
          <w:sz w:val="20"/>
          <w:szCs w:val="20"/>
          <w:color w:val="auto"/>
        </w:rPr>
        <w:t>WHEREAS, the Lenders and the Issuing Banks are willing to make available to the Borrower such revolving credit and letter of credit facilities, in each case, upon the terms and subject to the conditions set forth herein.</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NOW, THEREFORE, in consideration of the premises and the covenants and agreements contained herein, the parties hereto hereby agree that the Existing Credit Agreement shall be amended and restated in its entirety as follows:</w:t>
      </w:r>
    </w:p>
    <w:p>
      <w:pPr>
        <w:spacing w:after="0" w:line="1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color w:val="auto"/>
        </w:rPr>
        <w:t>DEFINITIONS.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herein, the following terms shall have the meanings specified below:</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xml:space="preserve">” shall mean for any day a fluctuating rate per annum equal to the highest of (a) the Federal Funds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½ of one percent (1.0%), (b) the Prime Rate in effect on such day and (c) Adjusted Term SOFR for a one-month tenor in effect on such day plus one percent</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(1.00%). Any change in the ABR due to a change in the Prime Rate, the Federal Funds Rate or Adjusted Term SOFR shall take effect at the opening of business on the day specified in the public announcement of such change in the Prime Rate, the Federal Funds Rate or Adjusted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Term SOFR, respectively. If the ABR is being used as an alternate rate of interest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(for the avoidance of doubt, only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until any amendment has become effective pursuant to </w:t>
      </w:r>
      <w:r>
        <w:rPr>
          <w:rFonts w:ascii="Times New Roman" w:cs="Times New Roman" w:eastAsia="Times New Roman" w:hAnsi="Times New Roman"/>
          <w:sz w:val="19"/>
          <w:szCs w:val="19"/>
          <w:u w:val="single" w:color="auto"/>
          <w:color w:val="auto"/>
        </w:rPr>
        <w:t>Section 2.10(d)</w:t>
      </w:r>
      <w:r>
        <w:rPr>
          <w:rFonts w:ascii="Times New Roman" w:cs="Times New Roman" w:eastAsia="Times New Roman" w:hAnsi="Times New Roman"/>
          <w:sz w:val="19"/>
          <w:szCs w:val="19"/>
          <w:color w:val="auto"/>
        </w:rPr>
        <w:t xml:space="preserve">), then the ABR shall be the greater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and shall be determined without reference to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above; provided further, that if ABR shall be less than one percent (1.00%), such rate shall</w:t>
      </w:r>
    </w:p>
    <w:p>
      <w:pPr>
        <w:spacing w:after="0"/>
        <w:rPr>
          <w:sz w:val="20"/>
          <w:szCs w:val="20"/>
          <w:color w:val="auto"/>
        </w:rPr>
      </w:pPr>
      <w:r>
        <w:rPr>
          <w:rFonts w:ascii="Times New Roman" w:cs="Times New Roman" w:eastAsia="Times New Roman" w:hAnsi="Times New Roman"/>
          <w:sz w:val="20"/>
          <w:szCs w:val="20"/>
          <w:color w:val="auto"/>
        </w:rPr>
        <w:t>be deemed to be one percent (1.00%) for purposes of this Agreement.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Loan</w:t>
      </w:r>
      <w:r>
        <w:rPr>
          <w:rFonts w:ascii="Times New Roman" w:cs="Times New Roman" w:eastAsia="Times New Roman" w:hAnsi="Times New Roman"/>
          <w:sz w:val="20"/>
          <w:szCs w:val="20"/>
          <w:color w:val="auto"/>
        </w:rPr>
        <w:t>” shall mean each Loan bearing interest based on the ABR.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Term SOFR Determination Day</w:t>
      </w:r>
      <w:r>
        <w:rPr>
          <w:rFonts w:ascii="Times New Roman" w:cs="Times New Roman" w:eastAsia="Times New Roman" w:hAnsi="Times New Roman"/>
          <w:sz w:val="20"/>
          <w:szCs w:val="20"/>
          <w:color w:val="auto"/>
        </w:rPr>
        <w:t>” shall have the meaning specified in the definition of “Term SOFR”.</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Acceptable Commodity Hedge Agreements</w:t>
      </w:r>
      <w:r>
        <w:rPr>
          <w:rFonts w:ascii="Times New Roman" w:cs="Times New Roman" w:eastAsia="Times New Roman" w:hAnsi="Times New Roman"/>
          <w:sz w:val="20"/>
          <w:szCs w:val="20"/>
          <w:color w:val="auto"/>
        </w:rPr>
        <w:t>” shall mean Hedge Agreements entered into with Approved Counterparties in respect of Hydrocarbons for the purpose of reducing the Credit Parties’ commodity price risk in respect of crude oil.</w:t>
      </w:r>
    </w:p>
    <w:p>
      <w:pPr>
        <w:sectPr>
          <w:pgSz w:w="11900" w:h="16838" w:orient="portrait"/>
          <w:cols w:equalWidth="0" w:num="1">
            <w:col w:w="11240"/>
          </w:cols>
          <w:pgMar w:left="320" w:top="1399"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Acceptable Security Interest</w:t>
      </w:r>
      <w:r>
        <w:rPr>
          <w:rFonts w:ascii="Times New Roman" w:cs="Times New Roman" w:eastAsia="Times New Roman" w:hAnsi="Times New Roman"/>
          <w:sz w:val="20"/>
          <w:szCs w:val="20"/>
          <w:color w:val="auto"/>
        </w:rPr>
        <w:t>” shall mean (i) with respect to Mortgaged Properties that are not subject to a “Production Sharing</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Contract”, a first priority, perfected Mortgage;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Liens which are permitted by the terms of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may exist and have whatever priority such Liens have at such time under applicable law and (ii) with respect to Oil and Gas Properties that are subject to a</w:t>
      </w:r>
    </w:p>
    <w:p>
      <w:pPr>
        <w:spacing w:after="0" w:line="211" w:lineRule="auto"/>
        <w:rPr>
          <w:sz w:val="20"/>
          <w:szCs w:val="20"/>
          <w:color w:val="auto"/>
        </w:rPr>
      </w:pPr>
      <w:r>
        <w:rPr>
          <w:rFonts w:ascii="Times New Roman" w:cs="Times New Roman" w:eastAsia="Times New Roman" w:hAnsi="Times New Roman"/>
          <w:sz w:val="20"/>
          <w:szCs w:val="20"/>
          <w:color w:val="auto"/>
        </w:rPr>
        <w:t>Production Sharing Contract, a first priority, perfected security interest in one hundred percent (100%) of the Equity Interests of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Production Sharing Entity that is the direct owner of the Production Sharing Contract with respect to such Oil and Gas Properties; provided that such Production Sharing Entity is in compliance with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Lender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2.16(c)(i)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Term SOFR</w:t>
      </w:r>
      <w:r>
        <w:rPr>
          <w:rFonts w:ascii="Times New Roman" w:cs="Times New Roman" w:eastAsia="Times New Roman" w:hAnsi="Times New Roman"/>
          <w:sz w:val="19"/>
          <w:szCs w:val="19"/>
          <w:color w:val="auto"/>
        </w:rPr>
        <w:t xml:space="preserve">” shall mean, for purposes of any calculation, the rate per annum equal to (a) Term SOFR for such calculation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Term SOFR Adjustment;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Adjusted Term SOFR as so determined shall ever be less than the Floor, then Adjusted</w:t>
      </w:r>
    </w:p>
    <w:p>
      <w:pPr>
        <w:spacing w:after="0"/>
        <w:rPr>
          <w:sz w:val="20"/>
          <w:szCs w:val="20"/>
          <w:color w:val="auto"/>
        </w:rPr>
      </w:pPr>
      <w:r>
        <w:rPr>
          <w:rFonts w:ascii="Times New Roman" w:cs="Times New Roman" w:eastAsia="Times New Roman" w:hAnsi="Times New Roman"/>
          <w:sz w:val="20"/>
          <w:szCs w:val="20"/>
          <w:color w:val="auto"/>
        </w:rPr>
        <w:t>Term SOFR shall be deemed to be the Floor.</w:t>
      </w:r>
    </w:p>
    <w:p>
      <w:pPr>
        <w:spacing w:after="0" w:line="16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Total Commitment</w:t>
      </w:r>
      <w:r>
        <w:rPr>
          <w:rFonts w:ascii="Times New Roman" w:cs="Times New Roman" w:eastAsia="Times New Roman" w:hAnsi="Times New Roman"/>
          <w:sz w:val="20"/>
          <w:szCs w:val="20"/>
          <w:color w:val="auto"/>
        </w:rPr>
        <w:t xml:space="preserve">” shall mean, at any time, the Total Commitment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the aggregate amount of Commitments of all Defaulting Lenders.</w:t>
      </w:r>
    </w:p>
    <w:p>
      <w:pPr>
        <w:spacing w:after="0" w:line="161"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xml:space="preserve">” shall mean Citi, as the administrative agent for the Lenders under this Agreement and the other Credit Documents, or any successor administrative agent appointed in accordance with the provisions of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shall mean the Administrative Agent’s address and, as appropriate, account as set forth on </w:t>
      </w:r>
      <w:r>
        <w:rPr>
          <w:rFonts w:ascii="Times New Roman" w:cs="Times New Roman" w:eastAsia="Times New Roman" w:hAnsi="Times New Roman"/>
          <w:sz w:val="20"/>
          <w:szCs w:val="20"/>
          <w:u w:val="single" w:color="auto"/>
          <w:color w:val="auto"/>
        </w:rPr>
        <w:t>Schedule 13.2</w:t>
      </w:r>
      <w:r>
        <w:rPr>
          <w:rFonts w:ascii="Times New Roman" w:cs="Times New Roman" w:eastAsia="Times New Roman" w:hAnsi="Times New Roman"/>
          <w:sz w:val="20"/>
          <w:szCs w:val="20"/>
          <w:color w:val="auto"/>
        </w:rPr>
        <w:t>, or such other address or account as the Administrative Agent may from time to time notify in writing to the Borrower and the Lenders.</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shall mean, for each Lender, an administrative questionnaire in a form approved by the Administrative Agent.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shall mean (a) any EEA Financial Institution or (b) any UK Financial Institution.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shall mean, with respect to any Person, any other Person directly or indirectly controlling, controlled by, or under direct or</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indirect common control with such Person. A Person shall be deemed to control another Person if such Person possesses, directly or indirectly, the power to direct or cause the direction of the management and policies of such other Person, whether through the ownership of</w:t>
      </w:r>
    </w:p>
    <w:p>
      <w:pPr>
        <w:spacing w:after="0" w:line="223" w:lineRule="auto"/>
        <w:rPr>
          <w:sz w:val="20"/>
          <w:szCs w:val="20"/>
          <w:color w:val="auto"/>
        </w:rPr>
      </w:pPr>
      <w:r>
        <w:rPr>
          <w:rFonts w:ascii="Times New Roman" w:cs="Times New Roman" w:eastAsia="Times New Roman" w:hAnsi="Times New Roman"/>
          <w:sz w:val="19"/>
          <w:szCs w:val="19"/>
          <w:color w:val="auto"/>
        </w:rPr>
        <w:t>Voting Equity, by contract or otherwise. “Controlling” and “controlled” shall have meanings correlative thereto. Notwithstanding anything to</w:t>
      </w:r>
    </w:p>
    <w:p>
      <w:pPr>
        <w:jc w:val="both"/>
        <w:spacing w:after="0" w:line="204" w:lineRule="auto"/>
        <w:rPr>
          <w:sz w:val="20"/>
          <w:szCs w:val="20"/>
          <w:color w:val="auto"/>
        </w:rPr>
      </w:pPr>
      <w:r>
        <w:rPr>
          <w:rFonts w:ascii="Times New Roman" w:cs="Times New Roman" w:eastAsia="Times New Roman" w:hAnsi="Times New Roman"/>
          <w:sz w:val="20"/>
          <w:szCs w:val="20"/>
          <w:color w:val="auto"/>
        </w:rPr>
        <w:t>the contrary herein, no Person (or any of its Subsidiaries) whose Equity Interests are publicly traded shall be considered an Affiliate of another Person (or any of its Subsidiaries) whose Equity Interests are publicly traded. For purposes of this Agreement and the other Credit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Documents, Jefferies LLC and its Affiliates shall be deemed to be Affiliates of Jefferies Finance LLC and its Affiliates.</w:t>
      </w:r>
    </w:p>
    <w:p>
      <w:pPr>
        <w:spacing w:after="0" w:line="167" w:lineRule="exact"/>
        <w:rPr>
          <w:sz w:val="20"/>
          <w:szCs w:val="20"/>
          <w:color w:val="auto"/>
        </w:rPr>
      </w:pPr>
    </w:p>
    <w:p>
      <w:pPr>
        <w:jc w:val="both"/>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Agent-Related Party</w:t>
      </w:r>
      <w:r>
        <w:rPr>
          <w:rFonts w:ascii="Times New Roman" w:cs="Times New Roman" w:eastAsia="Times New Roman" w:hAnsi="Times New Roman"/>
          <w:sz w:val="20"/>
          <w:szCs w:val="20"/>
          <w:color w:val="auto"/>
        </w:rPr>
        <w:t>” shall mean, with respect to any Agent, its Affiliates and the officers, directors, employees, agents, attorney-in-fact, partners, trustees and advisors of such Agent and of such Agent’s Affiliates.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 shall mean the Administrative Agent and the Collateral Agent.</w:t>
      </w:r>
    </w:p>
    <w:p>
      <w:pPr>
        <w:spacing w:after="0" w:line="18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Elected Commitment Amount</w:t>
      </w:r>
      <w:r>
        <w:rPr>
          <w:rFonts w:ascii="Times New Roman" w:cs="Times New Roman" w:eastAsia="Times New Roman" w:hAnsi="Times New Roman"/>
          <w:sz w:val="20"/>
          <w:szCs w:val="20"/>
          <w:color w:val="auto"/>
        </w:rPr>
        <w:t xml:space="preserve">” shall mean, at any time, an amount equal to the sum of the aggregate Elected Commitments, as the same may be increased, reduced or terminated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The Aggregate Elected Commitment Amount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the Closing Date is $592,010,923.53.</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Maximum Credit Amounts</w:t>
      </w:r>
      <w:r>
        <w:rPr>
          <w:rFonts w:ascii="Times New Roman" w:cs="Times New Roman" w:eastAsia="Times New Roman" w:hAnsi="Times New Roman"/>
          <w:sz w:val="20"/>
          <w:szCs w:val="20"/>
          <w:color w:val="auto"/>
        </w:rPr>
        <w:t xml:space="preserve">” at any time shall equal the sum of the Maximum Credit Amounts, as the same may be reduced or terminated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The Aggregate Maximum Credit Amounts of the Lenders as of the Closing Date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4" w:right="339" w:bottom="1440" w:gutter="0" w:footer="0" w:header="0"/>
        </w:sectPr>
      </w:pPr>
    </w:p>
    <w:bookmarkStart w:id="49" w:name="page50"/>
    <w:bookmarkEnd w:id="49"/>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mean this Amended and Restated Credit Agreement, as may be amended, restated, amended and restated, extended, replaced, exchanged, refinanced, supplemented or otherwise modified from time to time.</w:t>
      </w:r>
    </w:p>
    <w:p>
      <w:pPr>
        <w:spacing w:after="0" w:line="148" w:lineRule="exact"/>
        <w:rPr>
          <w:sz w:val="20"/>
          <w:szCs w:val="20"/>
          <w:color w:val="auto"/>
        </w:rPr>
      </w:pPr>
    </w:p>
    <w:p>
      <w:pPr>
        <w:jc w:val="both"/>
        <w:ind w:right="4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shall mean, for any day, with respect to any ABR Loan or SOFR Loan, as the case may be, or the Commitment Fee Rate, the rate per annum set forth in the grid below based upon the Utilization Percentage in effect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40575" cy="8655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40575" cy="86550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Utilization Grid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Borders>
              <w:top w:val="single" w:sz="8" w:color="auto"/>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20"/>
                <w:szCs w:val="20"/>
                <w:color w:val="auto"/>
                <w:w w:val="98"/>
              </w:rPr>
              <w:t>Utilization Percentage</w:t>
            </w:r>
          </w:p>
        </w:tc>
        <w:tc>
          <w:tcPr>
            <w:tcW w:w="1480" w:type="dxa"/>
            <w:vAlign w:val="bottom"/>
            <w:tcBorders>
              <w:top w:val="single" w:sz="8" w:color="auto"/>
              <w:right w:val="single" w:sz="8" w:color="auto"/>
            </w:tcBorders>
            <w:gridSpan w:val="3"/>
          </w:tcPr>
          <w:p>
            <w:pPr>
              <w:ind w:left="360"/>
              <w:spacing w:after="0" w:line="204" w:lineRule="exact"/>
              <w:rPr>
                <w:sz w:val="20"/>
                <w:szCs w:val="20"/>
                <w:color w:val="auto"/>
              </w:rPr>
            </w:pPr>
            <w:r>
              <w:rPr>
                <w:rFonts w:ascii="Times New Roman" w:cs="Times New Roman" w:eastAsia="Times New Roman" w:hAnsi="Times New Roman"/>
                <w:sz w:val="20"/>
                <w:szCs w:val="20"/>
                <w:i w:val="1"/>
                <w:iCs w:val="1"/>
                <w:color w:val="auto"/>
              </w:rPr>
              <w:t>X &lt; 25%</w:t>
            </w:r>
          </w:p>
        </w:tc>
        <w:tc>
          <w:tcPr>
            <w:tcW w:w="1480" w:type="dxa"/>
            <w:vAlign w:val="bottom"/>
            <w:tcBorders>
              <w:top w:val="single" w:sz="8" w:color="auto"/>
              <w:right w:val="single" w:sz="8" w:color="auto"/>
            </w:tcBorders>
            <w:gridSpan w:val="3"/>
          </w:tcPr>
          <w:p>
            <w:pPr>
              <w:ind w:left="80"/>
              <w:spacing w:after="0" w:line="204" w:lineRule="exact"/>
              <w:rPr>
                <w:sz w:val="20"/>
                <w:szCs w:val="20"/>
                <w:color w:val="auto"/>
              </w:rPr>
            </w:pPr>
            <w:r>
              <w:rPr>
                <w:rFonts w:ascii="Times New Roman" w:cs="Times New Roman" w:eastAsia="Times New Roman" w:hAnsi="Times New Roman"/>
                <w:sz w:val="20"/>
                <w:szCs w:val="20"/>
                <w:i w:val="1"/>
                <w:iCs w:val="1"/>
                <w:color w:val="auto"/>
              </w:rPr>
              <w:t>25% &lt; X &lt; 50%</w:t>
            </w:r>
          </w:p>
        </w:tc>
        <w:tc>
          <w:tcPr>
            <w:tcW w:w="1480" w:type="dxa"/>
            <w:vAlign w:val="bottom"/>
            <w:tcBorders>
              <w:top w:val="single" w:sz="8" w:color="auto"/>
              <w:right w:val="single" w:sz="8" w:color="auto"/>
            </w:tcBorders>
            <w:gridSpan w:val="3"/>
          </w:tcPr>
          <w:p>
            <w:pPr>
              <w:jc w:val="center"/>
              <w:ind w:right="20"/>
              <w:spacing w:after="0" w:line="204" w:lineRule="exact"/>
              <w:rPr>
                <w:sz w:val="20"/>
                <w:szCs w:val="20"/>
                <w:color w:val="auto"/>
              </w:rPr>
            </w:pPr>
            <w:r>
              <w:rPr>
                <w:rFonts w:ascii="Times New Roman" w:cs="Times New Roman" w:eastAsia="Times New Roman" w:hAnsi="Times New Roman"/>
                <w:sz w:val="20"/>
                <w:szCs w:val="20"/>
                <w:i w:val="1"/>
                <w:iCs w:val="1"/>
                <w:color w:val="auto"/>
                <w:w w:val="98"/>
              </w:rPr>
              <w:t>50% &lt; X &lt; 75%</w:t>
            </w:r>
          </w:p>
        </w:tc>
        <w:tc>
          <w:tcPr>
            <w:tcW w:w="1500" w:type="dxa"/>
            <w:vAlign w:val="bottom"/>
            <w:tcBorders>
              <w:top w:val="single" w:sz="8" w:color="auto"/>
              <w:right w:val="single" w:sz="8" w:color="auto"/>
            </w:tcBorders>
            <w:gridSpan w:val="3"/>
          </w:tcPr>
          <w:p>
            <w:pPr>
              <w:jc w:val="center"/>
              <w:ind w:right="20"/>
              <w:spacing w:after="0" w:line="204" w:lineRule="exact"/>
              <w:rPr>
                <w:sz w:val="20"/>
                <w:szCs w:val="20"/>
                <w:color w:val="auto"/>
              </w:rPr>
            </w:pPr>
            <w:r>
              <w:rPr>
                <w:rFonts w:ascii="Times New Roman" w:cs="Times New Roman" w:eastAsia="Times New Roman" w:hAnsi="Times New Roman"/>
                <w:sz w:val="20"/>
                <w:szCs w:val="20"/>
                <w:i w:val="1"/>
                <w:iCs w:val="1"/>
                <w:color w:val="auto"/>
                <w:w w:val="99"/>
              </w:rPr>
              <w:t>75% &lt; X &lt; 90%</w:t>
            </w:r>
          </w:p>
        </w:tc>
        <w:tc>
          <w:tcPr>
            <w:tcW w:w="1480" w:type="dxa"/>
            <w:vAlign w:val="bottom"/>
            <w:tcBorders>
              <w:top w:val="single" w:sz="8" w:color="auto"/>
            </w:tcBorders>
          </w:tcPr>
          <w:p>
            <w:pPr>
              <w:jc w:val="center"/>
              <w:spacing w:after="0" w:line="204" w:lineRule="exact"/>
              <w:rPr>
                <w:sz w:val="20"/>
                <w:szCs w:val="20"/>
                <w:color w:val="auto"/>
              </w:rPr>
            </w:pPr>
            <w:r>
              <w:rPr>
                <w:rFonts w:ascii="Times New Roman" w:cs="Times New Roman" w:eastAsia="Times New Roman" w:hAnsi="Times New Roman"/>
                <w:sz w:val="20"/>
                <w:szCs w:val="20"/>
                <w:i w:val="1"/>
                <w:iCs w:val="1"/>
                <w:color w:val="auto"/>
                <w:w w:val="99"/>
              </w:rPr>
              <w:t>X &gt; 90%</w:t>
            </w:r>
          </w:p>
        </w:tc>
      </w:tr>
      <w:tr>
        <w:trPr>
          <w:trHeight w:val="34"/>
        </w:trPr>
        <w:tc>
          <w:tcPr>
            <w:tcW w:w="38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SOFR Loans</w:t>
            </w:r>
          </w:p>
        </w:tc>
        <w:tc>
          <w:tcPr>
            <w:tcW w:w="148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rPr>
              <w:t>2.50%</w:t>
            </w:r>
          </w:p>
        </w:tc>
        <w:tc>
          <w:tcPr>
            <w:tcW w:w="14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6"/>
              </w:rPr>
              <w:t>2.75%</w:t>
            </w:r>
          </w:p>
        </w:tc>
        <w:tc>
          <w:tcPr>
            <w:tcW w:w="14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3.00%</w:t>
            </w:r>
          </w:p>
        </w:tc>
        <w:tc>
          <w:tcPr>
            <w:tcW w:w="15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3.25%</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3.50%</w:t>
            </w:r>
          </w:p>
        </w:tc>
      </w:tr>
      <w:tr>
        <w:trPr>
          <w:trHeight w:val="250"/>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ABR Loans</w:t>
            </w:r>
          </w:p>
        </w:tc>
        <w:tc>
          <w:tcPr>
            <w:tcW w:w="148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rPr>
              <w:t>1.50%</w:t>
            </w:r>
          </w:p>
        </w:tc>
        <w:tc>
          <w:tcPr>
            <w:tcW w:w="14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6"/>
              </w:rPr>
              <w:t>1.75%</w:t>
            </w:r>
          </w:p>
        </w:tc>
        <w:tc>
          <w:tcPr>
            <w:tcW w:w="14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2.00%</w:t>
            </w:r>
          </w:p>
        </w:tc>
        <w:tc>
          <w:tcPr>
            <w:tcW w:w="15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2.25%</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2.50%</w:t>
            </w:r>
          </w:p>
        </w:tc>
      </w:tr>
      <w:tr>
        <w:trPr>
          <w:trHeight w:val="250"/>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Commitment Fee Rate</w:t>
            </w:r>
          </w:p>
        </w:tc>
        <w:tc>
          <w:tcPr>
            <w:tcW w:w="148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7"/>
              </w:rPr>
              <w:t>0.375%</w:t>
            </w:r>
          </w:p>
        </w:tc>
        <w:tc>
          <w:tcPr>
            <w:tcW w:w="148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0.375%</w:t>
            </w:r>
          </w:p>
        </w:tc>
        <w:tc>
          <w:tcPr>
            <w:tcW w:w="14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0.50%</w:t>
            </w:r>
          </w:p>
        </w:tc>
        <w:tc>
          <w:tcPr>
            <w:tcW w:w="15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0.50%</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0.50%</w:t>
            </w:r>
          </w:p>
        </w:tc>
      </w:tr>
    </w:tbl>
    <w:p>
      <w:pPr>
        <w:spacing w:after="0" w:line="288"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Each change in the Commitment Fee Rate or Applicable Margin shall apply during the period commencing on the effective date of such change and ending on the date immediately preceding the effective date of the next such change.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Bank</w:t>
      </w:r>
      <w:r>
        <w:rPr>
          <w:rFonts w:ascii="Times New Roman" w:cs="Times New Roman" w:eastAsia="Times New Roman" w:hAnsi="Times New Roman"/>
          <w:sz w:val="20"/>
          <w:szCs w:val="20"/>
          <w:color w:val="auto"/>
        </w:rPr>
        <w:t>” shall have the meaning assigned to such term in the definition of “Permitted Investments”.</w:t>
      </w:r>
    </w:p>
    <w:p>
      <w:pPr>
        <w:spacing w:after="0" w:line="175"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Counterparty</w:t>
      </w:r>
      <w:r>
        <w:rPr>
          <w:rFonts w:ascii="Times New Roman" w:cs="Times New Roman" w:eastAsia="Times New Roman" w:hAnsi="Times New Roman"/>
          <w:sz w:val="20"/>
          <w:szCs w:val="20"/>
          <w:color w:val="auto"/>
        </w:rPr>
        <w:t>” shall mean (a) any Hedge Bank and (b) any Person (other than a Hedge Bank) whose long term senior unsecured debt rating is A-/A3 by S&amp;P or Moody’s (or their equivalent) or higher at the time of entering into any Hedge Agreement and whose Hedge Agreements remain unsecured and do not contain margin call rights.</w:t>
      </w:r>
    </w:p>
    <w:p>
      <w:pPr>
        <w:spacing w:after="0" w:line="149"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Petroleum Engineers</w:t>
      </w:r>
      <w:r>
        <w:rPr>
          <w:rFonts w:ascii="Times New Roman" w:cs="Times New Roman" w:eastAsia="Times New Roman" w:hAnsi="Times New Roman"/>
          <w:sz w:val="20"/>
          <w:szCs w:val="20"/>
          <w:color w:val="auto"/>
        </w:rPr>
        <w:t>” shall mean (a) Netherland, Sewell &amp; Associates, Inc., (b) Ryder Scott Company, L.P., (c) DeGolyer and MacNaughton and (d) at the Borrower’s option, any other independent petroleum engineers selected by the Borrower and reasonably acceptable to the Administrative Agent.</w:t>
      </w:r>
    </w:p>
    <w:p>
      <w:pPr>
        <w:spacing w:after="0" w:line="14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shall mean Citi, Keybanc Capital Markets Inc., Mizuho Bank, Ltd., MUFG Bank, Ltd. and RBC Capital Markets, each in its capacity as a joint lead arranger and joint bookrunner in respect of the Facility.</w:t>
      </w:r>
    </w:p>
    <w:p>
      <w:pPr>
        <w:spacing w:after="0" w:line="161" w:lineRule="exact"/>
        <w:rPr>
          <w:sz w:val="20"/>
          <w:szCs w:val="20"/>
          <w:color w:val="auto"/>
        </w:rPr>
      </w:pPr>
    </w:p>
    <w:p>
      <w:pPr>
        <w:jc w:val="both"/>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shall mean an assignment and assumption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or such other form as may be approved by the Administrative Agent.</w:t>
      </w:r>
    </w:p>
    <w:p>
      <w:pPr>
        <w:spacing w:after="0" w:line="161" w:lineRule="exact"/>
        <w:rPr>
          <w:sz w:val="20"/>
          <w:szCs w:val="20"/>
          <w:color w:val="auto"/>
        </w:rPr>
      </w:pPr>
    </w:p>
    <w:p>
      <w:pPr>
        <w:jc w:val="both"/>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shall mean all reasonable and documented fees, expenses and disbursements of any law firm or other external legal counsel.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Authorized Officer</w:t>
      </w:r>
      <w:r>
        <w:rPr>
          <w:rFonts w:ascii="Times New Roman" w:cs="Times New Roman" w:eastAsia="Times New Roman" w:hAnsi="Times New Roman"/>
          <w:sz w:val="20"/>
          <w:szCs w:val="20"/>
          <w:color w:val="auto"/>
        </w:rPr>
        <w:t>” shall mean as to any Person, the President, the Chief Executive Officer, the Chief Financial Officer, the Chief</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Operating Officer, the Treasurer, the Assistant or Vice Treasurer, the Vice President-Finance, the General Counsel, any Senior Vice President, any Executive Vice President and any manager, managing member or general partner, in each case, of such Person, and any other senior</w:t>
      </w:r>
    </w:p>
    <w:p>
      <w:pPr>
        <w:spacing w:after="0" w:line="211" w:lineRule="auto"/>
        <w:rPr>
          <w:sz w:val="20"/>
          <w:szCs w:val="20"/>
          <w:color w:val="auto"/>
        </w:rPr>
      </w:pPr>
      <w:r>
        <w:rPr>
          <w:rFonts w:ascii="Times New Roman" w:cs="Times New Roman" w:eastAsia="Times New Roman" w:hAnsi="Times New Roman"/>
          <w:sz w:val="20"/>
          <w:szCs w:val="20"/>
          <w:color w:val="auto"/>
        </w:rPr>
        <w:t>officer designated as such in writing to the Administrative Agent by such Person. Any document delivered hereunder that is signed by an</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Authorized Officer shall be conclusively presumed to have been authorized by all necessary corporate, limited liability company, partnership and/or other action on the part of the Borrower or any other Credit Party and such Authorized Officer shall be conclusively presumed to have</w:t>
      </w:r>
    </w:p>
    <w:p>
      <w:pPr>
        <w:spacing w:after="0"/>
        <w:rPr>
          <w:sz w:val="20"/>
          <w:szCs w:val="20"/>
          <w:color w:val="auto"/>
        </w:rPr>
      </w:pPr>
      <w:r>
        <w:rPr>
          <w:rFonts w:ascii="Times New Roman" w:cs="Times New Roman" w:eastAsia="Times New Roman" w:hAnsi="Times New Roman"/>
          <w:sz w:val="20"/>
          <w:szCs w:val="20"/>
          <w:color w:val="auto"/>
        </w:rPr>
        <w:t>acted on behalf of such Person.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3.2(b)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60"/>
          </w:cols>
          <w:pgMar w:left="320" w:top="1399" w:right="319" w:bottom="1440" w:gutter="0" w:footer="0" w:header="0"/>
        </w:sectPr>
      </w:pPr>
    </w:p>
    <w:bookmarkStart w:id="50" w:name="page51"/>
    <w:bookmarkEnd w:id="50"/>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Commitment</w:t>
      </w:r>
      <w:r>
        <w:rPr>
          <w:rFonts w:ascii="Times New Roman" w:cs="Times New Roman" w:eastAsia="Times New Roman" w:hAnsi="Times New Roman"/>
          <w:sz w:val="20"/>
          <w:szCs w:val="20"/>
          <w:color w:val="auto"/>
        </w:rPr>
        <w:t xml:space="preserve">” shall mean, at any time, (a) the Total Commitment at such time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aggregate Total Exposures of all Lenders at such time.</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Tenor</w:t>
      </w:r>
      <w:r>
        <w:rPr>
          <w:rFonts w:ascii="Times New Roman" w:cs="Times New Roman" w:eastAsia="Times New Roman" w:hAnsi="Times New Roman"/>
          <w:sz w:val="19"/>
          <w:szCs w:val="19"/>
          <w:color w:val="auto"/>
        </w:rPr>
        <w:t>” shall mean, as of any date of determination and with respect to the then-current Benchmark, as applicable, (x) if such Benchmark is a term rate, any tenor for such Benchmark (or component thereof) that is or may be used for determining the length of an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interest period pursuant to this Agreement or (y) otherwise, any payment period for interest calculated with reference to such Benchmark (or component thereof) that is or may be used for determining any frequency of making payments of interest calculated with reference to such</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2.10(d)(iv)</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shall mean the exercise of any Write-Down and Conversion Powers by the applicable Resolution Authority in respect of any liability of an Affected Financial Institution.</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shall mean (a) with respect to any EEA Member Country implementing Article 55 of Directive 2014/59/EU of the European Parliament and of the Council of the European Union, the implementing law, regulation rule or requirement for such EEA</w:t>
      </w:r>
    </w:p>
    <w:p>
      <w:pPr>
        <w:spacing w:after="0" w:line="212" w:lineRule="auto"/>
        <w:rPr>
          <w:sz w:val="20"/>
          <w:szCs w:val="20"/>
          <w:color w:val="auto"/>
        </w:rPr>
      </w:pPr>
      <w:r>
        <w:rPr>
          <w:rFonts w:ascii="Times New Roman" w:cs="Times New Roman" w:eastAsia="Times New Roman" w:hAnsi="Times New Roman"/>
          <w:sz w:val="20"/>
          <w:szCs w:val="20"/>
          <w:color w:val="auto"/>
        </w:rPr>
        <w:t>Member Country from time to time which is described in the EU Bail-In Legislation Schedule and (b) with respect to the United Kingdom,</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Part I of the United Kingdom Banking Act 2009 (as amended from time to time) and any other law, regulation or rule applicable in the United Kingdom relating to the resolution of unsound or failing banks, investment firms or other financial institutions or their affiliates (other</w:t>
      </w:r>
    </w:p>
    <w:p>
      <w:pPr>
        <w:spacing w:after="0"/>
        <w:rPr>
          <w:sz w:val="20"/>
          <w:szCs w:val="20"/>
          <w:color w:val="auto"/>
        </w:rPr>
      </w:pPr>
      <w:r>
        <w:rPr>
          <w:rFonts w:ascii="Times New Roman" w:cs="Times New Roman" w:eastAsia="Times New Roman" w:hAnsi="Times New Roman"/>
          <w:sz w:val="20"/>
          <w:szCs w:val="20"/>
          <w:color w:val="auto"/>
        </w:rPr>
        <w:t>than through liquidation, administration or other insolvency proceedings).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Price Deck</w:t>
      </w:r>
      <w:r>
        <w:rPr>
          <w:rFonts w:ascii="Times New Roman" w:cs="Times New Roman" w:eastAsia="Times New Roman" w:hAnsi="Times New Roman"/>
          <w:sz w:val="20"/>
          <w:szCs w:val="20"/>
          <w:color w:val="auto"/>
        </w:rPr>
        <w:t>” shall mean the Administrative Agent’s most recent internal price deck on a forward curve basis for each of oil, natural gas and other Hydrocarbons, as applicable, furnished to the Borrower by the Administrative Agent from time to time in accordance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the terms of this Agreement.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xml:space="preserve">” shall mean, initially, the Term SOFR Reference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has occurred with</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respect to the Term SOFR Reference Rate or the then-current Benchmark, then “Benchmark” shall mean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2.10(d)(i)</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shall mean, with respect to any Benchmark Transition Event, the sum of: (a) the alternate benchmark rate</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that has been selected by the Administrative Agent and the Borrower giving due consideration to (i) any selection or recommendation of a replacement benchmark rate or the mechanism for determining such a rate by the Relevant Governmental Body or (ii) any evolving or then-</w:t>
      </w:r>
    </w:p>
    <w:p>
      <w:pPr>
        <w:spacing w:after="0" w:line="211" w:lineRule="auto"/>
        <w:rPr>
          <w:sz w:val="20"/>
          <w:szCs w:val="20"/>
          <w:color w:val="auto"/>
        </w:rPr>
      </w:pPr>
      <w:r>
        <w:rPr>
          <w:rFonts w:ascii="Times New Roman" w:cs="Times New Roman" w:eastAsia="Times New Roman" w:hAnsi="Times New Roman"/>
          <w:sz w:val="20"/>
          <w:szCs w:val="20"/>
          <w:color w:val="auto"/>
        </w:rPr>
        <w:t>prevailing market convention for determining a benchmark rate as a replacement to the then-current Benchmark for Dollar-denominated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syndicated credit facilities at such time and (b) the related Benchmark Replacement Adjustment;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Benchmark Replacement as so determined would be less than the Floor, such Benchmark Replacement will be deemed to be the Floor for the purposes of</w:t>
      </w:r>
    </w:p>
    <w:p>
      <w:pPr>
        <w:spacing w:after="0"/>
        <w:rPr>
          <w:sz w:val="20"/>
          <w:szCs w:val="20"/>
          <w:color w:val="auto"/>
        </w:rPr>
      </w:pPr>
      <w:r>
        <w:rPr>
          <w:rFonts w:ascii="Times New Roman" w:cs="Times New Roman" w:eastAsia="Times New Roman" w:hAnsi="Times New Roman"/>
          <w:sz w:val="20"/>
          <w:szCs w:val="20"/>
          <w:color w:val="auto"/>
        </w:rPr>
        <w:t>this Agreement and the other Credit Documents.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shall mean, with respect to any replacement of the then-current Benchmark with an Unadjusted Benchmark Replacement, the spread adjustment, or method for calculating or determining such spread adjustment, (which may</w:t>
      </w:r>
    </w:p>
    <w:p>
      <w:pPr>
        <w:spacing w:after="0" w:line="212" w:lineRule="auto"/>
        <w:rPr>
          <w:sz w:val="20"/>
          <w:szCs w:val="20"/>
          <w:color w:val="auto"/>
        </w:rPr>
      </w:pPr>
      <w:r>
        <w:rPr>
          <w:rFonts w:ascii="Times New Roman" w:cs="Times New Roman" w:eastAsia="Times New Roman" w:hAnsi="Times New Roman"/>
          <w:sz w:val="20"/>
          <w:szCs w:val="20"/>
          <w:color w:val="auto"/>
        </w:rPr>
        <w:t>be a positive or negative value or zero) that has been selected by the Administrative Agent and the Borrower giving due consideration to (a)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selection or recommendation of a spread adjustment, or method for calculating or determining such spread adjustment, for the replacement of such Benchmark with the applicable Unadjusted Benchmark Replacement by the Relevant Governmental Body or (b) any</w:t>
      </w:r>
    </w:p>
    <w:p>
      <w:pPr>
        <w:spacing w:after="0" w:line="211" w:lineRule="auto"/>
        <w:rPr>
          <w:sz w:val="20"/>
          <w:szCs w:val="20"/>
          <w:color w:val="auto"/>
        </w:rPr>
      </w:pPr>
      <w:r>
        <w:rPr>
          <w:rFonts w:ascii="Times New Roman" w:cs="Times New Roman" w:eastAsia="Times New Roman" w:hAnsi="Times New Roman"/>
          <w:sz w:val="20"/>
          <w:szCs w:val="20"/>
          <w:color w:val="auto"/>
        </w:rPr>
        <w:t>evolving or then-prevailing market convention for determining a spread adjustment, or method for calculating or determining such spread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adjustment, for the replacement of such Benchmark with the applicable Unadjusted Benchmark Replacement for Dollar-denominated syndicated credit facilities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Date</w:t>
      </w:r>
      <w:r>
        <w:rPr>
          <w:rFonts w:ascii="Times New Roman" w:cs="Times New Roman" w:eastAsia="Times New Roman" w:hAnsi="Times New Roman"/>
          <w:sz w:val="19"/>
          <w:szCs w:val="19"/>
          <w:color w:val="auto"/>
        </w:rPr>
        <w:t>” shall mean the earliest to occur of the following events with respect to the then-current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9" w:right="339" w:bottom="1440" w:gutter="0" w:footer="0" w:header="0"/>
        </w:sectPr>
      </w:pPr>
    </w:p>
    <w:bookmarkStart w:id="51" w:name="page52"/>
    <w:bookmarkEnd w:id="51"/>
    <w:p>
      <w:pPr>
        <w:jc w:val="both"/>
        <w:ind w:firstLine="656"/>
        <w:spacing w:after="0" w:line="222" w:lineRule="auto"/>
        <w:tabs>
          <w:tab w:leader="none" w:pos="128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61"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and even if any Available Tenor of such Benchmark (or such component thereof) continues to be provided on such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For the avoidance of doubt, the “Benchmark Replacement Date” will be deemed to have occurred in the case of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with</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respect to any Benchmark upon the occurrence of the applicable event or events set forth therein with respect to all then-current Available Tenors of such Benchmark (or the published component used in the calculation thereof).</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shall mean the occurrence of one or more of the following events with respect to the then-current</w:t>
      </w: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153" w:lineRule="exact"/>
        <w:rPr>
          <w:sz w:val="20"/>
          <w:szCs w:val="20"/>
          <w:color w:val="auto"/>
        </w:rPr>
      </w:pPr>
    </w:p>
    <w:p>
      <w:pPr>
        <w:jc w:val="both"/>
        <w:ind w:firstLine="656"/>
        <w:spacing w:after="0" w:line="222" w:lineRule="auto"/>
        <w:tabs>
          <w:tab w:leader="none" w:pos="128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61"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62"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w:t>
      </w:r>
    </w:p>
    <w:p>
      <w:pPr>
        <w:spacing w:after="0" w:line="221" w:lineRule="auto"/>
        <w:rPr>
          <w:sz w:val="20"/>
          <w:szCs w:val="20"/>
          <w:color w:val="auto"/>
        </w:rPr>
      </w:pPr>
      <w:r>
        <w:rPr>
          <w:rFonts w:ascii="Times New Roman" w:cs="Times New Roman" w:eastAsia="Times New Roman" w:hAnsi="Times New Roman"/>
          <w:sz w:val="20"/>
          <w:szCs w:val="20"/>
          <w:color w:val="auto"/>
        </w:rPr>
        <w:t>public statement or publication of information set forth above has occurred with respect to each then-current Available Tenor of such Benchmark (or the published component used in the calculation thereof).</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Start Date</w:t>
      </w:r>
      <w:r>
        <w:rPr>
          <w:rFonts w:ascii="Times New Roman" w:cs="Times New Roman" w:eastAsia="Times New Roman" w:hAnsi="Times New Roman"/>
          <w:sz w:val="20"/>
          <w:szCs w:val="20"/>
          <w:color w:val="auto"/>
        </w:rPr>
        <w:t>” shall mean, in the case of a Benchmark Transition Event, the earlier of (a) the applicable</w:t>
      </w:r>
    </w:p>
    <w:p>
      <w:pPr>
        <w:spacing w:after="0" w:line="204" w:lineRule="auto"/>
        <w:rPr>
          <w:sz w:val="20"/>
          <w:szCs w:val="20"/>
          <w:color w:val="auto"/>
        </w:rPr>
      </w:pPr>
      <w:r>
        <w:rPr>
          <w:rFonts w:ascii="Times New Roman" w:cs="Times New Roman" w:eastAsia="Times New Roman" w:hAnsi="Times New Roman"/>
          <w:sz w:val="20"/>
          <w:szCs w:val="20"/>
          <w:color w:val="auto"/>
        </w:rPr>
        <w:t>Benchmark Replacement Date and (b) if such Benchmark Transition Event is a public statement or publication of information of a prospective event, the ninetieth (90th) day prior to the expected date of such event as of such public statement or publication of information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(or if the expected date of such prospective event is fewer than ninety (90) days after such statement or publication, the date of such statement or publication).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9"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shall mean, the period (if any) (a) beginning at the time that a Benchmark Replacement Date has</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occurred if, at such time, no Benchmark Replacement has replaced the then-current Benchmark for all purposes hereunder and under any Credit Document in accordance with </w:t>
      </w:r>
      <w:r>
        <w:rPr>
          <w:rFonts w:ascii="Times New Roman" w:cs="Times New Roman" w:eastAsia="Times New Roman" w:hAnsi="Times New Roman"/>
          <w:sz w:val="19"/>
          <w:szCs w:val="19"/>
          <w:u w:val="single" w:color="auto"/>
          <w:color w:val="auto"/>
        </w:rPr>
        <w:t>Section 2.10(d)</w:t>
      </w:r>
      <w:r>
        <w:rPr>
          <w:rFonts w:ascii="Times New Roman" w:cs="Times New Roman" w:eastAsia="Times New Roman" w:hAnsi="Times New Roman"/>
          <w:sz w:val="19"/>
          <w:szCs w:val="19"/>
          <w:color w:val="auto"/>
        </w:rPr>
        <w:t xml:space="preserve"> and (b) ending at the time that a Benchmark Replacement has replaced the then-current</w:t>
      </w:r>
    </w:p>
    <w:p>
      <w:pPr>
        <w:spacing w:after="0"/>
        <w:rPr>
          <w:sz w:val="20"/>
          <w:szCs w:val="20"/>
          <w:color w:val="auto"/>
        </w:rPr>
      </w:pPr>
      <w:r>
        <w:rPr>
          <w:rFonts w:ascii="Times New Roman" w:cs="Times New Roman" w:eastAsia="Times New Roman" w:hAnsi="Times New Roman"/>
          <w:sz w:val="20"/>
          <w:szCs w:val="20"/>
          <w:color w:val="auto"/>
        </w:rPr>
        <w:t xml:space="preserve">Benchmark for all purposes hereunder and under any Credit Document in accordance with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shall mean a certification regarding beneficial ownership as required by the Beneficial Ownership Regulation.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shall mean 31 C.F.R. § 1010.230.</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shall mean any of (a) an “employee benefit plan” (as defined in ERISA) that is subject to Title I of ERISA, (b) a “plan” as defined in and subject to Section 4975 of the Code or (c) any Person whose assets include (for purposes of ERISA Section 3(42) or</w:t>
      </w:r>
    </w:p>
    <w:p>
      <w:pPr>
        <w:spacing w:after="0"/>
        <w:rPr>
          <w:sz w:val="20"/>
          <w:szCs w:val="20"/>
          <w:color w:val="auto"/>
        </w:rPr>
      </w:pPr>
      <w:r>
        <w:rPr>
          <w:rFonts w:ascii="Times New Roman" w:cs="Times New Roman" w:eastAsia="Times New Roman" w:hAnsi="Times New Roman"/>
          <w:sz w:val="20"/>
          <w:szCs w:val="20"/>
          <w:color w:val="auto"/>
        </w:rPr>
        <w:t>otherwise for purposes of Title I of ERISA or Section 4975 of the Code) the assets of any such “employee benefit plan” or “plan”.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Benefited Lender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13.8(a)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BHC Act Affiliate</w:t>
      </w:r>
      <w:r>
        <w:rPr>
          <w:rFonts w:ascii="Times New Roman" w:cs="Times New Roman" w:eastAsia="Times New Roman" w:hAnsi="Times New Roman"/>
          <w:sz w:val="19"/>
          <w:szCs w:val="19"/>
          <w:color w:val="auto"/>
        </w:rPr>
        <w:t>” of a party shall mean an “affiliate” (as such term is defined under, and interpreted in accordance with, 12 U.S.C.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shall mean the Board of Governors of the Federal Reserve System of the United States of America (or any successor).</w:t>
      </w:r>
    </w:p>
    <w:p>
      <w:pPr>
        <w:spacing w:after="0" w:line="175"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shall mean, as to any Person, the board of directors or other governing body of such Person, or if such Person is owned or managed by a single entity, the board of directors or other governing body of such entity.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shall have the meaning provided in the introductory paragraph hereto.</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shall mean the incurrence of one Type of Loan on a given date (or resulting from conversions on a given date) having,</w:t>
      </w:r>
    </w:p>
    <w:p>
      <w:pPr>
        <w:ind w:right="20"/>
        <w:spacing w:after="0" w:line="221" w:lineRule="auto"/>
        <w:rPr>
          <w:sz w:val="20"/>
          <w:szCs w:val="20"/>
          <w:color w:val="auto"/>
        </w:rPr>
      </w:pPr>
      <w:r>
        <w:rPr>
          <w:rFonts w:ascii="Times New Roman" w:cs="Times New Roman" w:eastAsia="Times New Roman" w:hAnsi="Times New Roman"/>
          <w:sz w:val="20"/>
          <w:szCs w:val="20"/>
          <w:color w:val="auto"/>
        </w:rPr>
        <w:t>in the case of SOFR Loans, the same Interest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ABR Loans incurred pursuant to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shall be considered part of any related Borrowing of SOFR Loans).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w:t>
      </w:r>
      <w:r>
        <w:rPr>
          <w:rFonts w:ascii="Times New Roman" w:cs="Times New Roman" w:eastAsia="Times New Roman" w:hAnsi="Times New Roman"/>
          <w:sz w:val="20"/>
          <w:szCs w:val="20"/>
          <w:color w:val="auto"/>
        </w:rPr>
        <w:t xml:space="preserve">” shall mean, at any time, an amount determined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as may be adjusted from time to</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time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As of the Closing Date, the Borrowing Base will be $1,200,000,000. Notwithstanding anything herein to the contrary, not more than fifteen percent (15%) of the Borrowing Base may be comprised of the PV-9 of Proved Reserves associated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Production Sharing Contracts.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 Deficiency</w:t>
      </w:r>
      <w:r>
        <w:rPr>
          <w:rFonts w:ascii="Times New Roman" w:cs="Times New Roman" w:eastAsia="Times New Roman" w:hAnsi="Times New Roman"/>
          <w:sz w:val="20"/>
          <w:szCs w:val="20"/>
          <w:color w:val="auto"/>
        </w:rPr>
        <w:t>” occurs if, at any time, the aggregate Total Exposure of all Lenders exceeds the Borrowing Base then in effect. The amount of the Borrowing Base Deficiency is the amount by which the aggregate Total Exposure of all Lenders exceeds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Borrowing Base then in effect.</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 Properties</w:t>
      </w:r>
      <w:r>
        <w:rPr>
          <w:rFonts w:ascii="Times New Roman" w:cs="Times New Roman" w:eastAsia="Times New Roman" w:hAnsi="Times New Roman"/>
          <w:sz w:val="20"/>
          <w:szCs w:val="20"/>
          <w:color w:val="auto"/>
        </w:rPr>
        <w:t xml:space="preserve">” shall mean the Oil and Gas Properties of the Credit Parties included in the Initial Reserve Report and thereafter in the Reserve Report most recently delivered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as applicable.</w:t>
      </w:r>
    </w:p>
    <w:p>
      <w:pPr>
        <w:spacing w:after="0" w:line="16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 Reduction Debt</w:t>
      </w:r>
      <w:r>
        <w:rPr>
          <w:rFonts w:ascii="Times New Roman" w:cs="Times New Roman" w:eastAsia="Times New Roman" w:hAnsi="Times New Roman"/>
          <w:sz w:val="20"/>
          <w:szCs w:val="20"/>
          <w:color w:val="auto"/>
        </w:rPr>
        <w:t xml:space="preserve">” shall mean Permitted Additional Debt issued or incurred in accordance with </w:t>
      </w:r>
      <w:r>
        <w:rPr>
          <w:rFonts w:ascii="Times New Roman" w:cs="Times New Roman" w:eastAsia="Times New Roman" w:hAnsi="Times New Roman"/>
          <w:sz w:val="20"/>
          <w:szCs w:val="20"/>
          <w:u w:val="single" w:color="auto"/>
          <w:color w:val="auto"/>
        </w:rPr>
        <w:t>Sections 10.1(j)</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as applicable.</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 Value</w:t>
      </w:r>
      <w:r>
        <w:rPr>
          <w:rFonts w:ascii="Times New Roman" w:cs="Times New Roman" w:eastAsia="Times New Roman" w:hAnsi="Times New Roman"/>
          <w:sz w:val="20"/>
          <w:szCs w:val="20"/>
          <w:color w:val="auto"/>
        </w:rPr>
        <w:t>” shall mean, (a) with respect to any Oil and Gas Property of the Borrower, or any Grantor, the value attributed to such Oil and Gas Property in the most recent Borrowing Base redetermination or adjustment, as determined by the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Administrative Agent and (b) with respect to any Hedge Agreement of the Borrower or any Grantor in respect of commodities, the value attributable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color w:val="auto"/>
        </w:rPr>
        <w:t>such Hedge Agreement in the most recent Borrowing Base redetermination or adjustment, as determined by the Administrative Agent;</w:t>
      </w: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Borrowing Base Value calculation by the Administrative Agent that would result in a reduction of the Borrowing Base pursuant to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shall be submitted to the Lenders for approval and (y) the failure of the Required Lenders to object to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Borrowing Base Value within five (5) Business Days shall be deemed to be an approval of such Borrowing Base Value by the Lenders.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Budget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9.1(p)</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Building</w:t>
      </w:r>
      <w:r>
        <w:rPr>
          <w:rFonts w:ascii="Times New Roman" w:cs="Times New Roman" w:eastAsia="Times New Roman" w:hAnsi="Times New Roman"/>
          <w:sz w:val="20"/>
          <w:szCs w:val="20"/>
          <w:color w:val="auto"/>
        </w:rPr>
        <w:t>” shall have the meaning assigned to such term in the applicable Flood Insurance Regulation.</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shall mean any day excluding Saturday, Sunday and any other day on which banking institutions in New York City, New York or Los Angeles, California are authorized by law or other governmental actions to close.</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Capitalized Lease</w:t>
      </w:r>
      <w:r>
        <w:rPr>
          <w:rFonts w:ascii="Times New Roman" w:cs="Times New Roman" w:eastAsia="Times New Roman" w:hAnsi="Times New Roman"/>
          <w:sz w:val="19"/>
          <w:szCs w:val="19"/>
          <w:color w:val="auto"/>
        </w:rPr>
        <w:t xml:space="preserve">” shall mean, as applied to any Person, any lease of any property (whether real, personal or mixed) by that Person as lessee that, in conformity with GAAP, is, or is required to be, accounted for as a capital lease on the balance sheet of that Person; </w:t>
      </w:r>
      <w:r>
        <w:rPr>
          <w:rFonts w:ascii="Times New Roman" w:cs="Times New Roman" w:eastAsia="Times New Roman" w:hAnsi="Times New Roman"/>
          <w:sz w:val="19"/>
          <w:szCs w:val="19"/>
          <w:i w:val="1"/>
          <w:iCs w:val="1"/>
          <w:color w:val="auto"/>
        </w:rPr>
        <w:t>provided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that for all purposes hereunder the amount of obligations under any Capitalized Lease shall be the amount thereof accounted for as a liability on the balance sheet of such Person in accordance with GAAP;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for purposes of calculations made pursuant to the terms</w:t>
      </w:r>
    </w:p>
    <w:p>
      <w:pPr>
        <w:spacing w:after="0" w:line="211" w:lineRule="auto"/>
        <w:rPr>
          <w:sz w:val="20"/>
          <w:szCs w:val="20"/>
          <w:color w:val="auto"/>
        </w:rPr>
      </w:pPr>
      <w:r>
        <w:rPr>
          <w:rFonts w:ascii="Times New Roman" w:cs="Times New Roman" w:eastAsia="Times New Roman" w:hAnsi="Times New Roman"/>
          <w:sz w:val="20"/>
          <w:szCs w:val="20"/>
          <w:color w:val="auto"/>
        </w:rPr>
        <w:t>of this Agreement, GAAP will be deemed to treat leases in a manner consistent with its treatment under generally accepted accounting</w:t>
      </w:r>
    </w:p>
    <w:p>
      <w:pPr>
        <w:spacing w:after="0" w:line="204" w:lineRule="auto"/>
        <w:rPr>
          <w:sz w:val="20"/>
          <w:szCs w:val="20"/>
          <w:color w:val="auto"/>
        </w:rPr>
      </w:pPr>
      <w:r>
        <w:rPr>
          <w:rFonts w:ascii="Times New Roman" w:cs="Times New Roman" w:eastAsia="Times New Roman" w:hAnsi="Times New Roman"/>
          <w:sz w:val="20"/>
          <w:szCs w:val="20"/>
          <w:color w:val="auto"/>
        </w:rPr>
        <w:t>principles as of January 1, 2018, notwithstanding any modifications or interpretative changes thereto that may occur. For the avoidance of doubt, any lease that would have been characterized as an operating lease in accordance with GAAP as of January 1, 2018 (whether or not</w:t>
      </w:r>
    </w:p>
    <w:p>
      <w:pPr>
        <w:spacing w:after="0" w:line="211" w:lineRule="auto"/>
        <w:rPr>
          <w:sz w:val="20"/>
          <w:szCs w:val="20"/>
          <w:color w:val="auto"/>
        </w:rPr>
      </w:pPr>
      <w:r>
        <w:rPr>
          <w:rFonts w:ascii="Times New Roman" w:cs="Times New Roman" w:eastAsia="Times New Roman" w:hAnsi="Times New Roman"/>
          <w:sz w:val="20"/>
          <w:szCs w:val="20"/>
          <w:color w:val="auto"/>
        </w:rPr>
        <w:t>such operating lease was in effect on such date) shall continue to be accounted for as an operating lease (and not as a Capitalized Lease) for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purposes of this Agreement regardless of any change in GAAP following the Closing Date that would otherwise require such lease to be re-characterized (on a prospective or retroactive basis or otherwise) as a Capitalized Lease.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3.7(c)</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shall mean any agreement entered into from time to time by the Borrower or any of the Borrower’s Restricted Subsidiaries in connection with cash management services for collections, other Cash Management Services and for operating,</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payroll and trust accounts of such Person, including automatic clearing house services, controlled disbursement services, electronic funds transfer services, lockbox services, stop payment services and wire transfer services.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shall mean any Person that either (a) at the time it provides Cash Management Services, (b) on the</w:t>
      </w:r>
    </w:p>
    <w:p>
      <w:pPr>
        <w:spacing w:after="0" w:line="221" w:lineRule="auto"/>
        <w:rPr>
          <w:sz w:val="20"/>
          <w:szCs w:val="20"/>
          <w:color w:val="auto"/>
        </w:rPr>
      </w:pPr>
      <w:r>
        <w:rPr>
          <w:rFonts w:ascii="Times New Roman" w:cs="Times New Roman" w:eastAsia="Times New Roman" w:hAnsi="Times New Roman"/>
          <w:sz w:val="20"/>
          <w:szCs w:val="20"/>
          <w:color w:val="auto"/>
        </w:rPr>
        <w:t>Closing Date or (c) at any time after it has provided any Cash Management Services, is a Lender or an Agent or an Affiliate of a Lender or an Agent.</w:t>
      </w:r>
    </w:p>
    <w:p>
      <w:pPr>
        <w:spacing w:after="0" w:line="162"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Obligations</w:t>
      </w:r>
      <w:r>
        <w:rPr>
          <w:rFonts w:ascii="Times New Roman" w:cs="Times New Roman" w:eastAsia="Times New Roman" w:hAnsi="Times New Roman"/>
          <w:sz w:val="20"/>
          <w:szCs w:val="20"/>
          <w:color w:val="auto"/>
        </w:rPr>
        <w:t>” shall mean obligations owed by the Borrower or any Restricted Subsidiary to any Cash Management Bank in connection with, or in respect of, any Cash Management Services.</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Management Services</w:t>
      </w:r>
      <w:r>
        <w:rPr>
          <w:rFonts w:ascii="Times New Roman" w:cs="Times New Roman" w:eastAsia="Times New Roman" w:hAnsi="Times New Roman"/>
          <w:sz w:val="19"/>
          <w:szCs w:val="19"/>
          <w:color w:val="auto"/>
        </w:rPr>
        <w:t>” shall mean (a) commercial credit cards, merchant card services, purchase or debit cards, including non-card e-payables services, (b) treasury management services (including controlled disbursement, overdraft, automated clearing house fund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transfer services, return items and interstate depository network services) and (c) any other demand deposit or operating account relationships or other cash management services, including any Cash Management Agreement.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Casualty Event</w:t>
      </w:r>
      <w:r>
        <w:rPr>
          <w:rFonts w:ascii="Times New Roman" w:cs="Times New Roman" w:eastAsia="Times New Roman" w:hAnsi="Times New Roman"/>
          <w:sz w:val="20"/>
          <w:szCs w:val="20"/>
          <w:color w:val="auto"/>
        </w:rPr>
        <w:t>” shall mean, with respect to any Collateral, (a) any damage to, destruction of, or other casualty or loss involving,</w:t>
      </w:r>
    </w:p>
    <w:p>
      <w:pPr>
        <w:spacing w:after="0" w:line="221" w:lineRule="auto"/>
        <w:rPr>
          <w:sz w:val="20"/>
          <w:szCs w:val="20"/>
          <w:color w:val="auto"/>
        </w:rPr>
      </w:pPr>
      <w:r>
        <w:rPr>
          <w:rFonts w:ascii="Times New Roman" w:cs="Times New Roman" w:eastAsia="Times New Roman" w:hAnsi="Times New Roman"/>
          <w:sz w:val="20"/>
          <w:szCs w:val="20"/>
          <w:color w:val="auto"/>
        </w:rPr>
        <w:t>any property or asset or (b) any seizure, condemnation, confiscation or taking under the power of eminent domain of, or any requisition of title or use of, or relating to, or any similar event in respect of, any property or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4"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shall mean a “controlled foreign corporation” within the meaning of Section 957 of the Code.</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shall mean (a) the adoption of any law, treaty, order, policy, rule or regulation after the Closing Date, (b) any change in any law, treaty, order, policy, rule or regulation or in the interpretation, implementation or application thereof by any Governmental</w:t>
      </w:r>
    </w:p>
    <w:p>
      <w:pPr>
        <w:spacing w:after="0" w:line="222" w:lineRule="auto"/>
        <w:rPr>
          <w:sz w:val="20"/>
          <w:szCs w:val="20"/>
          <w:color w:val="auto"/>
        </w:rPr>
      </w:pPr>
      <w:r>
        <w:rPr>
          <w:rFonts w:ascii="Times New Roman" w:cs="Times New Roman" w:eastAsia="Times New Roman" w:hAnsi="Times New Roman"/>
          <w:sz w:val="19"/>
          <w:szCs w:val="19"/>
          <w:color w:val="auto"/>
        </w:rPr>
        <w:t>Authority after the Closing Date or (c) compliance by any Lender with any guideline, request, directive or order enacted or promulgated after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Closing Date by any central bank or other governmental or quasi-governmental authority (whether or not having the force of law);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notwithstanding anything herein to the contrary, the Dodd-Frank Wall Street Reform and Consumer Protection Act, the Basel</w:t>
      </w:r>
    </w:p>
    <w:p>
      <w:pPr>
        <w:spacing w:after="0" w:line="223" w:lineRule="auto"/>
        <w:rPr>
          <w:sz w:val="20"/>
          <w:szCs w:val="20"/>
          <w:color w:val="auto"/>
        </w:rPr>
      </w:pPr>
      <w:r>
        <w:rPr>
          <w:rFonts w:ascii="Times New Roman" w:cs="Times New Roman" w:eastAsia="Times New Roman" w:hAnsi="Times New Roman"/>
          <w:sz w:val="19"/>
          <w:szCs w:val="19"/>
          <w:color w:val="auto"/>
        </w:rPr>
        <w:t>Committee on Banking Regulations and Supervisory Practices (or any successor or similar authority) and all guidelines, requests, directives,</w:t>
      </w:r>
    </w:p>
    <w:p>
      <w:pPr>
        <w:spacing w:after="0" w:line="204" w:lineRule="auto"/>
        <w:rPr>
          <w:sz w:val="20"/>
          <w:szCs w:val="20"/>
          <w:color w:val="auto"/>
        </w:rPr>
      </w:pPr>
      <w:r>
        <w:rPr>
          <w:rFonts w:ascii="Times New Roman" w:cs="Times New Roman" w:eastAsia="Times New Roman" w:hAnsi="Times New Roman"/>
          <w:sz w:val="20"/>
          <w:szCs w:val="20"/>
          <w:color w:val="auto"/>
        </w:rPr>
        <w:t>orders, rules and regulations adopted, enacted or promulgated in connection therewith shall be deemed to have gone into effect after the Closing Date regardless of the date adopted, enacted or promulgated and shall be included as a Change in Law but solely for such costs that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would have been included if they would have otherwise been imposed under </w:t>
      </w:r>
      <w:r>
        <w:rPr>
          <w:rFonts w:ascii="Times New Roman" w:cs="Times New Roman" w:eastAsia="Times New Roman" w:hAnsi="Times New Roman"/>
          <w:sz w:val="20"/>
          <w:szCs w:val="20"/>
          <w:u w:val="single" w:color="auto"/>
          <w:color w:val="auto"/>
        </w:rPr>
        <w:t>clauses (a)(ii)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3.11</w:t>
      </w:r>
      <w:r>
        <w:rPr>
          <w:rFonts w:ascii="Times New Roman" w:cs="Times New Roman" w:eastAsia="Times New Roman" w:hAnsi="Times New Roman"/>
          <w:sz w:val="20"/>
          <w:szCs w:val="20"/>
          <w:color w:val="auto"/>
        </w:rPr>
        <w:t xml:space="preserve"> and only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to the extent a Lender is imposing applicable increased costs or costs in connection with capital adequacy requirements similar to those described in </w:t>
      </w:r>
      <w:r>
        <w:rPr>
          <w:rFonts w:ascii="Times New Roman" w:cs="Times New Roman" w:eastAsia="Times New Roman" w:hAnsi="Times New Roman"/>
          <w:sz w:val="20"/>
          <w:szCs w:val="20"/>
          <w:u w:val="single" w:color="auto"/>
          <w:color w:val="auto"/>
        </w:rPr>
        <w:t>clauses (a)(ii)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3.11</w:t>
      </w:r>
      <w:r>
        <w:rPr>
          <w:rFonts w:ascii="Times New Roman" w:cs="Times New Roman" w:eastAsia="Times New Roman" w:hAnsi="Times New Roman"/>
          <w:sz w:val="20"/>
          <w:szCs w:val="20"/>
          <w:color w:val="auto"/>
        </w:rPr>
        <w:t xml:space="preserve"> generally on other borrowers of comparable loans under United States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reserve based credit facilities under credit agreements having similar reimbursement provisions.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shall mean and be deemed to have occurred if:</w:t>
      </w:r>
    </w:p>
    <w:p>
      <w:pPr>
        <w:spacing w:after="0" w:line="175" w:lineRule="exact"/>
        <w:rPr>
          <w:sz w:val="20"/>
          <w:szCs w:val="20"/>
          <w:color w:val="auto"/>
        </w:rPr>
      </w:pPr>
    </w:p>
    <w:p>
      <w:pPr>
        <w:jc w:val="both"/>
        <w:ind w:right="20" w:firstLine="656"/>
        <w:spacing w:after="0" w:line="230" w:lineRule="auto"/>
        <w:tabs>
          <w:tab w:leader="none" w:pos="129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(within the meaning of Rules 13d-3 and 13d-5 under the Exchange Act as in effect on the Closing Date) shall have acquired beneficial ownership of more than thirty-five percent (35%), on a fully diluted basis, of the Voting Equity in the Borrower; or</w:t>
      </w:r>
    </w:p>
    <w:p>
      <w:pPr>
        <w:spacing w:after="0" w:line="148" w:lineRule="exact"/>
        <w:rPr>
          <w:rFonts w:ascii="Times New Roman" w:cs="Times New Roman" w:eastAsia="Times New Roman" w:hAnsi="Times New Roman"/>
          <w:sz w:val="20"/>
          <w:szCs w:val="20"/>
          <w:color w:val="auto"/>
        </w:rPr>
      </w:pPr>
    </w:p>
    <w:p>
      <w:pPr>
        <w:ind w:right="20" w:firstLine="656"/>
        <w:spacing w:after="0"/>
        <w:tabs>
          <w:tab w:leader="none" w:pos="128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(or any other defined term describing a similar event or having a similar purpose or meaning) shall occur under any Material Indebtedness; or</w:t>
      </w:r>
    </w:p>
    <w:p>
      <w:pPr>
        <w:spacing w:after="0" w:line="147"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occupation of a majority of the seats (other than vacant seats) on the board of directors of the Borrower by Persons who were not one or more of the following: (i) directors of the Borrower on the Closing Date, (ii) nominated or appointed by the board of directors of the Borrower or (iii) approved by the board of directors of the Borrower as director candidates prior to their election shall occur.</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Notwithstanding the preceding or any provision of Section 13d-3 of the Exchange Act, a Person or group shall not be deemed to beneficially own Equity Interests subject to a stock or asset purchase agreement, merger agreement, option agreement, warrant agreement or</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similar agreement (or voting or option or similar agreement related thereto) until the consummation of the acquisition of the Equity Interests in connection with the transactions contemplated by such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Citi</w:t>
      </w:r>
      <w:r>
        <w:rPr>
          <w:rFonts w:ascii="Times New Roman" w:cs="Times New Roman" w:eastAsia="Times New Roman" w:hAnsi="Times New Roman"/>
          <w:sz w:val="20"/>
          <w:szCs w:val="20"/>
          <w:color w:val="auto"/>
        </w:rPr>
        <w:t>” shall have the meaning assigned in the introductory paragraph hereto.</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shall mean the date on which the conditions precedent of Section 6 have been satisfied except as otherwise agreed or waived pursuant to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shall mean the Internal Revenue Code of 1986, as amended from time to time.</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xml:space="preserve">” shall have the meaning provided for such term in each of the Security Documents and shall include any and all assets securing or intended to secure any or all of the Obligations;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with respect to any Mortgages, Collateral (as defined herein), shall</w:t>
      </w:r>
    </w:p>
    <w:p>
      <w:pPr>
        <w:spacing w:after="0"/>
        <w:rPr>
          <w:sz w:val="20"/>
          <w:szCs w:val="20"/>
          <w:color w:val="auto"/>
        </w:rPr>
      </w:pPr>
      <w:r>
        <w:rPr>
          <w:rFonts w:ascii="Times New Roman" w:cs="Times New Roman" w:eastAsia="Times New Roman" w:hAnsi="Times New Roman"/>
          <w:sz w:val="20"/>
          <w:szCs w:val="20"/>
          <w:color w:val="auto"/>
        </w:rPr>
        <w:t>include “Deed of Trust Property” (as defined therein).</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xml:space="preserve">” shall mean Citi, as collateral agent under the Security Documents, or any successor collateral agent appointed in accordance with the provisions of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9"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Agreement</w:t>
      </w:r>
      <w:r>
        <w:rPr>
          <w:rFonts w:ascii="Times New Roman" w:cs="Times New Roman" w:eastAsia="Times New Roman" w:hAnsi="Times New Roman"/>
          <w:sz w:val="20"/>
          <w:szCs w:val="20"/>
          <w:color w:val="auto"/>
        </w:rPr>
        <w:t>” shall mean that certain Amended and Restated Collateral Agreement dated as of the date hereof, by and</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among the Borrower, the other grantors party thereto and the Collateral Agent, for the benefit of the Secured Parties,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hereto.</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Coverage Minimum</w:t>
      </w:r>
      <w:r>
        <w:rPr>
          <w:rFonts w:ascii="Times New Roman" w:cs="Times New Roman" w:eastAsia="Times New Roman" w:hAnsi="Times New Roman"/>
          <w:sz w:val="20"/>
          <w:szCs w:val="20"/>
          <w:color w:val="auto"/>
        </w:rPr>
        <w:t>” shall mean that the Mortgaged Properties (excluding any Oil and Gas Properties subject to</w:t>
      </w:r>
    </w:p>
    <w:p>
      <w:pPr>
        <w:jc w:val="both"/>
        <w:spacing w:after="0" w:line="215" w:lineRule="auto"/>
        <w:rPr>
          <w:sz w:val="20"/>
          <w:szCs w:val="20"/>
          <w:color w:val="auto"/>
        </w:rPr>
      </w:pPr>
      <w:r>
        <w:rPr>
          <w:rFonts w:ascii="Times New Roman" w:cs="Times New Roman" w:eastAsia="Times New Roman" w:hAnsi="Times New Roman"/>
          <w:sz w:val="19"/>
          <w:szCs w:val="19"/>
          <w:color w:val="auto"/>
        </w:rPr>
        <w:t>Production Sharing Contracts) shall represent at least eighty-five percent (85%) of the PV-9 of the Borrowing Base Properties (excluding the PV-9 of any Production Sharing Contracts), in each case, included either in the Initial Reserve Report or in the most recent Reserve Report</w:t>
      </w:r>
    </w:p>
    <w:p>
      <w:pPr>
        <w:spacing w:after="0"/>
        <w:rPr>
          <w:sz w:val="20"/>
          <w:szCs w:val="20"/>
          <w:color w:val="auto"/>
        </w:rPr>
      </w:pPr>
      <w:r>
        <w:rPr>
          <w:rFonts w:ascii="Times New Roman" w:cs="Times New Roman" w:eastAsia="Times New Roman" w:hAnsi="Times New Roman"/>
          <w:sz w:val="20"/>
          <w:szCs w:val="20"/>
          <w:color w:val="auto"/>
        </w:rPr>
        <w:t>delivered to the Administrative Agent.</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w:t>
      </w:r>
      <w:r>
        <w:rPr>
          <w:rFonts w:ascii="Times New Roman" w:cs="Times New Roman" w:eastAsia="Times New Roman" w:hAnsi="Times New Roman"/>
          <w:sz w:val="19"/>
          <w:szCs w:val="19"/>
          <w:color w:val="auto"/>
        </w:rPr>
        <w:t xml:space="preserve">” shall mean, with respect to each Lender, the commitment of such Lender to make Loans and to acquire participations in Letters of Credit hereunder, as such commitment may be (a) modified from time to time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(b) modified from time</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to time pursuant to assignments by or to such Lender pursuant to </w:t>
      </w:r>
      <w:r>
        <w:rPr>
          <w:rFonts w:ascii="Times New Roman" w:cs="Times New Roman" w:eastAsia="Times New Roman" w:hAnsi="Times New Roman"/>
          <w:sz w:val="19"/>
          <w:szCs w:val="19"/>
          <w:u w:val="single" w:color="auto"/>
          <w:color w:val="auto"/>
        </w:rPr>
        <w:t>Section 13.6(b)</w:t>
      </w:r>
      <w:r>
        <w:rPr>
          <w:rFonts w:ascii="Times New Roman" w:cs="Times New Roman" w:eastAsia="Times New Roman" w:hAnsi="Times New Roman"/>
          <w:sz w:val="19"/>
          <w:szCs w:val="19"/>
          <w:color w:val="auto"/>
        </w:rPr>
        <w:t xml:space="preserve"> or (c) modified by any other amendment or modification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such commitment permitted under this Agreement. The amount representing each Lender’s Commitment shall at any time be the least of (i) such Lender’s Maximum Credit Amount, (ii) such Lender’s Commitment Percentage of the then-effective Borrowing Base and (iii)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Lender’s Elected Commitment.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 Rate</w:t>
      </w:r>
      <w:r>
        <w:rPr>
          <w:rFonts w:ascii="Times New Roman" w:cs="Times New Roman" w:eastAsia="Times New Roman" w:hAnsi="Times New Roman"/>
          <w:sz w:val="20"/>
          <w:szCs w:val="20"/>
          <w:color w:val="auto"/>
        </w:rPr>
        <w:t>” shall mean, for any day, with respect to the Available Commitment on such day, the applicable rate per annum set forth next to the row heading “Commitment Fee Rate” in the definition of “Applicable Margin” and based upon the Utilization Percentage in effect on such day.</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Percentage</w:t>
      </w:r>
      <w:r>
        <w:rPr>
          <w:rFonts w:ascii="Times New Roman" w:cs="Times New Roman" w:eastAsia="Times New Roman" w:hAnsi="Times New Roman"/>
          <w:sz w:val="20"/>
          <w:szCs w:val="20"/>
          <w:color w:val="auto"/>
        </w:rPr>
        <w:t>” shall mean, at any time, for each Lender, the percentage obtained by dividing (a) such Lender’s</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Commitment at such time by (b) the amount of the Total Commitment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any time when the Total Commitment shall have been terminated, each Lender’s Commitment Percentage shall be the percentage obtained by dividing (i) such Lender’s Total</w:t>
      </w:r>
    </w:p>
    <w:p>
      <w:pPr>
        <w:spacing w:after="0" w:line="211" w:lineRule="auto"/>
        <w:rPr>
          <w:sz w:val="20"/>
          <w:szCs w:val="20"/>
          <w:color w:val="auto"/>
        </w:rPr>
      </w:pPr>
      <w:r>
        <w:rPr>
          <w:rFonts w:ascii="Times New Roman" w:cs="Times New Roman" w:eastAsia="Times New Roman" w:hAnsi="Times New Roman"/>
          <w:sz w:val="20"/>
          <w:szCs w:val="20"/>
          <w:color w:val="auto"/>
        </w:rPr>
        <w:t>Exposure at such time by (ii) the aggregate Total Exposures of all Lenders at such time (with such Total Exposure, and the components</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thereof, calculated using (x) any applicable Lender’s outstanding principal amount of Loans plus (y) such Lender’s Letter of Credit Exposure based on the Commitment Percentage of such Lender immediately prior to the termination of the Total Commitment).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Account</w:t>
      </w:r>
      <w:r>
        <w:rPr>
          <w:rFonts w:ascii="Times New Roman" w:cs="Times New Roman" w:eastAsia="Times New Roman" w:hAnsi="Times New Roman"/>
          <w:sz w:val="20"/>
          <w:szCs w:val="20"/>
          <w:color w:val="auto"/>
        </w:rPr>
        <w:t>” shall mean any commodity account maintained by the Credit Parties, including any “commodity accounts”</w:t>
      </w:r>
    </w:p>
    <w:p>
      <w:pPr>
        <w:jc w:val="both"/>
        <w:spacing w:after="0" w:line="215" w:lineRule="auto"/>
        <w:rPr>
          <w:sz w:val="20"/>
          <w:szCs w:val="20"/>
          <w:color w:val="auto"/>
        </w:rPr>
      </w:pPr>
      <w:r>
        <w:rPr>
          <w:rFonts w:ascii="Times New Roman" w:cs="Times New Roman" w:eastAsia="Times New Roman" w:hAnsi="Times New Roman"/>
          <w:sz w:val="19"/>
          <w:szCs w:val="19"/>
          <w:color w:val="auto"/>
        </w:rPr>
        <w:t>under Article 9 of the UCC. All funds in such Commodity Accounts (other than Excluded Accounts) shall be conclusively presumed to be Collateral and proceeds of Collateral and the Agents and the Lenders shall have no duty to inquire as to the source of the amounts on deposit</w:t>
      </w:r>
    </w:p>
    <w:p>
      <w:pPr>
        <w:spacing w:after="0"/>
        <w:rPr>
          <w:sz w:val="20"/>
          <w:szCs w:val="20"/>
          <w:color w:val="auto"/>
        </w:rPr>
      </w:pPr>
      <w:r>
        <w:rPr>
          <w:rFonts w:ascii="Times New Roman" w:cs="Times New Roman" w:eastAsia="Times New Roman" w:hAnsi="Times New Roman"/>
          <w:sz w:val="20"/>
          <w:szCs w:val="20"/>
          <w:color w:val="auto"/>
        </w:rPr>
        <w:t>in the Commodity Accounts.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Account Control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9.16(a)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shall mean the Commodity Exchange Act (7 U.S.C. § 1 et seq.), as amended from time to time, and any successor statute, and any regulations promulgated thereunder.</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shall mean, with respect to either the use or administration of Term SOFR or the use, administration, adoption or implementation of any Benchmark Replacement, any technical, administrative or operational changes (including changes to the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definition of “ABR,” the definition of “Business Day,” the definition of “U.S. Government Securities Business Day,” the definition of “Interest Period” or any similar or analogous definition (or the addition of a concept of “interest period”), timing and frequency of</w:t>
      </w:r>
    </w:p>
    <w:p>
      <w:pPr>
        <w:spacing w:after="0" w:line="211" w:lineRule="auto"/>
        <w:rPr>
          <w:sz w:val="20"/>
          <w:szCs w:val="20"/>
          <w:color w:val="auto"/>
        </w:rPr>
      </w:pPr>
      <w:r>
        <w:rPr>
          <w:rFonts w:ascii="Times New Roman" w:cs="Times New Roman" w:eastAsia="Times New Roman" w:hAnsi="Times New Roman"/>
          <w:sz w:val="20"/>
          <w:szCs w:val="20"/>
          <w:color w:val="auto"/>
        </w:rPr>
        <w:t>determining rates and making payments of interest, timing of borrowing requests or prepayment, conversion or continuation notices,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applicability and length of lookback periods, the applicability of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and other technical, administrative or operational matters) that the Administrative Agent decides may be appropriate to reflect the adoption and implementation of any such rate or to permit the use and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administration thereof by the Administrative Agent in a manner substantially consistent with market practice (or, if the Administrative Agent decides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9"/>
          <w:szCs w:val="19"/>
          <w:color w:val="auto"/>
        </w:rPr>
        <w:t>that adoption of any portion of such market practice is not administratively feasible or if the Administrative Agent determines that no market</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practice for the administration of any such rate exists, in such other manner of administration as the Administrative Agent decides is reasonably necessary in connection with the administration of this Agreement and the other Credit Documents).</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shall mean Other Connection Taxes that are imposed on or measured by net income (however denominated) or that are franchise Taxes or branch profits Taxes.</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Current Assets</w:t>
      </w:r>
      <w:r>
        <w:rPr>
          <w:rFonts w:ascii="Times New Roman" w:cs="Times New Roman" w:eastAsia="Times New Roman" w:hAnsi="Times New Roman"/>
          <w:sz w:val="20"/>
          <w:szCs w:val="20"/>
          <w:color w:val="auto"/>
        </w:rPr>
        <w:t>” shall mean, as at any date of determination, without duplication, the sum of all amounts that would, in conformity with GAAP, be set forth opposite the caption “total current assets” (or any like caption) on a consolidated balance sheet of the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Borrower and its Restricted Subsidiaries on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Available Commitment then available to be borrowed, but excluding the amount of any non-cash asset under Accounting Standards Codification Topic No. 410 and Accounting Standards Codification Topic No.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815.</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Current Liabilities</w:t>
      </w:r>
      <w:r>
        <w:rPr>
          <w:rFonts w:ascii="Times New Roman" w:cs="Times New Roman" w:eastAsia="Times New Roman" w:hAnsi="Times New Roman"/>
          <w:sz w:val="20"/>
          <w:szCs w:val="20"/>
          <w:color w:val="auto"/>
        </w:rPr>
        <w:t>” shall mean, as at any date of determination, without duplication, the sum of all amounts that would, in conformity with GAAP, be set forth opposite the caption “total current liabilities” (or any like caption) on a consolidated balance</w:t>
      </w:r>
    </w:p>
    <w:p>
      <w:pPr>
        <w:spacing w:after="0" w:line="212" w:lineRule="auto"/>
        <w:rPr>
          <w:sz w:val="20"/>
          <w:szCs w:val="20"/>
          <w:color w:val="auto"/>
        </w:rPr>
      </w:pPr>
      <w:r>
        <w:rPr>
          <w:rFonts w:ascii="Times New Roman" w:cs="Times New Roman" w:eastAsia="Times New Roman" w:hAnsi="Times New Roman"/>
          <w:sz w:val="20"/>
          <w:szCs w:val="20"/>
          <w:color w:val="auto"/>
        </w:rPr>
        <w:t>sheet of the Borrower and its Restricted Subsidiaries on such date, but excluding, without duplication, (a) the amount of any non-cash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liabilities under Accounting Standards Codification Topic No. 410 and Accounting Standards Codification Topic No. 815, (b) the current portion of current and deferred income taxes (c) the current portion of any Loans and other long-term liabilities and (d) any non-cash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liabilities recorded in connection with stock-based or similar incentive-based compensation awards or arrangements.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EBITDAX</w:t>
      </w:r>
      <w:r>
        <w:rPr>
          <w:rFonts w:ascii="Times New Roman" w:cs="Times New Roman" w:eastAsia="Times New Roman" w:hAnsi="Times New Roman"/>
          <w:sz w:val="20"/>
          <w:szCs w:val="20"/>
          <w:color w:val="auto"/>
        </w:rPr>
        <w:t xml:space="preserve">” shall mean, for any period, for the Borrower and its Restricted Subsidiaries on a consolidated basis, an amount equal to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 the following to the extent deducted (and not added back) in calculating</w:t>
      </w:r>
    </w:p>
    <w:p>
      <w:pPr>
        <w:spacing w:after="0" w:line="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such Consolidated Net Income: (i) Consolidated Interest Expenses for such period, (ii) an amount equal to the provision for federal, state, and local income and franchise taxes, (iii) depletion, depreciation, amortization and exploration expense for such period (including all drilling,</w:t>
      </w:r>
    </w:p>
    <w:p>
      <w:pPr>
        <w:spacing w:after="0" w:line="211" w:lineRule="auto"/>
        <w:rPr>
          <w:sz w:val="20"/>
          <w:szCs w:val="20"/>
          <w:color w:val="auto"/>
        </w:rPr>
      </w:pPr>
      <w:r>
        <w:rPr>
          <w:rFonts w:ascii="Times New Roman" w:cs="Times New Roman" w:eastAsia="Times New Roman" w:hAnsi="Times New Roman"/>
          <w:sz w:val="20"/>
          <w:szCs w:val="20"/>
          <w:color w:val="auto"/>
        </w:rPr>
        <w:t>completion, geological and geophysical costs), (iv) losses from asset Dispositions (excluding Hydrocarbons Disposed of in the ordinary</w:t>
      </w:r>
    </w:p>
    <w:p>
      <w:pPr>
        <w:spacing w:after="0" w:line="204" w:lineRule="auto"/>
        <w:rPr>
          <w:sz w:val="20"/>
          <w:szCs w:val="20"/>
          <w:color w:val="auto"/>
        </w:rPr>
      </w:pPr>
      <w:r>
        <w:rPr>
          <w:rFonts w:ascii="Times New Roman" w:cs="Times New Roman" w:eastAsia="Times New Roman" w:hAnsi="Times New Roman"/>
          <w:sz w:val="20"/>
          <w:szCs w:val="20"/>
          <w:color w:val="auto"/>
        </w:rPr>
        <w:t>course of business), (v) all other non- cash items reducing such Consolidated Net Income for such period, (vi) non-recurring losses in an amount not to exceed five percent (5.0%) of Consolidated EBITDAX (prior to giving effect to such addbacks) for such period in the</w:t>
      </w:r>
    </w:p>
    <w:p>
      <w:pPr>
        <w:spacing w:after="0" w:line="223" w:lineRule="auto"/>
        <w:rPr>
          <w:sz w:val="20"/>
          <w:szCs w:val="20"/>
          <w:color w:val="auto"/>
        </w:rPr>
      </w:pPr>
      <w:r>
        <w:rPr>
          <w:rFonts w:ascii="Times New Roman" w:cs="Times New Roman" w:eastAsia="Times New Roman" w:hAnsi="Times New Roman"/>
          <w:sz w:val="19"/>
          <w:szCs w:val="19"/>
          <w:color w:val="auto"/>
        </w:rPr>
        <w:t>aggregate during such time, (vii) fees, costs and expenses of any party incurred with regard to negotiation, execution and delivery of (A) this</w:t>
      </w:r>
    </w:p>
    <w:p>
      <w:pPr>
        <w:spacing w:after="0" w:line="204" w:lineRule="auto"/>
        <w:rPr>
          <w:sz w:val="20"/>
          <w:szCs w:val="20"/>
          <w:color w:val="auto"/>
        </w:rPr>
      </w:pPr>
      <w:r>
        <w:rPr>
          <w:rFonts w:ascii="Times New Roman" w:cs="Times New Roman" w:eastAsia="Times New Roman" w:hAnsi="Times New Roman"/>
          <w:sz w:val="20"/>
          <w:szCs w:val="20"/>
          <w:color w:val="auto"/>
        </w:rPr>
        <w:t>Agreement and the other Credit Documents and (B) any Permitted Additional Debt and Permitted Refinancing Indebtedness, in each case, including any amendments thereto, and (viii) fees, costs and expenses and other transaction costs incurred through June 30, 2023, in</w:t>
      </w:r>
    </w:p>
    <w:p>
      <w:pPr>
        <w:spacing w:after="0" w:line="211" w:lineRule="auto"/>
        <w:rPr>
          <w:sz w:val="20"/>
          <w:szCs w:val="20"/>
          <w:color w:val="auto"/>
        </w:rPr>
      </w:pPr>
      <w:r>
        <w:rPr>
          <w:rFonts w:ascii="Times New Roman" w:cs="Times New Roman" w:eastAsia="Times New Roman" w:hAnsi="Times New Roman"/>
          <w:sz w:val="20"/>
          <w:szCs w:val="20"/>
          <w:color w:val="auto"/>
        </w:rPr>
        <w:t>connection with the Transactions and the other transactions contemplated hereby or thereby (including the Transaction Expenses); all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determined on a consolidated basis with respect to the Borrower and its Restricted Subsidiaries in accordance with GAAP, using the results of the twelve-month period ending with that reporting period, and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following to the extent included in (and not deducted from)</w:t>
      </w:r>
    </w:p>
    <w:p>
      <w:pPr>
        <w:spacing w:after="0" w:line="211" w:lineRule="auto"/>
        <w:rPr>
          <w:sz w:val="20"/>
          <w:szCs w:val="20"/>
          <w:color w:val="auto"/>
        </w:rPr>
      </w:pPr>
      <w:r>
        <w:rPr>
          <w:rFonts w:ascii="Times New Roman" w:cs="Times New Roman" w:eastAsia="Times New Roman" w:hAnsi="Times New Roman"/>
          <w:sz w:val="20"/>
          <w:szCs w:val="20"/>
          <w:color w:val="auto"/>
        </w:rPr>
        <w:t>calculating such Consolidated Net Income: (i) federal, state and local income tax credits of the Borrower and its Restricted Subsidiaries for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such period, (ii) gains from asset Dispositions (excluding Hydrocarbons Disposed of in the ordinary course of business), (iii) all other non-cash items increasing Consolidated Net Income for such period and (iv) non-recurring gains;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the determination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of the Borrower’s compliance with the Financial Performance Covenants set forth in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for any period, Consolidated EBITDAX</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shall be adjusted to give effect,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to any Qualified Acquisition or Qualified Disposition made during such period, as if such acquisition or Disposition had occurred on the first (1st) day of such period.</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Consolidated EBITDAX shall be calculated for each four-fiscal quarter period using the Consolidated EBITDAX for the four most recently ended fiscal quarters.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For the avoidance of doubt, Consolidated EBITDAX shall be calculated in accordance with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9"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shall mean, with respect to any Person for any period, without duplication, the sum of:</w:t>
      </w:r>
    </w:p>
    <w:p>
      <w:pPr>
        <w:spacing w:after="0" w:line="189" w:lineRule="exact"/>
        <w:rPr>
          <w:sz w:val="20"/>
          <w:szCs w:val="20"/>
          <w:color w:val="auto"/>
        </w:rPr>
      </w:pPr>
    </w:p>
    <w:p>
      <w:pPr>
        <w:jc w:val="both"/>
        <w:ind w:left="660" w:firstLine="644"/>
        <w:spacing w:after="0" w:line="209" w:lineRule="auto"/>
        <w:tabs>
          <w:tab w:leader="none" w:pos="195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expense of such Person and its Restricted Subsidiaries for such period, to the extent such expense was deducted (and not added back) in computing Consolidated Net Income (</w:t>
      </w:r>
      <w:r>
        <w:rPr>
          <w:rFonts w:ascii="Times New Roman" w:cs="Times New Roman" w:eastAsia="Times New Roman" w:hAnsi="Times New Roman"/>
          <w:sz w:val="20"/>
          <w:szCs w:val="20"/>
          <w:i w:val="1"/>
          <w:iCs w:val="1"/>
          <w:color w:val="auto"/>
        </w:rPr>
        <w:t>including</w:t>
      </w:r>
      <w:r>
        <w:rPr>
          <w:rFonts w:ascii="Times New Roman" w:cs="Times New Roman" w:eastAsia="Times New Roman" w:hAnsi="Times New Roman"/>
          <w:sz w:val="20"/>
          <w:szCs w:val="20"/>
          <w:color w:val="auto"/>
        </w:rPr>
        <w:t xml:space="preserve"> (A) amortization of original issue discount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Hedging Obligations or other derivative instruments pursuant to GAAP), (D) the interest component of obligations under any Capitalized Lease, and (E) net payments, if any, made (less net payments, if any, received), pursuant to interest rate Hedge Agreements with respect to Indebtedness, and </w:t>
      </w:r>
      <w:r>
        <w:rPr>
          <w:rFonts w:ascii="Times New Roman" w:cs="Times New Roman" w:eastAsia="Times New Roman" w:hAnsi="Times New Roman"/>
          <w:sz w:val="20"/>
          <w:szCs w:val="20"/>
          <w:i w:val="1"/>
          <w:iCs w:val="1"/>
          <w:color w:val="auto"/>
        </w:rPr>
        <w:t>excluding</w:t>
      </w:r>
      <w:r>
        <w:rPr>
          <w:rFonts w:ascii="Times New Roman" w:cs="Times New Roman" w:eastAsia="Times New Roman" w:hAnsi="Times New Roman"/>
          <w:sz w:val="20"/>
          <w:szCs w:val="20"/>
          <w:color w:val="auto"/>
        </w:rPr>
        <w:t xml:space="preserve"> (F) costs associated with obtaining Hedge Agreements and breakage costs in respect of Hedge Agreements related to interest rates, (G) any expense resulting from the discounting of any Indebtedness in connection with the application of recapitalization accounting or, if applicable, recapitalization or purchase accounting in connection with the Transactions or any acquisition, (H) penalties and interest relating to income taxes, (I) any “additional interest” or “liquidated damages” with respect to other securities for failure to timely comply with registration rights obligations, (J) amortization or expensing of deferred financing fees, amendment and consent fees, debt issuance costs, commissions, fees and expenses and discounted liabilities, (K) any expensing of bridge, commitment and other financing fees and any other fees related to the Transactions or any acquisitions after the Closing Date, (L) any accretion of accrued interest on discounted liabilities and any prepayment premium or penalty (other than Indebtedness except to the extent arising from the application of purchase or recapitalization accounting) and (M) annual agency fees paid to the administrative agents and collateral agents under any credit facilities or other debt instruments or document); </w:t>
      </w:r>
      <w:r>
        <w:rPr>
          <w:rFonts w:ascii="Times New Roman" w:cs="Times New Roman" w:eastAsia="Times New Roman" w:hAnsi="Times New Roman"/>
          <w:sz w:val="20"/>
          <w:szCs w:val="20"/>
          <w:u w:val="single" w:color="auto"/>
          <w:color w:val="auto"/>
        </w:rPr>
        <w:t>plus</w:t>
      </w:r>
    </w:p>
    <w:p>
      <w:pPr>
        <w:spacing w:after="0" w:line="153"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capitalized interest of such Person and its Restricted Subsidiaries for such period, whether paid or</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accrued; </w:t>
      </w:r>
      <w:r>
        <w:rPr>
          <w:rFonts w:ascii="Times New Roman" w:cs="Times New Roman" w:eastAsia="Times New Roman" w:hAnsi="Times New Roman"/>
          <w:sz w:val="20"/>
          <w:szCs w:val="20"/>
          <w:u w:val="single" w:color="auto"/>
          <w:color w:val="auto"/>
        </w:rPr>
        <w:t>less</w:t>
      </w:r>
    </w:p>
    <w:p>
      <w:pPr>
        <w:spacing w:after="0" w:line="166"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income of such Person and its Restricted Subsidiaries for such period.</w:t>
      </w:r>
    </w:p>
    <w:p>
      <w:pPr>
        <w:spacing w:after="0" w:line="18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For purposes of this definition, interest on obligations in respect of Capitalized Leases shall be deemed to accrue at an interest rate reasonably determined by such Person to be the rate of interest implicit in such obligations in accordance with GAAP.</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shall mean, for any period, for the Borrower and its Restricted Subsidiaries on a consolidated basis,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net income (loss) of the Borrower and its Restricted Subsidiaries (excluding extraordinary gains and extraordinary losses and the net income (loss) of any Person (other than the Borrower or a Restricted Subsidiary) in which the Borrower and its Restricted Subsidiaries own any</w:t>
      </w:r>
    </w:p>
    <w:p>
      <w:pPr>
        <w:spacing w:after="0" w:line="211" w:lineRule="auto"/>
        <w:rPr>
          <w:sz w:val="20"/>
          <w:szCs w:val="20"/>
          <w:color w:val="auto"/>
        </w:rPr>
      </w:pPr>
      <w:r>
        <w:rPr>
          <w:rFonts w:ascii="Times New Roman" w:cs="Times New Roman" w:eastAsia="Times New Roman" w:hAnsi="Times New Roman"/>
          <w:sz w:val="20"/>
          <w:szCs w:val="20"/>
          <w:color w:val="auto"/>
        </w:rPr>
        <w:t>Equity Interests for that period, except to the extent of the amount of dividends and distributions actually received by the Borrower or a</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calculation of Consolidated Net Income shall exclude any non-cash charges or losses and any non-cash income or gains, in each case, required to be included in net income of the Borrower and its Subsidiaries as a result of the application of</w:t>
      </w:r>
    </w:p>
    <w:p>
      <w:pPr>
        <w:jc w:val="both"/>
        <w:spacing w:after="0" w:line="228" w:lineRule="auto"/>
        <w:rPr>
          <w:sz w:val="20"/>
          <w:szCs w:val="20"/>
          <w:color w:val="auto"/>
        </w:rPr>
      </w:pPr>
      <w:r>
        <w:rPr>
          <w:rFonts w:ascii="Times New Roman" w:cs="Times New Roman" w:eastAsia="Times New Roman" w:hAnsi="Times New Roman"/>
          <w:sz w:val="20"/>
          <w:szCs w:val="20"/>
          <w:color w:val="auto"/>
        </w:rPr>
        <w:t>FASB Accounting Standards Codifications 718, 815, 410 and 360, but shall expressly include any cash charges or payments that have been incurred as a result of the termination of any Hedge Agreement.</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Secured Net Leverage Ratio</w:t>
      </w:r>
      <w:r>
        <w:rPr>
          <w:rFonts w:ascii="Times New Roman" w:cs="Times New Roman" w:eastAsia="Times New Roman" w:hAnsi="Times New Roman"/>
          <w:sz w:val="20"/>
          <w:szCs w:val="20"/>
          <w:color w:val="auto"/>
        </w:rPr>
        <w:t>” shall mean, as of any date of determination, the ratio of (a) Consolidated Total Debt as of the last day of the most recent Test Period that is secured by a Lien on the Collateral to (b) Consolidated EBITDAX of the Borrower for such Test Period.</w:t>
      </w:r>
    </w:p>
    <w:p>
      <w:pPr>
        <w:spacing w:after="0" w:line="149" w:lineRule="exact"/>
        <w:rPr>
          <w:sz w:val="20"/>
          <w:szCs w:val="20"/>
          <w:color w:val="auto"/>
        </w:rPr>
      </w:pPr>
    </w:p>
    <w:p>
      <w:pPr>
        <w:jc w:val="both"/>
        <w:ind w:right="20"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Total Assets</w:t>
      </w:r>
      <w:r>
        <w:rPr>
          <w:rFonts w:ascii="Times New Roman" w:cs="Times New Roman" w:eastAsia="Times New Roman" w:hAnsi="Times New Roman"/>
          <w:sz w:val="19"/>
          <w:szCs w:val="19"/>
          <w:color w:val="auto"/>
        </w:rPr>
        <w:t xml:space="preserve">” shall mean the total assets of the Borrower and its Restricted Subsidiaries, determined on a consolidated basis in accordance with GAAP, as shown on the most recent consolidated balance sheet of the Borrower delivered pursuant to </w:t>
      </w:r>
      <w:r>
        <w:rPr>
          <w:rFonts w:ascii="Times New Roman" w:cs="Times New Roman" w:eastAsia="Times New Roman" w:hAnsi="Times New Roman"/>
          <w:sz w:val="19"/>
          <w:szCs w:val="19"/>
          <w:u w:val="single" w:color="auto"/>
          <w:color w:val="auto"/>
        </w:rPr>
        <w:t>Section 9.1(a)</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in the case of any determination relating to any incurrence of Indebtedness or any Investment or other acquisition,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including any property or assets being acquired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9"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Debt</w:t>
      </w:r>
      <w:r>
        <w:rPr>
          <w:rFonts w:ascii="Times New Roman" w:cs="Times New Roman" w:eastAsia="Times New Roman" w:hAnsi="Times New Roman"/>
          <w:sz w:val="20"/>
          <w:szCs w:val="20"/>
          <w:color w:val="auto"/>
        </w:rPr>
        <w:t>” shall mean, as of any date of determination, (a) the sum of (without duplication) all Indebtedness of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types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(other than intercompany Indebtedness owing to the Borrower or any Subsidiary),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(but, in the case of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only to the extent of any unreimbursed drawings under any letter of credit that has not been cash collateralized),</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clauses (h)</w:t>
      </w:r>
      <w:r>
        <w:rPr>
          <w:rFonts w:ascii="Times New Roman" w:cs="Times New Roman" w:eastAsia="Times New Roman" w:hAnsi="Times New Roman"/>
          <w:sz w:val="20"/>
          <w:szCs w:val="20"/>
          <w:color w:val="auto"/>
        </w:rPr>
        <w:t xml:space="preserve"> through (i) and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(but, in the case of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only to the extent of Guarantee Obligations with respect to</w:t>
      </w:r>
    </w:p>
    <w:p>
      <w:pPr>
        <w:spacing w:after="0" w:line="215" w:lineRule="auto"/>
        <w:rPr>
          <w:sz w:val="20"/>
          <w:szCs w:val="20"/>
          <w:color w:val="auto"/>
        </w:rPr>
      </w:pPr>
      <w:r>
        <w:rPr>
          <w:rFonts w:ascii="Times New Roman" w:cs="Times New Roman" w:eastAsia="Times New Roman" w:hAnsi="Times New Roman"/>
          <w:sz w:val="19"/>
          <w:szCs w:val="19"/>
          <w:color w:val="auto"/>
        </w:rPr>
        <w:t>Indebtedness otherwise included in this definition of “Consolidated Total Debt”) of the definition thereof, in each case actually owing by the Borrower and the Subsidiaries on such date and to the extent appearing on the balance sheet of the Borrower determined on a consolidated</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basis in accordance with GAAP,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aggregate amount of all Unrestricted Cash and cash equivalents included on the consolidated balance sheet of the Borrower and its Restricted Subsidiaries as of such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shall not include Indebtedness</w:t>
      </w:r>
    </w:p>
    <w:p>
      <w:pPr>
        <w:jc w:val="both"/>
        <w:ind w:firstLine="8"/>
        <w:spacing w:after="0" w:line="234" w:lineRule="auto"/>
        <w:tabs>
          <w:tab w:leader="none" w:pos="325"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respect of letters of credit, bank guarantees and performance or similar bonds except to the extent of unreimbursed amounts thereunder and (B) of Unrestricted Subsidiaries; and (ii) if as of any date of determination, the Total Exposure (other than Letter of Credit Exposure) is greater than $0, the amount of Unrestricted Cash and cash equivalents deducted pursuant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above shall not exceed $100,000,000.</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Net Leverage Ratio</w:t>
      </w:r>
      <w:r>
        <w:rPr>
          <w:rFonts w:ascii="Times New Roman" w:cs="Times New Roman" w:eastAsia="Times New Roman" w:hAnsi="Times New Roman"/>
          <w:sz w:val="20"/>
          <w:szCs w:val="20"/>
          <w:color w:val="auto"/>
        </w:rPr>
        <w:t>” shall mean, as of any date of determination, the ratio of (a) Consolidated Total Debt as of the last day of the most recent Test Period to (b) Consolidated EBITDAX of the Borrower for such Test Period.</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Requirement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Account</w:t>
      </w:r>
      <w:r>
        <w:rPr>
          <w:rFonts w:ascii="Times New Roman" w:cs="Times New Roman" w:eastAsia="Times New Roman" w:hAnsi="Times New Roman"/>
          <w:sz w:val="20"/>
          <w:szCs w:val="20"/>
          <w:color w:val="auto"/>
        </w:rPr>
        <w:t>” shall mean a Deposit Account, a Securities Account or a Commodity Account that is subject to a Deposit Account Control Agreement, a Securities Account Control Agreement or a Commodity Account Control Agreement, as the case may be.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shall mean any of the following:</w:t>
      </w:r>
    </w:p>
    <w:p>
      <w:pPr>
        <w:spacing w:after="0" w:line="175"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13.25</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Documents</w:t>
      </w:r>
      <w:r>
        <w:rPr>
          <w:rFonts w:ascii="Times New Roman" w:cs="Times New Roman" w:eastAsia="Times New Roman" w:hAnsi="Times New Roman"/>
          <w:sz w:val="19"/>
          <w:szCs w:val="19"/>
          <w:color w:val="auto"/>
        </w:rPr>
        <w:t>” shall mean this Agreement, the Guarantee, the Security Documents, each Letter of Credit Application, any Notes issued by the Borrower to a Lender under this Agreement and any other document, instrument or agreement (other than Secured Hedge</w:t>
      </w:r>
    </w:p>
    <w:p>
      <w:pPr>
        <w:spacing w:after="0"/>
        <w:rPr>
          <w:sz w:val="20"/>
          <w:szCs w:val="20"/>
          <w:color w:val="auto"/>
        </w:rPr>
      </w:pPr>
      <w:r>
        <w:rPr>
          <w:rFonts w:ascii="Times New Roman" w:cs="Times New Roman" w:eastAsia="Times New Roman" w:hAnsi="Times New Roman"/>
          <w:sz w:val="20"/>
          <w:szCs w:val="20"/>
          <w:color w:val="auto"/>
        </w:rPr>
        <w:t>Agreements or Secured Cash Management Agreements) now or hereafter delivered by or on behalf of a Credit Party under this Agreement.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Event</w:t>
      </w:r>
      <w:r>
        <w:rPr>
          <w:rFonts w:ascii="Times New Roman" w:cs="Times New Roman" w:eastAsia="Times New Roman" w:hAnsi="Times New Roman"/>
          <w:sz w:val="20"/>
          <w:szCs w:val="20"/>
          <w:color w:val="auto"/>
        </w:rPr>
        <w:t>” shall mean and include the making (but not the conversion or continuation) of a Loan and the issuance of a Letter of</w:t>
      </w:r>
    </w:p>
    <w:p>
      <w:pPr>
        <w:spacing w:after="0"/>
        <w:rPr>
          <w:sz w:val="20"/>
          <w:szCs w:val="20"/>
          <w:color w:val="auto"/>
        </w:rPr>
      </w:pPr>
      <w:r>
        <w:rPr>
          <w:rFonts w:ascii="Times New Roman" w:cs="Times New Roman" w:eastAsia="Times New Roman" w:hAnsi="Times New Roman"/>
          <w:sz w:val="20"/>
          <w:szCs w:val="20"/>
          <w:color w:val="auto"/>
        </w:rPr>
        <w:t>Credit.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shall mean each of the Borrower and the Grantors.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Amount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11.13(a)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Deadline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11.13(a)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Right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11.13(a)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4" w:right="339" w:bottom="1440" w:gutter="0" w:footer="0" w:header="0"/>
        </w:sectPr>
      </w:pPr>
    </w:p>
    <w:bookmarkStart w:id="59" w:name="page60"/>
    <w:bookmarkEnd w:id="59"/>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Ratio</w:t>
      </w:r>
      <w:r>
        <w:rPr>
          <w:rFonts w:ascii="Times New Roman" w:cs="Times New Roman" w:eastAsia="Times New Roman" w:hAnsi="Times New Roman"/>
          <w:sz w:val="20"/>
          <w:szCs w:val="20"/>
          <w:color w:val="auto"/>
        </w:rPr>
        <w:t>” shall mean, as of any date of determination, the ratio of (a) Consolidated Current Assets to (b) Consolidated Current Liabilities.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Ratio Covenant</w:t>
      </w:r>
      <w:r>
        <w:rPr>
          <w:rFonts w:ascii="Times New Roman" w:cs="Times New Roman" w:eastAsia="Times New Roman" w:hAnsi="Times New Roman"/>
          <w:sz w:val="20"/>
          <w:szCs w:val="20"/>
          <w:color w:val="auto"/>
        </w:rPr>
        <w:t xml:space="preserve">” shall mean the covenant of the Borrower set forth in </w:t>
      </w:r>
      <w:r>
        <w:rPr>
          <w:rFonts w:ascii="Times New Roman" w:cs="Times New Roman" w:eastAsia="Times New Roman" w:hAnsi="Times New Roman"/>
          <w:sz w:val="20"/>
          <w:szCs w:val="20"/>
          <w:u w:val="single" w:color="auto"/>
          <w:color w:val="auto"/>
        </w:rPr>
        <w:t>Section 10.11(b)</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shall mean the Bankruptcy Code of the United States, and all other liquidation, conservatorship, bankruptcy,</w:t>
      </w:r>
    </w:p>
    <w:p>
      <w:pPr>
        <w:spacing w:after="0" w:line="221" w:lineRule="auto"/>
        <w:rPr>
          <w:sz w:val="20"/>
          <w:szCs w:val="20"/>
          <w:color w:val="auto"/>
        </w:rPr>
      </w:pPr>
      <w:r>
        <w:rPr>
          <w:rFonts w:ascii="Times New Roman" w:cs="Times New Roman" w:eastAsia="Times New Roman" w:hAnsi="Times New Roman"/>
          <w:sz w:val="20"/>
          <w:szCs w:val="20"/>
          <w:color w:val="auto"/>
        </w:rPr>
        <w:t>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shall mean any event, act or condition that constitutes an Event of Default or with notice or lapse of time, or both, would constitute an Event of Default.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shall mean any Lender whose acts or failure to act, whether directly or indirectly, cause it to meet any part of the definition of “Lender Default”.</w:t>
      </w:r>
    </w:p>
    <w:p>
      <w:pPr>
        <w:spacing w:after="0" w:line="148"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 Account</w:t>
      </w:r>
      <w:r>
        <w:rPr>
          <w:rFonts w:ascii="Times New Roman" w:cs="Times New Roman" w:eastAsia="Times New Roman" w:hAnsi="Times New Roman"/>
          <w:sz w:val="20"/>
          <w:szCs w:val="20"/>
          <w:color w:val="auto"/>
        </w:rPr>
        <w:t>” shall mean any checking or other demand deposit account maintained by the Credit Parties, including any “deposit accounts” under Article 9 of the UCC. All funds in such Deposit Accounts (other than Excluded Accounts) shall be conclusively</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presumed to be Collateral and proceeds of Collateral and the Agents and the Lenders shall have no duty to inquire as to the source of the amounts on deposit in the Deposit Accounts.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 Account Control Agreement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9.16(a)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Disposed of</w:t>
      </w:r>
      <w:r>
        <w:rPr>
          <w:rFonts w:ascii="Times New Roman" w:cs="Times New Roman" w:eastAsia="Times New Roman" w:hAnsi="Times New Roman"/>
          <w:sz w:val="20"/>
          <w:szCs w:val="20"/>
          <w:color w:val="auto"/>
        </w:rPr>
        <w:t>” shall have a correlative meaning to the defined term of “Disposition”.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Stock</w:t>
      </w:r>
      <w:r>
        <w:rPr>
          <w:rFonts w:ascii="Times New Roman" w:cs="Times New Roman" w:eastAsia="Times New Roman" w:hAnsi="Times New Roman"/>
          <w:sz w:val="20"/>
          <w:szCs w:val="20"/>
          <w:color w:val="auto"/>
        </w:rPr>
        <w:t>” shall mean any Equity Interest that, by its terms (or by the terms of any security or other Equity Interests into which it is convertible or for which it is exchangeable), or upon the happening of any event or condition (a) matures or is mandatorily</w:t>
      </w:r>
    </w:p>
    <w:p>
      <w:pPr>
        <w:spacing w:after="0" w:line="212" w:lineRule="auto"/>
        <w:rPr>
          <w:sz w:val="20"/>
          <w:szCs w:val="20"/>
          <w:color w:val="auto"/>
        </w:rPr>
      </w:pPr>
      <w:r>
        <w:rPr>
          <w:rFonts w:ascii="Times New Roman" w:cs="Times New Roman" w:eastAsia="Times New Roman" w:hAnsi="Times New Roman"/>
          <w:sz w:val="20"/>
          <w:szCs w:val="20"/>
          <w:color w:val="auto"/>
        </w:rPr>
        <w:t>redeemable (other than solely for Qualified Equity Interests), pursuant to a sinking fund obligation, scheduled redemption or otherwise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(except as a result of a change of control or asset sale so long as any rights of the holders thereof upon the occurrence of a change of control or asset sale event shall be subject to the prior Payment in Full), (b) is redeemable at the option of the holder thereof (other than solely for</w:t>
      </w:r>
    </w:p>
    <w:p>
      <w:pPr>
        <w:spacing w:after="0" w:line="211" w:lineRule="auto"/>
        <w:rPr>
          <w:sz w:val="20"/>
          <w:szCs w:val="20"/>
          <w:color w:val="auto"/>
        </w:rPr>
      </w:pPr>
      <w:r>
        <w:rPr>
          <w:rFonts w:ascii="Times New Roman" w:cs="Times New Roman" w:eastAsia="Times New Roman" w:hAnsi="Times New Roman"/>
          <w:sz w:val="20"/>
          <w:szCs w:val="20"/>
          <w:color w:val="auto"/>
        </w:rPr>
        <w:t>Qualified Equity Interests and other than as a result of a change of control or asset sale so long as any rights of the holders thereof upon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occurrence of a change of control or asset sale event shall be subject to the prior Payment in Full), (c) provides for the scheduled payments of dividends in cash, or (d) is or becomes convertible into or exchangeable for Indebtedness or any other Equity Interests that would constitute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Disqualified Stock, in the case of each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prior to the date that is one hundred eighty-one (181) days after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Maturity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such Equity Interests are issued pursuant to any plan for the benefit of future, current or former employees, directors, officers, members of management or consultants of the Borrower or its Restricted Subsidiaries or by any such plan to such</w:t>
      </w:r>
    </w:p>
    <w:p>
      <w:pPr>
        <w:spacing w:after="0" w:line="211" w:lineRule="auto"/>
        <w:rPr>
          <w:sz w:val="20"/>
          <w:szCs w:val="20"/>
          <w:color w:val="auto"/>
        </w:rPr>
      </w:pPr>
      <w:r>
        <w:rPr>
          <w:rFonts w:ascii="Times New Roman" w:cs="Times New Roman" w:eastAsia="Times New Roman" w:hAnsi="Times New Roman"/>
          <w:sz w:val="20"/>
          <w:szCs w:val="20"/>
          <w:color w:val="auto"/>
        </w:rPr>
        <w:t>employees, directors, officers, members of management or consultants, such Equity Interests shall not constitute Disqualified Stock solely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because they may be required to be repurchased by the Borrower or its Restricted Subsidiaries in order to satisfy applicable statutory or regulatory obligations or as a result of such employee’s, director’s, officer’s, management member’s or consultant’s termination, death or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disability;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any Equity Interests held by any future, current or former employee, director, officer, member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management or consultant of the Borrower, any of its Restricted Subsidiaries or any other entity in which the Borrower or a Restricted Subsidiary has an Investment and is designated in good faith as an “affiliate” by the Board of Directors of the Borrower (or the compensation</w:t>
      </w:r>
    </w:p>
    <w:p>
      <w:pPr>
        <w:spacing w:after="0" w:line="222" w:lineRule="auto"/>
        <w:rPr>
          <w:sz w:val="20"/>
          <w:szCs w:val="20"/>
          <w:color w:val="auto"/>
        </w:rPr>
      </w:pPr>
      <w:r>
        <w:rPr>
          <w:rFonts w:ascii="Times New Roman" w:cs="Times New Roman" w:eastAsia="Times New Roman" w:hAnsi="Times New Roman"/>
          <w:sz w:val="19"/>
          <w:szCs w:val="19"/>
          <w:color w:val="auto"/>
        </w:rPr>
        <w:t>committee thereof), in each case pursuant to any stock subscription or shareholders’ agreement, management equity plan or stock option plan</w:t>
      </w:r>
    </w:p>
    <w:p>
      <w:pPr>
        <w:spacing w:after="0" w:line="215" w:lineRule="auto"/>
        <w:rPr>
          <w:sz w:val="20"/>
          <w:szCs w:val="20"/>
          <w:color w:val="auto"/>
        </w:rPr>
      </w:pPr>
      <w:r>
        <w:rPr>
          <w:rFonts w:ascii="Times New Roman" w:cs="Times New Roman" w:eastAsia="Times New Roman" w:hAnsi="Times New Roman"/>
          <w:sz w:val="19"/>
          <w:szCs w:val="19"/>
          <w:color w:val="auto"/>
        </w:rPr>
        <w:t>or any other management or employee benefit plan or agreement shall not constitute Disqualified Stock solely because it may be required to be repurchased by the Borrower or its Restricted Subsidiaries in order to satisfy applicable statutory or regulatory obligations or as a result of</w:t>
      </w:r>
    </w:p>
    <w:p>
      <w:pPr>
        <w:spacing w:after="0"/>
        <w:rPr>
          <w:sz w:val="20"/>
          <w:szCs w:val="20"/>
          <w:color w:val="auto"/>
        </w:rPr>
      </w:pPr>
      <w:r>
        <w:rPr>
          <w:rFonts w:ascii="Times New Roman" w:cs="Times New Roman" w:eastAsia="Times New Roman" w:hAnsi="Times New Roman"/>
          <w:sz w:val="20"/>
          <w:szCs w:val="20"/>
          <w:color w:val="auto"/>
        </w:rPr>
        <w:t>such employee’s, director’s, officer’s, management member’s or consultant’s termination, 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9"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Distressed Person</w:t>
      </w:r>
      <w:r>
        <w:rPr>
          <w:rFonts w:ascii="Times New Roman" w:cs="Times New Roman" w:eastAsia="Times New Roman" w:hAnsi="Times New Roman"/>
          <w:sz w:val="20"/>
          <w:szCs w:val="20"/>
          <w:color w:val="auto"/>
        </w:rPr>
        <w:t>” shall have the meaning provided in the definition of “Lender-Related Distress Event”.</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Distributable Free Cash Flow</w:t>
      </w:r>
      <w:r>
        <w:rPr>
          <w:rFonts w:ascii="Times New Roman" w:cs="Times New Roman" w:eastAsia="Times New Roman" w:hAnsi="Times New Roman"/>
          <w:sz w:val="19"/>
          <w:szCs w:val="19"/>
          <w:color w:val="auto"/>
        </w:rPr>
        <w:t xml:space="preserve">” shall mean, as of any time of determination, an amount equal to (a) Free Cash Flow as of the last day of the most recently ended Test Period for which financial statements have been delivered pursuant to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9.1 minus</w:t>
      </w:r>
    </w:p>
    <w:p>
      <w:pPr>
        <w:jc w:val="both"/>
        <w:ind w:firstLine="8"/>
        <w:spacing w:after="0" w:line="215" w:lineRule="auto"/>
        <w:tabs>
          <w:tab w:leader="none" w:pos="29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positive difference, if any, between (i) aggregate amount of the Free Cash Flow Utilizations that occur during such Test Period and through such time of determination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aggregate amount of Free Cash Flow Utilizations that occurred during such Test Period and which are attributable to Free Cash Flow generated during the four fiscal quarter period ending immediately prior to such Test Period. For the avoidance of doubt, any amount deducted in calculating Distributable Free Cash Flow as of any time of determination shall be without duplication of amounts deducted in calculating Free Cash Flow for purposes of such calculation of Distributable Free Cash Flow.</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shall mean dollars in lawful currency of the United States of America.</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shall mean each Subsidiary of the Borrower that is organized under the laws of the United States or any state thereof, or the District of Columbia.</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Drawing</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3.4(b)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ECP</w:t>
      </w:r>
      <w:r>
        <w:rPr>
          <w:rFonts w:ascii="Times New Roman" w:cs="Times New Roman" w:eastAsia="Times New Roman" w:hAnsi="Times New Roman"/>
          <w:sz w:val="19"/>
          <w:szCs w:val="19"/>
          <w:color w:val="auto"/>
        </w:rPr>
        <w:t>” shall mean any Person who qualifies as an “eligible contract participant” under Section 2(e) of the Commodity Exchange Act.</w:t>
      </w:r>
    </w:p>
    <w:p>
      <w:pPr>
        <w:spacing w:after="0" w:line="20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shall mean (a) any credit institution or investment firm established in any EEA Member Country which is subject to the supervision of an EEA Resolution Authority, (b) any entity established in an EEA Member Country which is a parent of an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shall mean any of the member states of the European Union, Iceland, Liechtenstein, and Norway.</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w:t>
      </w:r>
      <w:r>
        <w:rPr>
          <w:rFonts w:ascii="Times New Roman" w:cs="Times New Roman" w:eastAsia="Times New Roman" w:hAnsi="Times New Roman"/>
          <w:sz w:val="20"/>
          <w:szCs w:val="20"/>
          <w:color w:val="auto"/>
        </w:rPr>
        <w:t>” shall mean Elk Hills Power, LLC, a Delaware limited liability company.</w:t>
      </w:r>
    </w:p>
    <w:p>
      <w:pPr>
        <w:spacing w:after="0" w:line="189"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Designation Date</w:t>
      </w:r>
      <w:r>
        <w:rPr>
          <w:rFonts w:ascii="Times New Roman" w:cs="Times New Roman" w:eastAsia="Times New Roman" w:hAnsi="Times New Roman"/>
          <w:sz w:val="20"/>
          <w:szCs w:val="20"/>
          <w:color w:val="auto"/>
        </w:rPr>
        <w:t>” shall mean the date on which (i) the Borrower designates each of the EHP Entities as an “Unrestricted Subsidiary”, (ii) no Event of Default or Borrowing Base Deficiency shall have occurred and be continuing, (iii) none of the EHP Entities</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guarantee any Material Indebtedness, (iv) such Investment is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on the date of such designation and (v) the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Borrower shall have delivered to the Administrative Agent a certificate of an Authorized Officer certifying as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of this definition.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Entities</w:t>
      </w:r>
      <w:r>
        <w:rPr>
          <w:rFonts w:ascii="Times New Roman" w:cs="Times New Roman" w:eastAsia="Times New Roman" w:hAnsi="Times New Roman"/>
          <w:sz w:val="20"/>
          <w:szCs w:val="20"/>
          <w:color w:val="auto"/>
        </w:rPr>
        <w:t>” shall mean EHP Topco, EHP Midco, EHP, and their respective Subsidiaries.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Midco</w:t>
      </w:r>
      <w:r>
        <w:rPr>
          <w:rFonts w:ascii="Times New Roman" w:cs="Times New Roman" w:eastAsia="Times New Roman" w:hAnsi="Times New Roman"/>
          <w:sz w:val="20"/>
          <w:szCs w:val="20"/>
          <w:color w:val="auto"/>
        </w:rPr>
        <w:t>” shall mean EHP Midco Holding Company, LLC, a Delaware limited liability company.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Topco</w:t>
      </w:r>
      <w:r>
        <w:rPr>
          <w:rFonts w:ascii="Times New Roman" w:cs="Times New Roman" w:eastAsia="Times New Roman" w:hAnsi="Times New Roman"/>
          <w:sz w:val="20"/>
          <w:szCs w:val="20"/>
          <w:color w:val="auto"/>
        </w:rPr>
        <w:t>” shall mean EHP Topco Holding Company, LLC, a Delaware limited liability company.</w:t>
      </w:r>
    </w:p>
    <w:p>
      <w:pPr>
        <w:spacing w:after="0" w:line="189"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Elected Commitment</w:t>
      </w:r>
      <w:r>
        <w:rPr>
          <w:rFonts w:ascii="Times New Roman" w:cs="Times New Roman" w:eastAsia="Times New Roman" w:hAnsi="Times New Roman"/>
          <w:sz w:val="20"/>
          <w:szCs w:val="20"/>
          <w:color w:val="auto"/>
        </w:rPr>
        <w:t xml:space="preserve">” shall mean, as to each Lender, the amount set forth opposite such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under the caption “Elected Commitment”, as the same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9" w:right="339" w:bottom="1440" w:gutter="0" w:footer="0" w:header="0"/>
        </w:sectPr>
      </w:pPr>
    </w:p>
    <w:bookmarkStart w:id="61" w:name="page62"/>
    <w:bookmarkEnd w:id="61"/>
    <w:p>
      <w:pPr>
        <w:ind w:right="20"/>
        <w:spacing w:after="0"/>
        <w:rPr>
          <w:sz w:val="20"/>
          <w:szCs w:val="20"/>
          <w:color w:val="auto"/>
        </w:rPr>
      </w:pPr>
      <w:r>
        <w:rPr>
          <w:rFonts w:ascii="Times New Roman" w:cs="Times New Roman" w:eastAsia="Times New Roman" w:hAnsi="Times New Roman"/>
          <w:sz w:val="20"/>
          <w:szCs w:val="20"/>
          <w:color w:val="auto"/>
        </w:rPr>
        <w:t xml:space="preserve">increased, reduced or terminated from time to time in connection with an optional increase, reduction or termination of the Aggregate Elected Commitment Amount pursuant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Elected Commitment Increase Certificate</w:t>
      </w:r>
      <w:r>
        <w:rPr>
          <w:rFonts w:ascii="Times New Roman" w:cs="Times New Roman" w:eastAsia="Times New Roman" w:hAnsi="Times New Roman"/>
          <w:sz w:val="20"/>
          <w:szCs w:val="20"/>
          <w:color w:val="auto"/>
        </w:rPr>
        <w:t xml:space="preserve">” shall have the meaning given to such term in </w:t>
      </w:r>
      <w:r>
        <w:rPr>
          <w:rFonts w:ascii="Times New Roman" w:cs="Times New Roman" w:eastAsia="Times New Roman" w:hAnsi="Times New Roman"/>
          <w:sz w:val="20"/>
          <w:szCs w:val="20"/>
          <w:u w:val="single" w:color="auto"/>
          <w:color w:val="auto"/>
        </w:rPr>
        <w:t>Section 2.16(c)(ii)(F)</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Energy Business</w:t>
      </w:r>
      <w:r>
        <w:rPr>
          <w:rFonts w:ascii="Times New Roman" w:cs="Times New Roman" w:eastAsia="Times New Roman" w:hAnsi="Times New Roman"/>
          <w:sz w:val="20"/>
          <w:szCs w:val="20"/>
          <w:color w:val="auto"/>
        </w:rPr>
        <w:t>” shall mean:</w:t>
      </w:r>
    </w:p>
    <w:p>
      <w:pPr>
        <w:spacing w:after="0" w:line="189" w:lineRule="exact"/>
        <w:rPr>
          <w:sz w:val="20"/>
          <w:szCs w:val="20"/>
          <w:color w:val="auto"/>
        </w:rPr>
      </w:pPr>
    </w:p>
    <w:p>
      <w:pPr>
        <w:jc w:val="both"/>
        <w:ind w:firstLine="656"/>
        <w:spacing w:after="0" w:line="226" w:lineRule="auto"/>
        <w:tabs>
          <w:tab w:leader="none" w:pos="128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of acquiring, exploring, exploiting, developing, producing, operating and disposing of interests in oil, natural gas, natural gas liquids, liquefied natural gas and other Hydrocarbons and mineral properties or products produced in association with any of the foregoing;</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of gathering, marketing, distributing, treating, processing, storing, refining, selling and transporting of any production from interests in oil, natural gas, natural gas liquids, liquefied natural gas and other Hydrocarbons and mineral properties or products produced in association therewith; and the marketing of oil, natural gas, natural gas liquids, liquefied natural gas and other Hydrocarbons and minerals obtained from unrelated Persons;</w:t>
      </w:r>
    </w:p>
    <w:p>
      <w:pPr>
        <w:spacing w:after="0" w:line="148" w:lineRule="exact"/>
        <w:rPr>
          <w:rFonts w:ascii="Times New Roman" w:cs="Times New Roman" w:eastAsia="Times New Roman" w:hAnsi="Times New Roman"/>
          <w:sz w:val="20"/>
          <w:szCs w:val="20"/>
          <w:color w:val="auto"/>
        </w:rPr>
      </w:pPr>
    </w:p>
    <w:p>
      <w:pPr>
        <w:jc w:val="both"/>
        <w:ind w:firstLine="656"/>
        <w:spacing w:after="0" w:line="218" w:lineRule="auto"/>
        <w:tabs>
          <w:tab w:leader="none" w:pos="129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of developing, constructing, owning, operating and maintaining (i) low carbon, carbon management, carbon sequestration and/or carbon offsetting technologies, assets, infrastructure and businesses, including carbon dioxide and associated gases capture (including direct air capture and pre- and post-combustion capture processes), transportation, utilization and/or sequestration technologies, facilities or assets, (ii) solar, wind, geothermal or other renewable power generation or deployment technologies, facilities or assets, (iii) the production, storage, or transportation of hydrogen, ammonia or other substances, and (iv) energy storage or other clean energy technologies, facilities or assets; and</w:t>
      </w:r>
    </w:p>
    <w:p>
      <w:pPr>
        <w:spacing w:after="0" w:line="150" w:lineRule="exact"/>
        <w:rPr>
          <w:rFonts w:ascii="Times New Roman" w:cs="Times New Roman" w:eastAsia="Times New Roman" w:hAnsi="Times New Roman"/>
          <w:sz w:val="20"/>
          <w:szCs w:val="20"/>
          <w:color w:val="auto"/>
        </w:rPr>
      </w:pPr>
    </w:p>
    <w:p>
      <w:pPr>
        <w:ind w:right="20" w:firstLine="656"/>
        <w:spacing w:after="0"/>
        <w:tabs>
          <w:tab w:leader="none" w:pos="128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business or activity relating to, arising from, or necessary, appropriate, incidental or ancillary to the activities described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definition.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Engineering Reports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2.14(c)(i)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Claims</w:t>
      </w:r>
      <w:r>
        <w:rPr>
          <w:rFonts w:ascii="Times New Roman" w:cs="Times New Roman" w:eastAsia="Times New Roman" w:hAnsi="Times New Roman"/>
          <w:sz w:val="19"/>
          <w:szCs w:val="19"/>
          <w:color w:val="auto"/>
        </w:rPr>
        <w:t>” shall mean any and all written actions, suits, orders, decrees, demands, demand letters, claims, liens, notices</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of liability, noncompliance, violation or proceedings arising under or based upon any Environmental Law or any Environmental Permit (hereinafter,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including, without limitation, (i) any and all Claims by any Governmental Authority for enforcement, investigation,</w:t>
      </w:r>
    </w:p>
    <w:p>
      <w:pPr>
        <w:spacing w:after="0" w:line="211" w:lineRule="auto"/>
        <w:rPr>
          <w:sz w:val="20"/>
          <w:szCs w:val="20"/>
          <w:color w:val="auto"/>
        </w:rPr>
      </w:pPr>
      <w:r>
        <w:rPr>
          <w:rFonts w:ascii="Times New Roman" w:cs="Times New Roman" w:eastAsia="Times New Roman" w:hAnsi="Times New Roman"/>
          <w:sz w:val="20"/>
          <w:szCs w:val="20"/>
          <w:color w:val="auto"/>
        </w:rPr>
        <w:t>cleanup, removal, response, remedial, reclamation, closure, plugging and abandonment, or other actions, damages, or civil or criminal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sanctions pursuant to any applicable Environmental Law and (ii) any and all Claims by any third party seeking damages, contribution, indemnification, cost recovery, compensation or injunctive relief regarding the presence, Release or threatened Release of Hazardous</w:t>
      </w:r>
    </w:p>
    <w:p>
      <w:pPr>
        <w:spacing w:after="0" w:line="211" w:lineRule="auto"/>
        <w:rPr>
          <w:sz w:val="20"/>
          <w:szCs w:val="20"/>
          <w:color w:val="auto"/>
        </w:rPr>
      </w:pPr>
      <w:r>
        <w:rPr>
          <w:rFonts w:ascii="Times New Roman" w:cs="Times New Roman" w:eastAsia="Times New Roman" w:hAnsi="Times New Roman"/>
          <w:sz w:val="20"/>
          <w:szCs w:val="20"/>
          <w:color w:val="auto"/>
        </w:rPr>
        <w:t>Materials or arising from alleged injury or threat of injury to health or safety (to the extent relating to human exposure to Hazardous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Materials), or the environment including, without limitation, air, surface water, groundwater, land surface and subsurface strata and natural resources such as wetlands, or pertaining to alleged public or private nuisance.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w:t>
      </w:r>
      <w:r>
        <w:rPr>
          <w:rFonts w:ascii="Times New Roman" w:cs="Times New Roman" w:eastAsia="Times New Roman" w:hAnsi="Times New Roman"/>
          <w:sz w:val="20"/>
          <w:szCs w:val="20"/>
          <w:color w:val="auto"/>
        </w:rPr>
        <w:t>” shall mean any applicable federal, state, foreign or local statute, law, rule, regulation, ordinance, code,</w:t>
      </w:r>
    </w:p>
    <w:p>
      <w:pPr>
        <w:spacing w:after="0" w:line="204" w:lineRule="auto"/>
        <w:rPr>
          <w:sz w:val="20"/>
          <w:szCs w:val="20"/>
          <w:color w:val="auto"/>
        </w:rPr>
      </w:pPr>
      <w:r>
        <w:rPr>
          <w:rFonts w:ascii="Times New Roman" w:cs="Times New Roman" w:eastAsia="Times New Roman" w:hAnsi="Times New Roman"/>
          <w:sz w:val="20"/>
          <w:szCs w:val="20"/>
          <w:color w:val="auto"/>
        </w:rPr>
        <w:t>guidance, and common law now or hereafter in effect and in each case as amended, and any binding judicial or administrative interpretation thereof, including any binding judicial or administrative order, consent decree or judgment, as well as any permit or approval, relating to the</w:t>
      </w:r>
    </w:p>
    <w:p>
      <w:pPr>
        <w:spacing w:after="0" w:line="223" w:lineRule="auto"/>
        <w:rPr>
          <w:sz w:val="20"/>
          <w:szCs w:val="20"/>
          <w:color w:val="auto"/>
        </w:rPr>
      </w:pPr>
      <w:r>
        <w:rPr>
          <w:rFonts w:ascii="Times New Roman" w:cs="Times New Roman" w:eastAsia="Times New Roman" w:hAnsi="Times New Roman"/>
          <w:sz w:val="19"/>
          <w:szCs w:val="19"/>
          <w:color w:val="auto"/>
        </w:rPr>
        <w:t>pollution or protection of the environment, including, without limitation, ambient or indoor air, surface water, groundwater, greenhouse gases</w:t>
      </w:r>
    </w:p>
    <w:p>
      <w:pPr>
        <w:spacing w:after="0" w:line="204" w:lineRule="auto"/>
        <w:rPr>
          <w:sz w:val="20"/>
          <w:szCs w:val="20"/>
          <w:color w:val="auto"/>
        </w:rPr>
      </w:pPr>
      <w:r>
        <w:rPr>
          <w:rFonts w:ascii="Times New Roman" w:cs="Times New Roman" w:eastAsia="Times New Roman" w:hAnsi="Times New Roman"/>
          <w:sz w:val="20"/>
          <w:szCs w:val="20"/>
          <w:color w:val="auto"/>
        </w:rPr>
        <w:t>or climate change, endangered species, land surface and subsurface strata and natural resources such as wetlands, or human health or safety (to the extent relating to human exposure to hazardous materials or any Release or recycling of, or exposure to, any pollutants, contaminants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chemicals or any toxic or otherwise hazardous substances, materials or wastes).</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Permit</w:t>
      </w:r>
      <w:r>
        <w:rPr>
          <w:rFonts w:ascii="Times New Roman" w:cs="Times New Roman" w:eastAsia="Times New Roman" w:hAnsi="Times New Roman"/>
          <w:sz w:val="20"/>
          <w:szCs w:val="20"/>
          <w:color w:val="auto"/>
        </w:rPr>
        <w:t>” shall mean any permit, approval, identification number, registration, license or other authorization required under any applicable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9"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of any person shall mean any and all shares, interests, rights to purchase or otherwise acquire, warrants, options,</w:t>
      </w:r>
    </w:p>
    <w:p>
      <w:pPr>
        <w:jc w:val="both"/>
        <w:spacing w:after="0" w:line="204" w:lineRule="auto"/>
        <w:rPr>
          <w:sz w:val="20"/>
          <w:szCs w:val="20"/>
          <w:color w:val="auto"/>
        </w:rPr>
      </w:pPr>
      <w:r>
        <w:rPr>
          <w:rFonts w:ascii="Times New Roman" w:cs="Times New Roman" w:eastAsia="Times New Roman" w:hAnsi="Times New Roman"/>
          <w:sz w:val="20"/>
          <w:szCs w:val="20"/>
          <w:color w:val="auto"/>
        </w:rPr>
        <w:t>participations or other equivalents of or interests in (however designated) equity or ownership of such person, including any preferred stock, any limited or general partnership interest and any limited liability company membership interest, and any securities or other rights or</w:t>
      </w:r>
    </w:p>
    <w:p>
      <w:pPr>
        <w:spacing w:after="0" w:line="211" w:lineRule="auto"/>
        <w:rPr>
          <w:sz w:val="20"/>
          <w:szCs w:val="20"/>
          <w:color w:val="auto"/>
        </w:rPr>
      </w:pPr>
      <w:r>
        <w:rPr>
          <w:rFonts w:ascii="Times New Roman" w:cs="Times New Roman" w:eastAsia="Times New Roman" w:hAnsi="Times New Roman"/>
          <w:sz w:val="20"/>
          <w:szCs w:val="20"/>
          <w:color w:val="auto"/>
        </w:rPr>
        <w:t>interests convertible into or exchangeable for any of the foregoing, excluding any debt security that is convertible or exchangeable into any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Equity Interests;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any instrument evidencing Indebtedness convertible or exchangeable into Equity Interests (including, for the avoidance of doubt, any Permitted Convertible Debt), whether or not such debt securities include any right of participation with Equity</w:t>
      </w:r>
    </w:p>
    <w:p>
      <w:pPr>
        <w:spacing w:after="0" w:line="223" w:lineRule="auto"/>
        <w:rPr>
          <w:sz w:val="20"/>
          <w:szCs w:val="20"/>
          <w:color w:val="auto"/>
        </w:rPr>
      </w:pPr>
      <w:r>
        <w:rPr>
          <w:rFonts w:ascii="Times New Roman" w:cs="Times New Roman" w:eastAsia="Times New Roman" w:hAnsi="Times New Roman"/>
          <w:sz w:val="19"/>
          <w:szCs w:val="19"/>
          <w:color w:val="auto"/>
        </w:rPr>
        <w:t>Interests, shall not be deemed to be Equity Interests unless and until such instrument is so converted or exchanged and (ii) “Equity Interests”</w:t>
      </w:r>
    </w:p>
    <w:p>
      <w:pPr>
        <w:jc w:val="both"/>
        <w:spacing w:after="0" w:line="221" w:lineRule="auto"/>
        <w:rPr>
          <w:sz w:val="20"/>
          <w:szCs w:val="20"/>
          <w:color w:val="auto"/>
        </w:rPr>
      </w:pPr>
      <w:r>
        <w:rPr>
          <w:rFonts w:ascii="Times New Roman" w:cs="Times New Roman" w:eastAsia="Times New Roman" w:hAnsi="Times New Roman"/>
          <w:sz w:val="20"/>
          <w:szCs w:val="20"/>
          <w:color w:val="auto"/>
        </w:rPr>
        <w:t>shall not include any Permitted Bond Hedge Transaction or Permitted Warrant Transaction until any Equity Interests have been issued pursuant to the terms thereof.</w:t>
      </w:r>
    </w:p>
    <w:p>
      <w:pPr>
        <w:spacing w:after="0" w:line="162"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shall mean the Employee Retirement Income Security Act of 1974, as amended from time to time, and the rules and regulations promulgated thereunder.</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shall mean each person (as defined in Section 3(9) of ERISA) that together with any Credit Party would be deemed to be a “single employer” within the meaning of Section 4001(b)(1) of ERISA or Section 414(b) or (c) of the Code or, solely for purposes of Section 302 of ERISA and Section 412 of the Code, is treated as a single employer under Section 414 of the Code.</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shall mean (a) a Reportable Event with respect to a Pension Plan; (b) a withdrawal by the Borrower or any ERISA Affiliate from a Pension Plan subject to Section 4063 of ERISA during a plan year in which it was a substantial employer (as defined in</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Section 4001(a)(2) of ERISA) or a cessation of operations that is treated as such a withdrawal under Section 4062(e) of ERISA; (c) the failure of a Credit Party or any ERISA Affiliate to make by its due date a required installment under Section 430(j) of the Code with respect</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to any Pension Plan; (d) a failure to satisfy the minimum funding standard under Section 412 of the Code or Section 302 of ERISA, or the filing pursuant to Section 412(c) of the Code or Section 302(c) of ERISA of an application for a waiver of the minimum funding standard, in</w:t>
      </w:r>
    </w:p>
    <w:p>
      <w:pPr>
        <w:spacing w:after="0" w:line="222" w:lineRule="auto"/>
        <w:rPr>
          <w:sz w:val="20"/>
          <w:szCs w:val="20"/>
          <w:color w:val="auto"/>
        </w:rPr>
      </w:pPr>
      <w:r>
        <w:rPr>
          <w:rFonts w:ascii="Times New Roman" w:cs="Times New Roman" w:eastAsia="Times New Roman" w:hAnsi="Times New Roman"/>
          <w:sz w:val="19"/>
          <w:szCs w:val="19"/>
          <w:color w:val="auto"/>
        </w:rPr>
        <w:t>each case with respect to a Pension Plan, whether or not waived, or a failure to make any required contribution to a Multiemployer Plan; (e) a</w:t>
      </w:r>
    </w:p>
    <w:p>
      <w:pPr>
        <w:jc w:val="both"/>
        <w:spacing w:after="0" w:line="215" w:lineRule="auto"/>
        <w:rPr>
          <w:sz w:val="20"/>
          <w:szCs w:val="20"/>
          <w:color w:val="auto"/>
        </w:rPr>
      </w:pPr>
      <w:r>
        <w:rPr>
          <w:rFonts w:ascii="Times New Roman" w:cs="Times New Roman" w:eastAsia="Times New Roman" w:hAnsi="Times New Roman"/>
          <w:sz w:val="19"/>
          <w:szCs w:val="19"/>
          <w:color w:val="auto"/>
        </w:rPr>
        <w:t>complete or partial withdrawal by a Credit Party or any ERISA Affiliate from a Multiemployer Plan or notification that a Multiemployer Plan is insolvent within the meaning of Title IV of ERISA or is in endangered or critical status, within the meaning of Section 305 of ERISA; (f)</w:t>
      </w:r>
    </w:p>
    <w:p>
      <w:pPr>
        <w:spacing w:after="0" w:line="211" w:lineRule="auto"/>
        <w:rPr>
          <w:sz w:val="20"/>
          <w:szCs w:val="20"/>
          <w:color w:val="auto"/>
        </w:rPr>
      </w:pPr>
      <w:r>
        <w:rPr>
          <w:rFonts w:ascii="Times New Roman" w:cs="Times New Roman" w:eastAsia="Times New Roman" w:hAnsi="Times New Roman"/>
          <w:sz w:val="20"/>
          <w:szCs w:val="20"/>
          <w:color w:val="auto"/>
        </w:rPr>
        <w:t>the filing of a notice of intent to terminate, the treatment of a Pension Plan amendment as a termination under Section 4041 or 4041A of</w:t>
      </w:r>
    </w:p>
    <w:p>
      <w:pPr>
        <w:jc w:val="both"/>
        <w:spacing w:after="0" w:line="204" w:lineRule="auto"/>
        <w:rPr>
          <w:sz w:val="20"/>
          <w:szCs w:val="20"/>
          <w:color w:val="auto"/>
        </w:rPr>
      </w:pPr>
      <w:r>
        <w:rPr>
          <w:rFonts w:ascii="Times New Roman" w:cs="Times New Roman" w:eastAsia="Times New Roman" w:hAnsi="Times New Roman"/>
          <w:sz w:val="20"/>
          <w:szCs w:val="20"/>
          <w:color w:val="auto"/>
        </w:rPr>
        <w:t>ERISA, respectively, or the commencement of proceedings by the PBGC to terminate a Pension Plan; (g) the appointment of a trustee to administer, any Pension Plan; (h) the imposition of any liability under Title IV of ERISA, including the imposition of a lien under Section</w:t>
      </w:r>
    </w:p>
    <w:p>
      <w:pPr>
        <w:spacing w:after="0" w:line="223" w:lineRule="auto"/>
        <w:rPr>
          <w:sz w:val="20"/>
          <w:szCs w:val="20"/>
          <w:color w:val="auto"/>
        </w:rPr>
      </w:pPr>
      <w:r>
        <w:rPr>
          <w:rFonts w:ascii="Times New Roman" w:cs="Times New Roman" w:eastAsia="Times New Roman" w:hAnsi="Times New Roman"/>
          <w:sz w:val="19"/>
          <w:szCs w:val="19"/>
          <w:color w:val="auto"/>
        </w:rPr>
        <w:t>412 or 430(k) of the Code or Section 303 or 4068 of ERISA on any property (or rights to property, whether real or personal) of a Credit Party</w:t>
      </w:r>
    </w:p>
    <w:p>
      <w:pPr>
        <w:jc w:val="both"/>
        <w:spacing w:after="0" w:line="215" w:lineRule="auto"/>
        <w:rPr>
          <w:sz w:val="20"/>
          <w:szCs w:val="20"/>
          <w:color w:val="auto"/>
        </w:rPr>
      </w:pPr>
      <w:r>
        <w:rPr>
          <w:rFonts w:ascii="Times New Roman" w:cs="Times New Roman" w:eastAsia="Times New Roman" w:hAnsi="Times New Roman"/>
          <w:sz w:val="19"/>
          <w:szCs w:val="19"/>
          <w:color w:val="auto"/>
        </w:rPr>
        <w:t>or any ERISA Affiliate, but excluding PBGC premiums due but not delinquent under Section 4007 of ERISA, upon such Credit Party or any ERISA Affiliate; (i) a determination that any Pension Plan is, or is expected to be, in “at-risk” status (within the meaning of Section 303(i)(4)</w:t>
      </w:r>
    </w:p>
    <w:p>
      <w:pPr>
        <w:jc w:val="both"/>
        <w:ind w:firstLine="8"/>
        <w:spacing w:after="0" w:line="218" w:lineRule="auto"/>
        <w:tabs>
          <w:tab w:leader="none" w:pos="33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ERISA or Section 430(i)(4)(A) of the Code) or (j) the occurrence of a non-exempt prohibited transaction with respect to any Pension Plan maintained or contributed to by any Credit Party (within the meaning of Section 4975 of the Code or Section 406 of ERISA) which could reasonably be excepted to result in material liability to such Credit Party.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12.15(a)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12.15(d)(i).</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Impacted Class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12.15(d)(i).</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12.15(d)(i).</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Subrogation Rights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12.15(e).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4" w:right="339" w:bottom="1440" w:gutter="0" w:footer="0" w:header="0"/>
        </w:sectPr>
      </w:pPr>
    </w:p>
    <w:bookmarkStart w:id="63" w:name="page64"/>
    <w:bookmarkEnd w:id="63"/>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shall mean the EU Bail-In Legislation Schedule published by the Loan Market Association (or any successor person), as in effect from time to time.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Excess Cash</w:t>
      </w:r>
      <w:r>
        <w:rPr>
          <w:rFonts w:ascii="Times New Roman" w:cs="Times New Roman" w:eastAsia="Times New Roman" w:hAnsi="Times New Roman"/>
          <w:sz w:val="19"/>
          <w:szCs w:val="19"/>
          <w:color w:val="auto"/>
        </w:rPr>
        <w:t>” shall mean, as of any date of determination, cash and cash equivalents of the Borrower and its Restricted Subsidiaries</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other than (a) any cash allocated for, reserved or otherwise set aside to pay royalty obligations, working interest obligations, vendor payments, suspense payments, similar payments as are customary in the oil and gas industry, severance and ad valorem taxes, payroll, payroll</w:t>
      </w:r>
    </w:p>
    <w:p>
      <w:pPr>
        <w:spacing w:after="0" w:line="222" w:lineRule="auto"/>
        <w:rPr>
          <w:sz w:val="20"/>
          <w:szCs w:val="20"/>
          <w:color w:val="auto"/>
        </w:rPr>
      </w:pPr>
      <w:r>
        <w:rPr>
          <w:rFonts w:ascii="Times New Roman" w:cs="Times New Roman" w:eastAsia="Times New Roman" w:hAnsi="Times New Roman"/>
          <w:sz w:val="19"/>
          <w:szCs w:val="19"/>
          <w:color w:val="auto"/>
        </w:rPr>
        <w:t>taxes, other taxes, and employee wage and benefit payment obligations of the Borrower or any Restricted Subsidiary then due and owing (or</w:t>
      </w:r>
    </w:p>
    <w:p>
      <w:pPr>
        <w:spacing w:after="0" w:line="204" w:lineRule="auto"/>
        <w:rPr>
          <w:sz w:val="20"/>
          <w:szCs w:val="20"/>
          <w:color w:val="auto"/>
        </w:rPr>
      </w:pPr>
      <w:r>
        <w:rPr>
          <w:rFonts w:ascii="Times New Roman" w:cs="Times New Roman" w:eastAsia="Times New Roman" w:hAnsi="Times New Roman"/>
          <w:sz w:val="20"/>
          <w:szCs w:val="20"/>
          <w:color w:val="auto"/>
        </w:rPr>
        <w:t>to be due and owing within five (5) days of such date), in each case other than such payments that would be due and owing in connection with or in contemplation of the commencement of proceedings under Debtor Relief Laws, and for which the Borrower or such Restricted</w:t>
      </w:r>
    </w:p>
    <w:p>
      <w:pPr>
        <w:spacing w:after="0" w:line="211" w:lineRule="auto"/>
        <w:rPr>
          <w:sz w:val="20"/>
          <w:szCs w:val="20"/>
          <w:color w:val="auto"/>
        </w:rPr>
      </w:pPr>
      <w:r>
        <w:rPr>
          <w:rFonts w:ascii="Times New Roman" w:cs="Times New Roman" w:eastAsia="Times New Roman" w:hAnsi="Times New Roman"/>
          <w:sz w:val="20"/>
          <w:szCs w:val="20"/>
          <w:color w:val="auto"/>
        </w:rPr>
        <w:t>Subsidiary either (x) has issued checks or has initiated wires or ACH transfers or (y) reasonably anticipates in good faith that it will issue</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checks or initiate wires or ACH transfers within five (5) days of such date, (b) any cash allocated for, reserved or otherwise set aside to pay other amounts permitted to be paid by the Borrower or its Restricted Subsidiaries in accordance with this Agreement and other Credit</w:t>
      </w:r>
    </w:p>
    <w:p>
      <w:pPr>
        <w:spacing w:after="0" w:line="211" w:lineRule="auto"/>
        <w:rPr>
          <w:sz w:val="20"/>
          <w:szCs w:val="20"/>
          <w:color w:val="auto"/>
        </w:rPr>
      </w:pPr>
      <w:r>
        <w:rPr>
          <w:rFonts w:ascii="Times New Roman" w:cs="Times New Roman" w:eastAsia="Times New Roman" w:hAnsi="Times New Roman"/>
          <w:sz w:val="20"/>
          <w:szCs w:val="20"/>
          <w:color w:val="auto"/>
        </w:rPr>
        <w:t>Documents due and owing as of such date (or to be due and owing within five (5) days of such date), in each case other than such payments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that would be due and owing in connection with or in contemplation of the commencement of proceedings under Debtor Relief Laws, to Persons who are not Affiliates of the Credit Parties and for which obligations the Borrower or any of its Restricted Subsidiaries have (x)</w:t>
      </w:r>
    </w:p>
    <w:p>
      <w:pPr>
        <w:spacing w:after="0" w:line="211" w:lineRule="auto"/>
        <w:rPr>
          <w:sz w:val="20"/>
          <w:szCs w:val="20"/>
          <w:color w:val="auto"/>
        </w:rPr>
      </w:pPr>
      <w:r>
        <w:rPr>
          <w:rFonts w:ascii="Times New Roman" w:cs="Times New Roman" w:eastAsia="Times New Roman" w:hAnsi="Times New Roman"/>
          <w:sz w:val="20"/>
          <w:szCs w:val="20"/>
          <w:color w:val="auto"/>
        </w:rPr>
        <w:t>issued checks or have initiated wires or ACH transfers or (y) reasonably anticipates in good faith that it will issue checks or initiate wires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ACH transfers within five (5) days of such date, as certified by the Borrower in any Notice of Borrowing with sufficient detail as is reasonably acceptable to the Agent, (c) any cash of the Borrower and its Restricted Subsidiaries constituting pledges and/or deposits securing</w:t>
      </w:r>
    </w:p>
    <w:p>
      <w:pPr>
        <w:spacing w:after="0" w:line="204" w:lineRule="auto"/>
        <w:rPr>
          <w:sz w:val="20"/>
          <w:szCs w:val="20"/>
          <w:color w:val="auto"/>
        </w:rPr>
      </w:pPr>
      <w:r>
        <w:rPr>
          <w:rFonts w:ascii="Times New Roman" w:cs="Times New Roman" w:eastAsia="Times New Roman" w:hAnsi="Times New Roman"/>
          <w:sz w:val="20"/>
          <w:szCs w:val="20"/>
          <w:color w:val="auto"/>
        </w:rPr>
        <w:t>any binding and enforceable purchase and sale agreement with any Persons who are not Affiliates of the Credit Parties, in each case to the extent permitted by this Agreement, (d) cash deposited with the Issuing Bank to cash collateralize Letters of Credit and (e) cash deposited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cash collateralize previously issued letters of credit, as permitted under </w:t>
      </w:r>
      <w:r>
        <w:rPr>
          <w:rFonts w:ascii="Times New Roman" w:cs="Times New Roman" w:eastAsia="Times New Roman" w:hAnsi="Times New Roman"/>
          <w:sz w:val="20"/>
          <w:szCs w:val="20"/>
          <w:u w:val="single" w:color="auto"/>
          <w:color w:val="auto"/>
        </w:rPr>
        <w:t>Section 10.2(d)</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shall mean the Securities Exchange Act of 1934, as amended, and the rules and regulations of the SEC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Accounts</w:t>
      </w:r>
      <w:r>
        <w:rPr>
          <w:rFonts w:ascii="Times New Roman" w:cs="Times New Roman" w:eastAsia="Times New Roman" w:hAnsi="Times New Roman"/>
          <w:sz w:val="20"/>
          <w:szCs w:val="20"/>
          <w:color w:val="auto"/>
        </w:rPr>
        <w:t>” shall mean (a) each account all of the deposits in which consist of amounts utilized solely to fund payroll,</w:t>
      </w:r>
    </w:p>
    <w:p>
      <w:pPr>
        <w:jc w:val="both"/>
        <w:spacing w:after="0" w:line="204" w:lineRule="auto"/>
        <w:rPr>
          <w:sz w:val="20"/>
          <w:szCs w:val="20"/>
          <w:color w:val="auto"/>
        </w:rPr>
      </w:pPr>
      <w:r>
        <w:rPr>
          <w:rFonts w:ascii="Times New Roman" w:cs="Times New Roman" w:eastAsia="Times New Roman" w:hAnsi="Times New Roman"/>
          <w:sz w:val="20"/>
          <w:szCs w:val="20"/>
          <w:color w:val="auto"/>
        </w:rPr>
        <w:t>employee benefit or tax obligations of the Borrower and its Restricted Subsidiaries, (b) fiduciary accounts, (c) segregated accounts of the Borrower and the Grantors solely holding royalty obligations owed to a person other than the Borrower or a Guarantor, suspense funds,</w:t>
      </w:r>
    </w:p>
    <w:p>
      <w:pPr>
        <w:spacing w:after="0" w:line="223" w:lineRule="auto"/>
        <w:rPr>
          <w:sz w:val="20"/>
          <w:szCs w:val="20"/>
          <w:color w:val="auto"/>
        </w:rPr>
      </w:pPr>
      <w:r>
        <w:rPr>
          <w:rFonts w:ascii="Times New Roman" w:cs="Times New Roman" w:eastAsia="Times New Roman" w:hAnsi="Times New Roman"/>
          <w:sz w:val="19"/>
          <w:szCs w:val="19"/>
          <w:color w:val="auto"/>
        </w:rPr>
        <w:t>royalty payments, net profits interest payments and other similar payments constituting property of a third party, (d) escrow or trust accounts</w:t>
      </w:r>
    </w:p>
    <w:p>
      <w:pPr>
        <w:spacing w:after="0" w:line="204" w:lineRule="auto"/>
        <w:rPr>
          <w:sz w:val="20"/>
          <w:szCs w:val="20"/>
          <w:color w:val="auto"/>
        </w:rPr>
      </w:pPr>
      <w:r>
        <w:rPr>
          <w:rFonts w:ascii="Times New Roman" w:cs="Times New Roman" w:eastAsia="Times New Roman" w:hAnsi="Times New Roman"/>
          <w:sz w:val="20"/>
          <w:szCs w:val="20"/>
          <w:color w:val="auto"/>
        </w:rPr>
        <w:t>pending litigation or other settlement claims, (e) accounts solely holding purchase price deposits held in escrow pursuant to a purchase and sale agreement with a third party containing customary provisions regarding the payment and refunding of such deposits, (f) accounts solely</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holding cash collateral to secure letters of credit permitted pursuant to </w:t>
      </w:r>
      <w:r>
        <w:rPr>
          <w:rFonts w:ascii="Times New Roman" w:cs="Times New Roman" w:eastAsia="Times New Roman" w:hAnsi="Times New Roman"/>
          <w:sz w:val="19"/>
          <w:szCs w:val="19"/>
          <w:u w:val="single" w:color="auto"/>
          <w:color w:val="auto"/>
        </w:rPr>
        <w:t>Section 10.2(d)</w:t>
      </w:r>
      <w:r>
        <w:rPr>
          <w:rFonts w:ascii="Times New Roman" w:cs="Times New Roman" w:eastAsia="Times New Roman" w:hAnsi="Times New Roman"/>
          <w:sz w:val="19"/>
          <w:szCs w:val="19"/>
          <w:color w:val="auto"/>
        </w:rPr>
        <w:t xml:space="preserve"> and (g) other accounts selected by the Borrower and its</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 xml:space="preserve">Restricted Subsidiaries so long as the average daily maximum balance in any such other account over a thirty (30) day period does not at any time exceed $10,000,000;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aggregate daily maximum balance for all such bank accounts excluded pursuant to this </w:t>
      </w:r>
      <w:r>
        <w:rPr>
          <w:rFonts w:ascii="Times New Roman" w:cs="Times New Roman" w:eastAsia="Times New Roman" w:hAnsi="Times New Roman"/>
          <w:sz w:val="19"/>
          <w:szCs w:val="19"/>
          <w:u w:val="single" w:color="auto"/>
          <w:color w:val="auto"/>
        </w:rPr>
        <w:t>clause (g)</w:t>
      </w:r>
    </w:p>
    <w:p>
      <w:pPr>
        <w:spacing w:after="0"/>
        <w:rPr>
          <w:sz w:val="20"/>
          <w:szCs w:val="20"/>
          <w:color w:val="auto"/>
        </w:rPr>
      </w:pPr>
      <w:r>
        <w:rPr>
          <w:rFonts w:ascii="Times New Roman" w:cs="Times New Roman" w:eastAsia="Times New Roman" w:hAnsi="Times New Roman"/>
          <w:sz w:val="20"/>
          <w:szCs w:val="20"/>
          <w:color w:val="auto"/>
        </w:rPr>
        <w:t>on any day shall not exceed $20,000,000.</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shall have the meaning assigned to such term in the Collateral Agreement.</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Equity Interests</w:t>
      </w:r>
      <w:r>
        <w:rPr>
          <w:rFonts w:ascii="Times New Roman" w:cs="Times New Roman" w:eastAsia="Times New Roman" w:hAnsi="Times New Roman"/>
          <w:sz w:val="20"/>
          <w:szCs w:val="20"/>
          <w:color w:val="auto"/>
        </w:rPr>
        <w:t>” shall mean (a) any Equity Interests with respect to which, in the reasonable judgment of the Administrative Agent (confirmed in writing by notice to the Borrower), the cost or other consequences of pledging such Equity Interests in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favor of the Secured Parties under the Security Documents shall be excessive in view of the benefits to be obtained by the Secured Parties therefrom, (b) any Equity Interests to the extent the pledge thereof would be prohibited by any Requirement of Law, (c) in the case of any</w:t>
      </w:r>
    </w:p>
    <w:p>
      <w:pPr>
        <w:spacing w:after="0" w:line="223" w:lineRule="auto"/>
        <w:rPr>
          <w:sz w:val="20"/>
          <w:szCs w:val="20"/>
          <w:color w:val="auto"/>
        </w:rPr>
      </w:pPr>
      <w:r>
        <w:rPr>
          <w:rFonts w:ascii="Times New Roman" w:cs="Times New Roman" w:eastAsia="Times New Roman" w:hAnsi="Times New Roman"/>
          <w:sz w:val="19"/>
          <w:szCs w:val="19"/>
          <w:color w:val="auto"/>
        </w:rPr>
        <w:t>Equity Interests of any Subsidiary to the extent the pledge of such Equity Interests is prohibited by Contractual Requirements existing on the</w:t>
      </w:r>
    </w:p>
    <w:p>
      <w:pPr>
        <w:spacing w:after="0" w:line="221" w:lineRule="auto"/>
        <w:rPr>
          <w:sz w:val="20"/>
          <w:szCs w:val="20"/>
          <w:color w:val="auto"/>
        </w:rPr>
      </w:pPr>
      <w:r>
        <w:rPr>
          <w:rFonts w:ascii="Times New Roman" w:cs="Times New Roman" w:eastAsia="Times New Roman" w:hAnsi="Times New Roman"/>
          <w:sz w:val="20"/>
          <w:szCs w:val="20"/>
          <w:color w:val="auto"/>
        </w:rPr>
        <w:t>Closing Date or at the time such Subsidiary is acquired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Contractual Requirements have not been entered into in contemplation of this Agreement or such Subsidiary being acquired), any Equity Interests of each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color w:val="auto"/>
        </w:rPr>
        <w:t>Subsidiary to the extent (A) that a pledge thereof to secure the Obligations is prohibited by such Contractual Requirement (other than</w:t>
      </w:r>
    </w:p>
    <w:p>
      <w:pPr>
        <w:jc w:val="both"/>
        <w:spacing w:after="0" w:line="215" w:lineRule="auto"/>
        <w:rPr>
          <w:sz w:val="20"/>
          <w:szCs w:val="20"/>
          <w:color w:val="auto"/>
        </w:rPr>
      </w:pPr>
      <w:r>
        <w:rPr>
          <w:rFonts w:ascii="Times New Roman" w:cs="Times New Roman" w:eastAsia="Times New Roman" w:hAnsi="Times New Roman"/>
          <w:sz w:val="19"/>
          <w:szCs w:val="19"/>
          <w:color w:val="auto"/>
        </w:rPr>
        <w:t>customary non-assignment provisions which are ineffective under the UCC or other applicable Requirements of Law), (B) such Contractual Requirement prohibits such a pledge without the consent of any other party other than if (1) such other party is a Credit Party or a Subsidiary,</w:t>
      </w:r>
    </w:p>
    <w:p>
      <w:pPr>
        <w:jc w:val="both"/>
        <w:ind w:firstLine="8"/>
        <w:spacing w:after="0" w:line="220" w:lineRule="auto"/>
        <w:tabs>
          <w:tab w:leader="none" w:pos="282"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consent is solely contingent or conditioned upon a commercially reasonable undertaking by the Borrower or any Subsidiary which is in its reasonable control or (3) such consent has been obtained (it being understood that this </w:t>
      </w:r>
      <w:r>
        <w:rPr>
          <w:rFonts w:ascii="Times New Roman" w:cs="Times New Roman" w:eastAsia="Times New Roman" w:hAnsi="Times New Roman"/>
          <w:sz w:val="19"/>
          <w:szCs w:val="19"/>
          <w:u w:val="single" w:color="auto"/>
          <w:color w:val="auto"/>
        </w:rPr>
        <w:t>clause (3)</w:t>
      </w:r>
      <w:r>
        <w:rPr>
          <w:rFonts w:ascii="Times New Roman" w:cs="Times New Roman" w:eastAsia="Times New Roman" w:hAnsi="Times New Roman"/>
          <w:sz w:val="19"/>
          <w:szCs w:val="19"/>
          <w:color w:val="auto"/>
        </w:rPr>
        <w:t xml:space="preserve"> shall not be deemed to obligate the Borrower or any Subsidiary to obtain any such consent) and only for so long as such Contractual Requirement is in effect, or (C) a pledge thereof to secure the Obligations would give any other party (other than a Credit Party or a Subsidiary) to such Contractual Requirement the right to terminate its obligations thereunder (in each case under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other than customary non-assignment provisions that are ineffective under the UCC or other applicable Requirement of Law), (d) the Equity Interests of any Unrestricted Subsidiary, (e) the Equity Interests set forth on </w:t>
      </w:r>
      <w:r>
        <w:rPr>
          <w:rFonts w:ascii="Times New Roman" w:cs="Times New Roman" w:eastAsia="Times New Roman" w:hAnsi="Times New Roman"/>
          <w:sz w:val="19"/>
          <w:szCs w:val="19"/>
          <w:u w:val="single" w:color="auto"/>
          <w:color w:val="auto"/>
        </w:rPr>
        <w:t>Schedule 1.1(b)</w:t>
      </w:r>
      <w:r>
        <w:rPr>
          <w:rFonts w:ascii="Times New Roman" w:cs="Times New Roman" w:eastAsia="Times New Roman" w:hAnsi="Times New Roman"/>
          <w:sz w:val="19"/>
          <w:szCs w:val="19"/>
          <w:color w:val="auto"/>
        </w:rPr>
        <w:t xml:space="preserve"> which have been identified on or prior to the Closing Date in writing to the Administrative Agent by an Authorized Officer of the Borrower and agreed to by the Administrative Agent, (f) Margin Stock and (g) solely in the case of any pledge of Equity Interests of any CFC or FSHCO to secure the Obligations, any Equity Interests in excess of sixty-five percent (65%) of the outstanding Voting Equity of such CFC or FSHCO (such percentages to be adjusted upon any change of law as may be required to avoid adverse U.S. federal income tax consequences to the Borrower or any Subsidiary). Notwithstanding the foregoing, the Equity Interests of any Production Sharing Entity that is the direct owner of any Production Sharing Contract shall not be Excluded Equity Interests.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shall mean (a) each Immaterial Subsidiary, for so long as any such Subsidiary constitutes an Immaterial</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Subsidiary pursuant to the terms hereof, (b) each Restricted Subsidiary that is not a Wholly owned Subsidiary (for so long as such Subsidiary remains a non-wholly owned Restricted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Material Subsidiary shall not be excluded pursuant to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(c)</w:t>
      </w:r>
    </w:p>
    <w:p>
      <w:pPr>
        <w:jc w:val="both"/>
        <w:spacing w:after="0" w:line="204" w:lineRule="auto"/>
        <w:rPr>
          <w:sz w:val="20"/>
          <w:szCs w:val="20"/>
          <w:color w:val="auto"/>
        </w:rPr>
      </w:pPr>
      <w:r>
        <w:rPr>
          <w:rFonts w:ascii="Times New Roman" w:cs="Times New Roman" w:eastAsia="Times New Roman" w:hAnsi="Times New Roman"/>
          <w:sz w:val="20"/>
          <w:szCs w:val="20"/>
          <w:color w:val="auto"/>
        </w:rPr>
        <w:t>each Restricted Subsidiary that is prohibited by any applicable Contractual Requirement (other than customary non-assignment provisions that are ineffective under the UCC or other applicable Requirement of Law or any term, covenant, condition or provision that would be</w:t>
      </w:r>
    </w:p>
    <w:p>
      <w:pPr>
        <w:spacing w:after="0" w:line="223" w:lineRule="auto"/>
        <w:rPr>
          <w:sz w:val="20"/>
          <w:szCs w:val="20"/>
          <w:color w:val="auto"/>
        </w:rPr>
      </w:pPr>
      <w:r>
        <w:rPr>
          <w:rFonts w:ascii="Times New Roman" w:cs="Times New Roman" w:eastAsia="Times New Roman" w:hAnsi="Times New Roman"/>
          <w:sz w:val="19"/>
          <w:szCs w:val="19"/>
          <w:color w:val="auto"/>
        </w:rPr>
        <w:t>waived by the Borrower or its Affiliates) not entered into in contemplation of this Agreement or of such Subsidiary becoming a Subsidiary or</w:t>
      </w:r>
    </w:p>
    <w:p>
      <w:pPr>
        <w:jc w:val="both"/>
        <w:spacing w:after="0" w:line="204" w:lineRule="auto"/>
        <w:rPr>
          <w:sz w:val="20"/>
          <w:szCs w:val="20"/>
          <w:color w:val="auto"/>
        </w:rPr>
      </w:pPr>
      <w:r>
        <w:rPr>
          <w:rFonts w:ascii="Times New Roman" w:cs="Times New Roman" w:eastAsia="Times New Roman" w:hAnsi="Times New Roman"/>
          <w:sz w:val="20"/>
          <w:szCs w:val="20"/>
          <w:color w:val="auto"/>
        </w:rPr>
        <w:t>a Restricted Subsidiary or Requirement of Law from guaranteeing or granting Liens to secure the Obligations at the time such Person becomes a Subsidiary or Restricted Subsidiary, and for so long as such restriction is in effect and was not entered into in contemplation of</w:t>
      </w:r>
    </w:p>
    <w:p>
      <w:pPr>
        <w:spacing w:after="0" w:line="211" w:lineRule="auto"/>
        <w:rPr>
          <w:sz w:val="20"/>
          <w:szCs w:val="20"/>
          <w:color w:val="auto"/>
        </w:rPr>
      </w:pPr>
      <w:r>
        <w:rPr>
          <w:rFonts w:ascii="Times New Roman" w:cs="Times New Roman" w:eastAsia="Times New Roman" w:hAnsi="Times New Roman"/>
          <w:sz w:val="20"/>
          <w:szCs w:val="20"/>
          <w:color w:val="auto"/>
        </w:rPr>
        <w:t>this Agreement or such Person becoming a Subsidiary or a Restricted Subsidiary or that would require a consent, approval, license 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authorization of a Governmental Authority to guarantee or grant Liens to secure the Obligations at the time such Person becomes a Subsidiary or a Restricted Subsidiary (unless such consent, approval, license or authorization has been received), (d)(i) any FSHCO, (ii) any</w:t>
      </w:r>
    </w:p>
    <w:p>
      <w:pPr>
        <w:spacing w:after="0" w:line="211" w:lineRule="auto"/>
        <w:rPr>
          <w:sz w:val="20"/>
          <w:szCs w:val="20"/>
          <w:color w:val="auto"/>
        </w:rPr>
      </w:pPr>
      <w:r>
        <w:rPr>
          <w:rFonts w:ascii="Times New Roman" w:cs="Times New Roman" w:eastAsia="Times New Roman" w:hAnsi="Times New Roman"/>
          <w:sz w:val="20"/>
          <w:szCs w:val="20"/>
          <w:color w:val="auto"/>
        </w:rPr>
        <w:t>direct or indirect Subsidiary of the Borrower that is a CFC and (iii) any Domestic Subsidiary that is a direct or indirect subsidiary of a</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Foreign Subsidiary of the Borrower that is a CFC and (e) each Unrestricted Subsidiary. For the avoidance of doubt, any Subsidiary which is an Excluded Subsidiary (as defined in the Existing Credit Agreement) immediately prior to the Closing Date shall be an Excluded Subsidiary</w:t>
      </w:r>
    </w:p>
    <w:p>
      <w:pPr>
        <w:spacing w:after="0"/>
        <w:rPr>
          <w:sz w:val="20"/>
          <w:szCs w:val="20"/>
          <w:color w:val="auto"/>
        </w:rPr>
      </w:pPr>
      <w:r>
        <w:rPr>
          <w:rFonts w:ascii="Times New Roman" w:cs="Times New Roman" w:eastAsia="Times New Roman" w:hAnsi="Times New Roman"/>
          <w:sz w:val="20"/>
          <w:szCs w:val="20"/>
          <w:color w:val="auto"/>
        </w:rPr>
        <w:t>under this Agreement as of the Closing Date.</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shall mean with respect to any Guarantor, any Hedging Obligation if, and to the extent that, and only for so long as, all or a portion of the guarantee of such Guarantor of, or the grant by such Guarantor of a security interest to secure, as</w:t>
      </w:r>
    </w:p>
    <w:p>
      <w:pPr>
        <w:spacing w:after="0" w:line="224" w:lineRule="auto"/>
        <w:rPr>
          <w:sz w:val="20"/>
          <w:szCs w:val="20"/>
          <w:color w:val="auto"/>
        </w:rPr>
      </w:pPr>
      <w:r>
        <w:rPr>
          <w:rFonts w:ascii="Times New Roman" w:cs="Times New Roman" w:eastAsia="Times New Roman" w:hAnsi="Times New Roman"/>
          <w:sz w:val="19"/>
          <w:szCs w:val="19"/>
          <w:color w:val="auto"/>
        </w:rPr>
        <w:t>applicable, such Hedging Obligation (or any guarantee thereof) is or becomes illegal or unlawful under the Commodity Exchange Act or any</w:t>
      </w:r>
    </w:p>
    <w:p>
      <w:pPr>
        <w:jc w:val="both"/>
        <w:spacing w:after="0" w:line="204" w:lineRule="auto"/>
        <w:rPr>
          <w:sz w:val="20"/>
          <w:szCs w:val="20"/>
          <w:color w:val="auto"/>
        </w:rPr>
      </w:pPr>
      <w:r>
        <w:rPr>
          <w:rFonts w:ascii="Times New Roman" w:cs="Times New Roman" w:eastAsia="Times New Roman" w:hAnsi="Times New Roman"/>
          <w:sz w:val="20"/>
          <w:szCs w:val="20"/>
          <w:color w:val="auto"/>
        </w:rPr>
        <w:t>rule, regulation or order of the Commodity Futures Trading Commission (or the application or official interpretation of any thereof) or any other applicable Requirement of Law. If a Hedging Obligation arises under a master agreement governing more than one Hedge Agreement,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such exclusion shall apply only to the portion of such Hedging Obligation that is attributable to Hedge Agreements for which such guarantee or security interest is or becomes illegal.</w:t>
      </w:r>
    </w:p>
    <w:p>
      <w:pPr>
        <w:spacing w:after="0" w:line="14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shall mean any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w:t>
      </w:r>
    </w:p>
    <w:p>
      <w:pPr>
        <w:spacing w:after="0" w:line="2" w:lineRule="exact"/>
        <w:rPr>
          <w:sz w:val="20"/>
          <w:szCs w:val="20"/>
          <w:color w:val="auto"/>
        </w:rPr>
      </w:pPr>
    </w:p>
    <w:p>
      <w:pPr>
        <w:ind w:left="300" w:hanging="292"/>
        <w:spacing w:after="0"/>
        <w:tabs>
          <w:tab w:leader="none" w:pos="3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Other Connection Taxes, (b) in the case of a Lender, U.S. federal withholding</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98"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color w:val="auto"/>
        </w:rPr>
        <w:t>Taxes imposed on amounts payable to or for the account of such Lender with respect to an applicable interest in a Loan or Commitment</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 or (ii) such Lender changes its lending office, except in each case to the extent that,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became a party hereto or to such Lender immediately before it changed its lending office, (c) Taxes attributable to such recipient’s failure to comply with </w:t>
      </w:r>
      <w:r>
        <w:rPr>
          <w:rFonts w:ascii="Times New Roman" w:cs="Times New Roman" w:eastAsia="Times New Roman" w:hAnsi="Times New Roman"/>
          <w:sz w:val="19"/>
          <w:szCs w:val="19"/>
          <w:u w:val="single" w:color="auto"/>
          <w:color w:val="auto"/>
        </w:rPr>
        <w:t>Section 5.4(f)</w:t>
      </w:r>
      <w:r>
        <w:rPr>
          <w:rFonts w:ascii="Times New Roman" w:cs="Times New Roman" w:eastAsia="Times New Roman" w:hAnsi="Times New Roman"/>
          <w:sz w:val="19"/>
          <w:szCs w:val="19"/>
          <w:color w:val="auto"/>
        </w:rPr>
        <w:t xml:space="preserve"> and (d) any withholding Taxes imposed under FATCA, in each case of the foregoing </w:t>
      </w:r>
      <w:r>
        <w:rPr>
          <w:rFonts w:ascii="Times New Roman" w:cs="Times New Roman" w:eastAsia="Times New Roman" w:hAnsi="Times New Roman"/>
          <w:sz w:val="19"/>
          <w:szCs w:val="19"/>
          <w:u w:val="single" w:color="auto"/>
          <w:color w:val="auto"/>
        </w:rPr>
        <w:t>clauses (a)-(d)</w:t>
      </w:r>
      <w:r>
        <w:rPr>
          <w:rFonts w:ascii="Times New Roman" w:cs="Times New Roman" w:eastAsia="Times New Roman" w:hAnsi="Times New Roman"/>
          <w:sz w:val="19"/>
          <w:szCs w:val="19"/>
          <w:color w:val="auto"/>
        </w:rPr>
        <w:t>, which Taxes</w:t>
      </w:r>
    </w:p>
    <w:p>
      <w:pPr>
        <w:spacing w:after="0"/>
        <w:rPr>
          <w:sz w:val="20"/>
          <w:szCs w:val="20"/>
          <w:color w:val="auto"/>
        </w:rPr>
      </w:pPr>
      <w:r>
        <w:rPr>
          <w:rFonts w:ascii="Times New Roman" w:cs="Times New Roman" w:eastAsia="Times New Roman" w:hAnsi="Times New Roman"/>
          <w:sz w:val="20"/>
          <w:szCs w:val="20"/>
          <w:color w:val="auto"/>
        </w:rPr>
        <w:t>are imposed on or with respect to a Recipient or required to be withheld or deducted from a payment to a Recipient.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shall have the meaning provided in the preamble.</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shall mean each letter of credit that is outstanding immediately prior to the Closing Date by each of Citi, KeyBank National Association, MUFG Bank, Ltd., Royal Bank of Canada, Mizuho Bank, Ltd., and any of their respective Affiliates, each, as issuing bank, and which are further described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Exiting Lender</w:t>
      </w:r>
      <w:r>
        <w:rPr>
          <w:rFonts w:ascii="Times New Roman" w:cs="Times New Roman" w:eastAsia="Times New Roman" w:hAnsi="Times New Roman"/>
          <w:sz w:val="20"/>
          <w:szCs w:val="20"/>
          <w:color w:val="auto"/>
        </w:rPr>
        <w:t>” means any lender that is a party to the Existing Credit Agreement that has not executed and delivered this Agreement (and will not have a Commitment hereunder) as of the Closing Date.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Expected Cure Amount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11.13(a)(iii)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shall mean this Agreement and the Commitments and the extensions of credit made hereunder.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shall mean, with respect to any asset or group of assets on any date of determination, the value of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consideration obtainable in a Disposition of such asset at such date of determination assuming a Disposition by a willing seller to a willing purchaser dealing at arm’s length and arranged in an orderly manner over a reasonable period of time having regard to the nature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characteristics of such asset, as reasonably determined by the Borrower in good faith.</w:t>
      </w:r>
    </w:p>
    <w:p>
      <w:pPr>
        <w:spacing w:after="0" w:line="15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Farm-In Agreement</w:t>
      </w:r>
      <w:r>
        <w:rPr>
          <w:rFonts w:ascii="Times New Roman" w:cs="Times New Roman" w:eastAsia="Times New Roman" w:hAnsi="Times New Roman"/>
          <w:sz w:val="20"/>
          <w:szCs w:val="20"/>
          <w:color w:val="auto"/>
        </w:rPr>
        <w:t>” shall mean an agreement, joint venture or contractual relationship whereby a Person agrees, among other things, to pay all or a share of the drilling, completion or other expenses of one or more wells or perform the drilling, completion or other</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operation on such well or wells as all or a part of the consideration provided in exchange for an ownership interest in an Oil and Gas Property or which has been formed for the purpose of exploring for and/or developing Oil and Gas Properties, where each of the parties thereto has</w:t>
      </w:r>
    </w:p>
    <w:p>
      <w:pPr>
        <w:spacing w:after="0"/>
        <w:rPr>
          <w:sz w:val="20"/>
          <w:szCs w:val="20"/>
          <w:color w:val="auto"/>
        </w:rPr>
      </w:pPr>
      <w:r>
        <w:rPr>
          <w:rFonts w:ascii="Times New Roman" w:cs="Times New Roman" w:eastAsia="Times New Roman" w:hAnsi="Times New Roman"/>
          <w:sz w:val="20"/>
          <w:szCs w:val="20"/>
          <w:color w:val="auto"/>
        </w:rPr>
        <w:t>either contributed or agreed to contribute cash, services, Oil and Gas Properties, other assets, or any combination of the foregoing.</w:t>
      </w:r>
    </w:p>
    <w:p>
      <w:pPr>
        <w:spacing w:after="0" w:line="16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Farm-Out Agreement</w:t>
      </w:r>
      <w:r>
        <w:rPr>
          <w:rFonts w:ascii="Times New Roman" w:cs="Times New Roman" w:eastAsia="Times New Roman" w:hAnsi="Times New Roman"/>
          <w:sz w:val="20"/>
          <w:szCs w:val="20"/>
          <w:color w:val="auto"/>
        </w:rPr>
        <w:t>” shall mean a Farm-In Agreement, viewed from the standpoint of the party that grants to another party the right to earn an ownership interest in an Oil and Gas Property.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shall mean Sections 1471 through 1474 of the Code, as of the date of this Agreement (or any amended or successor</w:t>
      </w:r>
    </w:p>
    <w:p>
      <w:pPr>
        <w:jc w:val="both"/>
        <w:spacing w:after="0" w:line="204" w:lineRule="auto"/>
        <w:rPr>
          <w:sz w:val="20"/>
          <w:szCs w:val="20"/>
          <w:color w:val="auto"/>
        </w:rPr>
      </w:pPr>
      <w:r>
        <w:rPr>
          <w:rFonts w:ascii="Times New Roman" w:cs="Times New Roman" w:eastAsia="Times New Roman" w:hAnsi="Times New Roman"/>
          <w:sz w:val="20"/>
          <w:szCs w:val="20"/>
          <w:color w:val="auto"/>
        </w:rPr>
        <w:t>version that is substantively comparable and not materially more onerous to comply with), any current or future regulations or official interpretations thereof, any agreements entered into pursuant to Section 1471(b)(1) of the Code and any fiscal or regulatory legislation, rules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or practices adopted pursuant to any intergovernmental agreement, treaty or convention among Governmental Authorities and implementing such Sections of the Code.</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shall mean, for any day, the weighted average of the per annum rates on overnight federal funds transactions with members of the Federal Reserve System arranged by federal funds brokers on such day, as published on the next succeeding Business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Day on the Federal Reserve Bank of New York’s Website or, (a) if such rate is not so published for any date that is a Business Day, the Federal Funds Rate for such day shall be such rate on such transactions on the immediately preceding Business Day as so published on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next succeeding Business Day and if no such rate is so published on such next succeeding Business Day, the Federal Funds Rate for such day shall be the average rate charged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color w:val="auto"/>
        </w:rPr>
        <w:t xml:space="preserve">to the Administrative Agent on such day on such transactions as determined by the Administrative Agent;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if the Federal Funds Rate as so determined would be less than zero, such rate shall be deemed to be zero for the purposes of this Agreement.</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Bank of New York’s Website</w:t>
      </w:r>
      <w:r>
        <w:rPr>
          <w:rFonts w:ascii="Times New Roman" w:cs="Times New Roman" w:eastAsia="Times New Roman" w:hAnsi="Times New Roman"/>
          <w:sz w:val="20"/>
          <w:szCs w:val="20"/>
          <w:color w:val="auto"/>
        </w:rPr>
        <w:t>” shall mean the website of the NYFRB at http://www.newyorkfed.org, or any successor source.</w:t>
      </w:r>
    </w:p>
    <w:p>
      <w:pPr>
        <w:spacing w:after="0" w:line="161"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of any Person shall mean the Chief Financial Officer, Chief Accounting Officer, principal accounting officer, Controller, Treasurer or Assistant Treasurer of such Person.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Performance Covenants</w:t>
      </w:r>
      <w:r>
        <w:rPr>
          <w:rFonts w:ascii="Times New Roman" w:cs="Times New Roman" w:eastAsia="Times New Roman" w:hAnsi="Times New Roman"/>
          <w:sz w:val="20"/>
          <w:szCs w:val="20"/>
          <w:color w:val="auto"/>
        </w:rPr>
        <w:t xml:space="preserve">” shall mean the covenants of the Borrower set forth in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Insurance Regulations</w:t>
      </w:r>
      <w:r>
        <w:rPr>
          <w:rFonts w:ascii="Times New Roman" w:cs="Times New Roman" w:eastAsia="Times New Roman" w:hAnsi="Times New Roman"/>
          <w:sz w:val="20"/>
          <w:szCs w:val="20"/>
          <w:color w:val="auto"/>
        </w:rPr>
        <w:t>” shall mean (a) the National Flood Insurance Act of 1968 as now or hereafter in effect or any successor statute thereto, (b) the Flood Disaster Protection Act of 1973 as now or hereafter in effect or any successor statute thereto, (c) the</w:t>
      </w:r>
    </w:p>
    <w:p>
      <w:pPr>
        <w:spacing w:after="0" w:line="212" w:lineRule="auto"/>
        <w:rPr>
          <w:sz w:val="20"/>
          <w:szCs w:val="20"/>
          <w:color w:val="auto"/>
        </w:rPr>
      </w:pPr>
      <w:r>
        <w:rPr>
          <w:rFonts w:ascii="Times New Roman" w:cs="Times New Roman" w:eastAsia="Times New Roman" w:hAnsi="Times New Roman"/>
          <w:sz w:val="20"/>
          <w:szCs w:val="20"/>
          <w:color w:val="auto"/>
        </w:rPr>
        <w:t>National Flood Insurance Reform Act of 1994 (amending 42 USC § 4001, et seq.), as the same may be amended or recodified from time to</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time or any successor statute thereto, (d) the Flood Insurance Reform Act of 2004 as now or hereafter in effect or any successor statute thereto, and (e) the Biggert-Waters Flood Insurance Reform Act of 2012, as now or hereafter in effect or any successor statute thereto,</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together with all statutory and regulatory provisions consolidating, amending, replacing, supplementing, implementing or interpreting any of the foregoing, as amended or modified from time to time.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shall mean a rate of interest equal to zero percent (0.00%).</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shall mean a Lender that is not a U.S. Person.</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Plan</w:t>
      </w:r>
      <w:r>
        <w:rPr>
          <w:rFonts w:ascii="Times New Roman" w:cs="Times New Roman" w:eastAsia="Times New Roman" w:hAnsi="Times New Roman"/>
          <w:sz w:val="20"/>
          <w:szCs w:val="20"/>
          <w:color w:val="auto"/>
        </w:rPr>
        <w:t>” shall mean any employee benefit plan, program, policy, arrangement or agreement maintained or contributed to by the Borrower or any of its Subsidiaries with respect to employees employed outside the United States.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shall mean each Subsidiary of the Borrower that is not a Domestic Subsidiary.</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Free Cash Flow</w:t>
      </w:r>
      <w:r>
        <w:rPr>
          <w:rFonts w:ascii="Times New Roman" w:cs="Times New Roman" w:eastAsia="Times New Roman" w:hAnsi="Times New Roman"/>
          <w:sz w:val="20"/>
          <w:szCs w:val="20"/>
          <w:color w:val="auto"/>
        </w:rPr>
        <w:t xml:space="preserve">” shall mean, for any Test Period, Consolidated EBITDAX of the Borrower and its Restricted Subsidiaries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increase (or plus the decrease) in non-cash Working Capital (without duplication of any working capital changes already considered</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elsewhere and excluding the Available Commitment from the calculation of Consolidated Current Assets) from the previous Test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sum, in each case without duplication, of the following amounts in respect of the Borrower and its Restricted Subsidiaries for such</w:t>
      </w:r>
    </w:p>
    <w:p>
      <w:pPr>
        <w:spacing w:after="0" w:line="211" w:lineRule="auto"/>
        <w:rPr>
          <w:sz w:val="20"/>
          <w:szCs w:val="20"/>
          <w:color w:val="auto"/>
        </w:rPr>
      </w:pPr>
      <w:r>
        <w:rPr>
          <w:rFonts w:ascii="Times New Roman" w:cs="Times New Roman" w:eastAsia="Times New Roman" w:hAnsi="Times New Roman"/>
          <w:sz w:val="20"/>
          <w:szCs w:val="20"/>
          <w:color w:val="auto"/>
        </w:rPr>
        <w:t>period: (a) voluntary and scheduled cash prepayments and repayments of Indebtedness (other than the Loans) which cannot be reborrowed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pursuant to the terms of such Indebtedness (other than any repayments of Other Debt and other transactions contemplated by </w:t>
      </w:r>
      <w:r>
        <w:rPr>
          <w:rFonts w:ascii="Times New Roman" w:cs="Times New Roman" w:eastAsia="Times New Roman" w:hAnsi="Times New Roman"/>
          <w:sz w:val="20"/>
          <w:szCs w:val="20"/>
          <w:u w:val="single" w:color="auto"/>
          <w:color w:val="auto"/>
        </w:rPr>
        <w:t>Section 10.7(a)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(b) cash paid for capital expenditures, (c)(i) cash payments for amounts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the definition of</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Consolidated Interest Expense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amounts described in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of the definition of Consolidated Interest Expense, (d) income and</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franchise taxes paid in cash, (e) exploration expenses paid in cash, (f)(i) Investments made in cash during such period (other than those made in reliance on </w:t>
      </w:r>
      <w:r>
        <w:rPr>
          <w:rFonts w:ascii="Times New Roman" w:cs="Times New Roman" w:eastAsia="Times New Roman" w:hAnsi="Times New Roman"/>
          <w:sz w:val="19"/>
          <w:szCs w:val="19"/>
          <w:u w:val="single" w:color="auto"/>
          <w:color w:val="auto"/>
        </w:rPr>
        <w:t>Section 10.5(i)</w:t>
      </w:r>
      <w:r>
        <w:rPr>
          <w:rFonts w:ascii="Times New Roman" w:cs="Times New Roman" w:eastAsia="Times New Roman" w:hAnsi="Times New Roman"/>
          <w:sz w:val="19"/>
          <w:szCs w:val="19"/>
          <w:color w:val="auto"/>
        </w:rPr>
        <w:t xml:space="preserve">) and (ii) Restricted Payments made in cash during such period (other than those made in reliance on </w:t>
      </w:r>
      <w:r>
        <w:rPr>
          <w:rFonts w:ascii="Times New Roman" w:cs="Times New Roman" w:eastAsia="Times New Roman" w:hAnsi="Times New Roman"/>
          <w:sz w:val="19"/>
          <w:szCs w:val="19"/>
          <w:u w:val="single" w:color="auto"/>
          <w:color w:val="auto"/>
        </w:rPr>
        <w:t>Section</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10.6(i)</w:t>
      </w:r>
      <w:r>
        <w:rPr>
          <w:rFonts w:ascii="Times New Roman" w:cs="Times New Roman" w:eastAsia="Times New Roman" w:hAnsi="Times New Roman"/>
          <w:sz w:val="20"/>
          <w:szCs w:val="20"/>
          <w:color w:val="auto"/>
        </w:rPr>
        <w:t>) and (g) to the extent not included in the foregoing and added back in the calculation of Consolidated EBITDAX, any other cash</w:t>
      </w:r>
    </w:p>
    <w:p>
      <w:pPr>
        <w:spacing w:after="0" w:line="204" w:lineRule="auto"/>
        <w:rPr>
          <w:sz w:val="20"/>
          <w:szCs w:val="20"/>
          <w:color w:val="auto"/>
        </w:rPr>
      </w:pPr>
      <w:r>
        <w:rPr>
          <w:rFonts w:ascii="Times New Roman" w:cs="Times New Roman" w:eastAsia="Times New Roman" w:hAnsi="Times New Roman"/>
          <w:sz w:val="20"/>
          <w:szCs w:val="20"/>
          <w:color w:val="auto"/>
        </w:rPr>
        <w:t>charge that reduces the earnings of the Borrower and its Restricted Subsidiaries, except (i) in the case of each of the forgoing clauses in this definition, to the extent financed with proceeds of any Qualified Equity Interests (excluding any Cure Amount) and (ii) in the case of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(f)(i)</w:t>
      </w:r>
      <w:r>
        <w:rPr>
          <w:rFonts w:ascii="Times New Roman" w:cs="Times New Roman" w:eastAsia="Times New Roman" w:hAnsi="Times New Roman"/>
          <w:sz w:val="20"/>
          <w:szCs w:val="20"/>
          <w:color w:val="auto"/>
        </w:rPr>
        <w:t xml:space="preserve"> (except to the extent made in reliance on </w:t>
      </w:r>
      <w:r>
        <w:rPr>
          <w:rFonts w:ascii="Times New Roman" w:cs="Times New Roman" w:eastAsia="Times New Roman" w:hAnsi="Times New Roman"/>
          <w:sz w:val="20"/>
          <w:szCs w:val="20"/>
          <w:u w:val="single" w:color="auto"/>
          <w:color w:val="auto"/>
        </w:rPr>
        <w:t>Section 10.5(k)</w:t>
      </w:r>
      <w:r>
        <w:rPr>
          <w:rFonts w:ascii="Times New Roman" w:cs="Times New Roman" w:eastAsia="Times New Roman" w:hAnsi="Times New Roman"/>
          <w:sz w:val="20"/>
          <w:szCs w:val="20"/>
          <w:color w:val="auto"/>
        </w:rPr>
        <w:t>), to the extent financed with long term</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Indebtedness permitted in the Credit Documents (other than the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aggregate Net Cash Proceeds from Dispositions not required to be applied to repay the Loans under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so long as no Loans are outstanding at the time of determination of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9"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Free Cash Flow Utilizations</w:t>
      </w:r>
      <w:r>
        <w:rPr>
          <w:rFonts w:ascii="Times New Roman" w:cs="Times New Roman" w:eastAsia="Times New Roman" w:hAnsi="Times New Roman"/>
          <w:sz w:val="20"/>
          <w:szCs w:val="20"/>
          <w:color w:val="auto"/>
        </w:rPr>
        <w:t xml:space="preserve">” shall mean each of the following transactions that occur in reliance on </w:t>
      </w:r>
      <w:r>
        <w:rPr>
          <w:rFonts w:ascii="Times New Roman" w:cs="Times New Roman" w:eastAsia="Times New Roman" w:hAnsi="Times New Roman"/>
          <w:sz w:val="20"/>
          <w:szCs w:val="20"/>
          <w:u w:val="single" w:color="auto"/>
          <w:color w:val="auto"/>
        </w:rPr>
        <w:t>clause (a)(iv)</w:t>
      </w:r>
      <w:r>
        <w:rPr>
          <w:rFonts w:ascii="Times New Roman" w:cs="Times New Roman" w:eastAsia="Times New Roman" w:hAnsi="Times New Roman"/>
          <w:sz w:val="20"/>
          <w:szCs w:val="20"/>
          <w:color w:val="auto"/>
        </w:rPr>
        <w:t xml:space="preserve"> of the definition</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of “Restricted Payment Conditions”: (a) Investments made in reliance on </w:t>
      </w:r>
      <w:r>
        <w:rPr>
          <w:rFonts w:ascii="Times New Roman" w:cs="Times New Roman" w:eastAsia="Times New Roman" w:hAnsi="Times New Roman"/>
          <w:sz w:val="20"/>
          <w:szCs w:val="20"/>
          <w:u w:val="single" w:color="auto"/>
          <w:color w:val="auto"/>
        </w:rPr>
        <w:t>Section 10.5(i)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“Restricted Payment Conditions”, (b) Restricted Payments made in reliance on </w:t>
      </w:r>
      <w:r>
        <w:rPr>
          <w:rFonts w:ascii="Times New Roman" w:cs="Times New Roman" w:eastAsia="Times New Roman" w:hAnsi="Times New Roman"/>
          <w:sz w:val="20"/>
          <w:szCs w:val="20"/>
          <w:u w:val="single" w:color="auto"/>
          <w:color w:val="auto"/>
        </w:rPr>
        <w:t>Section 10.6(j)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“Restricted Payment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Conditions” and (c) repayments of Other Debt and other transactions contemplated by </w:t>
      </w:r>
      <w:r>
        <w:rPr>
          <w:rFonts w:ascii="Times New Roman" w:cs="Times New Roman" w:eastAsia="Times New Roman" w:hAnsi="Times New Roman"/>
          <w:sz w:val="20"/>
          <w:szCs w:val="20"/>
          <w:u w:val="single" w:color="auto"/>
          <w:color w:val="auto"/>
        </w:rPr>
        <w:t>Section 10.7(a)(iii)</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Fee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4.1(c)</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FSHCO</w:t>
      </w:r>
      <w:r>
        <w:rPr>
          <w:rFonts w:ascii="Times New Roman" w:cs="Times New Roman" w:eastAsia="Times New Roman" w:hAnsi="Times New Roman"/>
          <w:sz w:val="20"/>
          <w:szCs w:val="20"/>
          <w:color w:val="auto"/>
        </w:rPr>
        <w:t>” shall mean any Domestic Subsidiary substantially all of the assets of which constitute the Equity Interests and/or Indebtedness of CFCs.</w:t>
      </w:r>
    </w:p>
    <w:p>
      <w:pPr>
        <w:spacing w:after="0" w:line="161"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shall mean any Person (other than a natural person) that is (or will be) engaged in making, purchasing, holding or otherwise investing in commercial loans and similar extensions of credit in the ordinary course.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shall mean generally accepted accounting principles in the United States of America, as in effect from time to time;</w:t>
      </w:r>
    </w:p>
    <w:p>
      <w:pPr>
        <w:spacing w:after="0" w:line="215" w:lineRule="auto"/>
        <w:rPr>
          <w:sz w:val="20"/>
          <w:szCs w:val="20"/>
          <w:color w:val="auto"/>
        </w:rPr>
      </w:pP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(i) if the Borrower notifies the Administrative Agent that the Borrower requests that any provision hereof be applied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a way to eliminate the effect of any change occurring after the Closing Date in GAAP or in the application thereof on the operation of such</w:t>
      </w:r>
    </w:p>
    <w:p>
      <w:pPr>
        <w:spacing w:after="0" w:line="211" w:lineRule="auto"/>
        <w:rPr>
          <w:sz w:val="20"/>
          <w:szCs w:val="20"/>
          <w:color w:val="auto"/>
        </w:rPr>
      </w:pPr>
      <w:r>
        <w:rPr>
          <w:rFonts w:ascii="Times New Roman" w:cs="Times New Roman" w:eastAsia="Times New Roman" w:hAnsi="Times New Roman"/>
          <w:sz w:val="20"/>
          <w:szCs w:val="20"/>
          <w:color w:val="auto"/>
        </w:rPr>
        <w:t>provision (or if the Administrative Agent notifies the Borrower that the Required Lenders request an amendment to any provision hereof for</w:t>
      </w:r>
    </w:p>
    <w:p>
      <w:pPr>
        <w:ind w:right="20"/>
        <w:spacing w:after="0" w:line="204" w:lineRule="auto"/>
        <w:rPr>
          <w:sz w:val="20"/>
          <w:szCs w:val="20"/>
          <w:color w:val="auto"/>
        </w:rPr>
      </w:pPr>
      <w:r>
        <w:rPr>
          <w:rFonts w:ascii="Times New Roman" w:cs="Times New Roman" w:eastAsia="Times New Roman" w:hAnsi="Times New Roman"/>
          <w:sz w:val="20"/>
          <w:szCs w:val="20"/>
          <w:color w:val="auto"/>
        </w:rPr>
        <w:t>such purpose), regardless of whether any such notice is given before or after such change in GAAP or in the application thereof, then such provision shall be interpreted on the basis of GAAP as in effect and applied immediately before such change shall have become effective</w:t>
      </w:r>
    </w:p>
    <w:p>
      <w:pPr>
        <w:spacing w:after="0" w:line="211" w:lineRule="auto"/>
        <w:rPr>
          <w:sz w:val="20"/>
          <w:szCs w:val="20"/>
          <w:color w:val="auto"/>
        </w:rPr>
      </w:pPr>
      <w:r>
        <w:rPr>
          <w:rFonts w:ascii="Times New Roman" w:cs="Times New Roman" w:eastAsia="Times New Roman" w:hAnsi="Times New Roman"/>
          <w:sz w:val="20"/>
          <w:szCs w:val="20"/>
          <w:color w:val="auto"/>
        </w:rPr>
        <w:t>until such notice shall have been withdrawn or such provision amended in accordance herewith, (ii) GAAP shall be construed, and all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computations of amounts and ratios referred to herein shall be made, without giving effect to any election under Accounting Standards Codification Topic No. 825 (or any other Financial Accounting Standard having a similar result or effect) to value any Indebtedness or other</w:t>
      </w:r>
    </w:p>
    <w:p>
      <w:pPr>
        <w:spacing w:after="0" w:line="215" w:lineRule="auto"/>
        <w:rPr>
          <w:sz w:val="20"/>
          <w:szCs w:val="20"/>
          <w:color w:val="auto"/>
        </w:rPr>
      </w:pPr>
      <w:r>
        <w:rPr>
          <w:rFonts w:ascii="Times New Roman" w:cs="Times New Roman" w:eastAsia="Times New Roman" w:hAnsi="Times New Roman"/>
          <w:sz w:val="19"/>
          <w:szCs w:val="19"/>
          <w:color w:val="auto"/>
        </w:rPr>
        <w:t>liabilities of the Borrower or any of its Subsidiaries at “fair value,” as defined therein, and Indebtedness shall be measured at the aggregate principal amount thereof, and (iii) the accounting for operating leases and capital leases shall be determined in compliance with the definition</w:t>
      </w:r>
    </w:p>
    <w:p>
      <w:pPr>
        <w:spacing w:after="0"/>
        <w:rPr>
          <w:sz w:val="20"/>
          <w:szCs w:val="20"/>
          <w:color w:val="auto"/>
        </w:rPr>
      </w:pPr>
      <w:r>
        <w:rPr>
          <w:rFonts w:ascii="Times New Roman" w:cs="Times New Roman" w:eastAsia="Times New Roman" w:hAnsi="Times New Roman"/>
          <w:sz w:val="20"/>
          <w:szCs w:val="20"/>
          <w:color w:val="auto"/>
        </w:rPr>
        <w:t>of “Capitalized Lease”.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shall mean any nation, sovereign or government, any state, province, city, territory or other political subdivision thereof, and any entity or authority exercising executive, legislative, judicial, taxing, regulatory or administrative functions of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pertaining to government, including a central bank or stock exchange and any port authority.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Granting Lender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13.6(g)</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Grantors</w:t>
      </w:r>
      <w:r>
        <w:rPr>
          <w:rFonts w:ascii="Times New Roman" w:cs="Times New Roman" w:eastAsia="Times New Roman" w:hAnsi="Times New Roman"/>
          <w:sz w:val="20"/>
          <w:szCs w:val="20"/>
          <w:color w:val="auto"/>
        </w:rPr>
        <w:t>” shall mean the Borrower, each Guarantor and each Production Sharing Entity.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shall mean that certain Amended and Restated Guarantee dated as of the date hereof, by the Borrower and the</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Guarantors from time to time party thereto in favor of the Collateral Agent for the benefit of the Secured Parties,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 Obligations</w:t>
      </w:r>
      <w:r>
        <w:rPr>
          <w:rFonts w:ascii="Times New Roman" w:cs="Times New Roman" w:eastAsia="Times New Roman" w:hAnsi="Times New Roman"/>
          <w:sz w:val="20"/>
          <w:szCs w:val="20"/>
          <w:color w:val="auto"/>
        </w:rPr>
        <w:t>” shall mean, as to any Person, any obligation of such Person guaranteeing or intended to guarantee any</w:t>
      </w:r>
    </w:p>
    <w:p>
      <w:pPr>
        <w:jc w:val="both"/>
        <w:spacing w:after="0" w:line="204" w:lineRule="auto"/>
        <w:rPr>
          <w:sz w:val="20"/>
          <w:szCs w:val="20"/>
          <w:color w:val="auto"/>
        </w:rPr>
      </w:pPr>
      <w:r>
        <w:rPr>
          <w:rFonts w:ascii="Times New Roman" w:cs="Times New Roman" w:eastAsia="Times New Roman" w:hAnsi="Times New Roman"/>
          <w:sz w:val="20"/>
          <w:szCs w:val="20"/>
          <w:color w:val="auto"/>
        </w:rPr>
        <w:t>Indebtedness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in any manner, whether directly or indirectly, including any obligation of such Person, whether or not contingent, (a) to purchase any such Indebtedness or any property constituting direct or indirect security therefor, (b)</w:t>
      </w:r>
    </w:p>
    <w:p>
      <w:pPr>
        <w:spacing w:after="0" w:line="211" w:lineRule="auto"/>
        <w:rPr>
          <w:sz w:val="20"/>
          <w:szCs w:val="20"/>
          <w:color w:val="auto"/>
        </w:rPr>
      </w:pPr>
      <w:r>
        <w:rPr>
          <w:rFonts w:ascii="Times New Roman" w:cs="Times New Roman" w:eastAsia="Times New Roman" w:hAnsi="Times New Roman"/>
          <w:sz w:val="20"/>
          <w:szCs w:val="20"/>
          <w:color w:val="auto"/>
        </w:rPr>
        <w:t>to advance or supply funds (i) for the purchase or payment of any such Indebtedness or (ii) to maintain working capital or equity capital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primary obligor or otherwise to maintain financial condition or liquidity of the primary obligor so as to enable the primary obligor to pay such Indebtedness, (c) to purchase property, securities or services primarily for the purpose of assuring the owner of any such Indebtedness of</w:t>
      </w:r>
    </w:p>
    <w:p>
      <w:pPr>
        <w:spacing w:after="0" w:line="211" w:lineRule="auto"/>
        <w:rPr>
          <w:sz w:val="20"/>
          <w:szCs w:val="20"/>
          <w:color w:val="auto"/>
        </w:rPr>
      </w:pPr>
      <w:r>
        <w:rPr>
          <w:rFonts w:ascii="Times New Roman" w:cs="Times New Roman" w:eastAsia="Times New Roman" w:hAnsi="Times New Roman"/>
          <w:sz w:val="20"/>
          <w:szCs w:val="20"/>
          <w:color w:val="auto"/>
        </w:rPr>
        <w:t>the ability of the primary obligor to make payment of such Indebtedness or (d) otherwise to assure or hold harmless the owner of such</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Indebtedness against loss in respect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term “Guarantee Obligations” shall not include endorsements of instruments for deposit or collection in the ordinary course of business or customary and reasonable indemnity obligations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color w:val="auto"/>
        </w:rPr>
        <w:t>effect on the Closing Date or entered into in connection with any acquisition or Disposition of assets permitted under this Agreement (other</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than such obligations with respect to Indebtedness). The amount of any Guarantee Obligation shall be deemed to be an amount equal to the stated or determinable amount of the Indebtedness in respect of which such Guarantee Obligation is made or, if not stated or determinable,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maximum reasonably anticipated liability in respect thereof as determined by such Person in good faith.</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xml:space="preserve">” shall mean (a) each Restricted Subsidiary listed on </w:t>
      </w:r>
      <w:r>
        <w:rPr>
          <w:rFonts w:ascii="Times New Roman" w:cs="Times New Roman" w:eastAsia="Times New Roman" w:hAnsi="Times New Roman"/>
          <w:sz w:val="20"/>
          <w:szCs w:val="20"/>
          <w:u w:val="single" w:color="auto"/>
          <w:color w:val="auto"/>
        </w:rPr>
        <w:t>Schedule 1.1(c)</w:t>
      </w:r>
      <w:r>
        <w:rPr>
          <w:rFonts w:ascii="Times New Roman" w:cs="Times New Roman" w:eastAsia="Times New Roman" w:hAnsi="Times New Roman"/>
          <w:sz w:val="20"/>
          <w:szCs w:val="20"/>
          <w:color w:val="auto"/>
        </w:rPr>
        <w:t xml:space="preserve"> that becomes a party to the Guarantee on the Closing Date (except to the extent such subsidiary is released from its Guarantee in accordance with the terms hereof); provided that, for the</w:t>
      </w:r>
    </w:p>
    <w:p>
      <w:pPr>
        <w:spacing w:after="0" w:line="224" w:lineRule="auto"/>
        <w:rPr>
          <w:sz w:val="20"/>
          <w:szCs w:val="20"/>
          <w:color w:val="auto"/>
        </w:rPr>
      </w:pPr>
      <w:r>
        <w:rPr>
          <w:rFonts w:ascii="Times New Roman" w:cs="Times New Roman" w:eastAsia="Times New Roman" w:hAnsi="Times New Roman"/>
          <w:sz w:val="19"/>
          <w:szCs w:val="19"/>
          <w:color w:val="auto"/>
        </w:rPr>
        <w:t xml:space="preserve">avoidance of doubt, each Restricted Subsidiary listed on </w:t>
      </w:r>
      <w:r>
        <w:rPr>
          <w:rFonts w:ascii="Times New Roman" w:cs="Times New Roman" w:eastAsia="Times New Roman" w:hAnsi="Times New Roman"/>
          <w:sz w:val="19"/>
          <w:szCs w:val="19"/>
          <w:u w:val="single" w:color="auto"/>
          <w:color w:val="auto"/>
        </w:rPr>
        <w:t>Schedule 1.1(c)</w:t>
      </w:r>
      <w:r>
        <w:rPr>
          <w:rFonts w:ascii="Times New Roman" w:cs="Times New Roman" w:eastAsia="Times New Roman" w:hAnsi="Times New Roman"/>
          <w:sz w:val="19"/>
          <w:szCs w:val="19"/>
          <w:color w:val="auto"/>
        </w:rPr>
        <w:t xml:space="preserve"> shall be required to become a party to the Guarantee on the Closing</w:t>
      </w:r>
    </w:p>
    <w:p>
      <w:pPr>
        <w:spacing w:after="0" w:line="204" w:lineRule="auto"/>
        <w:rPr>
          <w:sz w:val="20"/>
          <w:szCs w:val="20"/>
          <w:color w:val="auto"/>
        </w:rPr>
      </w:pPr>
      <w:r>
        <w:rPr>
          <w:rFonts w:ascii="Times New Roman" w:cs="Times New Roman" w:eastAsia="Times New Roman" w:hAnsi="Times New Roman"/>
          <w:sz w:val="20"/>
          <w:szCs w:val="20"/>
          <w:color w:val="auto"/>
        </w:rPr>
        <w:t>Date (other than (x) an Excluded Subsidiary or (y) a Production Sharing Entity for so long as such Subsidiary is party to a Production Sharing Contract (except, in each case, to the extent provided below)), and (b) each other Restricted Subsidiary (other than (x) an Excluded</w:t>
      </w:r>
    </w:p>
    <w:p>
      <w:pPr>
        <w:spacing w:after="0" w:line="211" w:lineRule="auto"/>
        <w:rPr>
          <w:sz w:val="20"/>
          <w:szCs w:val="20"/>
          <w:color w:val="auto"/>
        </w:rPr>
      </w:pPr>
      <w:r>
        <w:rPr>
          <w:rFonts w:ascii="Times New Roman" w:cs="Times New Roman" w:eastAsia="Times New Roman" w:hAnsi="Times New Roman"/>
          <w:sz w:val="20"/>
          <w:szCs w:val="20"/>
          <w:color w:val="auto"/>
        </w:rPr>
        <w:t>Subsidiary or (y) a Production Sharing Entity for so long as such Subsidiary is party to a Production Sharing Contract (except, in each case,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to the extent provided below)) that becomes a party to the Guarantee after the Closing Date pursuant to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or otherwise;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for the avoidance of doubt, the Borrower in its sole discretion may cause any Restricted Subsidiary that is not required to be a Guarantor</w:t>
      </w:r>
    </w:p>
    <w:p>
      <w:pPr>
        <w:spacing w:after="0" w:line="211" w:lineRule="auto"/>
        <w:rPr>
          <w:sz w:val="20"/>
          <w:szCs w:val="20"/>
          <w:color w:val="auto"/>
        </w:rPr>
      </w:pPr>
      <w:r>
        <w:rPr>
          <w:rFonts w:ascii="Times New Roman" w:cs="Times New Roman" w:eastAsia="Times New Roman" w:hAnsi="Times New Roman"/>
          <w:sz w:val="20"/>
          <w:szCs w:val="20"/>
          <w:color w:val="auto"/>
        </w:rPr>
        <w:t>hereunder or pursuant to the Security Documents to provide a Guarantee by causing such Restricted Subsidiary to execute a Guarantee and</w:t>
      </w:r>
    </w:p>
    <w:p>
      <w:pPr>
        <w:spacing w:after="0" w:line="221" w:lineRule="auto"/>
        <w:rPr>
          <w:sz w:val="20"/>
          <w:szCs w:val="20"/>
          <w:color w:val="auto"/>
        </w:rPr>
      </w:pPr>
      <w:r>
        <w:rPr>
          <w:rFonts w:ascii="Times New Roman" w:cs="Times New Roman" w:eastAsia="Times New Roman" w:hAnsi="Times New Roman"/>
          <w:sz w:val="20"/>
          <w:szCs w:val="20"/>
          <w:color w:val="auto"/>
        </w:rPr>
        <w:t>such Restricted Subsidiary shall be a Guarantor and Credit Party for all purposes hereunder except to the extent released from such Guarantee in accordance with the terms hereof.</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shall mean (a) any petroleum or petroleum products, natural gas or natural gas liquids, radioactive materials,</w:t>
      </w:r>
    </w:p>
    <w:p>
      <w:pPr>
        <w:jc w:val="both"/>
        <w:spacing w:after="0" w:line="204" w:lineRule="auto"/>
        <w:rPr>
          <w:sz w:val="20"/>
          <w:szCs w:val="20"/>
          <w:color w:val="auto"/>
        </w:rPr>
      </w:pPr>
      <w:r>
        <w:rPr>
          <w:rFonts w:ascii="Times New Roman" w:cs="Times New Roman" w:eastAsia="Times New Roman" w:hAnsi="Times New Roman"/>
          <w:sz w:val="20"/>
          <w:szCs w:val="20"/>
          <w:color w:val="auto"/>
        </w:rPr>
        <w:t>friable asbestos, urea formaldehyde foam insulation, polychlorinated biphenyls, and radon gas and (b) any chemicals, materials, substances, or wastes defined as or included in the definition of or otherwise classified or regulated as “hazardous substances”, “hazardous waste”,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“hazardous materials”, “extremely hazardous waste”, “restricted hazardous waste”, “toxic substances”, “toxic pollutants”, “contaminants”, or “pollutants”, or words of similar import, under any applicable Environmental Law or that would otherwise reasonably be expected to result in</w:t>
      </w:r>
    </w:p>
    <w:p>
      <w:pPr>
        <w:spacing w:after="0"/>
        <w:rPr>
          <w:sz w:val="20"/>
          <w:szCs w:val="20"/>
          <w:color w:val="auto"/>
        </w:rPr>
      </w:pPr>
      <w:r>
        <w:rPr>
          <w:rFonts w:ascii="Times New Roman" w:cs="Times New Roman" w:eastAsia="Times New Roman" w:hAnsi="Times New Roman"/>
          <w:sz w:val="20"/>
          <w:szCs w:val="20"/>
          <w:color w:val="auto"/>
        </w:rPr>
        <w:t>liability under any Environmental Law.</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Hedge Agreements</w:t>
      </w:r>
      <w:r>
        <w:rPr>
          <w:rFonts w:ascii="Times New Roman" w:cs="Times New Roman" w:eastAsia="Times New Roman" w:hAnsi="Times New Roman"/>
          <w:sz w:val="19"/>
          <w:szCs w:val="19"/>
          <w:color w:val="auto"/>
        </w:rPr>
        <w:t>” shall mean (a) any and all rate swap transactions, basis swaps, credit derivative transactions, forward rate transactions, commodity swaps, commodity options, forward commodity contracts, future contracts, equity or equity index swaps or options,</w:t>
      </w:r>
    </w:p>
    <w:p>
      <w:pPr>
        <w:spacing w:after="0" w:line="211" w:lineRule="auto"/>
        <w:rPr>
          <w:sz w:val="20"/>
          <w:szCs w:val="20"/>
          <w:color w:val="auto"/>
        </w:rPr>
      </w:pPr>
      <w:r>
        <w:rPr>
          <w:rFonts w:ascii="Times New Roman" w:cs="Times New Roman" w:eastAsia="Times New Roman" w:hAnsi="Times New Roman"/>
          <w:sz w:val="20"/>
          <w:szCs w:val="20"/>
          <w:color w:val="auto"/>
        </w:rPr>
        <w:t>bond or bond price or bond index swaps or options or forward bond or forward bond price or forward bond index transactions, interest rate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options, forward foreign exchange transactions, cap transactions, floor transactions, collar transactions, currency swap transactions, cross-currency rate swap transactions, currency options, total return swap, credit spread transaction, repurchase transaction, reserve repurchase</w:t>
      </w:r>
    </w:p>
    <w:p>
      <w:pPr>
        <w:spacing w:after="0" w:line="211" w:lineRule="auto"/>
        <w:rPr>
          <w:sz w:val="20"/>
          <w:szCs w:val="20"/>
          <w:color w:val="auto"/>
        </w:rPr>
      </w:pPr>
      <w:r>
        <w:rPr>
          <w:rFonts w:ascii="Times New Roman" w:cs="Times New Roman" w:eastAsia="Times New Roman" w:hAnsi="Times New Roman"/>
          <w:sz w:val="20"/>
          <w:szCs w:val="20"/>
          <w:color w:val="auto"/>
        </w:rPr>
        <w:t>transaction, securities lending transaction, weather index transaction, spot contracts, fixed-price physical delivery contracts of crude oil with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 tenor ending over ninety (90) days from the date of execution (it being understood that such fixed-price physical delivery contracts with a tenor of ninety (90) days or shorter shall not be “Hedge Agreements” for purposes of this clause (a)), fixed-price physical delivery contracts</w:t>
      </w:r>
    </w:p>
    <w:p>
      <w:pPr>
        <w:spacing w:after="0" w:line="211" w:lineRule="auto"/>
        <w:rPr>
          <w:sz w:val="20"/>
          <w:szCs w:val="20"/>
          <w:color w:val="auto"/>
        </w:rPr>
      </w:pPr>
      <w:r>
        <w:rPr>
          <w:rFonts w:ascii="Times New Roman" w:cs="Times New Roman" w:eastAsia="Times New Roman" w:hAnsi="Times New Roman"/>
          <w:sz w:val="20"/>
          <w:szCs w:val="20"/>
          <w:color w:val="auto"/>
        </w:rPr>
        <w:t>of natural gas or natural gas liquids with a tenor ending over thirty (30) months from the date of execution (it being understood that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fixed-price physical delivery contracts with a tenor of thirty (30) months or shorter shall not be “Hedge Agreements” for purposes of this clause (a)), in each case whether or not exchange traded, or any combination of any of the foregoing (including any options to enter into any</w:t>
      </w:r>
    </w:p>
    <w:p>
      <w:pPr>
        <w:spacing w:after="0" w:line="211" w:lineRule="auto"/>
        <w:rPr>
          <w:sz w:val="20"/>
          <w:szCs w:val="20"/>
          <w:color w:val="auto"/>
        </w:rPr>
      </w:pPr>
      <w:r>
        <w:rPr>
          <w:rFonts w:ascii="Times New Roman" w:cs="Times New Roman" w:eastAsia="Times New Roman" w:hAnsi="Times New Roman"/>
          <w:sz w:val="20"/>
          <w:szCs w:val="20"/>
          <w:color w:val="auto"/>
        </w:rPr>
        <w:t>of the foregoing), whether or not any such transaction is governed by or subject to any master agreement, and (b) any and all transactions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kind, and the related confirmations, which are subject to the terms and conditions of, or governed by, any form of master agreement published by the International Swaps and Derivatives Association, Inc., or any International Foreign Exchange Master Agreement (any such</w:t>
      </w:r>
    </w:p>
    <w:p>
      <w:pPr>
        <w:spacing w:after="0" w:line="223" w:lineRule="auto"/>
        <w:rPr>
          <w:sz w:val="20"/>
          <w:szCs w:val="20"/>
          <w:color w:val="auto"/>
        </w:rPr>
      </w:pPr>
      <w:r>
        <w:rPr>
          <w:rFonts w:ascii="Times New Roman" w:cs="Times New Roman" w:eastAsia="Times New Roman" w:hAnsi="Times New Roman"/>
          <w:sz w:val="19"/>
          <w:szCs w:val="19"/>
          <w:color w:val="auto"/>
        </w:rPr>
        <w:t>master agreement, together with any related schedules, a “</w:t>
      </w:r>
      <w:r>
        <w:rPr>
          <w:rFonts w:ascii="Times New Roman" w:cs="Times New Roman" w:eastAsia="Times New Roman" w:hAnsi="Times New Roman"/>
          <w:sz w:val="19"/>
          <w:szCs w:val="19"/>
          <w:u w:val="single" w:color="auto"/>
          <w:color w:val="auto"/>
        </w:rPr>
        <w:t>Master Agreement</w:t>
      </w:r>
      <w:r>
        <w:rPr>
          <w:rFonts w:ascii="Times New Roman" w:cs="Times New Roman" w:eastAsia="Times New Roman" w:hAnsi="Times New Roman"/>
          <w:sz w:val="19"/>
          <w:szCs w:val="19"/>
          <w:color w:val="auto"/>
        </w:rPr>
        <w:t>”), including any such obligations or liabilities under any Master</w:t>
      </w:r>
    </w:p>
    <w:p>
      <w:pPr>
        <w:ind w:right="20"/>
        <w:spacing w:after="0" w:line="204" w:lineRule="auto"/>
        <w:rPr>
          <w:sz w:val="20"/>
          <w:szCs w:val="20"/>
          <w:color w:val="auto"/>
        </w:rPr>
      </w:pPr>
      <w:r>
        <w:rPr>
          <w:rFonts w:ascii="Times New Roman" w:cs="Times New Roman" w:eastAsia="Times New Roman" w:hAnsi="Times New Roman"/>
          <w:sz w:val="20"/>
          <w:szCs w:val="20"/>
          <w:color w:val="auto"/>
        </w:rPr>
        <w:t>Agreement. Notwithstanding the foregoing, agreements or obligations to physically sell any commodity at any index-based price shall not be considered Hedge Agreements. For the avoidance of doubt, any agreement entered into in connection with any Permitted Bond Hedge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 or Permitted Warrant Transaction will not constitute a Hedge Agreement.</w:t>
      </w:r>
    </w:p>
    <w:p>
      <w:pPr>
        <w:spacing w:after="0" w:line="167"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shall mean any Person that either (a) at the time it entered into a Secured Hedge Agreement or a Cash Management Agreement, as applicable, in its capacity as a party thereto, (b)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4" w:right="339" w:bottom="1440" w:gutter="0" w:footer="0" w:header="0"/>
        </w:sectPr>
      </w:pPr>
    </w:p>
    <w:bookmarkStart w:id="69" w:name="page70"/>
    <w:bookmarkEnd w:id="69"/>
    <w:p>
      <w:pPr>
        <w:jc w:val="both"/>
        <w:spacing w:after="0"/>
        <w:rPr>
          <w:sz w:val="20"/>
          <w:szCs w:val="20"/>
          <w:color w:val="auto"/>
        </w:rPr>
      </w:pPr>
      <w:r>
        <w:rPr>
          <w:rFonts w:ascii="Times New Roman" w:cs="Times New Roman" w:eastAsia="Times New Roman" w:hAnsi="Times New Roman"/>
          <w:sz w:val="20"/>
          <w:szCs w:val="20"/>
          <w:color w:val="auto"/>
        </w:rPr>
        <w:t>Closing Date or (c) at any time after it has entered into a Secured Hedge Agreement or a Cash Management Agreement, as applicable, in its capacity as a party thereto, is an Agent, Lender or any Affiliate of an Agent or Lender.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Compliance Certificate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9.1(g)</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Obligations</w:t>
      </w:r>
      <w:r>
        <w:rPr>
          <w:rFonts w:ascii="Times New Roman" w:cs="Times New Roman" w:eastAsia="Times New Roman" w:hAnsi="Times New Roman"/>
          <w:sz w:val="20"/>
          <w:szCs w:val="20"/>
          <w:color w:val="auto"/>
        </w:rPr>
        <w:t>” shall mean, with respect to any Person, the obligations of such Person under Hedge Agreements.</w:t>
      </w:r>
    </w:p>
    <w:p>
      <w:pPr>
        <w:spacing w:after="0" w:line="18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Highest Lawful Rate</w:t>
      </w:r>
      <w:r>
        <w:rPr>
          <w:rFonts w:ascii="Times New Roman" w:cs="Times New Roman" w:eastAsia="Times New Roman" w:hAnsi="Times New Roman"/>
          <w:sz w:val="20"/>
          <w:szCs w:val="20"/>
          <w:color w:val="auto"/>
        </w:rPr>
        <w:t>” shall mean, with respect to each Lender, the maximum nonusurious interest rate, if any, that at any time or from time to time may be contracted for, taken, reserved, charged or received on the Loans under laws applicable to such Lender which are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presently in effect or, to the extent allowed by law, under such applicable laws which may hereafter be in effect and which allow a higher maximum nonusurious interest rate than applicable laws allow as of the date hereof.</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Hydrocarbon Interests</w:t>
      </w:r>
      <w:r>
        <w:rPr>
          <w:rFonts w:ascii="Times New Roman" w:cs="Times New Roman" w:eastAsia="Times New Roman" w:hAnsi="Times New Roman"/>
          <w:sz w:val="20"/>
          <w:szCs w:val="20"/>
          <w:color w:val="auto"/>
        </w:rPr>
        <w:t>” shall mean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w:t>
      </w:r>
    </w:p>
    <w:p>
      <w:pPr>
        <w:spacing w:after="0" w:line="14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Hydrocarbons</w:t>
      </w:r>
      <w:r>
        <w:rPr>
          <w:rFonts w:ascii="Times New Roman" w:cs="Times New Roman" w:eastAsia="Times New Roman" w:hAnsi="Times New Roman"/>
          <w:sz w:val="20"/>
          <w:szCs w:val="20"/>
          <w:color w:val="auto"/>
        </w:rPr>
        <w:t>” shall mean oil, gas, casinghead gas, drip gasoline, natural gasoline, condensate, distillate, liquid hydrocarbons, gaseous hydrocarbons and all products refined or separated therefrom.</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ICC</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ICC Rule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shall mean any Subsidiary that is not a Material Subsidiary.</w:t>
      </w:r>
    </w:p>
    <w:p>
      <w:pPr>
        <w:spacing w:after="0" w:line="18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of any Person shall mean (a) all indebtedness of such Person for borrowed money, (b) all obligations of such Person evidenced by bonds, debentures, notes, loan agreements or other similar instruments, (c) the deferred purchase price of assets or services that</w:t>
      </w:r>
    </w:p>
    <w:p>
      <w:pPr>
        <w:jc w:val="both"/>
        <w:spacing w:after="0" w:line="204" w:lineRule="auto"/>
        <w:rPr>
          <w:sz w:val="20"/>
          <w:szCs w:val="20"/>
          <w:color w:val="auto"/>
        </w:rPr>
      </w:pPr>
      <w:r>
        <w:rPr>
          <w:rFonts w:ascii="Times New Roman" w:cs="Times New Roman" w:eastAsia="Times New Roman" w:hAnsi="Times New Roman"/>
          <w:sz w:val="20"/>
          <w:szCs w:val="20"/>
          <w:color w:val="auto"/>
        </w:rPr>
        <w:t>in accordance with GAAP would be included as a liability on the balance sheet of such Person (other than (i) any earn-out obligation until such obligation becomes a liability on the balance sheet of such Person in accordance with GAAP, and (ii) obligations resulting under firm</w:t>
      </w:r>
    </w:p>
    <w:p>
      <w:pPr>
        <w:spacing w:after="0" w:line="211" w:lineRule="auto"/>
        <w:rPr>
          <w:sz w:val="20"/>
          <w:szCs w:val="20"/>
          <w:color w:val="auto"/>
        </w:rPr>
      </w:pPr>
      <w:r>
        <w:rPr>
          <w:rFonts w:ascii="Times New Roman" w:cs="Times New Roman" w:eastAsia="Times New Roman" w:hAnsi="Times New Roman"/>
          <w:sz w:val="20"/>
          <w:szCs w:val="20"/>
          <w:color w:val="auto"/>
        </w:rPr>
        <w:t>transportation contracts, supply agreements, take or pay contracts (including in connection with the purchase of power from solar power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projects) or other similar agreements entered into in the ordinary course of business), (d) the maximum amount (after giving effect to any prior drawings or reductions which may have been reimbursed) of all outstanding letters of credit (including standby and commercial),</w:t>
      </w:r>
    </w:p>
    <w:p>
      <w:pPr>
        <w:spacing w:after="0" w:line="211" w:lineRule="auto"/>
        <w:rPr>
          <w:sz w:val="20"/>
          <w:szCs w:val="20"/>
          <w:color w:val="auto"/>
        </w:rPr>
      </w:pPr>
      <w:r>
        <w:rPr>
          <w:rFonts w:ascii="Times New Roman" w:cs="Times New Roman" w:eastAsia="Times New Roman" w:hAnsi="Times New Roman"/>
          <w:sz w:val="20"/>
          <w:szCs w:val="20"/>
          <w:color w:val="auto"/>
        </w:rPr>
        <w:t>bankers’ acceptances, bank guaranties, surety bonds, performance bonds and similar instruments issued or created by or for the account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such Person, (e) the principal component of all obligations in respect of Capitalized Leases of such Person, (f) net Hedging Obligations of such Person, (g) obligations to deliver commodities, goods or services, including Hydrocarbons, in consideration of one or more advance</w:t>
      </w:r>
    </w:p>
    <w:p>
      <w:pPr>
        <w:spacing w:after="0" w:line="223" w:lineRule="auto"/>
        <w:rPr>
          <w:sz w:val="20"/>
          <w:szCs w:val="20"/>
          <w:color w:val="auto"/>
        </w:rPr>
      </w:pPr>
      <w:r>
        <w:rPr>
          <w:rFonts w:ascii="Times New Roman" w:cs="Times New Roman" w:eastAsia="Times New Roman" w:hAnsi="Times New Roman"/>
          <w:sz w:val="19"/>
          <w:szCs w:val="19"/>
          <w:color w:val="auto"/>
        </w:rPr>
        <w:t>payments received by such Person, made more than one (1) month in advance of the month in which the commodities, good or services are to</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be delivered, other than obligations relating to net oil, natural gas liquids or natural gas balancing arrangements arising in the ordinary course of business, (h) all indebtedness (excluding prepaid interest thereon) of any other Person secured by any Lien on any property owned by such</w:t>
      </w:r>
    </w:p>
    <w:p>
      <w:pPr>
        <w:spacing w:after="0" w:line="222" w:lineRule="auto"/>
        <w:rPr>
          <w:sz w:val="20"/>
          <w:szCs w:val="20"/>
          <w:color w:val="auto"/>
        </w:rPr>
      </w:pPr>
      <w:r>
        <w:rPr>
          <w:rFonts w:ascii="Times New Roman" w:cs="Times New Roman" w:eastAsia="Times New Roman" w:hAnsi="Times New Roman"/>
          <w:sz w:val="19"/>
          <w:szCs w:val="19"/>
          <w:color w:val="auto"/>
        </w:rPr>
        <w:t>Person, whether or not such indebtedness has been assumed by such Person or is limited in recourse, (i) the amount of all obligations of such</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Person with respect to the redemption, repayment or other repurchase in respect of Disqualified Stock (excluding accrued dividends that have not increased the liquidation preference of such Disqualified Stock), (j) the undischarged balance of any Production Payments and Reserve</w:t>
      </w:r>
    </w:p>
    <w:p>
      <w:pPr>
        <w:spacing w:after="0" w:line="222" w:lineRule="auto"/>
        <w:rPr>
          <w:sz w:val="20"/>
          <w:szCs w:val="20"/>
          <w:color w:val="auto"/>
        </w:rPr>
      </w:pPr>
      <w:r>
        <w:rPr>
          <w:rFonts w:ascii="Times New Roman" w:cs="Times New Roman" w:eastAsia="Times New Roman" w:hAnsi="Times New Roman"/>
          <w:sz w:val="19"/>
          <w:szCs w:val="19"/>
          <w:color w:val="auto"/>
        </w:rPr>
        <w:t>Sales created by such Person or for the creation of which such Person directly or indirectly received payment and (k) without duplication, all</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Guarantee Obligations of such Person in respect of the items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above;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Indebtedness shall not include (i) trade and other ordinary-course payables (including payroll) and accrued expenses (which are not more than ninety (90) days past</w:t>
      </w:r>
    </w:p>
    <w:p>
      <w:pPr>
        <w:spacing w:after="0" w:line="222" w:lineRule="auto"/>
        <w:rPr>
          <w:sz w:val="20"/>
          <w:szCs w:val="20"/>
          <w:color w:val="auto"/>
        </w:rPr>
      </w:pPr>
      <w:r>
        <w:rPr>
          <w:rFonts w:ascii="Times New Roman" w:cs="Times New Roman" w:eastAsia="Times New Roman" w:hAnsi="Times New Roman"/>
          <w:sz w:val="19"/>
          <w:szCs w:val="19"/>
          <w:color w:val="auto"/>
        </w:rPr>
        <w:t>the due date of payment unless the subject of a good faith dispute), (ii) deferred or prepaid revenues, (iii) purchase price holdbacks in respect</w:t>
      </w:r>
    </w:p>
    <w:p>
      <w:pPr>
        <w:jc w:val="both"/>
        <w:spacing w:after="0" w:line="221" w:lineRule="auto"/>
        <w:rPr>
          <w:sz w:val="20"/>
          <w:szCs w:val="20"/>
          <w:color w:val="auto"/>
        </w:rPr>
      </w:pPr>
      <w:r>
        <w:rPr>
          <w:rFonts w:ascii="Times New Roman" w:cs="Times New Roman" w:eastAsia="Times New Roman" w:hAnsi="Times New Roman"/>
          <w:sz w:val="20"/>
          <w:szCs w:val="20"/>
          <w:color w:val="auto"/>
        </w:rPr>
        <w:t>of a portion of the purchase price of an asset to satisfy warranty or other unperformed obligations of the respective seller, (iv) in the case of the Borrower and its Restricted Subsidiaries,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color w:val="auto"/>
        </w:rPr>
        <w:t>intercompany Indebtedness made in the ordinary course of business, (v) guaranties, bonds and surety obligations incurred in the ordinary</w:t>
      </w:r>
    </w:p>
    <w:p>
      <w:pPr>
        <w:jc w:val="both"/>
        <w:spacing w:after="0" w:line="204" w:lineRule="auto"/>
        <w:rPr>
          <w:sz w:val="20"/>
          <w:szCs w:val="20"/>
          <w:color w:val="auto"/>
        </w:rPr>
      </w:pPr>
      <w:r>
        <w:rPr>
          <w:rFonts w:ascii="Times New Roman" w:cs="Times New Roman" w:eastAsia="Times New Roman" w:hAnsi="Times New Roman"/>
          <w:sz w:val="20"/>
          <w:szCs w:val="20"/>
          <w:color w:val="auto"/>
        </w:rPr>
        <w:t>course of business and required by governmental requirements in connection with the exploration, development or operation of Oil and Gas Properties, (vi) in-kind obligations relating to net oil, natural gas liquids or natural gas balancing positions arising in the ordinary course of</w:t>
      </w:r>
    </w:p>
    <w:p>
      <w:pPr>
        <w:spacing w:after="0" w:line="211" w:lineRule="auto"/>
        <w:rPr>
          <w:sz w:val="20"/>
          <w:szCs w:val="20"/>
          <w:color w:val="auto"/>
        </w:rPr>
      </w:pPr>
      <w:r>
        <w:rPr>
          <w:rFonts w:ascii="Times New Roman" w:cs="Times New Roman" w:eastAsia="Times New Roman" w:hAnsi="Times New Roman"/>
          <w:sz w:val="20"/>
          <w:szCs w:val="20"/>
          <w:color w:val="auto"/>
        </w:rPr>
        <w:t>business, (vii) any obligation in respect of a Farm-In Agreement or similar arrangement whereby such Person agrees to pay all or a share of</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the drilling, completion or other expenses of an exploratory or development well (which agreement may be subject to a maximum payment obligation, after which expenses are shared in accordance with the working or participation interest therein or in accordance with the</w:t>
      </w:r>
    </w:p>
    <w:p>
      <w:pPr>
        <w:spacing w:after="0" w:line="211" w:lineRule="auto"/>
        <w:rPr>
          <w:sz w:val="20"/>
          <w:szCs w:val="20"/>
          <w:color w:val="auto"/>
        </w:rPr>
      </w:pPr>
      <w:r>
        <w:rPr>
          <w:rFonts w:ascii="Times New Roman" w:cs="Times New Roman" w:eastAsia="Times New Roman" w:hAnsi="Times New Roman"/>
          <w:sz w:val="20"/>
          <w:szCs w:val="20"/>
          <w:color w:val="auto"/>
        </w:rPr>
        <w:t>agreement of the parties) or perform the drilling, completion or other operation on such well in exchange for an ownership interest in an oil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or gas property, (viii) operating leases or sale and leaseback transactions (except any resulting obligations under any Capitalized Lease), (ix) any Guarantee Obligations incurred in the ordinary course of business to the extent not guaranteeing Indebtedness, (x) prepayments for gas</w:t>
      </w:r>
    </w:p>
    <w:p>
      <w:pPr>
        <w:spacing w:after="0" w:line="223" w:lineRule="auto"/>
        <w:rPr>
          <w:sz w:val="20"/>
          <w:szCs w:val="20"/>
          <w:color w:val="auto"/>
        </w:rPr>
      </w:pPr>
      <w:r>
        <w:rPr>
          <w:rFonts w:ascii="Times New Roman" w:cs="Times New Roman" w:eastAsia="Times New Roman" w:hAnsi="Times New Roman"/>
          <w:sz w:val="19"/>
          <w:szCs w:val="19"/>
          <w:color w:val="auto"/>
        </w:rPr>
        <w:t>and crude oil production not in excess of $20,000,000 in the aggregate at any time outstanding and (xi) obligations to deliver commodities or</w:t>
      </w:r>
    </w:p>
    <w:p>
      <w:pPr>
        <w:jc w:val="both"/>
        <w:spacing w:after="0" w:line="204" w:lineRule="auto"/>
        <w:rPr>
          <w:sz w:val="20"/>
          <w:szCs w:val="20"/>
          <w:color w:val="auto"/>
        </w:rPr>
      </w:pPr>
      <w:r>
        <w:rPr>
          <w:rFonts w:ascii="Times New Roman" w:cs="Times New Roman" w:eastAsia="Times New Roman" w:hAnsi="Times New Roman"/>
          <w:sz w:val="20"/>
          <w:szCs w:val="20"/>
          <w:color w:val="auto"/>
        </w:rPr>
        <w:t>pay royalties or other payments in connection with and obligations arising from net profits interests, working interests, overriding, non-participating or other royalty interests or similar real property interests. The amount of any net Hedging Obligations on any date shall be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deemed to be the Swap Termination Value thereof as of such date. The amount of Indebtedness of any Person for purposes of </w:t>
      </w:r>
      <w:r>
        <w:rPr>
          <w:rFonts w:ascii="Times New Roman" w:cs="Times New Roman" w:eastAsia="Times New Roman" w:hAnsi="Times New Roman"/>
          <w:sz w:val="20"/>
          <w:szCs w:val="20"/>
          <w:u w:val="single" w:color="auto"/>
          <w:color w:val="auto"/>
        </w:rPr>
        <w:t>clause (g)</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above shall be deemed to be equal to the lesser of (i) the aggregate unpaid amount of such Indebtedness and (ii) the fair market value of the property encumbered thereby as determined by such Person in good faith. Notwithstanding anything in this definition to the contrary,</w:t>
      </w:r>
    </w:p>
    <w:p>
      <w:pPr>
        <w:spacing w:after="0" w:line="211" w:lineRule="auto"/>
        <w:rPr>
          <w:sz w:val="20"/>
          <w:szCs w:val="20"/>
          <w:color w:val="auto"/>
        </w:rPr>
      </w:pPr>
      <w:r>
        <w:rPr>
          <w:rFonts w:ascii="Times New Roman" w:cs="Times New Roman" w:eastAsia="Times New Roman" w:hAnsi="Times New Roman"/>
          <w:sz w:val="20"/>
          <w:szCs w:val="20"/>
          <w:color w:val="auto"/>
        </w:rPr>
        <w:t>Indebtedness shall be calculated without giving effect to the effects of Financial Accounting Standards Board Accounting Standards</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Codification 815 and related interpretations to the extent such effects would otherwise increase or decrease an amount of Indebtedness for any purpose hereunder as a result of accounting for any embedded derivatives created by the terms of such Indebtedness.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13.5(b)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shall mean (a) Taxes, other than Excluded Taxes, imposed on or with respect to any payment made by or on account of any obligation of the Borrower or any Guarantor under any Credit Document and (b) to the extent not otherwise described in (a), Other Taxes.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13.5(b)</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Industry Investments</w:t>
      </w:r>
      <w:r>
        <w:rPr>
          <w:rFonts w:ascii="Times New Roman" w:cs="Times New Roman" w:eastAsia="Times New Roman" w:hAnsi="Times New Roman"/>
          <w:sz w:val="20"/>
          <w:szCs w:val="20"/>
          <w:color w:val="auto"/>
        </w:rPr>
        <w:t>” shall mean Investments and/or expenditures made in the ordinary course of, and of a nature that is or shall</w:t>
      </w:r>
    </w:p>
    <w:p>
      <w:pPr>
        <w:jc w:val="both"/>
        <w:spacing w:after="0" w:line="204" w:lineRule="auto"/>
        <w:rPr>
          <w:sz w:val="20"/>
          <w:szCs w:val="20"/>
          <w:color w:val="auto"/>
        </w:rPr>
      </w:pPr>
      <w:r>
        <w:rPr>
          <w:rFonts w:ascii="Times New Roman" w:cs="Times New Roman" w:eastAsia="Times New Roman" w:hAnsi="Times New Roman"/>
          <w:sz w:val="20"/>
          <w:szCs w:val="20"/>
          <w:color w:val="auto"/>
        </w:rPr>
        <w:t>have become customary in, the Energy Business as a means of actively engaging therein through agreements, transactions, interests or arrangements that permit one to share risks or costs, comply with regulatory requirements regarding local ownership or satisfy other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objectives customarily achieved through the conduct of Energy Business jointly with third parties, including: (1) direct ownership interests in Oil and Gas Properties or gathering, transportation, processing, or related systems or assets or other interests related to Energy Business; and</w:t>
      </w:r>
    </w:p>
    <w:p>
      <w:pPr>
        <w:jc w:val="both"/>
        <w:ind w:firstLine="8"/>
        <w:spacing w:after="0" w:line="228" w:lineRule="auto"/>
        <w:tabs>
          <w:tab w:leader="none" w:pos="287"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and/or expenditures in the form of or pursuant to operating agreements, processing agreements, Farm-In Agreements, Farm-Out Agreements, development agreements, area of mutual interest agreements, unitization agreements, pooling arrangements, joint bidding agreements, service contracts, joint venture agreements, carbon management agreements and other similar agreements (including for limited liability companies) with third parties (other than a joint venture in the form of a partnership, corporation or limited liability company).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8.8(a)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Reserve Report</w:t>
      </w:r>
      <w:r>
        <w:rPr>
          <w:rFonts w:ascii="Times New Roman" w:cs="Times New Roman" w:eastAsia="Times New Roman" w:hAnsi="Times New Roman"/>
          <w:sz w:val="19"/>
          <w:szCs w:val="19"/>
          <w:color w:val="auto"/>
        </w:rPr>
        <w:t>” shall mean the reserve engineers’ report evaluating the Proved Developed Producing Reserves of the Credit Parties prepared by the Approved Petroleum Engineers as of December 31, 2022, delivered to the Administrative Agent prior to the date</w:t>
      </w:r>
    </w:p>
    <w:p>
      <w:pPr>
        <w:spacing w:after="0"/>
        <w:rPr>
          <w:sz w:val="20"/>
          <w:szCs w:val="20"/>
          <w:color w:val="auto"/>
        </w:rPr>
      </w:pPr>
      <w:r>
        <w:rPr>
          <w:rFonts w:ascii="Times New Roman" w:cs="Times New Roman" w:eastAsia="Times New Roman" w:hAnsi="Times New Roman"/>
          <w:sz w:val="20"/>
          <w:szCs w:val="20"/>
          <w:color w:val="auto"/>
        </w:rPr>
        <w:t>hereof under the Existing Credit Agreement.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Note</w:t>
      </w:r>
      <w:r>
        <w:rPr>
          <w:rFonts w:ascii="Times New Roman" w:cs="Times New Roman" w:eastAsia="Times New Roman" w:hAnsi="Times New Roman"/>
          <w:sz w:val="20"/>
          <w:szCs w:val="20"/>
          <w:color w:val="auto"/>
        </w:rPr>
        <w:t xml:space="preserve">” shall mean a promissory note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4"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shall mean, with respect to any Loan, the interest period applicable thereto, as determined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Interim Redetermination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Grade Rating</w:t>
      </w:r>
      <w:r>
        <w:rPr>
          <w:rFonts w:ascii="Times New Roman" w:cs="Times New Roman" w:eastAsia="Times New Roman" w:hAnsi="Times New Roman"/>
          <w:sz w:val="20"/>
          <w:szCs w:val="20"/>
          <w:color w:val="auto"/>
        </w:rPr>
        <w:t>” shall mean a rating equal to or higher than Baa3 (or the equivalent) by Moody’s and BBB- (or the equivalent) by S&amp;P, or an equivalent rating by any other rating agency selected by the Borrower.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shall mean the United States Internal Revenue Service.</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shall mean, with respect to any Letter of Credit, the “International Standby Practices 1998” published by the Institute of International Banking Law &amp; Practice (or such later version thereof as may be in effect at the time of issuance).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 98</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shall mean, with respect to any Letter of Credit, the Letter of Credit Application, and any other document,</w:t>
      </w:r>
    </w:p>
    <w:p>
      <w:pPr>
        <w:spacing w:after="0" w:line="221" w:lineRule="auto"/>
        <w:rPr>
          <w:sz w:val="20"/>
          <w:szCs w:val="20"/>
          <w:color w:val="auto"/>
        </w:rPr>
      </w:pPr>
      <w:r>
        <w:rPr>
          <w:rFonts w:ascii="Times New Roman" w:cs="Times New Roman" w:eastAsia="Times New Roman" w:hAnsi="Times New Roman"/>
          <w:sz w:val="20"/>
          <w:szCs w:val="20"/>
          <w:color w:val="auto"/>
        </w:rPr>
        <w:t>agreement and instrument entered into by the applicable Issuing Bank and the Borrower (or any Restricted Subsidiary) or in favor of the applicable Issuing Bank and relating to such Letter of Credit.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shall mean (a) each of Citi, KeyBank National Association, MUFG Bank, Ltd., Royal Bank of Canada, Mizuho</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Bank, Ltd. and any of their respective Affiliates, (b) those Lenders identified as Issuing Banks on </w:t>
      </w:r>
      <w:r>
        <w:rPr>
          <w:rFonts w:ascii="Times New Roman" w:cs="Times New Roman" w:eastAsia="Times New Roman" w:hAnsi="Times New Roman"/>
          <w:sz w:val="19"/>
          <w:szCs w:val="19"/>
          <w:u w:val="single" w:color="auto"/>
          <w:color w:val="auto"/>
        </w:rPr>
        <w:t>Schedule 1.1(a)</w:t>
      </w:r>
      <w:r>
        <w:rPr>
          <w:rFonts w:ascii="Times New Roman" w:cs="Times New Roman" w:eastAsia="Times New Roman" w:hAnsi="Times New Roman"/>
          <w:sz w:val="19"/>
          <w:szCs w:val="19"/>
          <w:color w:val="auto"/>
        </w:rPr>
        <w:t xml:space="preserve"> hereto and (c) if requested by the Borrower and reasonably acceptable to the Administrative Agent, any other Person who is a Lender at the time of such request and</w:t>
      </w:r>
    </w:p>
    <w:p>
      <w:pPr>
        <w:spacing w:after="0" w:line="211" w:lineRule="auto"/>
        <w:rPr>
          <w:sz w:val="20"/>
          <w:szCs w:val="20"/>
          <w:color w:val="auto"/>
        </w:rPr>
      </w:pPr>
      <w:r>
        <w:rPr>
          <w:rFonts w:ascii="Times New Roman" w:cs="Times New Roman" w:eastAsia="Times New Roman" w:hAnsi="Times New Roman"/>
          <w:sz w:val="20"/>
          <w:szCs w:val="20"/>
          <w:color w:val="auto"/>
        </w:rPr>
        <w:t>who accepts such appointment (it being understood that, if any such Person ceases to be a Lender hereunder, such Person will remain an</w:t>
      </w:r>
    </w:p>
    <w:p>
      <w:pPr>
        <w:spacing w:after="0" w:line="204" w:lineRule="auto"/>
        <w:rPr>
          <w:sz w:val="20"/>
          <w:szCs w:val="20"/>
          <w:color w:val="auto"/>
        </w:rPr>
      </w:pPr>
      <w:r>
        <w:rPr>
          <w:rFonts w:ascii="Times New Roman" w:cs="Times New Roman" w:eastAsia="Times New Roman" w:hAnsi="Times New Roman"/>
          <w:sz w:val="20"/>
          <w:szCs w:val="20"/>
          <w:color w:val="auto"/>
        </w:rPr>
        <w:t>Issuing Bank with respect to any Letter of Credit issued by such Person that remained outstanding as of the date such Person ceased to be a Lender). References herein and in the other Credit Documents to an Issuing Bank shall be deemed to refer to the Issuing Bank in respect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applicable Letter of Credit or to all Issuing Banks, as the context requires. Any Lender may, from time to time, become an Issuing Bank under this Agreement with the protections and rights afforded to Issuing Banks hereunder by executing a joinder, in a form reasonably</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satisfactory to (and acknowledged and accepted by) the Administrative Agent and the Borrower, indicating such Lender’s “Letter of Credit Commitment” and upon the execution and delivery of any such joinder, such Lender shall be an Issuing Bank for all purposes hereof.</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Junior Lien</w:t>
      </w:r>
      <w:r>
        <w:rPr>
          <w:rFonts w:ascii="Times New Roman" w:cs="Times New Roman" w:eastAsia="Times New Roman" w:hAnsi="Times New Roman"/>
          <w:sz w:val="19"/>
          <w:szCs w:val="19"/>
          <w:color w:val="auto"/>
        </w:rPr>
        <w:t xml:space="preserve">” shall mean a Lien on the Collateral that is subordinated to the Liens granted under the Credit Documents pursuant to a Junior Lien Intercreditor Agreement (it being understood that Junior Liens are not required to be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 other Junior Liens, and that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Indebtedness secured by Junior Liens may have Liens that are senior in priority to, or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or junior in priority to, other Liens constituting Junior Liens).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Lien Intercreditor Agreement</w:t>
      </w:r>
      <w:r>
        <w:rPr>
          <w:rFonts w:ascii="Times New Roman" w:cs="Times New Roman" w:eastAsia="Times New Roman" w:hAnsi="Times New Roman"/>
          <w:sz w:val="20"/>
          <w:szCs w:val="20"/>
          <w:color w:val="auto"/>
        </w:rPr>
        <w:t>” shall mean a customary intercreditor agreement in form and substance reasonably acceptable</w:t>
      </w:r>
    </w:p>
    <w:p>
      <w:pPr>
        <w:spacing w:after="0" w:line="204" w:lineRule="auto"/>
        <w:rPr>
          <w:sz w:val="20"/>
          <w:szCs w:val="20"/>
          <w:color w:val="auto"/>
        </w:rPr>
      </w:pPr>
      <w:r>
        <w:rPr>
          <w:rFonts w:ascii="Times New Roman" w:cs="Times New Roman" w:eastAsia="Times New Roman" w:hAnsi="Times New Roman"/>
          <w:sz w:val="20"/>
          <w:szCs w:val="20"/>
          <w:color w:val="auto"/>
        </w:rPr>
        <w:t>to the Administrative Agent, the Collateral Agent, the Borrower and the Majority Lenders, as it may be amended, restated, amended and restated, supplemented or otherwise modified from time to time in accordance with, and as permitted by, this Agreement, which agreement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shall provide that the Liens on the Collateral securing such Indebtedness shall rank junior to the Liens on the Collateral securing the Obligations.</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shall mean an extension of credit resulting from a drawing under any Letter of Credit which has not been reimbursed on the date when made or refinanced as a Borrowing. All L/C Borrowings shall be denominated in Dollars.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Maturity Date</w:t>
      </w:r>
      <w:r>
        <w:rPr>
          <w:rFonts w:ascii="Times New Roman" w:cs="Times New Roman" w:eastAsia="Times New Roman" w:hAnsi="Times New Roman"/>
          <w:sz w:val="20"/>
          <w:szCs w:val="20"/>
          <w:color w:val="auto"/>
        </w:rPr>
        <w:t>” shall mean the date that is five (5) Business Days prior to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9"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shall mean, as at any date of determination, the aggregate amount available to be drawn under all outstanding</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Letters of Credit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aggregate of all Unpaid Drawings, including all L/C Borrowings. For all purposes of this Agreement, if on any date of determination a Letter of Credit has expired by its terms but any amount may still be drawn thereunder by reason of the operation of Rule</w:t>
      </w:r>
    </w:p>
    <w:p>
      <w:pPr>
        <w:spacing w:after="0"/>
        <w:rPr>
          <w:sz w:val="20"/>
          <w:szCs w:val="20"/>
          <w:color w:val="auto"/>
        </w:rPr>
      </w:pPr>
      <w:r>
        <w:rPr>
          <w:rFonts w:ascii="Times New Roman" w:cs="Times New Roman" w:eastAsia="Times New Roman" w:hAnsi="Times New Roman"/>
          <w:sz w:val="20"/>
          <w:szCs w:val="20"/>
          <w:color w:val="auto"/>
        </w:rPr>
        <w:t>3.14 of the ISP, such Letter of Credit shall be deemed to be “outstanding” in the amount so remaining available to be drawn.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Participant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Participation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shall have the meaning provided in the preamble to this Agreement. Unless the context otherwise requires, the term</w:t>
      </w:r>
    </w:p>
    <w:p>
      <w:pPr>
        <w:spacing w:after="0" w:line="221" w:lineRule="auto"/>
        <w:rPr>
          <w:sz w:val="20"/>
          <w:szCs w:val="20"/>
          <w:color w:val="auto"/>
        </w:rPr>
      </w:pPr>
      <w:r>
        <w:rPr>
          <w:rFonts w:ascii="Times New Roman" w:cs="Times New Roman" w:eastAsia="Times New Roman" w:hAnsi="Times New Roman"/>
          <w:sz w:val="20"/>
          <w:szCs w:val="20"/>
          <w:color w:val="auto"/>
        </w:rPr>
        <w:t>“Lenders” includes the Issuing Banks. For avoidance of doubt, each Additional Lender shall be deemed a “Lender” for purposes of this Agreement and each other Credit Document.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Default</w:t>
      </w:r>
      <w:r>
        <w:rPr>
          <w:rFonts w:ascii="Times New Roman" w:cs="Times New Roman" w:eastAsia="Times New Roman" w:hAnsi="Times New Roman"/>
          <w:sz w:val="20"/>
          <w:szCs w:val="20"/>
          <w:color w:val="auto"/>
        </w:rPr>
        <w:t>” shall mean (i) the refusal (which may be given verbally or in writing and has not been retracted) or failure of any</w:t>
      </w:r>
    </w:p>
    <w:p>
      <w:pPr>
        <w:ind w:right="20"/>
        <w:spacing w:after="0" w:line="215" w:lineRule="auto"/>
        <w:rPr>
          <w:sz w:val="20"/>
          <w:szCs w:val="20"/>
          <w:color w:val="auto"/>
        </w:rPr>
      </w:pPr>
      <w:r>
        <w:rPr>
          <w:rFonts w:ascii="Times New Roman" w:cs="Times New Roman" w:eastAsia="Times New Roman" w:hAnsi="Times New Roman"/>
          <w:sz w:val="19"/>
          <w:szCs w:val="19"/>
          <w:color w:val="auto"/>
        </w:rPr>
        <w:t>Lender to make available its portion of any incurrence of Loans or participations in Letters of Credit or reimbursement obligations required to be made by it, which refusal or failure is not cured within one (1) Business Day after the date of such refusal or failure, unless such Lender</w:t>
      </w:r>
    </w:p>
    <w:p>
      <w:pPr>
        <w:spacing w:after="0" w:line="211" w:lineRule="auto"/>
        <w:rPr>
          <w:sz w:val="20"/>
          <w:szCs w:val="20"/>
          <w:color w:val="auto"/>
        </w:rPr>
      </w:pPr>
      <w:r>
        <w:rPr>
          <w:rFonts w:ascii="Times New Roman" w:cs="Times New Roman" w:eastAsia="Times New Roman" w:hAnsi="Times New Roman"/>
          <w:sz w:val="20"/>
          <w:szCs w:val="20"/>
          <w:color w:val="auto"/>
        </w:rPr>
        <w:t>notifies the Administrative Agent and the Borrower in writing that such failure is the result of such Lender’s determination that one or more</w:t>
      </w:r>
    </w:p>
    <w:p>
      <w:pPr>
        <w:spacing w:after="0" w:line="204" w:lineRule="auto"/>
        <w:rPr>
          <w:sz w:val="20"/>
          <w:szCs w:val="20"/>
          <w:color w:val="auto"/>
        </w:rPr>
      </w:pPr>
      <w:r>
        <w:rPr>
          <w:rFonts w:ascii="Times New Roman" w:cs="Times New Roman" w:eastAsia="Times New Roman" w:hAnsi="Times New Roman"/>
          <w:sz w:val="20"/>
          <w:szCs w:val="20"/>
          <w:color w:val="auto"/>
        </w:rPr>
        <w:t>conditions precedent to funding (each of which conditions precedent, together with any applicable default, shall be specifically identified in such writing) has not been satisfied; (ii) the failure of any Lender to pay over to the Administrative Agent, any Issuing Bank or any other</w:t>
      </w:r>
    </w:p>
    <w:p>
      <w:pPr>
        <w:spacing w:after="0" w:line="211" w:lineRule="auto"/>
        <w:rPr>
          <w:sz w:val="20"/>
          <w:szCs w:val="20"/>
          <w:color w:val="auto"/>
        </w:rPr>
      </w:pPr>
      <w:r>
        <w:rPr>
          <w:rFonts w:ascii="Times New Roman" w:cs="Times New Roman" w:eastAsia="Times New Roman" w:hAnsi="Times New Roman"/>
          <w:sz w:val="20"/>
          <w:szCs w:val="20"/>
          <w:color w:val="auto"/>
        </w:rPr>
        <w:t>Lender any other amount required to be paid by it hereunder within two (2) Business Days of the date when due; (iii) a Lender has notified</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the Borrower, the Administrative Agent or any Issuing Bank in writing that it does not intend or expect to comply with any of its funding obligations, or has made a public statement to that effect with respect to its funding obligations under the Facility (unless such writing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public statement relates to such Lender’s obligation to fund a Loan hereunder and states that such position is based on such Lender’s determination that a condition precedent to funding (which condition precedent, together with any applicable default, shall be specifically</w:t>
      </w:r>
    </w:p>
    <w:p>
      <w:pPr>
        <w:spacing w:after="0" w:line="211" w:lineRule="auto"/>
        <w:rPr>
          <w:sz w:val="20"/>
          <w:szCs w:val="20"/>
          <w:color w:val="auto"/>
        </w:rPr>
      </w:pPr>
      <w:r>
        <w:rPr>
          <w:rFonts w:ascii="Times New Roman" w:cs="Times New Roman" w:eastAsia="Times New Roman" w:hAnsi="Times New Roman"/>
          <w:sz w:val="20"/>
          <w:szCs w:val="20"/>
          <w:color w:val="auto"/>
        </w:rPr>
        <w:t>identified in such writing or public statement) cannot be satisfied); (iv) a Lender has failed, within three (3) Business Days after a written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request by the Administrative Agent, to confirm in writing that it will comply with its funding obligations under the Facility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w:t>
      </w:r>
      <w:r>
        <w:rPr>
          <w:rFonts w:ascii="Times New Roman" w:cs="Times New Roman" w:eastAsia="Times New Roman" w:hAnsi="Times New Roman"/>
          <w:sz w:val="19"/>
          <w:szCs w:val="19"/>
          <w:u w:val="single" w:color="auto"/>
          <w:color w:val="auto"/>
        </w:rPr>
        <w:t>clause (iv)</w:t>
      </w:r>
      <w:r>
        <w:rPr>
          <w:rFonts w:ascii="Times New Roman" w:cs="Times New Roman" w:eastAsia="Times New Roman" w:hAnsi="Times New Roman"/>
          <w:sz w:val="19"/>
          <w:szCs w:val="19"/>
          <w:color w:val="auto"/>
        </w:rPr>
        <w:t xml:space="preserve"> upon receipt of such written confirmation by the Administrative</w:t>
      </w:r>
    </w:p>
    <w:p>
      <w:pPr>
        <w:spacing w:after="0" w:line="222" w:lineRule="auto"/>
        <w:rPr>
          <w:sz w:val="20"/>
          <w:szCs w:val="20"/>
          <w:color w:val="auto"/>
        </w:rPr>
      </w:pPr>
      <w:r>
        <w:rPr>
          <w:rFonts w:ascii="Times New Roman" w:cs="Times New Roman" w:eastAsia="Times New Roman" w:hAnsi="Times New Roman"/>
          <w:sz w:val="19"/>
          <w:szCs w:val="19"/>
          <w:color w:val="auto"/>
        </w:rPr>
        <w:t>Agent and the Borrower) or (v) a Distressed Person has admitted in writing that it is insolvent or such Distressed Person becomes subject to a</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Lender-Related Distress Event or a Bail-In Action. Any determination by the Administrative Agent that a Lender Default has occurred under any one or more of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(v)</w:t>
      </w:r>
      <w:r>
        <w:rPr>
          <w:rFonts w:ascii="Times New Roman" w:cs="Times New Roman" w:eastAsia="Times New Roman" w:hAnsi="Times New Roman"/>
          <w:sz w:val="19"/>
          <w:szCs w:val="19"/>
          <w:color w:val="auto"/>
        </w:rPr>
        <w:t xml:space="preserve"> above shall be conclusive and binding absent manifest error, and the applicable Lender shall be</w:t>
      </w:r>
    </w:p>
    <w:p>
      <w:pPr>
        <w:spacing w:after="0"/>
        <w:rPr>
          <w:sz w:val="20"/>
          <w:szCs w:val="20"/>
          <w:color w:val="auto"/>
        </w:rPr>
      </w:pPr>
      <w:r>
        <w:rPr>
          <w:rFonts w:ascii="Times New Roman" w:cs="Times New Roman" w:eastAsia="Times New Roman" w:hAnsi="Times New Roman"/>
          <w:sz w:val="19"/>
          <w:szCs w:val="19"/>
          <w:color w:val="auto"/>
        </w:rPr>
        <w:t>deemed to be a Defaulting Lender upon delivery of written notice of such determination to the Borrower, each Issuing Bank and each Lender.</w:t>
      </w:r>
    </w:p>
    <w:p>
      <w:pPr>
        <w:spacing w:after="0" w:line="178"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Lender-Related Distress Event</w:t>
      </w:r>
      <w:r>
        <w:rPr>
          <w:rFonts w:ascii="Times New Roman" w:cs="Times New Roman" w:eastAsia="Times New Roman" w:hAnsi="Times New Roman"/>
          <w:sz w:val="19"/>
          <w:szCs w:val="19"/>
          <w:color w:val="auto"/>
        </w:rPr>
        <w:t>” shall mean, with respect to any Lender, that such Lender or any Person that directly or indirectly controls such Lender (each, a “</w:t>
      </w:r>
      <w:r>
        <w:rPr>
          <w:rFonts w:ascii="Times New Roman" w:cs="Times New Roman" w:eastAsia="Times New Roman" w:hAnsi="Times New Roman"/>
          <w:sz w:val="19"/>
          <w:szCs w:val="19"/>
          <w:u w:val="single" w:color="auto"/>
          <w:color w:val="auto"/>
        </w:rPr>
        <w:t>Distressed Person</w:t>
      </w:r>
      <w:r>
        <w:rPr>
          <w:rFonts w:ascii="Times New Roman" w:cs="Times New Roman" w:eastAsia="Times New Roman" w:hAnsi="Times New Roman"/>
          <w:sz w:val="19"/>
          <w:szCs w:val="19"/>
          <w:color w:val="auto"/>
        </w:rPr>
        <w:t>”), as the case may be, is or becomes subject to a voluntary or involuntary case with respect</w:t>
      </w:r>
    </w:p>
    <w:p>
      <w:pPr>
        <w:spacing w:after="0" w:line="211" w:lineRule="auto"/>
        <w:rPr>
          <w:sz w:val="20"/>
          <w:szCs w:val="20"/>
          <w:color w:val="auto"/>
        </w:rPr>
      </w:pPr>
      <w:r>
        <w:rPr>
          <w:rFonts w:ascii="Times New Roman" w:cs="Times New Roman" w:eastAsia="Times New Roman" w:hAnsi="Times New Roman"/>
          <w:sz w:val="20"/>
          <w:szCs w:val="20"/>
          <w:color w:val="auto"/>
        </w:rPr>
        <w:t>to such Distressed Person under any Debtor Relief Law, or a custodian, conservator, receiver or similar official is appointed for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Distressed Person or any substantial part of such Distressed Person’s assets, or such Distressed Person or any Person that directly or indirectly controls such Distressed Person is subject to a forced liquidation, or such Distressed Person makes a general assignment for the</w:t>
      </w:r>
    </w:p>
    <w:p>
      <w:pPr>
        <w:spacing w:after="0" w:line="211" w:lineRule="auto"/>
        <w:rPr>
          <w:sz w:val="20"/>
          <w:szCs w:val="20"/>
          <w:color w:val="auto"/>
        </w:rPr>
      </w:pPr>
      <w:r>
        <w:rPr>
          <w:rFonts w:ascii="Times New Roman" w:cs="Times New Roman" w:eastAsia="Times New Roman" w:hAnsi="Times New Roman"/>
          <w:sz w:val="20"/>
          <w:szCs w:val="20"/>
          <w:color w:val="auto"/>
        </w:rPr>
        <w:t>benefit of creditors or is otherwise adjudicated as, or determined by any Governmental Authority having regulatory authority over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Distressed Person or its assets to be, insolvent or bankrupt;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Lender-Related Distress Event shall not be deemed to have occurred solely by virtue of the ownership or acquisition of any equity interests in any Lender or any Person that directly or indirectly</w:t>
      </w:r>
    </w:p>
    <w:p>
      <w:pPr>
        <w:spacing w:after="0" w:line="211" w:lineRule="auto"/>
        <w:rPr>
          <w:sz w:val="20"/>
          <w:szCs w:val="20"/>
          <w:color w:val="auto"/>
        </w:rPr>
      </w:pPr>
      <w:r>
        <w:rPr>
          <w:rFonts w:ascii="Times New Roman" w:cs="Times New Roman" w:eastAsia="Times New Roman" w:hAnsi="Times New Roman"/>
          <w:sz w:val="20"/>
          <w:szCs w:val="20"/>
          <w:color w:val="auto"/>
        </w:rPr>
        <w:t>controls such Lender by a Governmental Authority or an instrumentality thereof, so long as such ownership interest does not result in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provide such Lender with immunity from the jurisdiction of courts within the United States or from the enforcement of judgments or writs of attachment on its assets or permit such Lender (or such Governmental Authority) to reject, repudiate, disavow or disaffirm any contracts or</w:t>
      </w:r>
    </w:p>
    <w:p>
      <w:pPr>
        <w:spacing w:after="0"/>
        <w:rPr>
          <w:sz w:val="20"/>
          <w:szCs w:val="20"/>
          <w:color w:val="auto"/>
        </w:rPr>
      </w:pPr>
      <w:r>
        <w:rPr>
          <w:rFonts w:ascii="Times New Roman" w:cs="Times New Roman" w:eastAsia="Times New Roman" w:hAnsi="Times New Roman"/>
          <w:sz w:val="20"/>
          <w:szCs w:val="20"/>
          <w:color w:val="auto"/>
        </w:rPr>
        <w:t>agreements made with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4"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Commitment</w:t>
      </w:r>
      <w:r>
        <w:rPr>
          <w:rFonts w:ascii="Times New Roman" w:cs="Times New Roman" w:eastAsia="Times New Roman" w:hAnsi="Times New Roman"/>
          <w:sz w:val="20"/>
          <w:szCs w:val="20"/>
          <w:color w:val="auto"/>
        </w:rPr>
        <w:t xml:space="preserve">” shall mean the lesser of (x) $250,000,000, as the same may be reduced from time to time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(y) the Total Commitment;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Letter of Credit Commitment with respect to Letters of Credit shall be allocated to the Issuing Banks in accordance with the following table: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64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9"/>
              </w:rPr>
              <w:t>Issuing Bank</w:t>
            </w:r>
          </w:p>
        </w:tc>
        <w:tc>
          <w:tcPr>
            <w:tcW w:w="56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8"/>
              </w:rPr>
              <w:t>Letter of Credit Commitment</w:t>
            </w:r>
          </w:p>
        </w:tc>
      </w:tr>
      <w:tr>
        <w:trPr>
          <w:trHeight w:val="25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Citi</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$50,000,000.00</w:t>
            </w:r>
          </w:p>
        </w:tc>
      </w:tr>
      <w:tr>
        <w:trPr>
          <w:trHeight w:val="25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KeyBank National Association</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$50,000,000.00</w:t>
            </w:r>
          </w:p>
        </w:tc>
      </w:tr>
      <w:tr>
        <w:trPr>
          <w:trHeight w:val="25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Mizuho Bank, Ltd.</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$50,000,000.00</w:t>
            </w:r>
          </w:p>
        </w:tc>
      </w:tr>
      <w:tr>
        <w:trPr>
          <w:trHeight w:val="25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MUFG Bank, Ltd.</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$50,000,000.00</w:t>
            </w:r>
          </w:p>
        </w:tc>
      </w:tr>
      <w:tr>
        <w:trPr>
          <w:trHeight w:val="25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Royal Bank of Canada</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$50,000,000.00</w:t>
            </w:r>
          </w:p>
        </w:tc>
      </w:tr>
    </w:tbl>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Exposure</w:t>
      </w:r>
      <w:r>
        <w:rPr>
          <w:rFonts w:ascii="Times New Roman" w:cs="Times New Roman" w:eastAsia="Times New Roman" w:hAnsi="Times New Roman"/>
          <w:sz w:val="20"/>
          <w:szCs w:val="20"/>
          <w:color w:val="auto"/>
        </w:rPr>
        <w:t>” shall mean, with respect to any Lender, at any time, the sum of (a) the principal amount of any Unpaid</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 xml:space="preserve">Drawings in respect of which such Lender has made (or is required to have made) payments to the applicable Issuing Bank pursuant to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at such time and (b) such Lender’s Commitment Percentage of the Letters of Credit Outstanding at such time (excluding the</w:t>
      </w:r>
    </w:p>
    <w:p>
      <w:pPr>
        <w:spacing w:after="0" w:line="211" w:lineRule="auto"/>
        <w:rPr>
          <w:sz w:val="20"/>
          <w:szCs w:val="20"/>
          <w:color w:val="auto"/>
        </w:rPr>
      </w:pPr>
      <w:r>
        <w:rPr>
          <w:rFonts w:ascii="Times New Roman" w:cs="Times New Roman" w:eastAsia="Times New Roman" w:hAnsi="Times New Roman"/>
          <w:sz w:val="20"/>
          <w:szCs w:val="20"/>
          <w:color w:val="auto"/>
        </w:rPr>
        <w:t>portion thereof consisting of Unpaid Drawings in respect of which the Lenders have made (or are required to have made) payments to the</w:t>
      </w:r>
    </w:p>
    <w:p>
      <w:pPr>
        <w:spacing w:after="0" w:line="1" w:lineRule="exact"/>
        <w:rPr>
          <w:sz w:val="20"/>
          <w:szCs w:val="20"/>
          <w:color w:val="auto"/>
        </w:rPr>
      </w:pPr>
    </w:p>
    <w:p>
      <w:pPr>
        <w:jc w:val="both"/>
        <w:ind w:right="40"/>
        <w:spacing w:after="0" w:line="221" w:lineRule="auto"/>
        <w:rPr>
          <w:sz w:val="20"/>
          <w:szCs w:val="20"/>
          <w:color w:val="auto"/>
        </w:rPr>
      </w:pPr>
      <w:r>
        <w:rPr>
          <w:rFonts w:ascii="Times New Roman" w:cs="Times New Roman" w:eastAsia="Times New Roman" w:hAnsi="Times New Roman"/>
          <w:sz w:val="20"/>
          <w:szCs w:val="20"/>
          <w:color w:val="auto"/>
        </w:rPr>
        <w:t xml:space="preserve">applicable Issuing Bank pursuant to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amount of cash or deposit account balances held by the Administrative Agent to Cash Collateralize outstanding Letters of Credit and Unpaid Drawings under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Letters of Credit Outstanding</w:t>
      </w:r>
      <w:r>
        <w:rPr>
          <w:rFonts w:ascii="Times New Roman" w:cs="Times New Roman" w:eastAsia="Times New Roman" w:hAnsi="Times New Roman"/>
          <w:sz w:val="20"/>
          <w:szCs w:val="20"/>
          <w:color w:val="auto"/>
        </w:rPr>
        <w:t>” shall mean, at any time, the sum of, without duplication, (a) the aggregate Stated Amount of all outstanding Letters of Credit and (b) the aggregate principal amount of all Unpaid Drawings in respect of all Letters of Credit.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Ratio Covenant</w:t>
      </w:r>
      <w:r>
        <w:rPr>
          <w:rFonts w:ascii="Times New Roman" w:cs="Times New Roman" w:eastAsia="Times New Roman" w:hAnsi="Times New Roman"/>
          <w:sz w:val="20"/>
          <w:szCs w:val="20"/>
          <w:color w:val="auto"/>
        </w:rPr>
        <w:t xml:space="preserve">” shall mean the covenant of the Borrower set forth in </w:t>
      </w:r>
      <w:r>
        <w:rPr>
          <w:rFonts w:ascii="Times New Roman" w:cs="Times New Roman" w:eastAsia="Times New Roman" w:hAnsi="Times New Roman"/>
          <w:sz w:val="20"/>
          <w:szCs w:val="20"/>
          <w:u w:val="single" w:color="auto"/>
          <w:color w:val="auto"/>
        </w:rPr>
        <w:t>Section 10.11(a)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shall mean, with respect to any asset, (a) any mortgage, preferred mortgage, deed of trust, lien, notice of claim of lien, hypothecation, pledge, charge, security interest or similar encumbrance in or on such asset, (b) production payments and the like payable out</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 xml:space="preserve">of Oil and Gas Properties or (c)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w:t>
      </w:r>
    </w:p>
    <w:p>
      <w:pPr>
        <w:spacing w:after="0"/>
        <w:rPr>
          <w:sz w:val="20"/>
          <w:szCs w:val="20"/>
          <w:color w:val="auto"/>
        </w:rPr>
      </w:pPr>
      <w:r>
        <w:rPr>
          <w:rFonts w:ascii="Times New Roman" w:cs="Times New Roman" w:eastAsia="Times New Roman" w:hAnsi="Times New Roman"/>
          <w:sz w:val="20"/>
          <w:szCs w:val="20"/>
          <w:color w:val="auto"/>
        </w:rPr>
        <w:t>in no event shall an operating lease be deemed to be a Lien under GAAP.</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Majority Lenders</w:t>
      </w:r>
      <w:r>
        <w:rPr>
          <w:rFonts w:ascii="Times New Roman" w:cs="Times New Roman" w:eastAsia="Times New Roman" w:hAnsi="Times New Roman"/>
          <w:sz w:val="20"/>
          <w:szCs w:val="20"/>
          <w:color w:val="auto"/>
        </w:rPr>
        <w:t xml:space="preserve">” shall mean, at any date, (a) Non-Defaulting Lenders having or holding a majority of the Adjusted Total Commitment at such date, or (b) if the Total Commitment has been terminated or for the purposes of acceleration pursuant to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Non-Defaulting Lenders having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60"/>
          </w:cols>
          <w:pgMar w:left="320" w:top="1399"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color w:val="auto"/>
        </w:rPr>
        <w:t>holding a majority of the outstanding principal amount of the Loans and Letter of Credit Exposure (excluding the Loans and Letter of Credit Exposure of Defaulting Lenders) in the aggregate at such date.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Manufactured (Mobile) Home</w:t>
      </w:r>
      <w:r>
        <w:rPr>
          <w:rFonts w:ascii="Times New Roman" w:cs="Times New Roman" w:eastAsia="Times New Roman" w:hAnsi="Times New Roman"/>
          <w:sz w:val="20"/>
          <w:szCs w:val="20"/>
          <w:color w:val="auto"/>
        </w:rPr>
        <w:t>” shall have the meaning assigned to such term in the applicable Flood Insurance Regulation.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shall have the meaning assigned to such terms in Regulation U.</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shall have the meaning assigned to such term in the definition of “Hedge Agreements.”</w:t>
      </w:r>
    </w:p>
    <w:p>
      <w:pPr>
        <w:spacing w:after="0" w:line="17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shall mean a circumstance or condition affecting the business, assets, operations, properties or financial condition of the Borrower and the Restricted Subsidiaries, taken as a whole, that, individually or in the aggregate, would materially adversely</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affect (a) the business, assets, operations, properties or financial condition of the Borrower and the other Credit Parties, taken as a whole, (b) the ability of the Borrower and the other Credit Parties, taken as a whole, to perform their material obligations under the Credit Documents,</w:t>
      </w:r>
    </w:p>
    <w:p>
      <w:pPr>
        <w:spacing w:after="0"/>
        <w:rPr>
          <w:sz w:val="20"/>
          <w:szCs w:val="20"/>
          <w:color w:val="auto"/>
        </w:rPr>
      </w:pPr>
      <w:r>
        <w:rPr>
          <w:rFonts w:ascii="Times New Roman" w:cs="Times New Roman" w:eastAsia="Times New Roman" w:hAnsi="Times New Roman"/>
          <w:sz w:val="20"/>
          <w:szCs w:val="20"/>
          <w:color w:val="auto"/>
        </w:rPr>
        <w:t>or (c) the rights and remedies of the Agents and the Lenders under the Credit Documents.</w:t>
      </w:r>
    </w:p>
    <w:p>
      <w:pPr>
        <w:spacing w:after="0" w:line="167"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shall mean any Indebtedness (other than Loans and Letters of Credit) of any one or more of the Borrower or any Restricted Subsidiary in an aggregate principal amount exceeding the greater of (a) $75,000,000 and (b) five percent (5.0%)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Borrowing Base.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shall mean, at any date of determination (a) each wholly-owned (directly or indirectly) Restricted Subsidiary of the Borrower such that the Consolidated Total Assets of the Immaterial Subsidiaries (when combined with the assets of each such</w:t>
      </w:r>
    </w:p>
    <w:p>
      <w:pPr>
        <w:spacing w:after="0" w:line="212" w:lineRule="auto"/>
        <w:rPr>
          <w:sz w:val="20"/>
          <w:szCs w:val="20"/>
          <w:color w:val="auto"/>
        </w:rPr>
      </w:pPr>
      <w:r>
        <w:rPr>
          <w:rFonts w:ascii="Times New Roman" w:cs="Times New Roman" w:eastAsia="Times New Roman" w:hAnsi="Times New Roman"/>
          <w:sz w:val="20"/>
          <w:szCs w:val="20"/>
          <w:color w:val="auto"/>
        </w:rPr>
        <w:t>Subsidiary’s Subsidiaries, after eliminating intercompany obligations) at the last day of the Test Period for which financial statements have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been delivered, or required to be delivered, pursuant to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are equal to or less than five percent (5.0%) of the Consolidated Total Assets of the Borrower and the Restricted Subsidiaries at such date, determined in accordance with GAAP and (b) any</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Subsidiary (other than the Excluded Subsidiaries) that (x) owns any Borrowing Base Properties or (y) incurs or guarantees any obligations under any Material Indebtedness.</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shall mean July 31, 2027; provided, that the Maturity Date shall be August 4, 2025, if any of the 7.125% senior notes issued pursuant to the Senior Notes Indenture, are outstanding on such date.</w:t>
      </w:r>
    </w:p>
    <w:p>
      <w:pPr>
        <w:spacing w:after="0" w:line="148"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Credit Amount</w:t>
      </w:r>
      <w:r>
        <w:rPr>
          <w:rFonts w:ascii="Times New Roman" w:cs="Times New Roman" w:eastAsia="Times New Roman" w:hAnsi="Times New Roman"/>
          <w:sz w:val="20"/>
          <w:szCs w:val="20"/>
          <w:color w:val="auto"/>
        </w:rPr>
        <w:t xml:space="preserve">” shall mean, as to each Lender, the amount set forth opposite such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under the caption “Maximum Credit Amounts”, as the same may be (a) reduced or terminated from time to time in connection with a</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reduction or termination of the Aggregate Maximum Credit Amounts pursuant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(b) modified from time to time pursuant to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xml:space="preserve"> or (c) increased, created or modified from time to time pursuant to any assignment permitted by </w:t>
      </w:r>
      <w:r>
        <w:rPr>
          <w:rFonts w:ascii="Times New Roman" w:cs="Times New Roman" w:eastAsia="Times New Roman" w:hAnsi="Times New Roman"/>
          <w:sz w:val="20"/>
          <w:szCs w:val="20"/>
          <w:u w:val="single" w:color="auto"/>
          <w:color w:val="auto"/>
        </w:rPr>
        <w:t>Section 13.6(b)</w:t>
      </w:r>
      <w:r>
        <w:rPr>
          <w:rFonts w:ascii="Times New Roman" w:cs="Times New Roman" w:eastAsia="Times New Roman" w:hAnsi="Times New Roman"/>
          <w:sz w:val="20"/>
          <w:szCs w:val="20"/>
          <w:color w:val="auto"/>
        </w:rPr>
        <w:t xml:space="preserv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amendment or other modification to this Agreement.</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Borrowing Amount</w:t>
      </w:r>
      <w:r>
        <w:rPr>
          <w:rFonts w:ascii="Times New Roman" w:cs="Times New Roman" w:eastAsia="Times New Roman" w:hAnsi="Times New Roman"/>
          <w:sz w:val="20"/>
          <w:szCs w:val="20"/>
          <w:color w:val="auto"/>
        </w:rPr>
        <w:t>” shall mean, with respect to any Borrowing of Loans, $500,000 (or, if less, the entire remaining Commitments at the time of such Borrowing).</w:t>
      </w:r>
    </w:p>
    <w:p>
      <w:pPr>
        <w:spacing w:after="0" w:line="16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Minority Investment</w:t>
      </w:r>
      <w:r>
        <w:rPr>
          <w:rFonts w:ascii="Times New Roman" w:cs="Times New Roman" w:eastAsia="Times New Roman" w:hAnsi="Times New Roman"/>
          <w:sz w:val="20"/>
          <w:szCs w:val="20"/>
          <w:color w:val="auto"/>
        </w:rPr>
        <w:t>” shall mean any Person (other than a Subsidiary) in which the Borrower or any Restricted Subsidiary owns Equity Interests.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shall mean Moody’s Investors Service, Inc. or any successor by merger or consolidation to its business.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shall mean a mortgage or a deed of trust, deed to secure debt, trust deed, assignment of as-extracted collateral, fixture</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filing or other security document entered into by the owner of a Mortgaged Property and the Collateral Agent for the benefit of the Secured Parties in respect of that Mortgaged Property,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(with such changes thereto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color w:val="auto"/>
        </w:rPr>
        <w:t xml:space="preserve">necessary to account for local law matters) or otherwise in such form as agreed between the Borrower and the Collateral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p>
    <w:p>
      <w:pPr>
        <w:spacing w:after="0" w:line="204" w:lineRule="auto"/>
        <w:rPr>
          <w:sz w:val="20"/>
          <w:szCs w:val="20"/>
          <w:color w:val="auto"/>
        </w:rPr>
      </w:pPr>
      <w:r>
        <w:rPr>
          <w:rFonts w:ascii="Times New Roman" w:cs="Times New Roman" w:eastAsia="Times New Roman" w:hAnsi="Times New Roman"/>
          <w:sz w:val="20"/>
          <w:szCs w:val="20"/>
          <w:color w:val="auto"/>
        </w:rPr>
        <w:t>that any Mortgage encumbering Oil and Gas Properties shall exclude any Building or Manufactured (Mobile) Home (including, for the avoidance of doubt, the contents thereof) that is located on any such Oil and Gas Property covered by (or intended to be covered by)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Mortgage.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Mortgaged Property</w:t>
      </w:r>
      <w:r>
        <w:rPr>
          <w:rFonts w:ascii="Times New Roman" w:cs="Times New Roman" w:eastAsia="Times New Roman" w:hAnsi="Times New Roman"/>
          <w:sz w:val="20"/>
          <w:szCs w:val="20"/>
          <w:color w:val="auto"/>
        </w:rPr>
        <w:t>” shall mean, at any time, all Borrowing Base Properties with respect to which a Mortgage is required to be granted and/or which are required to be subject to an Acceptable Security Interest under the Credit Documents. Notwithstanding any</w:t>
      </w:r>
    </w:p>
    <w:p>
      <w:pPr>
        <w:spacing w:after="0" w:line="212" w:lineRule="auto"/>
        <w:rPr>
          <w:sz w:val="20"/>
          <w:szCs w:val="20"/>
          <w:color w:val="auto"/>
        </w:rPr>
      </w:pPr>
      <w:r>
        <w:rPr>
          <w:rFonts w:ascii="Times New Roman" w:cs="Times New Roman" w:eastAsia="Times New Roman" w:hAnsi="Times New Roman"/>
          <w:sz w:val="20"/>
          <w:szCs w:val="20"/>
          <w:color w:val="auto"/>
        </w:rPr>
        <w:t>provision in this Agreement or any other Credit Document to the contrary, in no event is any Building (as defined in the applicable Flood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Insurance Regulation) or Manufactured (Mobile) Home (as defined in the applicable Flood Insurance Regulation) included in this definition and no Building or Manufactured (Mobile) Home is hereby encumbered by this Agreement or any other Credit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shall mean a multiemployer plan as defined in Section 4001(a)(3) of ERISA.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Necessary Cure Amount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11.13(a)(iii)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Cash Proceeds</w:t>
      </w:r>
      <w:r>
        <w:rPr>
          <w:rFonts w:ascii="Times New Roman" w:cs="Times New Roman" w:eastAsia="Times New Roman" w:hAnsi="Times New Roman"/>
          <w:sz w:val="19"/>
          <w:szCs w:val="19"/>
          <w:color w:val="auto"/>
        </w:rPr>
        <w:t>” shall mean (a) with respect to any Disposition, the cash proceeds thereof (including cash proceeds subsequently received (as and when received) in respect of noncash consideration initially received), net of, in respect of the Borrower and its Restricted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Subsidiaries’ (i) selling expenses (including reasonable broker’s fees or commissions, legal, accounting and investment banking fees and expenses, title insurance premiums, survey costs, transfer and similar taxes and the Borrower’s good faith estimate of income taxes paid or</w:t>
      </w:r>
    </w:p>
    <w:p>
      <w:pPr>
        <w:spacing w:after="0" w:line="211" w:lineRule="auto"/>
        <w:rPr>
          <w:sz w:val="20"/>
          <w:szCs w:val="20"/>
          <w:color w:val="auto"/>
        </w:rPr>
      </w:pPr>
      <w:r>
        <w:rPr>
          <w:rFonts w:ascii="Times New Roman" w:cs="Times New Roman" w:eastAsia="Times New Roman" w:hAnsi="Times New Roman"/>
          <w:sz w:val="20"/>
          <w:szCs w:val="20"/>
          <w:color w:val="auto"/>
        </w:rPr>
        <w:t>payable in connection with such sale), (ii) amounts provided as a reserve, in accordance with GAAP, against any liabilities under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indemnification obligations or purchase price adjustment associated with such Disposition (provided that, to the extent and at the time any such amounts are released from such reserve, such amounts shall constitute Net Cash Proceeds), and (iii) the principal amount, premium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penalty, if any, interest and other amounts on any Indebtedness permitted hereunder that is secured by a Lien permitted hereunder (other than any Lien pursuant to a Security Document) on the asset disposed of in such Disposition and required to be repaid with such proceeds (other</w:t>
      </w:r>
    </w:p>
    <w:p>
      <w:pPr>
        <w:spacing w:after="0" w:line="211" w:lineRule="auto"/>
        <w:rPr>
          <w:sz w:val="20"/>
          <w:szCs w:val="20"/>
          <w:color w:val="auto"/>
        </w:rPr>
      </w:pPr>
      <w:r>
        <w:rPr>
          <w:rFonts w:ascii="Times New Roman" w:cs="Times New Roman" w:eastAsia="Times New Roman" w:hAnsi="Times New Roman"/>
          <w:sz w:val="20"/>
          <w:szCs w:val="20"/>
          <w:color w:val="auto"/>
        </w:rPr>
        <w:t>than any such Indebtedness assumed by the purchaser of such asset), (b) with respect to any Casualty Event, the cash proceeds received</w:t>
      </w:r>
    </w:p>
    <w:p>
      <w:pPr>
        <w:spacing w:after="0" w:line="204" w:lineRule="auto"/>
        <w:rPr>
          <w:sz w:val="20"/>
          <w:szCs w:val="20"/>
          <w:color w:val="auto"/>
        </w:rPr>
      </w:pPr>
      <w:r>
        <w:rPr>
          <w:rFonts w:ascii="Times New Roman" w:cs="Times New Roman" w:eastAsia="Times New Roman" w:hAnsi="Times New Roman"/>
          <w:sz w:val="20"/>
          <w:szCs w:val="20"/>
          <w:color w:val="auto"/>
        </w:rPr>
        <w:t>pursuant to any casualty insurance policy in respect of a covered loss thereunder of any assets of the Borrower or any of its Restricted Subsidiaries, net of any actual out-of-pocket costs and expenses incurred by the Borrower or any of its Restricted Subsidiaries in connection</w:t>
      </w:r>
    </w:p>
    <w:p>
      <w:pPr>
        <w:spacing w:after="0" w:line="211" w:lineRule="auto"/>
        <w:rPr>
          <w:sz w:val="20"/>
          <w:szCs w:val="20"/>
          <w:color w:val="auto"/>
        </w:rPr>
      </w:pPr>
      <w:r>
        <w:rPr>
          <w:rFonts w:ascii="Times New Roman" w:cs="Times New Roman" w:eastAsia="Times New Roman" w:hAnsi="Times New Roman"/>
          <w:sz w:val="20"/>
          <w:szCs w:val="20"/>
          <w:color w:val="auto"/>
        </w:rPr>
        <w:t>with the adjustment, settlement or collection of any claims of the Borrower or the applicable Restricted Subsidiary in respect thereof and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Borrower’s good faith estimate of income taxes paid or payable in connection with such Casualty Event and (c) with respect to any issuance or incurrence of Indebtedness, the cash proceeds thereof, net of all taxes and attorneys’ fees, accountants’ fees, underwriters’ or placement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agents’ fees, listing fees, commissions and brokerage, consultant and other customary fees and charges actually incurred by the Borrower and its Restricted Subsidiaries in connection with such issuance.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Borrowing Base Notice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13.7(b)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shall mean and include each Lender other than a Defaulting Lender.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3.2(b)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shall mean the promissory notes of the Borrower described in </w:t>
      </w:r>
      <w:r>
        <w:rPr>
          <w:rFonts w:ascii="Times New Roman" w:cs="Times New Roman" w:eastAsia="Times New Roman" w:hAnsi="Times New Roman"/>
          <w:sz w:val="20"/>
          <w:szCs w:val="20"/>
          <w:u w:val="single" w:color="auto"/>
          <w:color w:val="auto"/>
        </w:rPr>
        <w:t>Section 2.5(e)</w:t>
      </w:r>
      <w:r>
        <w:rPr>
          <w:rFonts w:ascii="Times New Roman" w:cs="Times New Roman" w:eastAsia="Times New Roman" w:hAnsi="Times New Roman"/>
          <w:sz w:val="20"/>
          <w:szCs w:val="20"/>
          <w:color w:val="auto"/>
        </w:rPr>
        <w:t xml:space="preserve"> and being substantially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together with all amendments, modifications, replacements, extensions and rearrangements thereof.</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xml:space="preserve">” shall mean a request of the Borrower in accordance with the terms of </w:t>
      </w:r>
      <w:r>
        <w:rPr>
          <w:rFonts w:ascii="Times New Roman" w:cs="Times New Roman" w:eastAsia="Times New Roman" w:hAnsi="Times New Roman"/>
          <w:sz w:val="20"/>
          <w:szCs w:val="20"/>
          <w:u w:val="single" w:color="auto"/>
          <w:color w:val="auto"/>
        </w:rPr>
        <w:t>Section 2.3(a)</w:t>
      </w:r>
      <w:r>
        <w:rPr>
          <w:rFonts w:ascii="Times New Roman" w:cs="Times New Roman" w:eastAsia="Times New Roman" w:hAnsi="Times New Roman"/>
          <w:sz w:val="20"/>
          <w:szCs w:val="20"/>
          <w:color w:val="auto"/>
        </w:rPr>
        <w:t xml:space="preserve"> and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such other form as shall be approved by the Administrative Agent (acting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4"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Conversion or Continuation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shall mean the Federal Reserve Bank of New York.</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shall mean all advances to, and debts, liabilities, obligations, covenants and duties of, any Credit Party arising under any Credit Document or otherwise with respect to any Loan or Letter of Credit or under any Secured Cash Management Agreement or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Secured Hedge Agreement (including all Secured Hedge Agreements (other than in respect of the Specified Hedge Agreements) and transactions thereunder regardless of whether entered into with any Hedge Bank prior to, on or after the Closing Date), in each case, entered</w:t>
      </w:r>
    </w:p>
    <w:p>
      <w:pPr>
        <w:spacing w:after="0" w:line="211" w:lineRule="auto"/>
        <w:rPr>
          <w:sz w:val="20"/>
          <w:szCs w:val="20"/>
          <w:color w:val="auto"/>
        </w:rPr>
      </w:pPr>
      <w:r>
        <w:rPr>
          <w:rFonts w:ascii="Times New Roman" w:cs="Times New Roman" w:eastAsia="Times New Roman" w:hAnsi="Times New Roman"/>
          <w:sz w:val="20"/>
          <w:szCs w:val="20"/>
          <w:color w:val="auto"/>
        </w:rPr>
        <w:t>into with the Borrower or any of its Restricted Subsidiaries, whether direct or indirect (including those acquired by assumption), absolute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contingent, due or to become due, now existing or hereafter arising and including interest and fees that accrue after the commencement by or against any Credit Party or any Affiliate thereof in any proceeding under any bankruptcy or insolvency law naming such Person as the debtor</w:t>
      </w:r>
    </w:p>
    <w:p>
      <w:pPr>
        <w:spacing w:after="0" w:line="222" w:lineRule="auto"/>
        <w:rPr>
          <w:sz w:val="20"/>
          <w:szCs w:val="20"/>
          <w:color w:val="auto"/>
        </w:rPr>
      </w:pPr>
      <w:r>
        <w:rPr>
          <w:rFonts w:ascii="Times New Roman" w:cs="Times New Roman" w:eastAsia="Times New Roman" w:hAnsi="Times New Roman"/>
          <w:sz w:val="19"/>
          <w:szCs w:val="19"/>
          <w:color w:val="auto"/>
        </w:rPr>
        <w:t>in such proceeding, regardless of whether such interest and fees are allowed claims in such proceeding. Without limiting the generality of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foregoing, the Obligations of the Credit Parties under the Credit Documents (and any of their Restricted Subsidiaries to the extent they have obligations under the Credit Documents) include the obligation (including Guarantee Obligations) to pay principal, interest, charges,</w:t>
      </w:r>
    </w:p>
    <w:p>
      <w:pPr>
        <w:spacing w:after="0" w:line="211" w:lineRule="auto"/>
        <w:rPr>
          <w:sz w:val="20"/>
          <w:szCs w:val="20"/>
          <w:color w:val="auto"/>
        </w:rPr>
      </w:pPr>
      <w:r>
        <w:rPr>
          <w:rFonts w:ascii="Times New Roman" w:cs="Times New Roman" w:eastAsia="Times New Roman" w:hAnsi="Times New Roman"/>
          <w:sz w:val="20"/>
          <w:szCs w:val="20"/>
          <w:color w:val="auto"/>
        </w:rPr>
        <w:t>expenses, fees, attorney costs, indemnities and other amounts payable by any Credit Party under any Credit Document. Notwithstanding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foregoing, (a) Excluded Swap Obligations shall not constitute Obligations, (b) the obligations of the Borrower or any Restricted Subsidiary under any Secured Hedge Agreement and under any Secured Cash Management Agreement shall be secured and guaranteed pursuant to the</w:t>
      </w:r>
    </w:p>
    <w:p>
      <w:pPr>
        <w:spacing w:after="0" w:line="211" w:lineRule="auto"/>
        <w:rPr>
          <w:sz w:val="20"/>
          <w:szCs w:val="20"/>
          <w:color w:val="auto"/>
        </w:rPr>
      </w:pPr>
      <w:r>
        <w:rPr>
          <w:rFonts w:ascii="Times New Roman" w:cs="Times New Roman" w:eastAsia="Times New Roman" w:hAnsi="Times New Roman"/>
          <w:sz w:val="20"/>
          <w:szCs w:val="20"/>
          <w:color w:val="auto"/>
        </w:rPr>
        <w:t>Security Documents and the Guarantee only to the extent that, and for so long as, the other Obligations are so secured and guaranteed and</w:t>
      </w:r>
    </w:p>
    <w:p>
      <w:pPr>
        <w:spacing w:after="0" w:line="1" w:lineRule="exact"/>
        <w:rPr>
          <w:sz w:val="20"/>
          <w:szCs w:val="20"/>
          <w:color w:val="auto"/>
        </w:rPr>
      </w:pPr>
    </w:p>
    <w:p>
      <w:pPr>
        <w:jc w:val="both"/>
        <w:ind w:firstLine="8"/>
        <w:spacing w:after="0" w:line="218" w:lineRule="auto"/>
        <w:tabs>
          <w:tab w:leader="none" w:pos="29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release of Collateral or Guarantors effected in the manner permitted by this Agreement and the other Credit Documents shall not require the consent of the holders of Hedging Obligations under Secured Hedge Agreements or of the holders of Cash Management Obligations under Secured Cash Management Agreements.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shall mean the Office of Foreign Assets Control of the U.S. Department of the Treasury.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Oil and Gas Properties</w:t>
      </w:r>
      <w:r>
        <w:rPr>
          <w:rFonts w:ascii="Times New Roman" w:cs="Times New Roman" w:eastAsia="Times New Roman" w:hAnsi="Times New Roman"/>
          <w:sz w:val="20"/>
          <w:szCs w:val="20"/>
          <w:color w:val="auto"/>
        </w:rPr>
        <w:t>” shall mean (a) Hydrocarbon Interests, (b) the properties now or hereafter pooled or unitized with</w:t>
      </w:r>
    </w:p>
    <w:p>
      <w:pPr>
        <w:spacing w:after="0" w:line="215" w:lineRule="auto"/>
        <w:rPr>
          <w:sz w:val="20"/>
          <w:szCs w:val="20"/>
          <w:color w:val="auto"/>
        </w:rPr>
      </w:pPr>
      <w:r>
        <w:rPr>
          <w:rFonts w:ascii="Times New Roman" w:cs="Times New Roman" w:eastAsia="Times New Roman" w:hAnsi="Times New Roman"/>
          <w:sz w:val="19"/>
          <w:szCs w:val="19"/>
          <w:color w:val="auto"/>
        </w:rPr>
        <w:t>Hydrocarbon Interests, (c) all presently existing or future unitization agreements, pooling agreements and declarations of pooled or unitized units and the units created thereby (including all units created under orders, regulations and rules of any Governmental Authority) which may</w:t>
      </w:r>
    </w:p>
    <w:p>
      <w:pPr>
        <w:spacing w:after="0" w:line="211" w:lineRule="auto"/>
        <w:rPr>
          <w:sz w:val="20"/>
          <w:szCs w:val="20"/>
          <w:color w:val="auto"/>
        </w:rPr>
      </w:pPr>
      <w:r>
        <w:rPr>
          <w:rFonts w:ascii="Times New Roman" w:cs="Times New Roman" w:eastAsia="Times New Roman" w:hAnsi="Times New Roman"/>
          <w:sz w:val="20"/>
          <w:szCs w:val="20"/>
          <w:color w:val="auto"/>
        </w:rPr>
        <w:t>affect all or any portion of any Hydrocarbon Interests, (d) all operating agreements, contracts and other agreements, including Production</w:t>
      </w:r>
    </w:p>
    <w:p>
      <w:pPr>
        <w:spacing w:after="0" w:line="215" w:lineRule="auto"/>
        <w:rPr>
          <w:sz w:val="20"/>
          <w:szCs w:val="20"/>
          <w:color w:val="auto"/>
        </w:rPr>
      </w:pPr>
      <w:r>
        <w:rPr>
          <w:rFonts w:ascii="Times New Roman" w:cs="Times New Roman" w:eastAsia="Times New Roman" w:hAnsi="Times New Roman"/>
          <w:sz w:val="19"/>
          <w:szCs w:val="19"/>
          <w:color w:val="auto"/>
        </w:rPr>
        <w:t>Sharing Contracts and other production sharing contracts and agreements, which relate to any Hydrocarbon Interests or the production, sale, purchase, exchange or processing of Hydrocarbons from or attributable to such Hydrocarbon Interests, (e) all Hydrocarbons in and under and</w:t>
      </w:r>
    </w:p>
    <w:p>
      <w:pPr>
        <w:spacing w:after="0" w:line="211" w:lineRule="auto"/>
        <w:rPr>
          <w:sz w:val="20"/>
          <w:szCs w:val="20"/>
          <w:color w:val="auto"/>
        </w:rPr>
      </w:pPr>
      <w:r>
        <w:rPr>
          <w:rFonts w:ascii="Times New Roman" w:cs="Times New Roman" w:eastAsia="Times New Roman" w:hAnsi="Times New Roman"/>
          <w:sz w:val="20"/>
          <w:szCs w:val="20"/>
          <w:color w:val="auto"/>
        </w:rPr>
        <w:t>which may be produced and saved or attributable to Hydrocarbon Interests, including all oil in tanks, and all rents, issues, profits, proceeds,</w:t>
      </w:r>
    </w:p>
    <w:p>
      <w:pPr>
        <w:spacing w:after="0" w:line="204" w:lineRule="auto"/>
        <w:rPr>
          <w:sz w:val="20"/>
          <w:szCs w:val="20"/>
          <w:color w:val="auto"/>
        </w:rPr>
      </w:pPr>
      <w:r>
        <w:rPr>
          <w:rFonts w:ascii="Times New Roman" w:cs="Times New Roman" w:eastAsia="Times New Roman" w:hAnsi="Times New Roman"/>
          <w:sz w:val="20"/>
          <w:szCs w:val="20"/>
          <w:color w:val="auto"/>
        </w:rPr>
        <w:t>products, revenues and other incomes from or attributable to Hydrocarbon Interests, (f) all tenements, hereditaments, appurtenances and properties in any manner appertaining, belonging, affixed or incidental to Hydrocarbon Interests and (g) all properties, rights, titles, interests</w:t>
      </w:r>
    </w:p>
    <w:p>
      <w:pPr>
        <w:spacing w:after="0" w:line="211" w:lineRule="auto"/>
        <w:rPr>
          <w:sz w:val="20"/>
          <w:szCs w:val="20"/>
          <w:color w:val="auto"/>
        </w:rPr>
      </w:pPr>
      <w:r>
        <w:rPr>
          <w:rFonts w:ascii="Times New Roman" w:cs="Times New Roman" w:eastAsia="Times New Roman" w:hAnsi="Times New Roman"/>
          <w:sz w:val="20"/>
          <w:szCs w:val="20"/>
          <w:color w:val="auto"/>
        </w:rPr>
        <w:t>and estates described or referred to above, including any and all property, real or personal, now owned or hereafter acquired and situated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upon, used, held for use or useful in connection with the operating, working or development of any Hydrocarbon Interests or property (excluding drilling rigs, automotive equipment, rental equipment or other personal property which may be on such premises for the purpose</w:t>
      </w:r>
    </w:p>
    <w:p>
      <w:pPr>
        <w:spacing w:after="0" w:line="211" w:lineRule="auto"/>
        <w:rPr>
          <w:sz w:val="20"/>
          <w:szCs w:val="20"/>
          <w:color w:val="auto"/>
        </w:rPr>
      </w:pPr>
      <w:r>
        <w:rPr>
          <w:rFonts w:ascii="Times New Roman" w:cs="Times New Roman" w:eastAsia="Times New Roman" w:hAnsi="Times New Roman"/>
          <w:sz w:val="20"/>
          <w:szCs w:val="20"/>
          <w:color w:val="auto"/>
        </w:rPr>
        <w:t>of drilling a well or for other similar temporary uses) and including any and all oil wells, gas wells, injection wells or other wells, structures,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fuel separators, liquid extraction plants, plant compressors, pumps, pumping units, field gathering systems, gas processing plants and pipeline systems, power and cogeneration facilities, steam flood facilities and any related infrastructure to any thereof, tanks and tank batteries,</w:t>
      </w:r>
    </w:p>
    <w:p>
      <w:pPr>
        <w:spacing w:after="0" w:line="211" w:lineRule="auto"/>
        <w:rPr>
          <w:sz w:val="20"/>
          <w:szCs w:val="20"/>
          <w:color w:val="auto"/>
        </w:rPr>
      </w:pPr>
      <w:r>
        <w:rPr>
          <w:rFonts w:ascii="Times New Roman" w:cs="Times New Roman" w:eastAsia="Times New Roman" w:hAnsi="Times New Roman"/>
          <w:sz w:val="20"/>
          <w:szCs w:val="20"/>
          <w:color w:val="auto"/>
        </w:rPr>
        <w:t>fixtures, valves, fittings, machinery and parts, engines, boilers, meters, apparatus, equipment, appliances, tools, implements, cables, wires,</w:t>
      </w:r>
    </w:p>
    <w:p>
      <w:pPr>
        <w:spacing w:after="0" w:line="221" w:lineRule="auto"/>
        <w:rPr>
          <w:sz w:val="20"/>
          <w:szCs w:val="20"/>
          <w:color w:val="auto"/>
        </w:rPr>
      </w:pPr>
      <w:r>
        <w:rPr>
          <w:rFonts w:ascii="Times New Roman" w:cs="Times New Roman" w:eastAsia="Times New Roman" w:hAnsi="Times New Roman"/>
          <w:sz w:val="20"/>
          <w:szCs w:val="20"/>
          <w:color w:val="auto"/>
        </w:rPr>
        <w:t>towers, casing, tubing and rods, surface leases, rights-of-way, easements and servitudes together with all additions, substitutions, replacements, accessions and attachments to any and all of the foregoing.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Ongoing Hedges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10.10(a)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9"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shall mean (a) with respect to any corporation, the certificate or articles of incorporation and the bylaws</w:t>
      </w:r>
    </w:p>
    <w:p>
      <w:pPr>
        <w:spacing w:after="0" w:line="204" w:lineRule="auto"/>
        <w:rPr>
          <w:sz w:val="20"/>
          <w:szCs w:val="20"/>
          <w:color w:val="auto"/>
        </w:rPr>
      </w:pPr>
      <w:r>
        <w:rPr>
          <w:rFonts w:ascii="Times New Roman" w:cs="Times New Roman" w:eastAsia="Times New Roman" w:hAnsi="Times New Roman"/>
          <w:sz w:val="20"/>
          <w:szCs w:val="20"/>
          <w:color w:val="auto"/>
        </w:rPr>
        <w:t>(or equivalent or comparable constitutive documents with respect to any non-U.S. jurisdiction); (b) with respect to any limited liability company, the certificate or articles of formation or organization and operating agreement; and (c) with respect to any partnership, joint</w:t>
      </w:r>
    </w:p>
    <w:p>
      <w:pPr>
        <w:spacing w:after="0" w:line="211" w:lineRule="auto"/>
        <w:rPr>
          <w:sz w:val="20"/>
          <w:szCs w:val="20"/>
          <w:color w:val="auto"/>
        </w:rPr>
      </w:pPr>
      <w:r>
        <w:rPr>
          <w:rFonts w:ascii="Times New Roman" w:cs="Times New Roman" w:eastAsia="Times New Roman" w:hAnsi="Times New Roman"/>
          <w:sz w:val="20"/>
          <w:szCs w:val="20"/>
          <w:color w:val="auto"/>
        </w:rPr>
        <w:t>venture, trust or other form of business entity, the partnership, joint venture or other applicable agreement of formation or organization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agreement, instrument, filing or notice with respect thereto filed in connection with its formation or organization with the applicable Governmental Authority in the jurisdiction of its formation or organization and, if applicable, any certificate or articles of formation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organization of such entity.</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shall mean, with respect to any Recipient, Taxes imposed as a result of a present or former connection between such Recipient and the jurisdiction imposing such Tax (other than connections arising from such Recipient having executed,</w:t>
      </w:r>
    </w:p>
    <w:p>
      <w:pPr>
        <w:spacing w:after="0" w:line="212" w:lineRule="auto"/>
        <w:rPr>
          <w:sz w:val="20"/>
          <w:szCs w:val="20"/>
          <w:color w:val="auto"/>
        </w:rPr>
      </w:pPr>
      <w:r>
        <w:rPr>
          <w:rFonts w:ascii="Times New Roman" w:cs="Times New Roman" w:eastAsia="Times New Roman" w:hAnsi="Times New Roman"/>
          <w:sz w:val="20"/>
          <w:szCs w:val="20"/>
          <w:color w:val="auto"/>
        </w:rPr>
        <w:t>delivered, become a party to, performed its obligations under, received payments under, received or perfected a security interest under,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engaged in any other transaction pursuant to or enforced under any Credit Document, or sold or assigned an interest in any Loan, Commitment or any other interest under any Credit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Debt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10.7(a)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shall mean all present or future stamp, court or documentary, intangible, recording, filing or similar Taxes that arise from any payment made under, from the execution, delivery, performance, enforcement or registration of, from the receipt or perfection of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security interest under, or otherwise with respect to, any Credit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13.7(a)</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shall mean, for any day, the greater of (a) the Federal Funds Rate and (b) an overnight rate determined by the</w:t>
      </w:r>
    </w:p>
    <w:p>
      <w:pPr>
        <w:spacing w:after="0" w:line="221" w:lineRule="auto"/>
        <w:rPr>
          <w:sz w:val="20"/>
          <w:szCs w:val="20"/>
          <w:color w:val="auto"/>
        </w:rPr>
      </w:pPr>
      <w:r>
        <w:rPr>
          <w:rFonts w:ascii="Times New Roman" w:cs="Times New Roman" w:eastAsia="Times New Roman" w:hAnsi="Times New Roman"/>
          <w:sz w:val="20"/>
          <w:szCs w:val="20"/>
          <w:color w:val="auto"/>
        </w:rPr>
        <w:t>Administrative Agent or the applicable Issuing Bank, as the case may be, in accordance with banking industry rules on interbank compensation.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13.6(c)(i)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13.6(c)(ii)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13.18</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Payment in Full</w:t>
      </w:r>
      <w:r>
        <w:rPr>
          <w:rFonts w:ascii="Times New Roman" w:cs="Times New Roman" w:eastAsia="Times New Roman" w:hAnsi="Times New Roman"/>
          <w:sz w:val="19"/>
          <w:szCs w:val="19"/>
          <w:color w:val="auto"/>
        </w:rPr>
        <w:t>” shall mean the day the Total Commitment and each Letter of Credit have terminated (unless such Letters of Credit</w:t>
      </w:r>
    </w:p>
    <w:p>
      <w:pPr>
        <w:spacing w:after="0" w:line="6"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have been collateralized on terms and conditions reasonably satisfactory to each applicable Issuing Bank following the termination of the Total Commitment) and the Loans and Unpaid Drawings, together with interest, fees and all other Obligations incurred hereunder (other than</w:t>
      </w:r>
    </w:p>
    <w:p>
      <w:pPr>
        <w:spacing w:after="0" w:line="211" w:lineRule="auto"/>
        <w:rPr>
          <w:sz w:val="20"/>
          <w:szCs w:val="20"/>
          <w:color w:val="auto"/>
        </w:rPr>
      </w:pPr>
      <w:r>
        <w:rPr>
          <w:rFonts w:ascii="Times New Roman" w:cs="Times New Roman" w:eastAsia="Times New Roman" w:hAnsi="Times New Roman"/>
          <w:sz w:val="20"/>
          <w:szCs w:val="20"/>
          <w:color w:val="auto"/>
        </w:rPr>
        <w:t>contingent indemnification obligations not then due and payable) and Hedging Obligations under Secured Hedge Agreements and Cash</w:t>
      </w:r>
    </w:p>
    <w:p>
      <w:pPr>
        <w:spacing w:after="0" w:line="221" w:lineRule="auto"/>
        <w:rPr>
          <w:sz w:val="20"/>
          <w:szCs w:val="20"/>
          <w:color w:val="auto"/>
        </w:rPr>
      </w:pPr>
      <w:r>
        <w:rPr>
          <w:rFonts w:ascii="Times New Roman" w:cs="Times New Roman" w:eastAsia="Times New Roman" w:hAnsi="Times New Roman"/>
          <w:sz w:val="20"/>
          <w:szCs w:val="20"/>
          <w:color w:val="auto"/>
        </w:rPr>
        <w:t>Management Obligations under Secured Cash Management Agreements (except as to which arrangements satisfactory to the applicable Hedge Bank or Cash Management Bank, as the case may be, shall have been made), are paid in full in cash.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12.15(a)</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shall mean the Pension Benefit Guaranty Corporation established pursuant to Section 4002 of ERISA, or any successor</w:t>
      </w: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shall mean any “employee pension benefit plan” (as such term is defined in Section 3(2) of ERISA), other than a</w:t>
      </w:r>
    </w:p>
    <w:p>
      <w:pPr>
        <w:ind w:right="20"/>
        <w:spacing w:after="0" w:line="204" w:lineRule="auto"/>
        <w:rPr>
          <w:sz w:val="20"/>
          <w:szCs w:val="20"/>
          <w:color w:val="auto"/>
        </w:rPr>
      </w:pPr>
      <w:r>
        <w:rPr>
          <w:rFonts w:ascii="Times New Roman" w:cs="Times New Roman" w:eastAsia="Times New Roman" w:hAnsi="Times New Roman"/>
          <w:sz w:val="20"/>
          <w:szCs w:val="20"/>
          <w:color w:val="auto"/>
        </w:rPr>
        <w:t>Multiemployer Plan, that is subject to Title IV of ERISA and is sponsored or maintained by any Credit Party or any ERISA Affiliate or to which any Credit Party or any ERISA Affiliate contributes or has an obligation to contribute, or in the case of a multiple employer or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 described in Section 4064(a) of ERISA, has made contributions at any time during the immediately preceding six (6)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4"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shall have the meaning specified in the definition of “Term SOFR”.</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shall mean the acquisition, by merger or otherwise, by the Borrower or any of the Restricted Subsidiaries of assets (including any assets constituting a business unit, line of business or division) or Equity Interests, so long as (a) if such acquisition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involves the acquisition of Equity Interests of a Person that upon such acquisition would become a Subsidiary, such acquisition shall result in the issuer of such Equity Interests becoming a Restricted Subsidiary and, to the extent required by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a Guarantor or a Grantor;</w:t>
      </w:r>
    </w:p>
    <w:p>
      <w:pPr>
        <w:spacing w:after="0" w:line="1" w:lineRule="exact"/>
        <w:rPr>
          <w:sz w:val="20"/>
          <w:szCs w:val="20"/>
          <w:color w:val="auto"/>
        </w:rPr>
      </w:pPr>
    </w:p>
    <w:p>
      <w:pPr>
        <w:jc w:val="both"/>
        <w:ind w:firstLine="8"/>
        <w:spacing w:after="0" w:line="216" w:lineRule="auto"/>
        <w:tabs>
          <w:tab w:leader="none" w:pos="28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acquisition shall result in the Collateral Agent, for the benefit of the Secured Parties, being granted a security interest in any Equity Interests or any assets so acquired to the extent required by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(c) immediately after giving effect to such acquisition, the Restricted Payment Conditions shall have been satisfied; and (d) immediately after giving effect to such acquisition, the Borrower and its Restricted Subsidiaries shall be in compliance with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Additional Debt</w:t>
      </w:r>
      <w:r>
        <w:rPr>
          <w:rFonts w:ascii="Times New Roman" w:cs="Times New Roman" w:eastAsia="Times New Roman" w:hAnsi="Times New Roman"/>
          <w:sz w:val="20"/>
          <w:szCs w:val="20"/>
          <w:color w:val="auto"/>
        </w:rPr>
        <w:t>” shall mean Junior Lien Indebtedness, any Permitted Convertible Debt and any unsecured senior,</w:t>
      </w:r>
    </w:p>
    <w:p>
      <w:pPr>
        <w:spacing w:after="0" w:line="190" w:lineRule="auto"/>
        <w:rPr>
          <w:sz w:val="20"/>
          <w:szCs w:val="20"/>
          <w:color w:val="auto"/>
        </w:rPr>
      </w:pPr>
      <w:r>
        <w:rPr>
          <w:rFonts w:ascii="Times New Roman" w:cs="Times New Roman" w:eastAsia="Times New Roman" w:hAnsi="Times New Roman"/>
          <w:sz w:val="19"/>
          <w:szCs w:val="19"/>
          <w:color w:val="auto"/>
        </w:rPr>
        <w:t>unsecured senior subordinated or unsecured subordinated loans or notes issued by the Borrower or a Guarantor after the Closing Date (a) the terms of which do not provide for any scheduled repayment, mandatory redemption or sinking fund obligation prior to the 181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xml:space="preserve"> day after the</w:t>
      </w:r>
    </w:p>
    <w:p>
      <w:pPr>
        <w:spacing w:after="0" w:line="211" w:lineRule="auto"/>
        <w:rPr>
          <w:sz w:val="20"/>
          <w:szCs w:val="20"/>
          <w:color w:val="auto"/>
        </w:rPr>
      </w:pPr>
      <w:r>
        <w:rPr>
          <w:rFonts w:ascii="Times New Roman" w:cs="Times New Roman" w:eastAsia="Times New Roman" w:hAnsi="Times New Roman"/>
          <w:sz w:val="20"/>
          <w:szCs w:val="20"/>
          <w:color w:val="auto"/>
        </w:rPr>
        <w:t>Maturity Date (other than customary offers to purchase upon a change of control (including customary offers to repurchase any Permitted</w:t>
      </w:r>
    </w:p>
    <w:p>
      <w:pPr>
        <w:spacing w:after="0" w:line="190" w:lineRule="auto"/>
        <w:rPr>
          <w:sz w:val="20"/>
          <w:szCs w:val="20"/>
          <w:color w:val="auto"/>
        </w:rPr>
      </w:pPr>
      <w:r>
        <w:rPr>
          <w:rFonts w:ascii="Times New Roman" w:cs="Times New Roman" w:eastAsia="Times New Roman" w:hAnsi="Times New Roman"/>
          <w:sz w:val="19"/>
          <w:szCs w:val="19"/>
          <w:color w:val="auto"/>
        </w:rPr>
        <w:t>Convertible Debt in connection with “fundamental change”), AHYDO payments, customary asset sale or casualty or condemnation event prepayments and customary acceleration rights after an event of default prior to the 181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xml:space="preserve"> day after the Maturity Date, any right of any holder</w:t>
      </w:r>
    </w:p>
    <w:p>
      <w:pPr>
        <w:spacing w:after="0" w:line="211" w:lineRule="auto"/>
        <w:rPr>
          <w:sz w:val="20"/>
          <w:szCs w:val="20"/>
          <w:color w:val="auto"/>
        </w:rPr>
      </w:pPr>
      <w:r>
        <w:rPr>
          <w:rFonts w:ascii="Times New Roman" w:cs="Times New Roman" w:eastAsia="Times New Roman" w:hAnsi="Times New Roman"/>
          <w:sz w:val="20"/>
          <w:szCs w:val="20"/>
          <w:color w:val="auto"/>
        </w:rPr>
        <w:t>of any Permitted Convertible Debt to convert, exchange or exercise such Permitted Convertible Debt, or any actual conversion, exchange or</w:t>
      </w:r>
    </w:p>
    <w:p>
      <w:pPr>
        <w:spacing w:after="0" w:line="204" w:lineRule="auto"/>
        <w:rPr>
          <w:sz w:val="20"/>
          <w:szCs w:val="20"/>
          <w:color w:val="auto"/>
        </w:rPr>
      </w:pPr>
      <w:r>
        <w:rPr>
          <w:rFonts w:ascii="Times New Roman" w:cs="Times New Roman" w:eastAsia="Times New Roman" w:hAnsi="Times New Roman"/>
          <w:sz w:val="20"/>
          <w:szCs w:val="20"/>
          <w:color w:val="auto"/>
        </w:rPr>
        <w:t>exercise of any Permitted Convertible Debt, in each case into or for common stock or other common equity interests of the Borrower and/or cash (in an amount determined by reference to the price of such common stock or other common equity interest), any optional right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issuer of Permitted Convertible Debt to call such Permitted Convertible Debt for redemption or in the case of any loans or notes or other Indebtedness that are convertible into Qualified Equity Interests (including any Permitted Convertible Debt), payments in respect of any</w:t>
      </w:r>
    </w:p>
    <w:p>
      <w:pPr>
        <w:spacing w:after="0" w:line="223" w:lineRule="auto"/>
        <w:rPr>
          <w:sz w:val="20"/>
          <w:szCs w:val="20"/>
          <w:color w:val="auto"/>
        </w:rPr>
      </w:pPr>
      <w:r>
        <w:rPr>
          <w:rFonts w:ascii="Times New Roman" w:cs="Times New Roman" w:eastAsia="Times New Roman" w:hAnsi="Times New Roman"/>
          <w:sz w:val="19"/>
          <w:szCs w:val="19"/>
          <w:color w:val="auto"/>
        </w:rPr>
        <w:t>fractional shares that would otherwise be issued upon such conversion) and has a Weighted Average Life to Maturity equal to or greater than</w:t>
      </w:r>
    </w:p>
    <w:p>
      <w:pPr>
        <w:spacing w:after="0" w:line="204" w:lineRule="auto"/>
        <w:rPr>
          <w:sz w:val="20"/>
          <w:szCs w:val="20"/>
          <w:color w:val="auto"/>
        </w:rPr>
      </w:pPr>
      <w:r>
        <w:rPr>
          <w:rFonts w:ascii="Times New Roman" w:cs="Times New Roman" w:eastAsia="Times New Roman" w:hAnsi="Times New Roman"/>
          <w:sz w:val="20"/>
          <w:szCs w:val="20"/>
          <w:color w:val="auto"/>
        </w:rPr>
        <w:t>the Weighted Average Life to Maturity of the Facility, if applicable, (b) if such Indebtedness is subordinated in right of payment to the Obligations, the terms of such Indebtedness provide for customary subordination of such Indebtedness to the Obligations and is subject to a</w:t>
      </w:r>
    </w:p>
    <w:p>
      <w:pPr>
        <w:spacing w:after="0" w:line="211" w:lineRule="auto"/>
        <w:rPr>
          <w:sz w:val="20"/>
          <w:szCs w:val="20"/>
          <w:color w:val="auto"/>
        </w:rPr>
      </w:pPr>
      <w:r>
        <w:rPr>
          <w:rFonts w:ascii="Times New Roman" w:cs="Times New Roman" w:eastAsia="Times New Roman" w:hAnsi="Times New Roman"/>
          <w:sz w:val="20"/>
          <w:szCs w:val="20"/>
          <w:color w:val="auto"/>
        </w:rPr>
        <w:t>Subordination Agreement, (c) no Subsidiary of the Borrower (other than a Guarantor) is a borrower or guarantor with respect to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Indebtedness, (d) that does not restrict, by its terms, the prepayment or repayment of the Obligations, (e) the covenants, events of default, guarantees and other terms of which (other than interest rate, fees, funding discounts and redemption or prepayment premiums reasonably</w:t>
      </w:r>
    </w:p>
    <w:p>
      <w:pPr>
        <w:spacing w:after="0" w:line="211" w:lineRule="auto"/>
        <w:rPr>
          <w:sz w:val="20"/>
          <w:szCs w:val="20"/>
          <w:color w:val="auto"/>
        </w:rPr>
      </w:pPr>
      <w:r>
        <w:rPr>
          <w:rFonts w:ascii="Times New Roman" w:cs="Times New Roman" w:eastAsia="Times New Roman" w:hAnsi="Times New Roman"/>
          <w:sz w:val="20"/>
          <w:szCs w:val="20"/>
          <w:color w:val="auto"/>
        </w:rPr>
        <w:t>determined by the Borrower to be “market” rates, fees, discounts and premiums at the time of issuance or incurrence of any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Indebtedness), taken as a whole, shall be customary for high yield debt securities or Junior Lien Indebtedness (or in the case of any Permitted Convertible Debt, taken as a whole, shall be customary for convertible debt securities of such nature) and are determined by the Borrower to</w:t>
      </w:r>
    </w:p>
    <w:p>
      <w:pPr>
        <w:spacing w:after="0" w:line="222" w:lineRule="auto"/>
        <w:rPr>
          <w:sz w:val="20"/>
          <w:szCs w:val="20"/>
          <w:color w:val="auto"/>
        </w:rPr>
      </w:pPr>
      <w:r>
        <w:rPr>
          <w:rFonts w:ascii="Times New Roman" w:cs="Times New Roman" w:eastAsia="Times New Roman" w:hAnsi="Times New Roman"/>
          <w:sz w:val="19"/>
          <w:szCs w:val="19"/>
          <w:color w:val="auto"/>
        </w:rPr>
        <w:t>be no more restrictive on or less favorable to the Borrower and its Restricted Subsidiaries than the terms of this Agreement (as in effect at the</w:t>
      </w:r>
    </w:p>
    <w:p>
      <w:pPr>
        <w:spacing w:after="0" w:line="204" w:lineRule="auto"/>
        <w:rPr>
          <w:sz w:val="20"/>
          <w:szCs w:val="20"/>
          <w:color w:val="auto"/>
        </w:rPr>
      </w:pPr>
      <w:r>
        <w:rPr>
          <w:rFonts w:ascii="Times New Roman" w:cs="Times New Roman" w:eastAsia="Times New Roman" w:hAnsi="Times New Roman"/>
          <w:sz w:val="20"/>
          <w:szCs w:val="20"/>
          <w:color w:val="auto"/>
        </w:rPr>
        <w:t>time of such issuance or incurrence), taken as a whole, except to the extent this Agreement is amended to incorporate any terms more restrictive than this Agreement, (f) shall not include any financial maintenance covenants nor prohibit prior repayment or prepayment of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certificate of an Authorized Officer of the Borrower delivered to the Administrative Agent at least five (5) Business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Days prior to the incurrence or issuance of such Indebtedness (or such later date as may be acceptable to the Administrative Agent), together with a reasonably detailed description of the material terms and conditions of such Indebtedness or drafts of the documentation relating</w:t>
      </w:r>
    </w:p>
    <w:p>
      <w:pPr>
        <w:spacing w:after="0" w:line="211" w:lineRule="auto"/>
        <w:rPr>
          <w:sz w:val="20"/>
          <w:szCs w:val="20"/>
          <w:color w:val="auto"/>
        </w:rPr>
      </w:pPr>
      <w:r>
        <w:rPr>
          <w:rFonts w:ascii="Times New Roman" w:cs="Times New Roman" w:eastAsia="Times New Roman" w:hAnsi="Times New Roman"/>
          <w:sz w:val="20"/>
          <w:szCs w:val="20"/>
          <w:color w:val="auto"/>
        </w:rPr>
        <w:t>thereto, stating that the Borrower has determined in good faith that such terms and conditions satisfy the foregoing requirements shall be</w:t>
      </w:r>
    </w:p>
    <w:p>
      <w:pPr>
        <w:spacing w:after="0" w:line="204" w:lineRule="auto"/>
        <w:rPr>
          <w:sz w:val="20"/>
          <w:szCs w:val="20"/>
          <w:color w:val="auto"/>
        </w:rPr>
      </w:pPr>
      <w:r>
        <w:rPr>
          <w:rFonts w:ascii="Times New Roman" w:cs="Times New Roman" w:eastAsia="Times New Roman" w:hAnsi="Times New Roman"/>
          <w:sz w:val="20"/>
          <w:szCs w:val="20"/>
          <w:color w:val="auto"/>
        </w:rPr>
        <w:t>conclusive evidence that such terms and conditions satisfy the foregoing requirements and (g) if the Permitted Additional Debt constitutes Junior Lien Indebtedness, such Permitted Additional Debt shall be subject to a Junior Lien Intercreditor Agreement and shall not be secured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any assets other than the Collateral.</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Bond Hedge Transaction(s</w:t>
      </w:r>
      <w:r>
        <w:rPr>
          <w:rFonts w:ascii="Times New Roman" w:cs="Times New Roman" w:eastAsia="Times New Roman" w:hAnsi="Times New Roman"/>
          <w:sz w:val="20"/>
          <w:szCs w:val="20"/>
          <w:color w:val="auto"/>
        </w:rPr>
        <w:t>)” means any call or capped call option (or substantively equivalent derivative transaction) entered into by the Borrower in connection with the issuance of any Permitted Convertible Debt and requiring the counterparty thereto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deliver to the Borrower (i)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color w:val="auto"/>
        </w:rPr>
        <w:t>common stock of the Borrower (or other securities or property following a merger event or other change of the common stock of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Borrower), (ii) the cash value thereof or (iii) a combination thereof, in each case, from time to time upon exercise of such option;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the purchase price for such Permitted Bond Hedge Transaction, less the proceeds received by the Borrower from the sale of any</w:t>
      </w:r>
    </w:p>
    <w:p>
      <w:pPr>
        <w:spacing w:after="0" w:line="211" w:lineRule="auto"/>
        <w:rPr>
          <w:sz w:val="20"/>
          <w:szCs w:val="20"/>
          <w:color w:val="auto"/>
        </w:rPr>
      </w:pPr>
      <w:r>
        <w:rPr>
          <w:rFonts w:ascii="Times New Roman" w:cs="Times New Roman" w:eastAsia="Times New Roman" w:hAnsi="Times New Roman"/>
          <w:sz w:val="20"/>
          <w:szCs w:val="20"/>
          <w:color w:val="auto"/>
        </w:rPr>
        <w:t>related Permitted Warrant Transaction, does not exceed the net proceeds received by the Borrower from the sale of such Permitted</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Convertible Debt issued in connection with the Permitted Bond Hedge Transaction and (b) the terms, conditions and covenants of each such transaction shall be such as are reasonable and customary for transactions of such type (as determined by Borrower in good faith and in its</w:t>
      </w:r>
    </w:p>
    <w:p>
      <w:pPr>
        <w:spacing w:after="0"/>
        <w:rPr>
          <w:sz w:val="20"/>
          <w:szCs w:val="20"/>
          <w:color w:val="auto"/>
        </w:rPr>
      </w:pPr>
      <w:r>
        <w:rPr>
          <w:rFonts w:ascii="Times New Roman" w:cs="Times New Roman" w:eastAsia="Times New Roman" w:hAnsi="Times New Roman"/>
          <w:sz w:val="20"/>
          <w:szCs w:val="20"/>
          <w:color w:val="auto"/>
        </w:rPr>
        <w:t>reasonable discretion).</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Convertible Debt</w:t>
      </w:r>
      <w:r>
        <w:rPr>
          <w:rFonts w:ascii="Times New Roman" w:cs="Times New Roman" w:eastAsia="Times New Roman" w:hAnsi="Times New Roman"/>
          <w:sz w:val="19"/>
          <w:szCs w:val="19"/>
          <w:color w:val="auto"/>
        </w:rPr>
        <w:t>” means Indebtedness that is either (i) convertible into a fixed number (subject to customary anti-dilution adjustments, “make-whole” increases and other customary changes thereto) of shares of common stock of Borrower (and cash in lieu</w:t>
      </w:r>
    </w:p>
    <w:p>
      <w:pPr>
        <w:spacing w:after="0" w:line="222" w:lineRule="auto"/>
        <w:rPr>
          <w:sz w:val="20"/>
          <w:szCs w:val="20"/>
          <w:color w:val="auto"/>
        </w:rPr>
      </w:pPr>
      <w:r>
        <w:rPr>
          <w:rFonts w:ascii="Times New Roman" w:cs="Times New Roman" w:eastAsia="Times New Roman" w:hAnsi="Times New Roman"/>
          <w:sz w:val="19"/>
          <w:szCs w:val="19"/>
          <w:color w:val="auto"/>
        </w:rPr>
        <w:t>of fractional shares) (or other securities or property following a merger event or other change of the common stock of the Borrower), cash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combination thereof (with the amount of such cash or such combination determined by reference to the market price of such common stock or such other securities) or (ii) sold as units with call options, warrants or rights to purchase (or substantially equivalent derivative</w:t>
      </w:r>
    </w:p>
    <w:p>
      <w:pPr>
        <w:spacing w:after="0" w:line="211" w:lineRule="auto"/>
        <w:rPr>
          <w:sz w:val="20"/>
          <w:szCs w:val="20"/>
          <w:color w:val="auto"/>
        </w:rPr>
      </w:pPr>
      <w:r>
        <w:rPr>
          <w:rFonts w:ascii="Times New Roman" w:cs="Times New Roman" w:eastAsia="Times New Roman" w:hAnsi="Times New Roman"/>
          <w:sz w:val="20"/>
          <w:szCs w:val="20"/>
          <w:color w:val="auto"/>
        </w:rPr>
        <w:t>transactions) that are exercisable for shares of common stock of the Borrower (and cash in lieu of fractional shares) (or other securities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property following a merger event or other change of the common stock of Borrower), cash or any combination thereof (with the amount of such cash or such combination determined by reference to the market price of such common stock or such other securities).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Intercompany Activities</w:t>
      </w:r>
      <w:r>
        <w:rPr>
          <w:rFonts w:ascii="Times New Roman" w:cs="Times New Roman" w:eastAsia="Times New Roman" w:hAnsi="Times New Roman"/>
          <w:sz w:val="20"/>
          <w:szCs w:val="20"/>
          <w:color w:val="auto"/>
        </w:rPr>
        <w:t>” shall mean any transactions between or among the Borrower and its Subsidiaries or Affiliates</w:t>
      </w:r>
    </w:p>
    <w:p>
      <w:pPr>
        <w:spacing w:after="0" w:line="204" w:lineRule="auto"/>
        <w:rPr>
          <w:sz w:val="20"/>
          <w:szCs w:val="20"/>
          <w:color w:val="auto"/>
        </w:rPr>
      </w:pPr>
      <w:r>
        <w:rPr>
          <w:rFonts w:ascii="Times New Roman" w:cs="Times New Roman" w:eastAsia="Times New Roman" w:hAnsi="Times New Roman"/>
          <w:sz w:val="20"/>
          <w:szCs w:val="20"/>
          <w:color w:val="auto"/>
        </w:rPr>
        <w:t>(for the avoidance of doubt, including Unrestricted Subsidiaries) that (x) in respect of clause (i) through (iii) below, are entered into in the ordinary course of business of the Borrower and its Subsidiaries and (y) in the good faith judgment of the Borrower, are necessary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advisable in connection with the ownership or operation of the business of the Borrower and its Subsidiaries or Affiliates, including (i) payroll, cash management, purchasing, insurance, indemnity and liability sharing and hedging arrangements (other than the hedging</w:t>
      </w:r>
    </w:p>
    <w:p>
      <w:pPr>
        <w:spacing w:after="0" w:line="211" w:lineRule="auto"/>
        <w:rPr>
          <w:sz w:val="20"/>
          <w:szCs w:val="20"/>
          <w:color w:val="auto"/>
        </w:rPr>
      </w:pPr>
      <w:r>
        <w:rPr>
          <w:rFonts w:ascii="Times New Roman" w:cs="Times New Roman" w:eastAsia="Times New Roman" w:hAnsi="Times New Roman"/>
          <w:sz w:val="20"/>
          <w:szCs w:val="20"/>
          <w:color w:val="auto"/>
        </w:rPr>
        <w:t>arrangements of any Unrestricted Subsidiaries), (ii) management, technology and licensing arrangements, but excluding other payments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EHP Entities, (iii) purchase and sale of Hydrocarbons in connection with marketing activities, (iv) any Credit Party’s purchase of steam or electric power from the EHP Entity or any Credit Party’s transfer of water or Hydrocarbons to the EHP Entity;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Credit</w:t>
      </w:r>
    </w:p>
    <w:p>
      <w:pPr>
        <w:spacing w:after="0" w:line="211" w:lineRule="auto"/>
        <w:rPr>
          <w:sz w:val="20"/>
          <w:szCs w:val="20"/>
          <w:color w:val="auto"/>
        </w:rPr>
      </w:pPr>
      <w:r>
        <w:rPr>
          <w:rFonts w:ascii="Times New Roman" w:cs="Times New Roman" w:eastAsia="Times New Roman" w:hAnsi="Times New Roman"/>
          <w:sz w:val="20"/>
          <w:szCs w:val="20"/>
          <w:color w:val="auto"/>
        </w:rPr>
        <w:t>Party shall receive consideration in connection with such transactions at least equal to its associated cost of production and shall pay an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otherwise not unreasonable amount from a financial point of view for steam or electric power, (v) the lease between California Resources Elk Hills, LLC (formerly known as Occidental of Elk Hills, Inc.) and EHP, dated as of April 23, 2001 (and any subsequent amendments,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extensions or modifications which are not materially adverse to the Lenders) and (vi) any rights-of-way, easements and servitudes granted by any Credit Party in favor of EHP.</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shall mean:</w:t>
      </w:r>
    </w:p>
    <w:p>
      <w:pPr>
        <w:spacing w:after="0" w:line="189" w:lineRule="exact"/>
        <w:rPr>
          <w:sz w:val="20"/>
          <w:szCs w:val="20"/>
          <w:color w:val="auto"/>
        </w:rPr>
      </w:pPr>
    </w:p>
    <w:p>
      <w:pPr>
        <w:ind w:left="1940" w:hanging="636"/>
        <w:spacing w:after="0"/>
        <w:tabs>
          <w:tab w:leader="none" w:pos="19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United States dollars;</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issued or directly and fully and unconditionally guaranteed or insured by the United States government or any agency or instrumentality thereof the securities of which are unconditionally guaranteed as a full faith and credit obligation of such government with maturities of twenty-four (24) months or less from the date of acquisition;</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4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deposit, time deposits and eurodollar time deposits with maturities of twenty-four (24) months or less from the date of acquisition, demand deposits, bankers’ acceptances with maturities not exceeding three (3) years and overnight bank deposits, in each case with any domestic or foreign commercial bank having capital and surplus of not less than $250,000,000 in the case of U.S. banks and $100,000,000 (or the United States dollar equivalent as of the date of determination) in the case of non-U.S. banks (any such bank in the forgoing an “</w:t>
      </w:r>
      <w:r>
        <w:rPr>
          <w:rFonts w:ascii="Times New Roman" w:cs="Times New Roman" w:eastAsia="Times New Roman" w:hAnsi="Times New Roman"/>
          <w:sz w:val="20"/>
          <w:szCs w:val="20"/>
          <w:u w:val="single" w:color="auto"/>
          <w:color w:val="auto"/>
        </w:rPr>
        <w:t>Approved Bank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4" w:right="339" w:bottom="1440" w:gutter="0" w:footer="0" w:header="0"/>
        </w:sectPr>
      </w:pPr>
    </w:p>
    <w:bookmarkStart w:id="80" w:name="page81"/>
    <w:bookmarkEnd w:id="80"/>
    <w:p>
      <w:pPr>
        <w:ind w:left="1940" w:hanging="636"/>
        <w:spacing w:after="0"/>
        <w:tabs>
          <w:tab w:leader="none" w:pos="19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repurchase obligations for underlying securities of the types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or </w:t>
      </w:r>
      <w:r>
        <w:rPr>
          <w:rFonts w:ascii="Times New Roman" w:cs="Times New Roman" w:eastAsia="Times New Roman" w:hAnsi="Times New Roman"/>
          <w:sz w:val="20"/>
          <w:szCs w:val="20"/>
          <w:u w:val="single" w:color="auto"/>
          <w:color w:val="auto"/>
        </w:rPr>
        <w:t>clauses (f)</w:t>
      </w:r>
      <w:r>
        <w:rPr>
          <w:rFonts w:ascii="Times New Roman" w:cs="Times New Roman" w:eastAsia="Times New Roman" w:hAnsi="Times New Roman"/>
          <w:sz w:val="20"/>
          <w:szCs w:val="20"/>
          <w:color w:val="auto"/>
        </w:rPr>
        <w:t xml:space="preserve"> and</w:t>
      </w:r>
    </w:p>
    <w:p>
      <w:pPr>
        <w:ind w:left="660" w:hanging="4"/>
        <w:spacing w:after="0" w:line="221" w:lineRule="auto"/>
        <w:tabs>
          <w:tab w:leader="none" w:pos="948" w:val="left"/>
        </w:tabs>
        <w:numPr>
          <w:ilvl w:val="0"/>
          <w:numId w:val="3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below entered into with any financial institution or recognized securities dealer meeting the qualifications specified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w:t>
      </w:r>
    </w:p>
    <w:p>
      <w:pPr>
        <w:spacing w:after="0" w:line="161" w:lineRule="exact"/>
        <w:rPr>
          <w:rFonts w:ascii="Times New Roman" w:cs="Times New Roman" w:eastAsia="Times New Roman" w:hAnsi="Times New Roman"/>
          <w:sz w:val="20"/>
          <w:szCs w:val="20"/>
          <w:u w:val="single" w:color="auto"/>
          <w:color w:val="auto"/>
        </w:rPr>
      </w:pPr>
    </w:p>
    <w:p>
      <w:pPr>
        <w:jc w:val="both"/>
        <w:ind w:left="660" w:firstLine="644"/>
        <w:spacing w:after="0" w:line="216" w:lineRule="auto"/>
        <w:tabs>
          <w:tab w:leader="none" w:pos="194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and variable or fixed rate notes issued by an Approved Bank (or by the parent company thereof) or any variable or fixed rate note issued by, or guaranteed by, a corporation by, a corporation (other than structured investment vehicles and other than corporations used in structured financing transactions) rated at least A-2 (or the equivalent thereof) by S&amp;P or at least P-2 (or the equivalent thereof) or better by Moody’s (or, if at any time neither Moody’s nor S&amp;P shall be rating such obligations, an equivalent rating from another nationally recognized statistical rating agency selected by the Borrower) and in each case maturing within twelve (12) months after the date of acquisition thereof;</w:t>
      </w:r>
    </w:p>
    <w:p>
      <w:pPr>
        <w:spacing w:after="0" w:line="162"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1"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short-term money market and similar liquid funds having a rating of at least P-2 (or the equivalent thereof) or A-2 (or the equivalent thereof) from either Moody’s or S&amp;P, respectively (or, if at any time neither Moody’s nor S&amp;P shall be rating such obligations, an equivalent rating from another nationally recognized statistical rating agency selected by the Borrower);</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4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readily marketable direct obligations issued or fully guaranteed by any state, commonwealth or territory of the United States or any political subdivision or taxing authority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each such readily marketable direct obligation shall have an Investment Grade Rating from either Moody’s or S&amp;P or Moody’s (or the equivalent thereof) (or, if at any time neither Moody’s nor S&amp;P or Moody’s (or the equivalent thereof) shall be rating such obligations, an equivalent rating from another nationally recognized statistical rating agency selected by the Borrower) with maturities of thirty-six (36) months or less from the date of acquisition;</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with average maturities of twelve (12)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nationally recognized statistical rating agency selected by the Borrower); and</w:t>
      </w:r>
    </w:p>
    <w:p>
      <w:pPr>
        <w:spacing w:after="0" w:line="15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 funds investing substantially all of their assets in securities of the types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w:t>
      </w:r>
    </w:p>
    <w:p>
      <w:pPr>
        <w:ind w:left="940" w:hanging="284"/>
        <w:spacing w:after="0"/>
        <w:tabs>
          <w:tab w:leader="none" w:pos="940" w:val="left"/>
        </w:tabs>
        <w:numPr>
          <w:ilvl w:val="0"/>
          <w:numId w:val="3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shall mean:</w:t>
      </w:r>
    </w:p>
    <w:p>
      <w:pPr>
        <w:spacing w:after="0" w:line="189" w:lineRule="exact"/>
        <w:rPr>
          <w:sz w:val="20"/>
          <w:szCs w:val="20"/>
          <w:color w:val="auto"/>
        </w:rPr>
      </w:pPr>
    </w:p>
    <w:p>
      <w:pPr>
        <w:jc w:val="both"/>
        <w:ind w:firstLine="656"/>
        <w:spacing w:after="0" w:line="220" w:lineRule="auto"/>
        <w:tabs>
          <w:tab w:leader="none" w:pos="128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assessments or governmental charges or claims not yet overdue for a period of more than thirty (30) days or that are being contested in good faith and by appropriate proceedings diligently conducted, for which appropriate reserves have been established in accordance with GAAP (or in the case of any Foreign Subsidiary, the comparable accounting principles in the relevant jurisdiction), or for property taxes on property that the Borrower or one of its Subsidiaries has determined to abandon if the sole recourse for such tax, assessment, charge or claim is to such property;</w:t>
      </w:r>
    </w:p>
    <w:p>
      <w:pPr>
        <w:spacing w:after="0" w:line="147" w:lineRule="exact"/>
        <w:rPr>
          <w:rFonts w:ascii="Times New Roman" w:cs="Times New Roman" w:eastAsia="Times New Roman" w:hAnsi="Times New Roman"/>
          <w:sz w:val="20"/>
          <w:szCs w:val="20"/>
          <w:color w:val="auto"/>
        </w:rPr>
      </w:pPr>
    </w:p>
    <w:p>
      <w:pPr>
        <w:jc w:val="both"/>
        <w:ind w:firstLine="656"/>
        <w:spacing w:after="0" w:line="224" w:lineRule="auto"/>
        <w:tabs>
          <w:tab w:leader="none" w:pos="1284"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 respect of property or assets of the Borrower or any of the Restricted Subsidiaries imposed by law, such as landlords’, sublandlords’, vendors’, operators’, suppliers’, carriers’, warehousemen’s, repairmen’s, construction contractors’, workers’, materialmen’s and mechanics’ Liens and other similar Liens arising in the ordinary course of business or incident to the exploration, development, operation or maintenance of Oil and Gas Properties, in each case so long as such Liens arise in the ordinary course of business and do not individually or in the aggregate have a Material Adverse Effect and (i) are not overdue for a period of more than sixty (60) days or</w:t>
      </w:r>
    </w:p>
    <w:p>
      <w:pPr>
        <w:spacing w:after="0" w:line="1" w:lineRule="exact"/>
        <w:rPr>
          <w:rFonts w:ascii="Times New Roman" w:cs="Times New Roman" w:eastAsia="Times New Roman" w:hAnsi="Times New Roman"/>
          <w:sz w:val="19"/>
          <w:szCs w:val="19"/>
          <w:color w:val="auto"/>
        </w:rPr>
      </w:pPr>
    </w:p>
    <w:p>
      <w:pPr>
        <w:ind w:left="300" w:hanging="292"/>
        <w:spacing w:after="0"/>
        <w:tabs>
          <w:tab w:leader="none" w:pos="3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being contested in good faith by appropriate action and for which adequate reserves have been maintained in accordance with GAAP;</w:t>
      </w:r>
    </w:p>
    <w:p>
      <w:pPr>
        <w:spacing w:after="0" w:line="164"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from judgments or decrees in circumstances not constituting an Event of Default under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4" w:right="339" w:bottom="1440" w:gutter="0" w:footer="0" w:header="0"/>
        </w:sectPr>
      </w:pPr>
    </w:p>
    <w:bookmarkStart w:id="81" w:name="page82"/>
    <w:bookmarkEnd w:id="81"/>
    <w:p>
      <w:pPr>
        <w:jc w:val="both"/>
        <w:ind w:firstLine="656"/>
        <w:spacing w:after="0" w:line="220" w:lineRule="auto"/>
        <w:tabs>
          <w:tab w:leader="none" w:pos="12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incurred or pledges or deposits made in connection with workers’ compensation, unemployment insurance and other types of social security, old age pension, public liability obligations or similar legislation, and deposits securing liabilities to insurance carriers under insurance or self-insurance arrangements in respect of such obligations, or to secure (or secure the Liens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147"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deposits and other Liens securing (or securing the bonds or similar instruments securing) the performance of tenders, statutory obligations, plugging and abandonment or decommissioning obligations, surety, stay, customs and appeal bonds, bids, leases, government contracts, trade contracts, performance and return-of-money bonds and other similar obligations (including letters of credit issued in lieu of such bonds or to support the issuance thereof) incurred in the ordinary course of business or in a manner consistent with past practice or industry practice including those incurred to secure health, safety and environmental obligations in the ordinary course of business, or otherwise constituting Investments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50" w:lineRule="exact"/>
        <w:rPr>
          <w:rFonts w:ascii="Times New Roman" w:cs="Times New Roman" w:eastAsia="Times New Roman" w:hAnsi="Times New Roman"/>
          <w:sz w:val="20"/>
          <w:szCs w:val="20"/>
          <w:color w:val="auto"/>
        </w:rPr>
      </w:pPr>
    </w:p>
    <w:p>
      <w:pPr>
        <w:ind w:firstLine="656"/>
        <w:spacing w:after="0"/>
        <w:tabs>
          <w:tab w:leader="none" w:pos="1291"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ground leases, subleases, licenses or sublicenses in respect of real property (other than any Oil and Gas Properties) on which facilities owned or leased by the Borrower or any of its Restricted Subsidiaries are located;</w:t>
      </w:r>
    </w:p>
    <w:p>
      <w:pPr>
        <w:spacing w:after="0" w:line="161"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restrictive covenants, licenses, restrictions (including zoning restrictions), title defects, exceptions, reservations, deficiencies or irregularities in title, encroachments, protrusions, servitudes, rights, eminent domain or condemnation rights, permits, conditions and covenants and other similar charges or encumbrances (including in any rights-of-way or other property of the Borrower or its Restricted Subsidiaries for the purpose of roads, pipelines, transmission lines, transportation lines, distribution lines for the removal of gas, oil or other minerals or timber, and other like purposes, or for joint or common use of real estate, rights of way, facilities and equipment) not (i) interfering in any material respect with the business of the Borrower and its Restricted Subsidiaries, taken as a whole, (ii) securing monetary obligations or (iii) materially impairing the value of the affected Borrowing Base Properties, taken as a whole and, to the extent reasonably agreed by the Administrative Agent, any exception on the title reports issued in connection with any Borrowing Base Property;</w:t>
      </w:r>
    </w:p>
    <w:p>
      <w:pPr>
        <w:spacing w:after="0" w:line="147"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interest or title of a lessor, sublessor, licensor or sublicensor under any lease, liens reserved in oil, gas or other Hydrocarbons, minerals, leases for bonus, royalty or rental payments and for compliance with the terms of such lease and (ii) any interest or title of a lessor, sublessor, licensor or sublicensor or secured by a lessor’s, sublessor’s, licensor’s or sublicensor’s interest under any lease, sublease, license or sublicense entered into by the Borrower or any Restricted Subsidiary in the ordinary course of business or otherwise permitted by this Agreement and not securing Indebtedness;</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9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goods or inventory the purchase, shipment or storage price of which is financed by a documentary letter of credit or bankers’ acceptance issued for the account of the Borrower or any of its Restricted Subsidiaries;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Lien secures only the obligations of the Borrower or such Restricted Subsidiaries in respect of such letter of credit or bankers’ acceptance to the extent permitted under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20" w:firstLine="656"/>
        <w:spacing w:after="0" w:line="233" w:lineRule="auto"/>
        <w:tabs>
          <w:tab w:leader="none" w:pos="12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licenses, subleases or sublicenses granted to others not (i) interfering in any material respect with the business of the Borrower and its Restricted Subsidiaries, taken as a whole or (ii) securing any Indebtedness for borrowed money;</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9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precautionary UCC financing statement or similar filings made in respect of operating leases entered into by the Borrower or any of its Restricted Subsidiaries;</w:t>
      </w:r>
    </w:p>
    <w:p>
      <w:pPr>
        <w:spacing w:after="0" w:line="147" w:lineRule="exact"/>
        <w:rPr>
          <w:rFonts w:ascii="Times New Roman" w:cs="Times New Roman" w:eastAsia="Times New Roman" w:hAnsi="Times New Roman"/>
          <w:sz w:val="20"/>
          <w:szCs w:val="20"/>
          <w:color w:val="auto"/>
        </w:rPr>
      </w:pPr>
    </w:p>
    <w:p>
      <w:pPr>
        <w:ind w:right="20" w:firstLine="656"/>
        <w:spacing w:after="0"/>
        <w:tabs>
          <w:tab w:leader="none" w:pos="128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in the ordinary course of business in favor of banks and other financial institutions over credit balances of any bank accounts, commodity trading accounts or other brokerage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color w:val="auto"/>
        </w:rPr>
        <w:t>accounts of the Borrower and the Restricted Subsidiaries held at such banks or financial institutions, as the case may be, in the ordinary course of business;</w:t>
      </w:r>
    </w:p>
    <w:p>
      <w:pPr>
        <w:spacing w:after="0" w:line="148" w:lineRule="exact"/>
        <w:rPr>
          <w:sz w:val="20"/>
          <w:szCs w:val="20"/>
          <w:color w:val="auto"/>
        </w:rPr>
      </w:pPr>
    </w:p>
    <w:p>
      <w:pPr>
        <w:jc w:val="both"/>
        <w:ind w:firstLine="656"/>
        <w:spacing w:after="0" w:line="212" w:lineRule="auto"/>
        <w:tabs>
          <w:tab w:leader="none" w:pos="128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which arise in the ordinary course of business under operating agreements (including preferential purchase rights, consents to assignment and other restraints on alienation), joint operating agreements, joint venture agreements, oil and gas partnership agreements, oil and gas leases, Farm-Out Agreements, Farm-In Agreements, division orders, contracts for the sale, gathering, transportation or exchange of oil and natural gas, unitization and pooling declarations and agreements, area of mutual interest agreements, royalty and overriding royalty agreements, reversionary interests,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that are usual or customary in the Energy Business and are for claims which are not delinquent or that are being contested in good faith and by appropriate proceedings for which appropriate reserves have been established to the extent required by and in accordance with GAAP;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Lien referred to in this clause does not materially impair the use of the property covered by such Lien for the purposes for which such property is held by the Borrower or any Restricted Subsidiary or materially impair the value of the affected Borrowing Base Properties, taken as a whole;</w:t>
      </w:r>
    </w:p>
    <w:p>
      <w:pPr>
        <w:spacing w:after="0" w:line="168"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pipelines, pipeline facilities and other midstream assets or facilities that arise by operation of law or other like Liens arising by operation of law in the ordinary course of business and incidental to the exploration, development, operation and maintenance of Oil and Gas Properties;</w:t>
      </w:r>
    </w:p>
    <w:p>
      <w:pPr>
        <w:spacing w:after="0" w:line="160"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Borrower and its Restricted Subsidiaries, taken as a whole;</w:t>
      </w:r>
    </w:p>
    <w:p>
      <w:pPr>
        <w:spacing w:after="0" w:line="163" w:lineRule="exact"/>
        <w:rPr>
          <w:rFonts w:ascii="Times New Roman" w:cs="Times New Roman" w:eastAsia="Times New Roman" w:hAnsi="Times New Roman"/>
          <w:sz w:val="20"/>
          <w:szCs w:val="20"/>
          <w:color w:val="auto"/>
        </w:rPr>
      </w:pPr>
    </w:p>
    <w:p>
      <w:pPr>
        <w:ind w:right="20" w:firstLine="656"/>
        <w:spacing w:after="0"/>
        <w:tabs>
          <w:tab w:leader="none" w:pos="128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equipment of the Borrower or any Restricted Subsidiary granted in the ordinary course of business to the Borrower’s or such Restricted Subsidiary’s client at which such equipment is located;</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9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given to a public utility or any municipality or governmental authority when required by such utility or authority in connection with the operations of that Person in the ordinary course of business;</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under statutory provisions of applicable law with respect to production purchased from others; and</w:t>
      </w:r>
    </w:p>
    <w:p>
      <w:pPr>
        <w:spacing w:after="0" w:line="175" w:lineRule="exact"/>
        <w:rPr>
          <w:rFonts w:ascii="Times New Roman" w:cs="Times New Roman" w:eastAsia="Times New Roman" w:hAnsi="Times New Roman"/>
          <w:sz w:val="20"/>
          <w:szCs w:val="20"/>
          <w:color w:val="auto"/>
        </w:rPr>
      </w:pPr>
    </w:p>
    <w:p>
      <w:pPr>
        <w:ind w:firstLine="656"/>
        <w:spacing w:after="0"/>
        <w:tabs>
          <w:tab w:leader="none" w:pos="129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of cash with the owner or lessor of premises leased and operated by the Borrower or any of its Subsidiaries to secure the performance of the Borrower’s or such Subsidiary’s obligations under the terms of the lease for such premises.</w:t>
      </w:r>
    </w:p>
    <w:p>
      <w:pPr>
        <w:spacing w:after="0" w:line="161"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Refinancing Indebtedness</w:t>
      </w:r>
      <w:r>
        <w:rPr>
          <w:rFonts w:ascii="Times New Roman" w:cs="Times New Roman" w:eastAsia="Times New Roman" w:hAnsi="Times New Roman"/>
          <w:sz w:val="19"/>
          <w:szCs w:val="19"/>
          <w:color w:val="auto"/>
        </w:rPr>
        <w:t>” shall mean, with respect to any Indebtedness (the “</w:t>
      </w:r>
      <w:r>
        <w:rPr>
          <w:rFonts w:ascii="Times New Roman" w:cs="Times New Roman" w:eastAsia="Times New Roman" w:hAnsi="Times New Roman"/>
          <w:sz w:val="19"/>
          <w:szCs w:val="19"/>
          <w:u w:val="single" w:color="auto"/>
          <w:color w:val="auto"/>
        </w:rPr>
        <w:t>Refinanced Indebtedness</w:t>
      </w:r>
      <w:r>
        <w:rPr>
          <w:rFonts w:ascii="Times New Roman" w:cs="Times New Roman" w:eastAsia="Times New Roman" w:hAnsi="Times New Roman"/>
          <w:sz w:val="19"/>
          <w:szCs w:val="19"/>
          <w:color w:val="auto"/>
        </w:rPr>
        <w:t>”), any Indebtedness issued or incurred in exchange for, or the net proceeds of which are used to modify, extend, refinance, renew, replace or refund</w:t>
      </w:r>
    </w:p>
    <w:p>
      <w:pPr>
        <w:spacing w:after="0" w:line="222" w:lineRule="auto"/>
        <w:rPr>
          <w:sz w:val="20"/>
          <w:szCs w:val="20"/>
          <w:color w:val="auto"/>
        </w:rPr>
      </w:pPr>
      <w:r>
        <w:rPr>
          <w:rFonts w:ascii="Times New Roman" w:cs="Times New Roman" w:eastAsia="Times New Roman" w:hAnsi="Times New Roman"/>
          <w:sz w:val="19"/>
          <w:szCs w:val="19"/>
          <w:color w:val="auto"/>
        </w:rPr>
        <w:t>(collectively to “</w:t>
      </w:r>
      <w:r>
        <w:rPr>
          <w:rFonts w:ascii="Times New Roman" w:cs="Times New Roman" w:eastAsia="Times New Roman" w:hAnsi="Times New Roman"/>
          <w:sz w:val="19"/>
          <w:szCs w:val="19"/>
          <w:u w:val="single" w:color="auto"/>
          <w:color w:val="auto"/>
        </w:rPr>
        <w:t>Refinance</w:t>
      </w:r>
      <w:r>
        <w:rPr>
          <w:rFonts w:ascii="Times New Roman" w:cs="Times New Roman" w:eastAsia="Times New Roman" w:hAnsi="Times New Roman"/>
          <w:sz w:val="19"/>
          <w:szCs w:val="19"/>
          <w:color w:val="auto"/>
        </w:rPr>
        <w:t>” or a “</w:t>
      </w:r>
      <w:r>
        <w:rPr>
          <w:rFonts w:ascii="Times New Roman" w:cs="Times New Roman" w:eastAsia="Times New Roman" w:hAnsi="Times New Roman"/>
          <w:sz w:val="19"/>
          <w:szCs w:val="19"/>
          <w:u w:val="single" w:color="auto"/>
          <w:color w:val="auto"/>
        </w:rPr>
        <w:t>Refinancing</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Refinanced</w:t>
      </w:r>
      <w:r>
        <w:rPr>
          <w:rFonts w:ascii="Times New Roman" w:cs="Times New Roman" w:eastAsia="Times New Roman" w:hAnsi="Times New Roman"/>
          <w:sz w:val="19"/>
          <w:szCs w:val="19"/>
          <w:color w:val="auto"/>
        </w:rPr>
        <w:t>”), such Refinanced Indebtedness (or previous refinancing thereof constituting</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Permitted Refinancing Indebtedness);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the principal amount (or accreted value, if applicable) of any such Permitted Refinancing Indebtedness does not exceed the principal amount (or accreted value, if applicable) of the Refinanced Indebtedness outstanding</w:t>
      </w:r>
    </w:p>
    <w:p>
      <w:pPr>
        <w:spacing w:after="0" w:line="211" w:lineRule="auto"/>
        <w:rPr>
          <w:sz w:val="20"/>
          <w:szCs w:val="20"/>
          <w:color w:val="auto"/>
        </w:rPr>
      </w:pPr>
      <w:r>
        <w:rPr>
          <w:rFonts w:ascii="Times New Roman" w:cs="Times New Roman" w:eastAsia="Times New Roman" w:hAnsi="Times New Roman"/>
          <w:sz w:val="20"/>
          <w:szCs w:val="20"/>
          <w:color w:val="auto"/>
        </w:rPr>
        <w:t>immediately prior to such Refinancing except by an amount equal to the unpaid accrued interest and premium thereon and other amounts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paid in connection with the defeasance or discharge of such Indebtedness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other amounts paid consisting of original issue discount or fees and expenses incurred in connection with such Refinancing, (B) the direct and contingent obligors with respect to such Permitted</w:t>
      </w:r>
    </w:p>
    <w:p>
      <w:pPr>
        <w:spacing w:after="0" w:line="211" w:lineRule="auto"/>
        <w:rPr>
          <w:sz w:val="20"/>
          <w:szCs w:val="20"/>
          <w:color w:val="auto"/>
        </w:rPr>
      </w:pPr>
      <w:r>
        <w:rPr>
          <w:rFonts w:ascii="Times New Roman" w:cs="Times New Roman" w:eastAsia="Times New Roman" w:hAnsi="Times New Roman"/>
          <w:sz w:val="20"/>
          <w:szCs w:val="20"/>
          <w:color w:val="auto"/>
        </w:rPr>
        <w:t>Refinancing Indebtedness immediately prior to such Refinancing are not changed as a result of such Refinancing (except that a Guarantor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may be added as an additional obligor and except as may change pursuant to </w:t>
      </w:r>
      <w:r>
        <w:rPr>
          <w:rFonts w:ascii="Times New Roman" w:cs="Times New Roman" w:eastAsia="Times New Roman" w:hAnsi="Times New Roman"/>
          <w:sz w:val="20"/>
          <w:szCs w:val="20"/>
          <w:u w:val="single" w:color="auto"/>
          <w:color w:val="auto"/>
        </w:rPr>
        <w:t>subclause (G)</w:t>
      </w:r>
      <w:r>
        <w:rPr>
          <w:rFonts w:ascii="Times New Roman" w:cs="Times New Roman" w:eastAsia="Times New Roman" w:hAnsi="Times New Roman"/>
          <w:sz w:val="20"/>
          <w:szCs w:val="20"/>
          <w:color w:val="auto"/>
        </w:rPr>
        <w:t xml:space="preserve"> below), (C) other than with respect to a Refinancing in respect of Indebtedness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9"/>
          <w:szCs w:val="19"/>
          <w:color w:val="auto"/>
        </w:rPr>
        <w:t xml:space="preserve">pursuant to </w:t>
      </w:r>
      <w:r>
        <w:rPr>
          <w:rFonts w:ascii="Times New Roman" w:cs="Times New Roman" w:eastAsia="Times New Roman" w:hAnsi="Times New Roman"/>
          <w:sz w:val="19"/>
          <w:szCs w:val="19"/>
          <w:u w:val="single" w:color="auto"/>
          <w:color w:val="auto"/>
        </w:rPr>
        <w:t>Section 10.1(g)</w:t>
      </w:r>
      <w:r>
        <w:rPr>
          <w:rFonts w:ascii="Times New Roman" w:cs="Times New Roman" w:eastAsia="Times New Roman" w:hAnsi="Times New Roman"/>
          <w:sz w:val="19"/>
          <w:szCs w:val="19"/>
          <w:color w:val="auto"/>
        </w:rPr>
        <w:t>, such Permitted Refinancing Indebtedness shall have a final maturity date equal to or later than the final maturity</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date of, and has a Weighted Average Life to Maturity equal to or greater than the Weighted Average Life to Maturity of, the Refinanced Indebtedness, (D) subject to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below, the terms and conditions of any such Permitted Refinancing Indebtedness, taken as a whole,</w:t>
      </w:r>
    </w:p>
    <w:p>
      <w:pPr>
        <w:spacing w:after="0" w:line="223" w:lineRule="auto"/>
        <w:rPr>
          <w:sz w:val="20"/>
          <w:szCs w:val="20"/>
          <w:color w:val="auto"/>
        </w:rPr>
      </w:pPr>
      <w:r>
        <w:rPr>
          <w:rFonts w:ascii="Times New Roman" w:cs="Times New Roman" w:eastAsia="Times New Roman" w:hAnsi="Times New Roman"/>
          <w:sz w:val="19"/>
          <w:szCs w:val="19"/>
          <w:color w:val="auto"/>
        </w:rPr>
        <w:t>are not materially less favorable to the Lenders than the terms and conditions of the Refinanced Indebtedness being Refinanced (including, if</w:t>
      </w:r>
    </w:p>
    <w:p>
      <w:pPr>
        <w:spacing w:after="0" w:line="215" w:lineRule="auto"/>
        <w:rPr>
          <w:sz w:val="20"/>
          <w:szCs w:val="20"/>
          <w:color w:val="auto"/>
        </w:rPr>
      </w:pPr>
      <w:r>
        <w:rPr>
          <w:rFonts w:ascii="Times New Roman" w:cs="Times New Roman" w:eastAsia="Times New Roman" w:hAnsi="Times New Roman"/>
          <w:sz w:val="19"/>
          <w:szCs w:val="19"/>
          <w:color w:val="auto"/>
        </w:rPr>
        <w:t>applicable, as to collateral priority and subordination, but excluding as to interest rates, fees, floors, funding discounts and redemption or prepayment premiums) or are customary for similar Indebtedness in light of current market conditions, (E) if the Refinanced Indebtedness is</w:t>
      </w:r>
    </w:p>
    <w:p>
      <w:pPr>
        <w:spacing w:after="0" w:line="211" w:lineRule="auto"/>
        <w:rPr>
          <w:sz w:val="20"/>
          <w:szCs w:val="20"/>
          <w:color w:val="auto"/>
        </w:rPr>
      </w:pPr>
      <w:r>
        <w:rPr>
          <w:rFonts w:ascii="Times New Roman" w:cs="Times New Roman" w:eastAsia="Times New Roman" w:hAnsi="Times New Roman"/>
          <w:sz w:val="20"/>
          <w:szCs w:val="20"/>
          <w:color w:val="auto"/>
        </w:rPr>
        <w:t>subordinated in right of payment to the Obligations, such Permitted Refinancing Indebtedness shall be subordinated to the Obligations,</w:t>
      </w:r>
    </w:p>
    <w:p>
      <w:pPr>
        <w:spacing w:after="0" w:line="204" w:lineRule="auto"/>
        <w:rPr>
          <w:sz w:val="20"/>
          <w:szCs w:val="20"/>
          <w:color w:val="auto"/>
        </w:rPr>
      </w:pPr>
      <w:r>
        <w:rPr>
          <w:rFonts w:ascii="Times New Roman" w:cs="Times New Roman" w:eastAsia="Times New Roman" w:hAnsi="Times New Roman"/>
          <w:sz w:val="20"/>
          <w:szCs w:val="20"/>
          <w:color w:val="auto"/>
        </w:rPr>
        <w:t>subject to a Subordination Agreement on terms no less favorable to the Secured Parties than such Refinanced Indebtedness, (F) if the Refinanced Indebtedness constitutes Junior Lien Indebtedness, such Permitted Refinancing Indebtedness shall be pari passu in right of</w:t>
      </w:r>
    </w:p>
    <w:p>
      <w:pPr>
        <w:spacing w:after="0" w:line="223" w:lineRule="auto"/>
        <w:rPr>
          <w:sz w:val="20"/>
          <w:szCs w:val="20"/>
          <w:color w:val="auto"/>
        </w:rPr>
      </w:pPr>
      <w:r>
        <w:rPr>
          <w:rFonts w:ascii="Times New Roman" w:cs="Times New Roman" w:eastAsia="Times New Roman" w:hAnsi="Times New Roman"/>
          <w:sz w:val="19"/>
          <w:szCs w:val="19"/>
          <w:color w:val="auto"/>
        </w:rPr>
        <w:t>payment with any other Junior Lien Indebtedness and unsecured, or if secured, subject to a Junior Lien Intercreditor Agreement and shall not</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be secured by any assets other than the Collateral and (G) if the Refinanced Indebtedness is secured as permitted by </w:t>
      </w:r>
      <w:r>
        <w:rPr>
          <w:rFonts w:ascii="Times New Roman" w:cs="Times New Roman" w:eastAsia="Times New Roman" w:hAnsi="Times New Roman"/>
          <w:sz w:val="20"/>
          <w:szCs w:val="20"/>
          <w:u w:val="single" w:color="auto"/>
          <w:color w:val="auto"/>
        </w:rPr>
        <w:t>Section 10.2(f)</w:t>
      </w:r>
      <w:r>
        <w:rPr>
          <w:rFonts w:ascii="Times New Roman" w:cs="Times New Roman" w:eastAsia="Times New Roman" w:hAnsi="Times New Roman"/>
          <w:sz w:val="20"/>
          <w:szCs w:val="20"/>
          <w:color w:val="auto"/>
        </w:rPr>
        <w:t>, such Permitted Refinancing Indebtedness shall be unsecured, or if secured, subject to a Junior Lien Intercreditor Agreement and shall not be</w:t>
      </w:r>
    </w:p>
    <w:p>
      <w:pPr>
        <w:spacing w:after="0" w:line="211" w:lineRule="auto"/>
        <w:rPr>
          <w:sz w:val="20"/>
          <w:szCs w:val="20"/>
          <w:color w:val="auto"/>
        </w:rPr>
      </w:pPr>
      <w:r>
        <w:rPr>
          <w:rFonts w:ascii="Times New Roman" w:cs="Times New Roman" w:eastAsia="Times New Roman" w:hAnsi="Times New Roman"/>
          <w:sz w:val="20"/>
          <w:szCs w:val="20"/>
          <w:color w:val="auto"/>
        </w:rPr>
        <w:t>secured by any assets that do not secure such Refinanced Indebtedness. Notwithstanding the foregoing, Permitted Refinancing Indebtedness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 respect of Permitted Additional Debt must constitute Permitted Additional Debt. A certificate of an Authorized Officer of the Borrower delivered to the Administrative Agent at least five (5) Business Days prior to the incurrence or issuance of such Indebtedness (or such later</w:t>
      </w:r>
    </w:p>
    <w:p>
      <w:pPr>
        <w:spacing w:after="0" w:line="211" w:lineRule="auto"/>
        <w:rPr>
          <w:sz w:val="20"/>
          <w:szCs w:val="20"/>
          <w:color w:val="auto"/>
        </w:rPr>
      </w:pPr>
      <w:r>
        <w:rPr>
          <w:rFonts w:ascii="Times New Roman" w:cs="Times New Roman" w:eastAsia="Times New Roman" w:hAnsi="Times New Roman"/>
          <w:sz w:val="20"/>
          <w:szCs w:val="20"/>
          <w:color w:val="auto"/>
        </w:rPr>
        <w:t>date as may be acceptable to the Administrative Agent), together with a reasonably detailed description of the material terms and conditions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such Indebtedness or drafts of the documentation relating thereto, stating that the Borrower has determined in good faith that such terms and conditions satisfy the requirements set forth in the definition of “Permitted Refinancing Indebtedness” shall be conclusive evidence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terms and conditions satisfy the foregoing requirements.</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Warrant Transaction(s)</w:t>
      </w:r>
      <w:r>
        <w:rPr>
          <w:rFonts w:ascii="Times New Roman" w:cs="Times New Roman" w:eastAsia="Times New Roman" w:hAnsi="Times New Roman"/>
          <w:sz w:val="20"/>
          <w:szCs w:val="20"/>
          <w:color w:val="auto"/>
        </w:rPr>
        <w:t>” means any call option, warrant or right to purchase (or substantively equivalent derivative transaction) relating to the Borrower’s common stock (or other securities or property following a merger event or other change of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common stock of the Borrower) and/or cash (in an amount determined by reference to the price of such common stock or such other securities) sold by the Borrower substantially concurrently with any purchase by the Borrower of a related Permitted Bond Hedge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Transaction;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terms, conditions and covenants of each such transaction shall be such as are reasonable and customary for transactions of such type (as determined by Borrower in good faith and in its reasonable discretion).</w:t>
      </w:r>
    </w:p>
    <w:p>
      <w:pPr>
        <w:spacing w:after="0" w:line="149"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mean any individual, partnership, joint venture, firm, corporation, limited liability company, association, trust or other enterprise or any Governmental Authority.</w:t>
      </w:r>
    </w:p>
    <w:p>
      <w:pPr>
        <w:spacing w:after="0" w:line="161"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Petroleum Industry Standards</w:t>
      </w:r>
      <w:r>
        <w:rPr>
          <w:rFonts w:ascii="Times New Roman" w:cs="Times New Roman" w:eastAsia="Times New Roman" w:hAnsi="Times New Roman"/>
          <w:sz w:val="20"/>
          <w:szCs w:val="20"/>
          <w:color w:val="auto"/>
        </w:rPr>
        <w:t>” shall mean the Definitions for Oil and Gas Reserves promulgated by the Society of Petroleum Engineers (or any generally recognized successor) as in effect at the time in question.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shall mean any employee benefit plan within the meaning of Section 3(3) of ERISA, that is or was within any of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preceding six plan years sponsored, maintained for or contributed to by (or to which there is or was an obligation to contribute or to make payments to) any Credit Party, or with respect to which any Credit Party has any actual or contingent liability.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shall mean the rate of interest per annum determined and publicly announced by Citi from time to time as its prime</w:t>
      </w:r>
    </w:p>
    <w:p>
      <w:pPr>
        <w:spacing w:after="0" w:line="221" w:lineRule="auto"/>
        <w:rPr>
          <w:sz w:val="20"/>
          <w:szCs w:val="20"/>
          <w:color w:val="auto"/>
        </w:rPr>
      </w:pPr>
      <w:r>
        <w:rPr>
          <w:rFonts w:ascii="Times New Roman" w:cs="Times New Roman" w:eastAsia="Times New Roman" w:hAnsi="Times New Roman"/>
          <w:sz w:val="20"/>
          <w:szCs w:val="20"/>
          <w:color w:val="auto"/>
        </w:rPr>
        <w:t>commercial lending rate for Dollar loans in the United States for such day. The Prime Rate is not necessarily the lowest rate that Citi is charging any corporate customer.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13.5(b)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Production Payments and Reserve Sales</w:t>
      </w:r>
      <w:r>
        <w:rPr>
          <w:rFonts w:ascii="Times New Roman" w:cs="Times New Roman" w:eastAsia="Times New Roman" w:hAnsi="Times New Roman"/>
          <w:sz w:val="19"/>
          <w:szCs w:val="19"/>
          <w:color w:val="auto"/>
        </w:rPr>
        <w:t>” shall mean the grant or transfer by the Borrower or any of its Restricted Subsidiaries to any Person of the right to receive all or a portion of the production or the proceeds from the sale of production attributable to such properties</w:t>
      </w:r>
    </w:p>
    <w:p>
      <w:pPr>
        <w:ind w:right="20"/>
        <w:spacing w:after="0" w:line="228" w:lineRule="auto"/>
        <w:rPr>
          <w:sz w:val="20"/>
          <w:szCs w:val="20"/>
          <w:color w:val="auto"/>
        </w:rPr>
      </w:pPr>
      <w:r>
        <w:rPr>
          <w:rFonts w:ascii="Times New Roman" w:cs="Times New Roman" w:eastAsia="Times New Roman" w:hAnsi="Times New Roman"/>
          <w:sz w:val="20"/>
          <w:szCs w:val="20"/>
          <w:color w:val="auto"/>
        </w:rPr>
        <w:t>where the holder of such interest has recourse solely to such production or proceeds of production, subject to the obligation of the grantor or transferor to operate and maintain, or cause the subject interests to be operated and maintained,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39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color w:val="auto"/>
        </w:rPr>
        <w:t>reasonably prudent manner or other customary standard or subject to the obligation of the grantor or transferor to indemnify for</w:t>
      </w:r>
    </w:p>
    <w:p>
      <w:pPr>
        <w:ind w:right="20"/>
        <w:spacing w:after="0" w:line="221" w:lineRule="auto"/>
        <w:rPr>
          <w:sz w:val="20"/>
          <w:szCs w:val="20"/>
          <w:color w:val="auto"/>
        </w:rPr>
      </w:pPr>
      <w:r>
        <w:rPr>
          <w:rFonts w:ascii="Times New Roman" w:cs="Times New Roman" w:eastAsia="Times New Roman" w:hAnsi="Times New Roman"/>
          <w:sz w:val="20"/>
          <w:szCs w:val="20"/>
          <w:color w:val="auto"/>
        </w:rPr>
        <w:t>environmental, title or other matters customary in the oil and gas exploration and development business, including any such grants or transfers.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Production Sharing Contract</w:t>
      </w:r>
      <w:r>
        <w:rPr>
          <w:rFonts w:ascii="Times New Roman" w:cs="Times New Roman" w:eastAsia="Times New Roman" w:hAnsi="Times New Roman"/>
          <w:sz w:val="20"/>
          <w:szCs w:val="20"/>
          <w:color w:val="auto"/>
        </w:rPr>
        <w:t>” shall mean one or more contracts, agreements or similar instruments governing the sharing of</w:t>
      </w:r>
    </w:p>
    <w:p>
      <w:pPr>
        <w:spacing w:after="0" w:line="221" w:lineRule="auto"/>
        <w:rPr>
          <w:sz w:val="20"/>
          <w:szCs w:val="20"/>
          <w:color w:val="auto"/>
        </w:rPr>
      </w:pPr>
      <w:r>
        <w:rPr>
          <w:rFonts w:ascii="Times New Roman" w:cs="Times New Roman" w:eastAsia="Times New Roman" w:hAnsi="Times New Roman"/>
          <w:sz w:val="20"/>
          <w:szCs w:val="20"/>
          <w:color w:val="auto"/>
        </w:rPr>
        <w:t>production constituting Proved Reserves, on which Proved Reserves or contracts, agreements or similar instruments, a Lien cannot be granted without the consent of a third party or on which a Lien is contractually or statutorily prohibited.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Production Sharing Entities</w:t>
      </w:r>
      <w:r>
        <w:rPr>
          <w:rFonts w:ascii="Times New Roman" w:cs="Times New Roman" w:eastAsia="Times New Roman" w:hAnsi="Times New Roman"/>
          <w:sz w:val="19"/>
          <w:szCs w:val="19"/>
          <w:color w:val="auto"/>
        </w:rPr>
        <w:t>” shall mean (i) California Resources Long Beach, Inc., a Delaware corporation, for so long as it is party</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to a Production Sharing Contract, (ii) Tidelands Oil Production Company, LLC, a Texas limited liability company, for so long as it is party to a Production Sharing Contract, (iii) Thums Long Beach Company, a Delaware corporation, for so long as it is party to a Production Sharing</w:t>
      </w:r>
    </w:p>
    <w:p>
      <w:pPr>
        <w:spacing w:after="0"/>
        <w:rPr>
          <w:sz w:val="20"/>
          <w:szCs w:val="20"/>
          <w:color w:val="auto"/>
        </w:rPr>
      </w:pPr>
      <w:r>
        <w:rPr>
          <w:rFonts w:ascii="Times New Roman" w:cs="Times New Roman" w:eastAsia="Times New Roman" w:hAnsi="Times New Roman"/>
          <w:sz w:val="20"/>
          <w:szCs w:val="20"/>
          <w:color w:val="auto"/>
        </w:rPr>
        <w:t>Contract and (iv) any other Subsidiary party to any Production Sharing Contract, for so long as it is party to a Production Sharing Contract.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shall mean financial estimates, forecasts and other forward-looking information prepared by or on behalf of the Borrower or any of its representatives and that have been made available to any Lenders or the Administrative Agent in connection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Transactions or the other transactions contemplated hereby.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Proposed Acquisition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10.10(a)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Proposed Borrowing Base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2.14(c)(i)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Proposed Borrowing Base Notice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2.14(c)(ii)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Proved Developed Producing Reserves</w:t>
      </w:r>
      <w:r>
        <w:rPr>
          <w:rFonts w:ascii="Times New Roman" w:cs="Times New Roman" w:eastAsia="Times New Roman" w:hAnsi="Times New Roman"/>
          <w:sz w:val="20"/>
          <w:szCs w:val="20"/>
          <w:color w:val="auto"/>
        </w:rPr>
        <w:t>” shall mean oil and gas mineral interests that, in accordance with Petroleum Industry Standards, are classified as both “Proved Reserves” and “Developed Producing Reserves.”</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Proved Developed Reserves</w:t>
      </w:r>
      <w:r>
        <w:rPr>
          <w:rFonts w:ascii="Times New Roman" w:cs="Times New Roman" w:eastAsia="Times New Roman" w:hAnsi="Times New Roman"/>
          <w:sz w:val="20"/>
          <w:szCs w:val="20"/>
          <w:color w:val="auto"/>
        </w:rPr>
        <w:t>” shall mean oil and gas mineral interests that, in accordance with Petroleum Industry Standards, are classified as both “Proved Reserves” and one of the following: (a) “Developed Producing Reserves” or (b) “Developed Non-Producing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Reserves.”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Proved Reserves</w:t>
      </w:r>
      <w:r>
        <w:rPr>
          <w:rFonts w:ascii="Times New Roman" w:cs="Times New Roman" w:eastAsia="Times New Roman" w:hAnsi="Times New Roman"/>
          <w:sz w:val="20"/>
          <w:szCs w:val="20"/>
          <w:color w:val="auto"/>
        </w:rPr>
        <w:t>” shall mean oil and gas mineral interests that, in accordance with Petroleum Industry Standards, are classified as both “Proved Reserves” and one of the following: (a) “Developed Producing Reserves”, (b) “Developed Non-Producing Reserves”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 “Undeveloped Reserves”.</w:t>
      </w:r>
    </w:p>
    <w:p>
      <w:pPr>
        <w:spacing w:after="0" w:line="167"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shall mean a prohibited transaction class exemption issued by the U.S. Department of Labor, as any such exemption may be amended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PV-9</w:t>
      </w:r>
      <w:r>
        <w:rPr>
          <w:rFonts w:ascii="Times New Roman" w:cs="Times New Roman" w:eastAsia="Times New Roman" w:hAnsi="Times New Roman"/>
          <w:sz w:val="20"/>
          <w:szCs w:val="20"/>
          <w:color w:val="auto"/>
        </w:rPr>
        <w:t>” shall mean, with respect to any Proved Reserves expected to be produced from any Borrowing Base Properties, the net</w:t>
      </w:r>
    </w:p>
    <w:p>
      <w:pPr>
        <w:spacing w:after="0" w:line="204" w:lineRule="auto"/>
        <w:rPr>
          <w:sz w:val="20"/>
          <w:szCs w:val="20"/>
          <w:color w:val="auto"/>
        </w:rPr>
      </w:pPr>
      <w:r>
        <w:rPr>
          <w:rFonts w:ascii="Times New Roman" w:cs="Times New Roman" w:eastAsia="Times New Roman" w:hAnsi="Times New Roman"/>
          <w:sz w:val="20"/>
          <w:szCs w:val="20"/>
          <w:color w:val="auto"/>
        </w:rPr>
        <w:t>present value, discounted at nine percent (9%) per annum, of the future net revenues expected to accrue to the Borrower and Grantors’ collective interests in such reserves during the remaining expected economic lives of such reserves, calculated in accordance with the Bank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Price Deck.</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shall have the meaning assigned to the term “qualified financial contract” in, and shall be interpreted in accordance with, 12 U.S.C. 5390(c)(8)(D).</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13.25</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Acquisition</w:t>
      </w:r>
      <w:r>
        <w:rPr>
          <w:rFonts w:ascii="Times New Roman" w:cs="Times New Roman" w:eastAsia="Times New Roman" w:hAnsi="Times New Roman"/>
          <w:sz w:val="20"/>
          <w:szCs w:val="20"/>
          <w:color w:val="auto"/>
        </w:rPr>
        <w:t>” shall mean an acquisition or a series of related acquisitions in which the consideration paid by the Credit Parties is equal to or greater than $50,000,000.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4" w:right="339" w:bottom="1440" w:gutter="0" w:footer="0" w:header="0"/>
        </w:sectPr>
      </w:pPr>
    </w:p>
    <w:bookmarkStart w:id="85" w:name="page86"/>
    <w:bookmarkEnd w:id="85"/>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Disposition</w:t>
      </w:r>
      <w:r>
        <w:rPr>
          <w:rFonts w:ascii="Times New Roman" w:cs="Times New Roman" w:eastAsia="Times New Roman" w:hAnsi="Times New Roman"/>
          <w:sz w:val="20"/>
          <w:szCs w:val="20"/>
          <w:color w:val="auto"/>
        </w:rPr>
        <w:t>” shall mean a Disposition or a series of related Dispositions in which the consideration received by the Credit Parties is equal to or greater than $50,000,000.</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shall mean, in respect of any Swap Obligation, each of the Borrower, any Restricted Subsidiary and any Guarantor that has total assets exceeding $10,000,000 at the time such Swap Obligation is incurred or such other person as constitutes an ECP under the Commodity Exchange Act or any regulations promulgated thereunder.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Interests</w:t>
      </w:r>
      <w:r>
        <w:rPr>
          <w:rFonts w:ascii="Times New Roman" w:cs="Times New Roman" w:eastAsia="Times New Roman" w:hAnsi="Times New Roman"/>
          <w:sz w:val="20"/>
          <w:szCs w:val="20"/>
          <w:color w:val="auto"/>
        </w:rPr>
        <w:t>” shall mean any Equity Interests of the Borrower other than Disqualified Stock.</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shall mean (a) any Agent or (b) any Lender, as applicable.</w:t>
      </w:r>
    </w:p>
    <w:p>
      <w:pPr>
        <w:spacing w:after="0" w:line="18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Redetermination Date</w:t>
      </w:r>
      <w:r>
        <w:rPr>
          <w:rFonts w:ascii="Times New Roman" w:cs="Times New Roman" w:eastAsia="Times New Roman" w:hAnsi="Times New Roman"/>
          <w:sz w:val="20"/>
          <w:szCs w:val="20"/>
          <w:color w:val="auto"/>
        </w:rPr>
        <w:t xml:space="preserve">” shall mean, with respect to any Scheduled Redetermination or any Interim Redetermination, the date that the redetermined Borrowing Base related thereto becomes effective pursuant to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w:t>
      </w:r>
      <w:r>
        <w:rPr>
          <w:rFonts w:ascii="Times New Roman" w:cs="Times New Roman" w:eastAsia="Times New Roman" w:hAnsi="Times New Roman"/>
          <w:sz w:val="20"/>
          <w:szCs w:val="20"/>
          <w:color w:val="auto"/>
        </w:rPr>
        <w:t>” shall have the meaning provided in the definition of “Permitted Refinancing Indebtedness.”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Refinanced Indebtedness</w:t>
      </w:r>
      <w:r>
        <w:rPr>
          <w:rFonts w:ascii="Times New Roman" w:cs="Times New Roman" w:eastAsia="Times New Roman" w:hAnsi="Times New Roman"/>
          <w:sz w:val="20"/>
          <w:szCs w:val="20"/>
          <w:color w:val="auto"/>
        </w:rPr>
        <w:t>” shall have the meaning assigned to such term in the definition of “Permitted Refinancing Indebtedness.”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13.6(b)(iv)</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T</w:t>
      </w:r>
      <w:r>
        <w:rPr>
          <w:rFonts w:ascii="Times New Roman" w:cs="Times New Roman" w:eastAsia="Times New Roman" w:hAnsi="Times New Roman"/>
          <w:sz w:val="20"/>
          <w:szCs w:val="20"/>
          <w:color w:val="auto"/>
        </w:rPr>
        <w:t>” shall mean Regulation T of the Board as from time to time in effect and any successor to all or a portion thereof establishing margin requirements.</w:t>
      </w:r>
    </w:p>
    <w:p>
      <w:pPr>
        <w:spacing w:after="0" w:line="14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shall mean Regulation U of the Board as from time to time in effect and any successor to all or a portion thereof establishing margin requirements.</w:t>
      </w:r>
    </w:p>
    <w:p>
      <w:pPr>
        <w:spacing w:after="0" w:line="16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shall mean Regulation X of the Board as from time to time in effect and any successor to all or a portion thereof establishing margin requirements.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Reimbursement Date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Indemnified Person</w:t>
      </w:r>
      <w:r>
        <w:rPr>
          <w:rFonts w:ascii="Times New Roman" w:cs="Times New Roman" w:eastAsia="Times New Roman" w:hAnsi="Times New Roman"/>
          <w:sz w:val="20"/>
          <w:szCs w:val="20"/>
          <w:color w:val="auto"/>
        </w:rPr>
        <w:t>” shall mean, with respect to an Indemnitee, (1) any controlling Person or controlled Affiliate of such Indemnitee, (2) the respective directors, officers, or employees of such Indemnitee or any of its controlling Persons or controlled Affiliates</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 xml:space="preserve">and (3) the respective agents and representatives of such Indemnitee or any of its controlling Persons or controlled Affiliates, in the case of this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acting at the instructions of such Indemnitee, controlling Person or such controlled Affiliate.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Party</w:t>
      </w:r>
      <w:r>
        <w:rPr>
          <w:rFonts w:ascii="Times New Roman" w:cs="Times New Roman" w:eastAsia="Times New Roman" w:hAnsi="Times New Roman"/>
          <w:sz w:val="20"/>
          <w:szCs w:val="20"/>
          <w:color w:val="auto"/>
        </w:rPr>
        <w:t>” shall mean, with respect to any Agent or any Lender, its Affiliates and the officers, directors, employees, agents,</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attorney-in-fact, attorneys, representatives, partners, members, trustees and advisors of such Agent or Lender and of such Agent’s or Lender’s Affiliates.</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shall mean any release, spill, emission, discharge, disposal, leaking, pumping, pouring, dumping, emitting, migrating, emptying, injecting or leaching into, through, or from the air, surface water, groundwater, sediment, land surface or subsurface strata.</w:t>
      </w:r>
    </w:p>
    <w:p>
      <w:pPr>
        <w:spacing w:after="0" w:line="148"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shall mean the Board or the NYFRB, or a committee officially endorsed or convened by Board or the NYFRB, or any successor thereto.</w:t>
      </w:r>
    </w:p>
    <w:p>
      <w:pPr>
        <w:spacing w:after="0" w:line="16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shall mean an event described in Section 4043(c) of ERISA and the regulations thereunder, other than any event as to which the thirty (30) day notice period has been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399" w:right="3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Cash Collateral Amount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3.7(c)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shall mean, at any date, (a) Non-Defaulting Lenders having or holding at least sixty-six and two-thirds percent (66.67%) of the Adjusted Total Commitment at such date or (b) if the Total Commitment has been terminated, Non-Defaulting Lenders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having or holding at least sixty-six and two-thirds percent (66.67%) of the outstanding principal amount of the Loans and Letter of Credit Exposure (excluding the Loans and Letter of Credit Exposure of Defaulting Lenders) in the aggregate at such date.</w:t>
      </w:r>
    </w:p>
    <w:p>
      <w:pPr>
        <w:spacing w:after="0" w:line="149"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shall mean, as to any Person, any law, treaty, rule, regulation, statute, order, ordinance, decree, judgment, consent decree, writ, injunction, settlement agreement or governmental requirement enacted, promulgated or imposed or entered into or</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agreed by any Governmental Authority, in each case applicable to or binding upon such Person or any of its property or assets or to which such Person or any of its property or assets is subject.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 Report</w:t>
      </w:r>
      <w:r>
        <w:rPr>
          <w:rFonts w:ascii="Times New Roman" w:cs="Times New Roman" w:eastAsia="Times New Roman" w:hAnsi="Times New Roman"/>
          <w:sz w:val="20"/>
          <w:szCs w:val="20"/>
          <w:color w:val="auto"/>
        </w:rPr>
        <w:t>” shall mean (a) the Initial Reserve Report, (b) any other subsequent report, in form and substance reasonably</w:t>
      </w:r>
    </w:p>
    <w:p>
      <w:pPr>
        <w:spacing w:after="0" w:line="204" w:lineRule="auto"/>
        <w:rPr>
          <w:sz w:val="20"/>
          <w:szCs w:val="20"/>
          <w:color w:val="auto"/>
        </w:rPr>
      </w:pPr>
      <w:r>
        <w:rPr>
          <w:rFonts w:ascii="Times New Roman" w:cs="Times New Roman" w:eastAsia="Times New Roman" w:hAnsi="Times New Roman"/>
          <w:sz w:val="20"/>
          <w:szCs w:val="20"/>
          <w:color w:val="auto"/>
        </w:rPr>
        <w:t>satisfactory to the Administrative Agent, or (c) any other engineering data reasonably acceptable to the Administrative Agent, setting forth, as of each December 31 or June 30 (or such other date as contemplated by this Agreement with respect to Interim Redeterminations or</w:t>
      </w:r>
    </w:p>
    <w:p>
      <w:pPr>
        <w:spacing w:after="0" w:line="211" w:lineRule="auto"/>
        <w:rPr>
          <w:sz w:val="20"/>
          <w:szCs w:val="20"/>
          <w:color w:val="auto"/>
        </w:rPr>
      </w:pPr>
      <w:r>
        <w:rPr>
          <w:rFonts w:ascii="Times New Roman" w:cs="Times New Roman" w:eastAsia="Times New Roman" w:hAnsi="Times New Roman"/>
          <w:sz w:val="20"/>
          <w:szCs w:val="20"/>
          <w:color w:val="auto"/>
        </w:rPr>
        <w:t>otherwise reasonably acceptable to the Administrative Agent) the Proved Reserves and the Proved Developed Reserves of the Borrower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Credit Parties (or of Oil and Gas Properties to be acquired, provided that any Oil and Gas Properties not yet acquired shall be expressly designated as such), together with a projection of the rate of production and future net revenues, operating expenses (including production</w:t>
      </w:r>
    </w:p>
    <w:p>
      <w:pPr>
        <w:spacing w:after="0" w:line="211" w:lineRule="auto"/>
        <w:rPr>
          <w:sz w:val="20"/>
          <w:szCs w:val="20"/>
          <w:color w:val="auto"/>
        </w:rPr>
      </w:pPr>
      <w:r>
        <w:rPr>
          <w:rFonts w:ascii="Times New Roman" w:cs="Times New Roman" w:eastAsia="Times New Roman" w:hAnsi="Times New Roman"/>
          <w:sz w:val="20"/>
          <w:szCs w:val="20"/>
          <w:color w:val="auto"/>
        </w:rPr>
        <w:t>taxes and ad valorem expenses) and capital expenditures with respect thereto as of such date, based upon the PV-9 of the Proved Reserves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and Proved Developed Reserves set forth therein;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connection with any Interim Redeterminations of the Borrowing Base pursuant to the last sentence of </w:t>
      </w:r>
      <w:r>
        <w:rPr>
          <w:rFonts w:ascii="Times New Roman" w:cs="Times New Roman" w:eastAsia="Times New Roman" w:hAnsi="Times New Roman"/>
          <w:sz w:val="19"/>
          <w:szCs w:val="19"/>
          <w:u w:val="single" w:color="auto"/>
          <w:color w:val="auto"/>
        </w:rPr>
        <w:t>Section 2.14(b)</w:t>
      </w:r>
      <w:r>
        <w:rPr>
          <w:rFonts w:ascii="Times New Roman" w:cs="Times New Roman" w:eastAsia="Times New Roman" w:hAnsi="Times New Roman"/>
          <w:sz w:val="19"/>
          <w:szCs w:val="19"/>
          <w:color w:val="auto"/>
        </w:rPr>
        <w:t>, the Borrower shall only be required, for purposes of updating the Reserve Report, to set forth</w:t>
      </w:r>
    </w:p>
    <w:p>
      <w:pPr>
        <w:spacing w:after="0"/>
        <w:rPr>
          <w:sz w:val="20"/>
          <w:szCs w:val="20"/>
          <w:color w:val="auto"/>
        </w:rPr>
      </w:pPr>
      <w:r>
        <w:rPr>
          <w:rFonts w:ascii="Times New Roman" w:cs="Times New Roman" w:eastAsia="Times New Roman" w:hAnsi="Times New Roman"/>
          <w:sz w:val="20"/>
          <w:szCs w:val="20"/>
          <w:color w:val="auto"/>
        </w:rPr>
        <w:t>such additional Proved Reserves and related information as are the subject of such acquisition.</w:t>
      </w:r>
    </w:p>
    <w:p>
      <w:pPr>
        <w:spacing w:after="0" w:line="15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 Report Certificate</w:t>
      </w:r>
      <w:r>
        <w:rPr>
          <w:rFonts w:ascii="Times New Roman" w:cs="Times New Roman" w:eastAsia="Times New Roman" w:hAnsi="Times New Roman"/>
          <w:sz w:val="20"/>
          <w:szCs w:val="20"/>
          <w:color w:val="auto"/>
        </w:rPr>
        <w:t xml:space="preserve">” shall mean a certificate of an Authorized Officer in substantially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certifying as to the matters set forth in </w:t>
      </w:r>
      <w:r>
        <w:rPr>
          <w:rFonts w:ascii="Times New Roman" w:cs="Times New Roman" w:eastAsia="Times New Roman" w:hAnsi="Times New Roman"/>
          <w:sz w:val="20"/>
          <w:szCs w:val="20"/>
          <w:u w:val="single" w:color="auto"/>
          <w:color w:val="auto"/>
        </w:rPr>
        <w:t>Section 9.13(c)</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shall mean an EEA Resolution Authority or, with respect to any UK Financial Institution, a UK Resolution Authority.</w:t>
      </w:r>
    </w:p>
    <w:p>
      <w:pPr>
        <w:spacing w:after="0" w:line="157"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 Conditions</w:t>
      </w:r>
      <w:r>
        <w:rPr>
          <w:rFonts w:ascii="Times New Roman" w:cs="Times New Roman" w:eastAsia="Times New Roman" w:hAnsi="Times New Roman"/>
          <w:sz w:val="20"/>
          <w:szCs w:val="20"/>
          <w:color w:val="auto"/>
        </w:rPr>
        <w:t xml:space="preserve">” shall mean as of any date of determination,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for the transaction with respect to which the Restricted Payment Conditions are being evaluated, either:</w:t>
      </w:r>
    </w:p>
    <w:p>
      <w:pPr>
        <w:spacing w:after="0" w:line="142" w:lineRule="exact"/>
        <w:rPr>
          <w:sz w:val="20"/>
          <w:szCs w:val="20"/>
          <w:color w:val="auto"/>
        </w:rPr>
      </w:pPr>
    </w:p>
    <w:p>
      <w:pPr>
        <w:jc w:val="both"/>
        <w:ind w:firstLine="656"/>
        <w:spacing w:after="0" w:line="230" w:lineRule="auto"/>
        <w:tabs>
          <w:tab w:leader="none" w:pos="128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Default, Event of Default or Borrowing Base Deficiency shall have occurred and be continuing, (ii) the Available Commitment is not less than twenty percent (20.0%) of the Total Commitment, (iii) the Consolidated Total Net Leverage Ratio is less than or equal to 2.50 to 1.00 and (iv) Distributable Free Cash Flow is greater than or equal to zero on such date of determination; or</w:t>
      </w:r>
    </w:p>
    <w:p>
      <w:pPr>
        <w:spacing w:after="0" w:line="148"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Default, Event of Default or Borrowing Base Deficiency shall have occurred and be continuing, (ii) the Available Commitment is not less than twenty five percent (25.0%) of the Total Commitment and (iii) the Consolidated Total Net Leverage Ratio is less than or equal to 1.75 to 1.00.</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shall mean any Subsidiary of the Borrower other than an Unrestricted Subsidiary.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shall mean Standard &amp; Poor’s Ratings Services or any successor by merger or consolidation to its business.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shall mean economic or financial sanctions or trade embargoes imposed, administered or enforced from time to time by</w:t>
      </w:r>
    </w:p>
    <w:p>
      <w:pPr>
        <w:spacing w:after="0"/>
        <w:rPr>
          <w:sz w:val="20"/>
          <w:szCs w:val="20"/>
          <w:color w:val="auto"/>
        </w:rPr>
      </w:pPr>
      <w:r>
        <w:rPr>
          <w:rFonts w:ascii="Times New Roman" w:cs="Times New Roman" w:eastAsia="Times New Roman" w:hAnsi="Times New Roman"/>
          <w:sz w:val="20"/>
          <w:szCs w:val="20"/>
          <w:color w:val="auto"/>
        </w:rPr>
        <w:t>(a) the U.S. government, including those administered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39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color w:val="auto"/>
        </w:rPr>
        <w:t>OFAC or the U.S. Department of State or (b) the United Nations Security Council, the European Union, His Majesty’s Treasury of the United Kingdom or other applicable sanctions authority.</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 Laws</w:t>
      </w:r>
      <w:r>
        <w:rPr>
          <w:rFonts w:ascii="Times New Roman" w:cs="Times New Roman" w:eastAsia="Times New Roman" w:hAnsi="Times New Roman"/>
          <w:sz w:val="19"/>
          <w:szCs w:val="19"/>
          <w:color w:val="auto"/>
        </w:rPr>
        <w:t>” shall mean the following, in each case, to the extent enacted and in effect: (a) laws, regulations, and rules promulgated or administered by OFAC to implement U.S. sanctions programs, including any enabling legislation or Executive Order related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thereto, as amended from time to time; (b) the US Comprehensive Iran Sanctions, Accountability, and Divestment Act and the regulations and rules promulgated thereunder, as amended from time to time; (c) the U.S. Iran Threat Reduction and Syria Human Rights Act and the</w:t>
      </w:r>
    </w:p>
    <w:p>
      <w:pPr>
        <w:spacing w:after="0" w:line="223" w:lineRule="auto"/>
        <w:rPr>
          <w:sz w:val="20"/>
          <w:szCs w:val="20"/>
          <w:color w:val="auto"/>
        </w:rPr>
      </w:pPr>
      <w:r>
        <w:rPr>
          <w:rFonts w:ascii="Times New Roman" w:cs="Times New Roman" w:eastAsia="Times New Roman" w:hAnsi="Times New Roman"/>
          <w:sz w:val="19"/>
          <w:szCs w:val="19"/>
          <w:color w:val="auto"/>
        </w:rPr>
        <w:t>regulations and rules promulgated thereunder, as amended from time to time; (d) the US Iran Freedom and Counter-Proliferation Act and the</w:t>
      </w:r>
    </w:p>
    <w:p>
      <w:pPr>
        <w:spacing w:after="0" w:line="204" w:lineRule="auto"/>
        <w:rPr>
          <w:sz w:val="20"/>
          <w:szCs w:val="20"/>
          <w:color w:val="auto"/>
        </w:rPr>
      </w:pPr>
      <w:r>
        <w:rPr>
          <w:rFonts w:ascii="Times New Roman" w:cs="Times New Roman" w:eastAsia="Times New Roman" w:hAnsi="Times New Roman"/>
          <w:sz w:val="20"/>
          <w:szCs w:val="20"/>
          <w:color w:val="auto"/>
        </w:rPr>
        <w:t>regulations and rules promulgated thereunder (e) the sanctions and other restrictive measures applied by the European Union in pursuit of the Common Foreign and Security Policy objectives set out in the Treaty on European Union; and (f) any similar sanctions laws as may be</w:t>
      </w:r>
    </w:p>
    <w:p>
      <w:pPr>
        <w:spacing w:after="0" w:line="211" w:lineRule="auto"/>
        <w:rPr>
          <w:sz w:val="20"/>
          <w:szCs w:val="20"/>
          <w:color w:val="auto"/>
        </w:rPr>
      </w:pPr>
      <w:r>
        <w:rPr>
          <w:rFonts w:ascii="Times New Roman" w:cs="Times New Roman" w:eastAsia="Times New Roman" w:hAnsi="Times New Roman"/>
          <w:sz w:val="20"/>
          <w:szCs w:val="20"/>
          <w:color w:val="auto"/>
        </w:rPr>
        <w:t>enacted from time to time in the future by the U.S., the European Union (and its member states), or the U.N. Security Council or any other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legislative body of the United Nations; and any corresponding laws of jurisdictions in which the Borrower operates or in which the proceeds of the Loans will be used or from which repayments of the Obligations will be derived.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Redetermination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Redetermination Date</w:t>
      </w:r>
      <w:r>
        <w:rPr>
          <w:rFonts w:ascii="Times New Roman" w:cs="Times New Roman" w:eastAsia="Times New Roman" w:hAnsi="Times New Roman"/>
          <w:sz w:val="20"/>
          <w:szCs w:val="20"/>
          <w:color w:val="auto"/>
        </w:rPr>
        <w:t xml:space="preserve">” shall mean the date on which a Borrowing Base that has been redetermined pursuant to a Scheduled Redetermination becomes effective as provided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shall mean the Securities and Exchange Commission or any successor thereto.</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Cash Management Agreement</w:t>
      </w:r>
      <w:r>
        <w:rPr>
          <w:rFonts w:ascii="Times New Roman" w:cs="Times New Roman" w:eastAsia="Times New Roman" w:hAnsi="Times New Roman"/>
          <w:sz w:val="20"/>
          <w:szCs w:val="20"/>
          <w:color w:val="auto"/>
        </w:rPr>
        <w:t>” shall mean any agreement related to Cash Management Services by and between the Borrower or any of its Restricted Subsidiaries and any Cash Management Bank.</w:t>
      </w:r>
    </w:p>
    <w:p>
      <w:pPr>
        <w:spacing w:after="0" w:line="161"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Hedge Agreement</w:t>
      </w:r>
      <w:r>
        <w:rPr>
          <w:rFonts w:ascii="Times New Roman" w:cs="Times New Roman" w:eastAsia="Times New Roman" w:hAnsi="Times New Roman"/>
          <w:sz w:val="20"/>
          <w:szCs w:val="20"/>
          <w:color w:val="auto"/>
        </w:rPr>
        <w:t>” shall mean (i) any Hedge Agreement by and between the Borrower or any of its Restricted Subsidiaries and any Hedge Bank and (ii) the Specified Hedge Agreements.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shall mean, collectively, the Administrative Agent, the Collateral Agent, each Issuing Bank, each Lender, each</w:t>
      </w:r>
    </w:p>
    <w:p>
      <w:pPr>
        <w:spacing w:after="0" w:line="204" w:lineRule="auto"/>
        <w:rPr>
          <w:sz w:val="20"/>
          <w:szCs w:val="20"/>
          <w:color w:val="auto"/>
        </w:rPr>
      </w:pPr>
      <w:r>
        <w:rPr>
          <w:rFonts w:ascii="Times New Roman" w:cs="Times New Roman" w:eastAsia="Times New Roman" w:hAnsi="Times New Roman"/>
          <w:sz w:val="20"/>
          <w:szCs w:val="20"/>
          <w:color w:val="auto"/>
        </w:rPr>
        <w:t>Hedge Bank that is party to any Secured Hedge Agreement, JPMorgan Chase Bank, N.A. (or its Affiliates) (solely to the extent of the Specified Hedge Agreements as in existence on the Closing Date), each Cash Management Bank that is a party to any Secured Cash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Management Agreement and each sub-agent appointed pursuant to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by the Administrative Agent with respect to matters relating to the Credit Documents or by the Collateral Agent with respect to matters relating to any Security Document.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Account</w:t>
      </w:r>
      <w:r>
        <w:rPr>
          <w:rFonts w:ascii="Times New Roman" w:cs="Times New Roman" w:eastAsia="Times New Roman" w:hAnsi="Times New Roman"/>
          <w:sz w:val="20"/>
          <w:szCs w:val="20"/>
          <w:color w:val="auto"/>
        </w:rPr>
        <w:t>” shall mean any securities account maintained by the Credit Parties, including any “security accounts” under Article 9 of the UCC. All funds in such Securities Accounts (other than Excluded Accounts) shall be conclusively presumed to be Collateral</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and proceeds of Collateral and the Agents and the Lenders shall have no duty to inquire as to the source of the amounts on deposit in the Securities Accounts.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Account Control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9.16(a)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Documents</w:t>
      </w:r>
      <w:r>
        <w:rPr>
          <w:rFonts w:ascii="Times New Roman" w:cs="Times New Roman" w:eastAsia="Times New Roman" w:hAnsi="Times New Roman"/>
          <w:sz w:val="19"/>
          <w:szCs w:val="19"/>
          <w:color w:val="auto"/>
        </w:rPr>
        <w:t xml:space="preserve">” shall mean, collectively, (a) the Collateral Agreement, (b) the Mortgages, (c) any Junior Lien Intercreditor Agreement and (d) each other security agreement or other instrument or document executed and delivered pursuant to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9.12</w:t>
      </w:r>
      <w:r>
        <w:rPr>
          <w:rFonts w:ascii="Times New Roman" w:cs="Times New Roman" w:eastAsia="Times New Roman" w:hAnsi="Times New Roman"/>
          <w:sz w:val="19"/>
          <w:szCs w:val="19"/>
          <w:color w:val="auto"/>
        </w:rPr>
        <w:t xml:space="preserve"> or</w:t>
      </w:r>
    </w:p>
    <w:p>
      <w:pPr>
        <w:spacing w:after="0"/>
        <w:rPr>
          <w:sz w:val="20"/>
          <w:szCs w:val="20"/>
          <w:color w:val="auto"/>
        </w:rPr>
      </w:pPr>
      <w:r>
        <w:rPr>
          <w:rFonts w:ascii="Times New Roman" w:cs="Times New Roman" w:eastAsia="Times New Roman" w:hAnsi="Times New Roman"/>
          <w:sz w:val="19"/>
          <w:szCs w:val="19"/>
          <w:color w:val="auto"/>
        </w:rPr>
        <w:t>pursuant to any other such Security Documents or otherwise in order to secure or perfect the security interest in any or all of the Obligations.</w:t>
      </w:r>
    </w:p>
    <w:p>
      <w:pPr>
        <w:spacing w:after="0" w:line="178"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Senior Notes</w:t>
      </w:r>
      <w:r>
        <w:rPr>
          <w:rFonts w:ascii="Times New Roman" w:cs="Times New Roman" w:eastAsia="Times New Roman" w:hAnsi="Times New Roman"/>
          <w:sz w:val="19"/>
          <w:szCs w:val="19"/>
          <w:color w:val="auto"/>
        </w:rPr>
        <w:t>” shall mean those certain 7.125% senior notes issued pursuant to the Senior Notes Indenture, as such Senior Notes may be amended, restated, amended and restated, supplemented, extended, replaced, exchanged, refinanced or otherwise modified from time</w:t>
      </w:r>
    </w:p>
    <w:p>
      <w:pPr>
        <w:spacing w:after="0"/>
        <w:rPr>
          <w:sz w:val="20"/>
          <w:szCs w:val="20"/>
          <w:color w:val="auto"/>
        </w:rPr>
      </w:pPr>
      <w:r>
        <w:rPr>
          <w:rFonts w:ascii="Times New Roman" w:cs="Times New Roman" w:eastAsia="Times New Roman" w:hAnsi="Times New Roman"/>
          <w:sz w:val="20"/>
          <w:szCs w:val="20"/>
          <w:color w:val="auto"/>
        </w:rPr>
        <w:t>to time in accordance with, and as permitted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399"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Indenture</w:t>
      </w:r>
      <w:r>
        <w:rPr>
          <w:rFonts w:ascii="Times New Roman" w:cs="Times New Roman" w:eastAsia="Times New Roman" w:hAnsi="Times New Roman"/>
          <w:sz w:val="20"/>
          <w:szCs w:val="20"/>
          <w:color w:val="auto"/>
        </w:rPr>
        <w:t>” shall mean that certain Indenture dated as of January 20, 2021, by and among the Borrower, as issuer and</w:t>
      </w:r>
    </w:p>
    <w:p>
      <w:pPr>
        <w:spacing w:after="0" w:line="221" w:lineRule="auto"/>
        <w:rPr>
          <w:sz w:val="20"/>
          <w:szCs w:val="20"/>
          <w:color w:val="auto"/>
        </w:rPr>
      </w:pPr>
      <w:r>
        <w:rPr>
          <w:rFonts w:ascii="Times New Roman" w:cs="Times New Roman" w:eastAsia="Times New Roman" w:hAnsi="Times New Roman"/>
          <w:sz w:val="20"/>
          <w:szCs w:val="20"/>
          <w:color w:val="auto"/>
        </w:rPr>
        <w:t>Wilmington Trust, National Association, as trustee, as may be amended, restated, amended and restated, supplemented, extended, replaced, exchanged, refinanced or otherwise modified from time to time in accordance with, and as permitted by, this Agreement.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Agreement Undertakings</w:t>
      </w:r>
      <w:r>
        <w:rPr>
          <w:rFonts w:ascii="Times New Roman" w:cs="Times New Roman" w:eastAsia="Times New Roman" w:hAnsi="Times New Roman"/>
          <w:sz w:val="20"/>
          <w:szCs w:val="20"/>
          <w:color w:val="auto"/>
        </w:rPr>
        <w:t>” shall mean agreements to pay fees and other consideration in respect of agreed quantities of</w:t>
      </w:r>
    </w:p>
    <w:p>
      <w:pPr>
        <w:spacing w:after="0" w:line="204" w:lineRule="auto"/>
        <w:rPr>
          <w:sz w:val="20"/>
          <w:szCs w:val="20"/>
          <w:color w:val="auto"/>
        </w:rPr>
      </w:pPr>
      <w:r>
        <w:rPr>
          <w:rFonts w:ascii="Times New Roman" w:cs="Times New Roman" w:eastAsia="Times New Roman" w:hAnsi="Times New Roman"/>
          <w:sz w:val="20"/>
          <w:szCs w:val="20"/>
          <w:color w:val="auto"/>
        </w:rPr>
        <w:t>marketing, transportation and/or other similar services in connection with reasonably anticipated (i) production from Oil and Gas Properties of the Borrower and the Restricted Subsidiaries and (ii) associated production of non-operators and royalty and similar interest owners,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case which fees and other consideration are payable whether or not such services are utilized.</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SFAS 87</w:t>
      </w:r>
      <w:r>
        <w:rPr>
          <w:rFonts w:ascii="Times New Roman" w:cs="Times New Roman" w:eastAsia="Times New Roman" w:hAnsi="Times New Roman"/>
          <w:sz w:val="20"/>
          <w:szCs w:val="20"/>
          <w:color w:val="auto"/>
        </w:rPr>
        <w:t>” has the meaning set forth in the definition of the term “Unfunded Current Liability”.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shall mean a rate equal to the secured overnight financing rate as administered by the SOFR Administrator.</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shall mean the Federal Reserve Bank of New York (or a successor administrator of the secured overnight financing rate).</w:t>
      </w:r>
    </w:p>
    <w:p>
      <w:pPr>
        <w:spacing w:after="0" w:line="148"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xml:space="preserve">” shall mean a Loan that bears interest at a rate based on Adjusted Term SOFR, other than pursuant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“ABR”.</w:t>
      </w:r>
    </w:p>
    <w:p>
      <w:pPr>
        <w:spacing w:after="0" w:line="16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Solvent</w:t>
      </w:r>
      <w:r>
        <w:rPr>
          <w:rFonts w:ascii="Times New Roman" w:cs="Times New Roman" w:eastAsia="Times New Roman" w:hAnsi="Times New Roman"/>
          <w:sz w:val="19"/>
          <w:szCs w:val="19"/>
          <w:color w:val="auto"/>
        </w:rPr>
        <w:t>” shall mean, with respect to any Person on any date of determination, that on such date (i)(a) the fair value of the assets of such Person and its Restricted Subsidiaries, on a consolidated basis, exceeds, on a consolidated basis, their debts and liabilities, subordinated,</w:t>
      </w:r>
    </w:p>
    <w:p>
      <w:pPr>
        <w:spacing w:after="0" w:line="211" w:lineRule="auto"/>
        <w:rPr>
          <w:sz w:val="20"/>
          <w:szCs w:val="20"/>
          <w:color w:val="auto"/>
        </w:rPr>
      </w:pPr>
      <w:r>
        <w:rPr>
          <w:rFonts w:ascii="Times New Roman" w:cs="Times New Roman" w:eastAsia="Times New Roman" w:hAnsi="Times New Roman"/>
          <w:sz w:val="20"/>
          <w:szCs w:val="20"/>
          <w:color w:val="auto"/>
        </w:rPr>
        <w:t>contingent or otherwise, (b) the present fair saleable value of the property of such Person and its Restricted Subsidiaries, on a consolidated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basis, is greater than the amount that will be required to pay the probable liability, on a consolidated basis, of their debts and other liabilities, subordinated, contingent or otherwise, as such debts and other liabilities become absolute and matured or (c) such Person and its Restricted</w:t>
      </w:r>
    </w:p>
    <w:p>
      <w:pPr>
        <w:spacing w:after="0" w:line="204" w:lineRule="auto"/>
        <w:rPr>
          <w:sz w:val="20"/>
          <w:szCs w:val="20"/>
          <w:color w:val="auto"/>
        </w:rPr>
      </w:pPr>
      <w:r>
        <w:rPr>
          <w:rFonts w:ascii="Times New Roman" w:cs="Times New Roman" w:eastAsia="Times New Roman" w:hAnsi="Times New Roman"/>
          <w:sz w:val="20"/>
          <w:szCs w:val="20"/>
          <w:color w:val="auto"/>
        </w:rPr>
        <w:t>Subsidiaries, on a consolidated basis, are able to pay their debts and liabilities, subordinated, contingent or otherwise, as such liabilities become absolute and matured and (ii) such Person and its Restricted Subsidiaries, on a consolidated basis, are not engaged in, and are not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about to engage in, business for which they have unreasonably small capital. The amount of any contingent liability at any time shall be computed as the amount that would reasonably be expected to become an actual and matured liability.</w:t>
      </w:r>
    </w:p>
    <w:p>
      <w:pPr>
        <w:spacing w:after="0" w:line="149" w:lineRule="exact"/>
        <w:rPr>
          <w:sz w:val="20"/>
          <w:szCs w:val="20"/>
          <w:color w:val="auto"/>
        </w:rPr>
      </w:pPr>
    </w:p>
    <w:p>
      <w:pPr>
        <w:ind w:right="20"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Hedge Agreements</w:t>
      </w:r>
      <w:r>
        <w:rPr>
          <w:rFonts w:ascii="Times New Roman" w:cs="Times New Roman" w:eastAsia="Times New Roman" w:hAnsi="Times New Roman"/>
          <w:sz w:val="20"/>
          <w:szCs w:val="20"/>
          <w:color w:val="auto"/>
        </w:rPr>
        <w:t>” means any Hedge Agreement as of the Closing Date governed by that certain ISDA 2002 Master Agreement, dated as of July 20, 2021, including the schedules and trade confirmations thereto, between JPMorgan Chase Bank, N.A. (or its</w:t>
      </w:r>
    </w:p>
    <w:p>
      <w:pPr>
        <w:spacing w:after="0" w:line="224" w:lineRule="auto"/>
        <w:rPr>
          <w:sz w:val="20"/>
          <w:szCs w:val="20"/>
          <w:color w:val="auto"/>
        </w:rPr>
      </w:pPr>
      <w:r>
        <w:rPr>
          <w:rFonts w:ascii="Times New Roman" w:cs="Times New Roman" w:eastAsia="Times New Roman" w:hAnsi="Times New Roman"/>
          <w:sz w:val="19"/>
          <w:szCs w:val="19"/>
          <w:color w:val="auto"/>
        </w:rPr>
        <w:t xml:space="preserve">Affiliates) and one or more Credit Parties;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only such trade confirmations and hedge transactions in existence as of the Closing</w:t>
      </w:r>
    </w:p>
    <w:p>
      <w:pPr>
        <w:spacing w:after="0" w:line="221" w:lineRule="auto"/>
        <w:rPr>
          <w:sz w:val="20"/>
          <w:szCs w:val="20"/>
          <w:color w:val="auto"/>
        </w:rPr>
      </w:pPr>
      <w:r>
        <w:rPr>
          <w:rFonts w:ascii="Times New Roman" w:cs="Times New Roman" w:eastAsia="Times New Roman" w:hAnsi="Times New Roman"/>
          <w:sz w:val="20"/>
          <w:szCs w:val="20"/>
          <w:color w:val="auto"/>
        </w:rPr>
        <w:t>Date shall constitute a Specified Hedge Agreement hereunder (but not any Hedge Agreements or trade confirmations entered into after the Closing Date, nor any extension of any Hedge Agreement or trade confirmation in existence as of the Closing Date).</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Transaction</w:t>
      </w:r>
      <w:r>
        <w:rPr>
          <w:rFonts w:ascii="Times New Roman" w:cs="Times New Roman" w:eastAsia="Times New Roman" w:hAnsi="Times New Roman"/>
          <w:sz w:val="19"/>
          <w:szCs w:val="19"/>
          <w:color w:val="auto"/>
        </w:rPr>
        <w:t xml:space="preserve">” shall mean any acquisition, Investment, Disposition, incurrence or repayment of Indebtedness, Restricted Payment or Subsidiary designation that by the terms of this Agreement requires a financial ratio or test to be calculated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SPV</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13.6(g)</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SPV Loan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13.6(c)(ii)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Stated Amount</w:t>
      </w:r>
      <w:r>
        <w:rPr>
          <w:rFonts w:ascii="Times New Roman" w:cs="Times New Roman" w:eastAsia="Times New Roman" w:hAnsi="Times New Roman"/>
          <w:sz w:val="20"/>
          <w:szCs w:val="20"/>
          <w:color w:val="auto"/>
        </w:rPr>
        <w:t>” of any Letter of Credit shall mean the maximum amount from time to time available to be drawn thereunder, determined without regard to whether any conditions to drawing could then be met.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Subagent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394"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Subordination  Agreement</w:t>
      </w:r>
      <w:r>
        <w:rPr>
          <w:rFonts w:ascii="Times New Roman" w:cs="Times New Roman" w:eastAsia="Times New Roman" w:hAnsi="Times New Roman"/>
          <w:sz w:val="20"/>
          <w:szCs w:val="20"/>
          <w:color w:val="auto"/>
        </w:rPr>
        <w:t>”  shall  mean  a  subordination  agreement  in  form  and  substance  reasonably  acceptable  to  the</w:t>
      </w: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and/or the Collateral Agent, the Borrower and the Majority Lenders, among the Administrative Agent, the representative on behalf of any holders of senior subordinated or subordinated Permitted Additional Debt, the Borrower, the Guarantors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other parties party thereto from time to time.</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shall mean, with respect to any Person: (1) any corporation, association, or other business entity (other than a partnership, joint venture, limited liability company or similar entity) of which more than fifty percent (50.0%) of the total Voting Equity is at</w:t>
      </w:r>
    </w:p>
    <w:p>
      <w:pPr>
        <w:spacing w:after="0" w:line="222" w:lineRule="auto"/>
        <w:rPr>
          <w:sz w:val="20"/>
          <w:szCs w:val="20"/>
          <w:color w:val="auto"/>
        </w:rPr>
      </w:pPr>
      <w:r>
        <w:rPr>
          <w:rFonts w:ascii="Times New Roman" w:cs="Times New Roman" w:eastAsia="Times New Roman" w:hAnsi="Times New Roman"/>
          <w:sz w:val="19"/>
          <w:szCs w:val="19"/>
          <w:color w:val="auto"/>
        </w:rPr>
        <w:t>the time of determination owned or controlled, directly or indirectly, by such Person or one or more of the other Subsidiaries of that Person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 combination thereof; and (2) any partnership, joint venture, limited liability company or similar entity of which: (a) more than fifty percent (50.0%) of the Voting Equity or general partnership interests, as applicable, are owned or controlled, directly or indirectly, by such Person or</w:t>
      </w:r>
    </w:p>
    <w:p>
      <w:pPr>
        <w:spacing w:after="0" w:line="211" w:lineRule="auto"/>
        <w:rPr>
          <w:sz w:val="20"/>
          <w:szCs w:val="20"/>
          <w:color w:val="auto"/>
        </w:rPr>
      </w:pPr>
      <w:r>
        <w:rPr>
          <w:rFonts w:ascii="Times New Roman" w:cs="Times New Roman" w:eastAsia="Times New Roman" w:hAnsi="Times New Roman"/>
          <w:sz w:val="20"/>
          <w:szCs w:val="20"/>
          <w:color w:val="auto"/>
        </w:rPr>
        <w:t>one or more of the other Subsidiaries of that Person or a combination thereof whether in the form of membership, general, special or limited</w:t>
      </w:r>
    </w:p>
    <w:p>
      <w:pPr>
        <w:spacing w:after="0" w:line="221" w:lineRule="auto"/>
        <w:rPr>
          <w:sz w:val="20"/>
          <w:szCs w:val="20"/>
          <w:color w:val="auto"/>
        </w:rPr>
      </w:pPr>
      <w:r>
        <w:rPr>
          <w:rFonts w:ascii="Times New Roman" w:cs="Times New Roman" w:eastAsia="Times New Roman" w:hAnsi="Times New Roman"/>
          <w:sz w:val="20"/>
          <w:szCs w:val="20"/>
          <w:color w:val="auto"/>
        </w:rPr>
        <w:t>partnership or otherwise, and (b) such Person or any Restricted Subsidiary of such Person is a controlling general partner or otherwise controls such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Grantor</w:t>
      </w:r>
      <w:r>
        <w:rPr>
          <w:rFonts w:ascii="Times New Roman" w:cs="Times New Roman" w:eastAsia="Times New Roman" w:hAnsi="Times New Roman"/>
          <w:sz w:val="20"/>
          <w:szCs w:val="20"/>
          <w:color w:val="auto"/>
        </w:rPr>
        <w:t>” shall mean each Subsidiary Guarantor and each Production Sharing Entity.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shall mean each Subsidiary that is a Guarantor.</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Redesignation</w:t>
      </w:r>
      <w:r>
        <w:rPr>
          <w:rFonts w:ascii="Times New Roman" w:cs="Times New Roman" w:eastAsia="Times New Roman" w:hAnsi="Times New Roman"/>
          <w:sz w:val="20"/>
          <w:szCs w:val="20"/>
          <w:color w:val="auto"/>
        </w:rPr>
        <w:t>” shall have the meaning provided in the definition of “Unrestricted Subsidiary” contained in this</w:t>
      </w:r>
    </w:p>
    <w:p>
      <w:pPr>
        <w:spacing w:after="0"/>
        <w:rPr>
          <w:sz w:val="20"/>
          <w:szCs w:val="20"/>
          <w:color w:val="auto"/>
        </w:rPr>
      </w:pP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Borrower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10.3(a)(i)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13.25</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shall mean, with respect to any Guarantor,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PV</w:t>
      </w:r>
      <w:r>
        <w:rPr>
          <w:rFonts w:ascii="Times New Roman" w:cs="Times New Roman" w:eastAsia="Times New Roman" w:hAnsi="Times New Roman"/>
          <w:sz w:val="20"/>
          <w:szCs w:val="20"/>
          <w:color w:val="auto"/>
        </w:rPr>
        <w:t>” shall mean, with respect to any commodity Hedge Agreement, the present value, discounted at nine percent (9%) per</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annum, of the future receipts expected to be paid to the Borrower or its Restricted Subsidiaries under such Hedge Agreement netted against the Administrative Agent’s then current Bank Price Deck;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“Swap PV” shall never be less than $0.00.</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shall mean, in respect of any one or more Hedge Agreements, after taking into account the effect of any</w:t>
      </w:r>
    </w:p>
    <w:p>
      <w:pPr>
        <w:ind w:right="20"/>
        <w:spacing w:after="0" w:line="204" w:lineRule="auto"/>
        <w:rPr>
          <w:sz w:val="20"/>
          <w:szCs w:val="20"/>
          <w:color w:val="auto"/>
        </w:rPr>
      </w:pPr>
      <w:r>
        <w:rPr>
          <w:rFonts w:ascii="Times New Roman" w:cs="Times New Roman" w:eastAsia="Times New Roman" w:hAnsi="Times New Roman"/>
          <w:sz w:val="20"/>
          <w:szCs w:val="20"/>
          <w:color w:val="auto"/>
        </w:rPr>
        <w:t>legally enforceable netting agreement relating to such Hedge Agreements, (a) for any date on or after the date such Hedge Agreements have been closed out and termination value(s) determined in accordance therewith, the sum of any unpaid amount in respect of such Hedge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Agreement and such termination value(s), and (b) 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amount(s) determined as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shall mean all present or future taxes, levies, imposts, duties, deductions, withholdings (including backup withholding),</w:t>
      </w:r>
    </w:p>
    <w:p>
      <w:pPr>
        <w:spacing w:after="0" w:line="221" w:lineRule="auto"/>
        <w:rPr>
          <w:sz w:val="20"/>
          <w:szCs w:val="20"/>
          <w:color w:val="auto"/>
        </w:rPr>
      </w:pPr>
      <w:r>
        <w:rPr>
          <w:rFonts w:ascii="Times New Roman" w:cs="Times New Roman" w:eastAsia="Times New Roman" w:hAnsi="Times New Roman"/>
          <w:sz w:val="20"/>
          <w:szCs w:val="20"/>
          <w:color w:val="auto"/>
        </w:rPr>
        <w:t>assessments, fees or other charges imposed by any Governmental Authority, including any interest, additions to tax or penalties applicable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shall mean,</w:t>
      </w:r>
    </w:p>
    <w:p>
      <w:pPr>
        <w:spacing w:after="0" w:line="189" w:lineRule="exact"/>
        <w:rPr>
          <w:sz w:val="20"/>
          <w:szCs w:val="20"/>
          <w:color w:val="auto"/>
        </w:rPr>
      </w:pPr>
    </w:p>
    <w:p>
      <w:pPr>
        <w:jc w:val="both"/>
        <w:ind w:firstLine="656"/>
        <w:spacing w:after="0" w:line="222" w:lineRule="auto"/>
        <w:tabs>
          <w:tab w:leader="none" w:pos="1287"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(1st) day of such Interest Period,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as of 5:00 p.m. (New York City time) on any Periodic Term SOFR Determination Day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39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9"/>
          <w:szCs w:val="19"/>
          <w:color w:val="auto"/>
        </w:rPr>
        <w:t>SOFR Reference Rate for the applicable tenor has not been published by the Term SOFR Administrator and a Benchmark Replacement Date</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with respect to the Term SOFR Reference Rate has not occurred, then Term SOFR will be the Term SOFR Reference Rate for such tenor as published by the Term SOFR Administrator on the first preceding U.S. Government Securities Business Day for which such Term SOFR</w:t>
      </w:r>
    </w:p>
    <w:p>
      <w:pPr>
        <w:spacing w:after="0" w:line="211" w:lineRule="auto"/>
        <w:rPr>
          <w:sz w:val="20"/>
          <w:szCs w:val="20"/>
          <w:color w:val="auto"/>
        </w:rPr>
      </w:pPr>
      <w:r>
        <w:rPr>
          <w:rFonts w:ascii="Times New Roman" w:cs="Times New Roman" w:eastAsia="Times New Roman" w:hAnsi="Times New Roman"/>
          <w:sz w:val="20"/>
          <w:szCs w:val="20"/>
          <w:color w:val="auto"/>
        </w:rPr>
        <w:t>Reference Rate for such tenor was published by the Term SOFR Administrator so long as such first preceding U.S. Government Securities</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Business Day is not more than three (3) U.S. Government Securities Business Days prior to such Periodic Term SOFR Determination Day, and</w:t>
      </w:r>
    </w:p>
    <w:p>
      <w:pPr>
        <w:spacing w:after="0" w:line="162" w:lineRule="exact"/>
        <w:rPr>
          <w:sz w:val="20"/>
          <w:szCs w:val="20"/>
          <w:color w:val="auto"/>
        </w:rPr>
      </w:pPr>
    </w:p>
    <w:p>
      <w:pPr>
        <w:jc w:val="both"/>
        <w:ind w:firstLine="656"/>
        <w:spacing w:after="0" w:line="213" w:lineRule="auto"/>
        <w:tabs>
          <w:tab w:leader="none" w:pos="128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an ABR Loan on any day, the Term SOFR Reference Rate for a tenor of one (1) month on the day (such day, the “</w:t>
      </w:r>
      <w:r>
        <w:rPr>
          <w:rFonts w:ascii="Times New Roman" w:cs="Times New Roman" w:eastAsia="Times New Roman" w:hAnsi="Times New Roman"/>
          <w:sz w:val="20"/>
          <w:szCs w:val="20"/>
          <w:u w:val="single" w:color="auto"/>
          <w:color w:val="auto"/>
        </w:rPr>
        <w:t>ABR Term SOFR Determination Day</w:t>
      </w:r>
      <w:r>
        <w:rPr>
          <w:rFonts w:ascii="Times New Roman" w:cs="Times New Roman" w:eastAsia="Times New Roman" w:hAnsi="Times New Roman"/>
          <w:sz w:val="20"/>
          <w:szCs w:val="20"/>
          <w:color w:val="auto"/>
        </w:rPr>
        <w:t>”)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Adjustment</w:t>
      </w:r>
      <w:r>
        <w:rPr>
          <w:rFonts w:ascii="Times New Roman" w:cs="Times New Roman" w:eastAsia="Times New Roman" w:hAnsi="Times New Roman"/>
          <w:sz w:val="20"/>
          <w:szCs w:val="20"/>
          <w:color w:val="auto"/>
        </w:rPr>
        <w:t>” shall mean, for any calculation with respect to a SOFR Loan, 0.10%.</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shall mean CME Group Benchmark Administration Limited (CBA) (or a successor administrator of the Term SOFR Reference Rate selected by the Administrative Agent in its reasonable discretion).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shall mean the forward-looking term rate based on SOFR.</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shall mean the earlier to occur of (a) the Maturity Date and (b) the date on which the Total Commitment shall have terminated.</w:t>
      </w:r>
    </w:p>
    <w:p>
      <w:pPr>
        <w:spacing w:after="0" w:line="161"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shall mean, for any date of determination under this Agreement, any period of four (4) consecutive fiscal quarters ending on the last day of such applicable fiscal quarter.</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Commitment</w:t>
      </w:r>
      <w:r>
        <w:rPr>
          <w:rFonts w:ascii="Times New Roman" w:cs="Times New Roman" w:eastAsia="Times New Roman" w:hAnsi="Times New Roman"/>
          <w:sz w:val="20"/>
          <w:szCs w:val="20"/>
          <w:color w:val="auto"/>
        </w:rPr>
        <w:t>” shall mean the sum of the Commitments of the Lenders.</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Exposure</w:t>
      </w:r>
      <w:r>
        <w:rPr>
          <w:rFonts w:ascii="Times New Roman" w:cs="Times New Roman" w:eastAsia="Times New Roman" w:hAnsi="Times New Roman"/>
          <w:sz w:val="20"/>
          <w:szCs w:val="20"/>
          <w:color w:val="auto"/>
        </w:rPr>
        <w:t>” shall mean, with respect to any Lender at any time, the sum of (a) the aggregate principal amount of the Loans of such Lender then outstanding and (b) such Lender’s Letter of Credit Exposure at such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Expenses</w:t>
      </w:r>
      <w:r>
        <w:rPr>
          <w:rFonts w:ascii="Times New Roman" w:cs="Times New Roman" w:eastAsia="Times New Roman" w:hAnsi="Times New Roman"/>
          <w:sz w:val="20"/>
          <w:szCs w:val="20"/>
          <w:color w:val="auto"/>
        </w:rPr>
        <w:t>” shall mean any fees or expenses incurred or paid by the Borrower or any of its Subsidiaries in connection</w:t>
      </w:r>
    </w:p>
    <w:p>
      <w:pPr>
        <w:spacing w:after="0" w:line="204" w:lineRule="auto"/>
        <w:rPr>
          <w:sz w:val="20"/>
          <w:szCs w:val="20"/>
          <w:color w:val="auto"/>
        </w:rPr>
      </w:pPr>
      <w:r>
        <w:rPr>
          <w:rFonts w:ascii="Times New Roman" w:cs="Times New Roman" w:eastAsia="Times New Roman" w:hAnsi="Times New Roman"/>
          <w:sz w:val="20"/>
          <w:szCs w:val="20"/>
          <w:color w:val="auto"/>
        </w:rPr>
        <w:t>with the Transactions (including expenses in connection with hedging transactions (including termination or amendment thereof), if any, payments to officers, employees and directors as change of control payments, severance payments or special or retention bonuses and</w:t>
      </w:r>
    </w:p>
    <w:p>
      <w:pPr>
        <w:spacing w:after="0" w:line="211" w:lineRule="auto"/>
        <w:rPr>
          <w:sz w:val="20"/>
          <w:szCs w:val="20"/>
          <w:color w:val="auto"/>
        </w:rPr>
      </w:pPr>
      <w:r>
        <w:rPr>
          <w:rFonts w:ascii="Times New Roman" w:cs="Times New Roman" w:eastAsia="Times New Roman" w:hAnsi="Times New Roman"/>
          <w:sz w:val="20"/>
          <w:szCs w:val="20"/>
          <w:color w:val="auto"/>
        </w:rPr>
        <w:t>payments or charges for payments on account of phantom stock units, restricted stock, stock appreciation rights, restricted stock units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options (including the repurchase or rollover of, or modifications to, the foregoing awards)), this Agreement and the other Credit Documents and the transactions contemplated hereby and thereby.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shall mean, collectively, the execution, delivery and performance of this Agreement and the other Credit Documents,</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borrowing of the Loans, the use of the proceeds thereof, the issuance of Letters of Credit hereunder, the payment of Transaction Expenses and the other transactions contemplated by this Agreement and the Credit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9"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shall mean, as to any Loan, its nature as an ABR Loan or a SOFR Loan.</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shall mean the Uniform Commercial Code of the State of New York or of any other state the laws of which are required to be applied in connection with the perfection of security interests in any Collateral.</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UCP</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shall mean any BRRD Undertaking (as such term is defined under the PRA Rulebook (as amended form time to time) promulgated by the United Kingdom Prudential Regulation Authority) or any person falling within IFPRU 11.6 of the FCA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Handbook (as amended from time to time) promulgated by the United Kingdom Financial Conduct Authority, which includes certain credit institutions and investment firms, and certain affiliates of such credit institutions or investment firms.</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shall mean the Bank of England or any other public administrative authority having responsibility for the resolution of any UK Financial Institution.</w:t>
      </w:r>
    </w:p>
    <w:p>
      <w:pPr>
        <w:spacing w:after="0" w:line="161"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shall mean the applicable Benchmark Replacement excluding the related Benchmark Replacement Adjustment.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Unfunded Current Liability</w:t>
      </w:r>
      <w:r>
        <w:rPr>
          <w:rFonts w:ascii="Times New Roman" w:cs="Times New Roman" w:eastAsia="Times New Roman" w:hAnsi="Times New Roman"/>
          <w:sz w:val="20"/>
          <w:szCs w:val="20"/>
          <w:color w:val="auto"/>
        </w:rPr>
        <w:t>” of any Plan shall mean the amount, if any, by which the Accumulated Benefit Obligation (as defined</w:t>
      </w:r>
    </w:p>
    <w:p>
      <w:pPr>
        <w:spacing w:after="0" w:line="221" w:lineRule="auto"/>
        <w:rPr>
          <w:sz w:val="20"/>
          <w:szCs w:val="20"/>
          <w:color w:val="auto"/>
        </w:rPr>
      </w:pPr>
      <w:r>
        <w:rPr>
          <w:rFonts w:ascii="Times New Roman" w:cs="Times New Roman" w:eastAsia="Times New Roman" w:hAnsi="Times New Roman"/>
          <w:sz w:val="20"/>
          <w:szCs w:val="20"/>
          <w:color w:val="auto"/>
        </w:rPr>
        <w:t>under Statement of Financial Accounting Standards No. 87 (“SFAS 87”)) under the Plan as of the close of its most recent plan year, determined in accordance with SFAS 87 as in effect on the date hereof, exceeds the Fair Market Value of the assets allocable thereto.</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Uniform Customs</w:t>
      </w:r>
      <w:r>
        <w:rPr>
          <w:rFonts w:ascii="Times New Roman" w:cs="Times New Roman" w:eastAsia="Times New Roman" w:hAnsi="Times New Roman"/>
          <w:sz w:val="20"/>
          <w:szCs w:val="20"/>
          <w:color w:val="auto"/>
        </w:rPr>
        <w:t>” shall mean, with respect to any Letter of Credit, the Uniform Customs and Practice for Documentary Credits as</w:t>
      </w:r>
    </w:p>
    <w:p>
      <w:pPr>
        <w:ind w:right="20"/>
        <w:spacing w:after="0" w:line="221" w:lineRule="auto"/>
        <w:rPr>
          <w:sz w:val="20"/>
          <w:szCs w:val="20"/>
          <w:color w:val="auto"/>
        </w:rPr>
      </w:pPr>
      <w:r>
        <w:rPr>
          <w:rFonts w:ascii="Times New Roman" w:cs="Times New Roman" w:eastAsia="Times New Roman" w:hAnsi="Times New Roman"/>
          <w:sz w:val="20"/>
          <w:szCs w:val="20"/>
          <w:color w:val="auto"/>
        </w:rPr>
        <w:t>approved by the International Chamber of Commerce, commencing on July 1, 2007 (or such later version thereof as may be in effect at the time of issuance).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Unpaid Drawing</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Cash</w:t>
      </w:r>
      <w:r>
        <w:rPr>
          <w:rFonts w:ascii="Times New Roman" w:cs="Times New Roman" w:eastAsia="Times New Roman" w:hAnsi="Times New Roman"/>
          <w:sz w:val="20"/>
          <w:szCs w:val="20"/>
          <w:color w:val="auto"/>
        </w:rPr>
        <w:t>” shall mean cash or cash equivalents (including Permitted Investments) of the Borrower or any of its Restricted Subsidiaries that would not appear as “restricted” on a consolidated balance sheet of the Borrower or any of its Restricted Subsidiaries;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(a) cash or cash equivalents (including Permitted Investments) that would appear as “restricted” on a consolidated balance sheet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or any of its Restricted Subsidiaries solely because such cash or cash equivalents (including Permitted Investments) are subject to a</w:t>
      </w:r>
    </w:p>
    <w:p>
      <w:pPr>
        <w:spacing w:after="0" w:line="222" w:lineRule="auto"/>
        <w:rPr>
          <w:sz w:val="20"/>
          <w:szCs w:val="20"/>
          <w:color w:val="auto"/>
        </w:rPr>
      </w:pPr>
      <w:r>
        <w:rPr>
          <w:rFonts w:ascii="Times New Roman" w:cs="Times New Roman" w:eastAsia="Times New Roman" w:hAnsi="Times New Roman"/>
          <w:sz w:val="19"/>
          <w:szCs w:val="19"/>
          <w:color w:val="auto"/>
        </w:rPr>
        <w:t>Deposit Account Control Agreement or a Securities Account Control Agreement in favor of the Collateral Agent shall constitute Unrestricted</w:t>
      </w:r>
    </w:p>
    <w:p>
      <w:pPr>
        <w:spacing w:after="0" w:line="215" w:lineRule="auto"/>
        <w:rPr>
          <w:sz w:val="20"/>
          <w:szCs w:val="20"/>
          <w:color w:val="auto"/>
        </w:rPr>
      </w:pPr>
      <w:r>
        <w:rPr>
          <w:rFonts w:ascii="Times New Roman" w:cs="Times New Roman" w:eastAsia="Times New Roman" w:hAnsi="Times New Roman"/>
          <w:sz w:val="19"/>
          <w:szCs w:val="19"/>
          <w:color w:val="auto"/>
        </w:rPr>
        <w:t>Cash hereunder, (b) cash and cash equivalents shall be included in the determination of Unrestricted Cash only to the extent that such cash and cash equivalents are maintained in accounts subject to a Deposit Account Control Agreement or a Securities Account Control Agreement</w:t>
      </w:r>
    </w:p>
    <w:p>
      <w:pPr>
        <w:spacing w:after="0" w:line="228" w:lineRule="auto"/>
        <w:rPr>
          <w:sz w:val="20"/>
          <w:szCs w:val="20"/>
          <w:color w:val="auto"/>
        </w:rPr>
      </w:pPr>
      <w:r>
        <w:rPr>
          <w:rFonts w:ascii="Times New Roman" w:cs="Times New Roman" w:eastAsia="Times New Roman" w:hAnsi="Times New Roman"/>
          <w:sz w:val="20"/>
          <w:szCs w:val="20"/>
          <w:color w:val="auto"/>
        </w:rPr>
        <w:t>in favor of the Collateral Agent shall constitute Unrestricted Cash and (c) cash and cash equivalents that are maintained in accounts to the extent required under this Agreement to cash collateralize Letter of Credit Exposure shall not be included in Unrestricted Cash.</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shall mean (a) any Subsidiary of the Borrower that is formed or acquired after the Closing Date if, at such time or promptly thereafter, the Borrower designates such Subsidiary as an “Unrestricted Subsidiary” in a written notice to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Administrative Agent, (b) any Restricted Subsidiary designated as an Unrestricted Subsidiary by the Borrower in a written notice to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each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(i) such designation shall be deemed to be an Investment (or</w:t>
      </w:r>
    </w:p>
    <w:p>
      <w:pPr>
        <w:spacing w:after="0" w:line="211" w:lineRule="auto"/>
        <w:rPr>
          <w:sz w:val="20"/>
          <w:szCs w:val="20"/>
          <w:color w:val="auto"/>
        </w:rPr>
      </w:pPr>
      <w:r>
        <w:rPr>
          <w:rFonts w:ascii="Times New Roman" w:cs="Times New Roman" w:eastAsia="Times New Roman" w:hAnsi="Times New Roman"/>
          <w:sz w:val="20"/>
          <w:szCs w:val="20"/>
          <w:color w:val="auto"/>
        </w:rPr>
        <w:t>reduction in an outstanding Investment, in the case of a designation of an Unrestricted Subsidiary as a Restricted Subsidiary) on the date of</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such designation in an amount equal to the Fair Market Value of the Borrower’s investment therein on such date and such designation shall be permitted only to the extent such Investment is permitted under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 xml:space="preserve"> on the date of such designation, (ii) in the case of </w:t>
      </w:r>
      <w:r>
        <w:rPr>
          <w:rFonts w:ascii="Times New Roman" w:cs="Times New Roman" w:eastAsia="Times New Roman" w:hAnsi="Times New Roman"/>
          <w:sz w:val="19"/>
          <w:szCs w:val="19"/>
          <w:u w:val="single" w:color="auto"/>
          <w:color w:val="auto"/>
        </w:rPr>
        <w:t>clauses (a)</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such designation shall be deemed to be a Disposition pursuant to which the provisions of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will apply to the extent contemplated thereby, (iii) no Default, Event of Default or Borrowing Base Deficiency exists or would result from such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39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color w:val="auto"/>
        </w:rPr>
        <w:t xml:space="preserve">immediately after giving effect thereto, (iv) immediately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such designation, the Borrower shall be in</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compliance with the Financial Performance Covenants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(v) all representations and warranties made by any Credit Party contained herein or in the other Credit Documents shall be true and correct in all material respects with the same effect as though such</w:t>
      </w:r>
    </w:p>
    <w:p>
      <w:pPr>
        <w:spacing w:after="0" w:line="211" w:lineRule="auto"/>
        <w:rPr>
          <w:sz w:val="20"/>
          <w:szCs w:val="20"/>
          <w:color w:val="auto"/>
        </w:rPr>
      </w:pPr>
      <w:r>
        <w:rPr>
          <w:rFonts w:ascii="Times New Roman" w:cs="Times New Roman" w:eastAsia="Times New Roman" w:hAnsi="Times New Roman"/>
          <w:sz w:val="20"/>
          <w:szCs w:val="20"/>
          <w:color w:val="auto"/>
        </w:rPr>
        <w:t>representations and warranties had been made on and as of the date of such designation (except where such representations and warranties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expressly relate to an earlier date, in which case such representations and warranties shall have been true and correct in all material respects as of such earlier date and except that any representation and warranty that is qualified as to “materiality,” “Material Adverse Effect” or</w:t>
      </w:r>
    </w:p>
    <w:p>
      <w:pPr>
        <w:spacing w:after="0" w:line="211" w:lineRule="auto"/>
        <w:rPr>
          <w:sz w:val="20"/>
          <w:szCs w:val="20"/>
          <w:color w:val="auto"/>
        </w:rPr>
      </w:pPr>
      <w:r>
        <w:rPr>
          <w:rFonts w:ascii="Times New Roman" w:cs="Times New Roman" w:eastAsia="Times New Roman" w:hAnsi="Times New Roman"/>
          <w:sz w:val="20"/>
          <w:szCs w:val="20"/>
          <w:color w:val="auto"/>
        </w:rPr>
        <w:t>similar language shall be true and correct (after giving effect to any qualification therein) in all respects on such respective dates) and (vi) at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time of such designation, if such Subsidiary owns any Borrowing Base Properties, such designation shall be deemed a Disposition of such Borrowing Base Properties and shall otherwise be in compliance with this Agreement, (c) each Subsidiary of an Unrestricted Subsidiary and</w:t>
      </w:r>
    </w:p>
    <w:p>
      <w:pPr>
        <w:jc w:val="both"/>
        <w:ind w:firstLine="8"/>
        <w:spacing w:after="0" w:line="209" w:lineRule="auto"/>
        <w:tabs>
          <w:tab w:leader="none" w:pos="30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EHP Designation Date, the EHP Entities. Other than the EHP Entities, no Subsidiary may be designated as an Unrestricted Subsidiary if, after such designation, it would be a “Restricted Subsidiary” for the purpose of any Permitted Additional Debt or any Permitted Refinancing Indebtedness in respect thereof or if, immediately prior to such designation, such Subsidiary is a party to a Secured Hedge Agreement (except if arrangements satisfactory to the applicable Hedge Bank have been made). The Borrower may, by written notice to the Administrative Agent, re-designate any Unrestricted Subsidiary as a Restricted Subsidiary (each, a “</w:t>
      </w:r>
      <w:r>
        <w:rPr>
          <w:rFonts w:ascii="Times New Roman" w:cs="Times New Roman" w:eastAsia="Times New Roman" w:hAnsi="Times New Roman"/>
          <w:sz w:val="20"/>
          <w:szCs w:val="20"/>
          <w:u w:val="single" w:color="auto"/>
          <w:color w:val="auto"/>
        </w:rPr>
        <w:t>Subsidiary Redesignation</w:t>
      </w:r>
      <w:r>
        <w:rPr>
          <w:rFonts w:ascii="Times New Roman" w:cs="Times New Roman" w:eastAsia="Times New Roman" w:hAnsi="Times New Roman"/>
          <w:sz w:val="20"/>
          <w:szCs w:val="20"/>
          <w:color w:val="auto"/>
        </w:rPr>
        <w:t xml:space="preserve">”), and thereafter, such Subsidiary shall no longer constitute an Unrestricted Subsidiary, but only if no Event of Default would result from such Subsidiary Redesignation. Any such Subsidiary Redesignation shall be deemed to constitute the incurrence by the Borrower at the time of redesignation of any Investment, Indebtedness, or Liens of such Subsidiary existing at such time, and the Borrower shall be in compliance with </w:t>
      </w:r>
      <w:r>
        <w:rPr>
          <w:rFonts w:ascii="Times New Roman" w:cs="Times New Roman" w:eastAsia="Times New Roman" w:hAnsi="Times New Roman"/>
          <w:sz w:val="20"/>
          <w:szCs w:val="20"/>
          <w:u w:val="single" w:color="auto"/>
          <w:color w:val="auto"/>
        </w:rPr>
        <w:t>Sections 10.1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after giving effect to such redesignation. As of the Closing Date, the Unrestricted Subsidiaries are listed on </w:t>
      </w:r>
      <w:r>
        <w:rPr>
          <w:rFonts w:ascii="Times New Roman" w:cs="Times New Roman" w:eastAsia="Times New Roman" w:hAnsi="Times New Roman"/>
          <w:sz w:val="20"/>
          <w:szCs w:val="20"/>
          <w:u w:val="single" w:color="auto"/>
          <w:color w:val="auto"/>
        </w:rPr>
        <w:t>Schedule 1.1(e)</w:t>
      </w:r>
      <w:r>
        <w:rPr>
          <w:rFonts w:ascii="Times New Roman" w:cs="Times New Roman" w:eastAsia="Times New Roman" w:hAnsi="Times New Roman"/>
          <w:sz w:val="20"/>
          <w:szCs w:val="20"/>
          <w:color w:val="auto"/>
        </w:rPr>
        <w:t>. Notwithstanding the foregoing, no Production Sharing Entity that is the direct owner of any Production Sharing Contract shall be designated as an Unrestricted Subsidiary.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shall mean any day except for (a) a Saturday, (b) a Sunday or (c) a day on which the</w:t>
      </w:r>
    </w:p>
    <w:p>
      <w:pPr>
        <w:spacing w:after="0" w:line="221" w:lineRule="auto"/>
        <w:rPr>
          <w:sz w:val="20"/>
          <w:szCs w:val="20"/>
          <w:color w:val="auto"/>
        </w:rPr>
      </w:pPr>
      <w:r>
        <w:rPr>
          <w:rFonts w:ascii="Times New Roman" w:cs="Times New Roman" w:eastAsia="Times New Roman" w:hAnsi="Times New Roman"/>
          <w:sz w:val="20"/>
          <w:szCs w:val="20"/>
          <w:color w:val="auto"/>
        </w:rPr>
        <w:t>Securities Industry and Financial Markets Association recommends that the fixed income departments of its members be closed for the entire day for purposes of trading in United States government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shall mean any Person that is a “United States Person” as defined in Section 7701(a)(30) of the Code.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13.25</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5.4(f)</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Utilization Percentage</w:t>
      </w:r>
      <w:r>
        <w:rPr>
          <w:rFonts w:ascii="Times New Roman" w:cs="Times New Roman" w:eastAsia="Times New Roman" w:hAnsi="Times New Roman"/>
          <w:sz w:val="20"/>
          <w:szCs w:val="20"/>
          <w:color w:val="auto"/>
        </w:rPr>
        <w:t>” shall mean, as of any day, the fraction expressed as a percentage, the numerator of which is the aggregate</w:t>
      </w:r>
    </w:p>
    <w:p>
      <w:pPr>
        <w:spacing w:after="0" w:line="221" w:lineRule="auto"/>
        <w:rPr>
          <w:sz w:val="20"/>
          <w:szCs w:val="20"/>
          <w:color w:val="auto"/>
        </w:rPr>
      </w:pPr>
      <w:r>
        <w:rPr>
          <w:rFonts w:ascii="Times New Roman" w:cs="Times New Roman" w:eastAsia="Times New Roman" w:hAnsi="Times New Roman"/>
          <w:sz w:val="20"/>
          <w:szCs w:val="20"/>
          <w:color w:val="auto"/>
        </w:rPr>
        <w:t>Total Exposures of all Lenders on such day, and the denominator of which are the Aggregate Elected Commitment Amount in effect on such day.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Equity</w:t>
      </w:r>
      <w:r>
        <w:rPr>
          <w:rFonts w:ascii="Times New Roman" w:cs="Times New Roman" w:eastAsia="Times New Roman" w:hAnsi="Times New Roman"/>
          <w:sz w:val="20"/>
          <w:szCs w:val="20"/>
          <w:color w:val="auto"/>
        </w:rPr>
        <w:t>” shall mean, with respect to any Person, such Person’s Equity Interests having the voting power entitled (without</w:t>
      </w:r>
    </w:p>
    <w:p>
      <w:pPr>
        <w:spacing w:after="0" w:line="221" w:lineRule="auto"/>
        <w:rPr>
          <w:sz w:val="20"/>
          <w:szCs w:val="20"/>
          <w:color w:val="auto"/>
        </w:rPr>
      </w:pPr>
      <w:r>
        <w:rPr>
          <w:rFonts w:ascii="Times New Roman" w:cs="Times New Roman" w:eastAsia="Times New Roman" w:hAnsi="Times New Roman"/>
          <w:sz w:val="20"/>
          <w:szCs w:val="20"/>
          <w:color w:val="auto"/>
        </w:rPr>
        <w:t>regard to the occurrence of any contingency) to vote in the election of directors (or equivalent thereof), members of management or trustees thereof under ordinary circumstances.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shall mean, when applied to any Indebtedness at any date, the number of years obtained by</w:t>
      </w:r>
    </w:p>
    <w:p>
      <w:pPr>
        <w:spacing w:after="0" w:line="215" w:lineRule="auto"/>
        <w:rPr>
          <w:sz w:val="20"/>
          <w:szCs w:val="20"/>
          <w:color w:val="auto"/>
        </w:rPr>
      </w:pPr>
      <w:r>
        <w:rPr>
          <w:rFonts w:ascii="Times New Roman" w:cs="Times New Roman" w:eastAsia="Times New Roman" w:hAnsi="Times New Roman"/>
          <w:sz w:val="19"/>
          <w:szCs w:val="19"/>
          <w:color w:val="auto"/>
        </w:rPr>
        <w:t>dividing: (i) the sum of the products obtained by multiplying (a) the amount of each then remaining scheduled installment, sinking fund, serial maturity or other required scheduled payments of principal, including payment at final scheduled maturity, in respect thereof, by (b) the</w:t>
      </w:r>
    </w:p>
    <w:p>
      <w:pPr>
        <w:spacing w:after="0" w:line="211" w:lineRule="auto"/>
        <w:rPr>
          <w:sz w:val="20"/>
          <w:szCs w:val="20"/>
          <w:color w:val="auto"/>
        </w:rPr>
      </w:pPr>
      <w:r>
        <w:rPr>
          <w:rFonts w:ascii="Times New Roman" w:cs="Times New Roman" w:eastAsia="Times New Roman" w:hAnsi="Times New Roman"/>
          <w:sz w:val="20"/>
          <w:szCs w:val="20"/>
          <w:color w:val="auto"/>
        </w:rPr>
        <w:t>number of years (calculated to the nearest one-twelfth) that will elapse between such date and the making of such payment; by (ii) the then</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outstanding principal amount of such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effects of any prepayments made on such Indebtedness shall be disregarded in making such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394"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 Subsidiary</w:t>
      </w:r>
      <w:r>
        <w:rPr>
          <w:rFonts w:ascii="Times New Roman" w:cs="Times New Roman" w:eastAsia="Times New Roman" w:hAnsi="Times New Roman"/>
          <w:sz w:val="20"/>
          <w:szCs w:val="20"/>
          <w:color w:val="auto"/>
        </w:rPr>
        <w:t>” of any person shall mean a subsidiary of such person, all of the Equity Interests of which (other than</w:t>
      </w:r>
    </w:p>
    <w:p>
      <w:pPr>
        <w:spacing w:after="0" w:line="221" w:lineRule="auto"/>
        <w:rPr>
          <w:sz w:val="20"/>
          <w:szCs w:val="20"/>
          <w:color w:val="auto"/>
        </w:rPr>
      </w:pPr>
      <w:r>
        <w:rPr>
          <w:rFonts w:ascii="Times New Roman" w:cs="Times New Roman" w:eastAsia="Times New Roman" w:hAnsi="Times New Roman"/>
          <w:sz w:val="20"/>
          <w:szCs w:val="20"/>
          <w:color w:val="auto"/>
        </w:rPr>
        <w:t>directors’ qualifying shares or nominee or other similar shares required pursuant to applicable law) are owned by such person or another Wholly owned Subsidiary of such person.</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shall mean the liability to a Multiemployer Plan as a result of a complete or partial withdrawal from such Multiemployer Plan, as such terms are defined in Part I of Subtitle E of Title IV of ERISA.</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shall mean the Borrower and the Administrative Agent.</w:t>
      </w:r>
    </w:p>
    <w:p>
      <w:pPr>
        <w:spacing w:after="0" w:line="18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Working Capital</w:t>
      </w:r>
      <w:r>
        <w:rPr>
          <w:rFonts w:ascii="Times New Roman" w:cs="Times New Roman" w:eastAsia="Times New Roman" w:hAnsi="Times New Roman"/>
          <w:sz w:val="20"/>
          <w:szCs w:val="20"/>
          <w:color w:val="auto"/>
        </w:rPr>
        <w:t xml:space="preserve">” shall mean, as at any date of determination, the difference of Consolidated Current Assets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Consolidated Current Liabilities.</w:t>
      </w:r>
    </w:p>
    <w:p>
      <w:pPr>
        <w:spacing w:after="0" w:line="142"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shall mean, (a) with respect to any EEA Resolution Authority, the write-down and conversion powers of such EEA Resolution Authority from time to time under the Bail-In Legislation for the applicable EEA Member Country, which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write-down and conversion powers are described in the EU Bail-In Legislation Schedule, and (b) with respect to the United Kingdom, any powers of the applicable Resolution Authority under the Bail-In Legislation to cancel, reduce, modify or change the form of a liability of any</w:t>
      </w:r>
    </w:p>
    <w:p>
      <w:pPr>
        <w:spacing w:after="0" w:line="211" w:lineRule="auto"/>
        <w:rPr>
          <w:sz w:val="20"/>
          <w:szCs w:val="20"/>
          <w:color w:val="auto"/>
        </w:rPr>
      </w:pPr>
      <w:r>
        <w:rPr>
          <w:rFonts w:ascii="Times New Roman" w:cs="Times New Roman" w:eastAsia="Times New Roman" w:hAnsi="Times New Roman"/>
          <w:sz w:val="20"/>
          <w:szCs w:val="20"/>
          <w:color w:val="auto"/>
        </w:rPr>
        <w:t>UK Financial Institution or any contract or instrument under which that liability arises, to convert all or part of that liability into shares,</w:t>
      </w:r>
    </w:p>
    <w:p>
      <w:pPr>
        <w:ind w:right="20"/>
        <w:spacing w:after="0" w:line="204" w:lineRule="auto"/>
        <w:rPr>
          <w:sz w:val="20"/>
          <w:szCs w:val="20"/>
          <w:color w:val="auto"/>
        </w:rPr>
      </w:pPr>
      <w:r>
        <w:rPr>
          <w:rFonts w:ascii="Times New Roman" w:cs="Times New Roman" w:eastAsia="Times New Roman" w:hAnsi="Times New Roman"/>
          <w:sz w:val="20"/>
          <w:szCs w:val="20"/>
          <w:color w:val="auto"/>
        </w:rPr>
        <w:t>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related to or ancillary to any of those powers.</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Other Interpretive Provisions</w:t>
      </w:r>
      <w:r>
        <w:rPr>
          <w:rFonts w:ascii="Times New Roman" w:cs="Times New Roman" w:eastAsia="Times New Roman" w:hAnsi="Times New Roman"/>
          <w:sz w:val="20"/>
          <w:szCs w:val="20"/>
          <w:color w:val="auto"/>
        </w:rPr>
        <w:t>. With reference to this Agreement and each other Credit Document, unless otherwise specified herein or in such other Credit Document:</w:t>
      </w:r>
    </w:p>
    <w:p>
      <w:pPr>
        <w:spacing w:after="0" w:line="161"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of defined terms are equally applicable to the singular and plural forms of the defined terms.</w:t>
      </w:r>
    </w:p>
    <w:p>
      <w:pPr>
        <w:spacing w:after="0" w:line="175"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“herein”, “hereto”, “hereof” and “hereunder” and words of similar import when used in any Credit Document shall refer to such Credit Document as a whole and not to any particular provision thereof.</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Section, Exhibit and Schedule references are to the Credit Document in which such reference appears.</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“include,” “includes” and “including” are by way of example and not limitation.</w:t>
      </w:r>
    </w:p>
    <w:p>
      <w:pPr>
        <w:spacing w:after="0" w:line="188" w:lineRule="exact"/>
        <w:rPr>
          <w:rFonts w:ascii="Times New Roman" w:cs="Times New Roman" w:eastAsia="Times New Roman" w:hAnsi="Times New Roman"/>
          <w:sz w:val="20"/>
          <w:szCs w:val="20"/>
          <w:color w:val="auto"/>
        </w:rPr>
      </w:pPr>
    </w:p>
    <w:p>
      <w:pPr>
        <w:ind w:right="20" w:firstLine="656"/>
        <w:spacing w:after="0"/>
        <w:tabs>
          <w:tab w:leader="none" w:pos="128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“documents” includes any and all instruments, documents, agreements, certificates, notices, reports, financial statements and other writings, however evidenced, whether in physical or electronic form.</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9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“from” shall mean “from and including”; the words “to” and “until” each mean “to but excluding”; and the word “through” shall mean “to and including”.</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Credit Documents are included for convenience of reference only and shall not affect the interpretation of this Agreement or any other Credit Document.</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any Person shall be constructed to include such Person’s successors or assigns (subject to any restrictions on assignment set forth herein) and, in the case of any Governmental Authority, any other Governmental Authority that shall have succeeded to any or all of the functions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394" w:right="339" w:bottom="1440" w:gutter="0" w:footer="0" w:header="0"/>
        </w:sectPr>
      </w:pPr>
    </w:p>
    <w:bookmarkStart w:id="94" w:name="page95"/>
    <w:bookmarkEnd w:id="94"/>
    <w:p>
      <w:pPr>
        <w:ind w:left="1300" w:hanging="644"/>
        <w:spacing w:after="0"/>
        <w:tabs>
          <w:tab w:leader="none" w:pos="13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context may require, any pronoun shall include the corresponding masculine, feminine and neuter forms.</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“will” shall be construed to have the same meaning as the word “shall”.</w:t>
      </w:r>
    </w:p>
    <w:p>
      <w:pPr>
        <w:spacing w:after="0" w:line="175"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“asset” and “property” shall be construed to have the same meaning and effect and to refer to any and all tangible and intangible assets and properties, including cash, securities, accounts and contract rights.</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Accounting Terms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1" w:lineRule="auto"/>
        <w:tabs>
          <w:tab w:leader="none" w:pos="128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first audited financial statements delivered under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except as otherwise specifically prescribed herein.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65"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Computation of Certain Financial Covenants</w:t>
      </w:r>
      <w:r>
        <w:rPr>
          <w:rFonts w:ascii="Times New Roman" w:cs="Times New Roman" w:eastAsia="Times New Roman" w:hAnsi="Times New Roman"/>
          <w:sz w:val="20"/>
          <w:szCs w:val="20"/>
          <w:color w:val="auto"/>
        </w:rPr>
        <w:t>. Unless otherwise specified herein, all defined financial terms (and all other definitions used to determine such terms) shall be determined and computed in respect of the Borrower and its Restricted Subsidiaries on a consolidated basis.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20"/>
          <w:szCs w:val="20"/>
          <w:u w:val="single" w:color="auto"/>
          <w:color w:val="auto"/>
        </w:rPr>
        <w:t>Rounding</w:t>
      </w:r>
      <w:r>
        <w:rPr>
          <w:rFonts w:ascii="Times New Roman" w:cs="Times New Roman" w:eastAsia="Times New Roman" w:hAnsi="Times New Roman"/>
          <w:sz w:val="20"/>
          <w:szCs w:val="20"/>
          <w:color w:val="auto"/>
        </w:rPr>
        <w:t>. Any financial ratios required to be maintained or complied with by the Borrower pursuant to this Agreement (or</w:t>
      </w:r>
    </w:p>
    <w:p>
      <w:pPr>
        <w:spacing w:after="0" w:line="204" w:lineRule="auto"/>
        <w:rPr>
          <w:sz w:val="20"/>
          <w:szCs w:val="20"/>
          <w:color w:val="auto"/>
        </w:rPr>
      </w:pPr>
      <w:r>
        <w:rPr>
          <w:rFonts w:ascii="Times New Roman" w:cs="Times New Roman" w:eastAsia="Times New Roman" w:hAnsi="Times New Roman"/>
          <w:sz w:val="20"/>
          <w:szCs w:val="20"/>
          <w:color w:val="auto"/>
        </w:rPr>
        <w:t>required to be satisfied in order for a specific action to be permitted under this Agreement) shall be calculated by dividing the appropriate component by the other component, carrying the result to one place more than the number of places by which such ratio is expressed 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rounding the result up or down to the nearest number (with a rounding-up if there is no nearest number).</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References to Agreements, Laws, Etc</w:t>
      </w:r>
      <w:r>
        <w:rPr>
          <w:rFonts w:ascii="Times New Roman" w:cs="Times New Roman" w:eastAsia="Times New Roman" w:hAnsi="Times New Roman"/>
          <w:sz w:val="20"/>
          <w:szCs w:val="20"/>
          <w:color w:val="auto"/>
        </w:rPr>
        <w:t>. Unless otherwise expressly provided herein, (a) references to organizational documents, agreements (including the Credit Documents) and other Contractual Requirements shall be deemed to include all subsequent</w:t>
      </w:r>
    </w:p>
    <w:p>
      <w:pPr>
        <w:spacing w:after="0" w:line="224" w:lineRule="auto"/>
        <w:rPr>
          <w:sz w:val="20"/>
          <w:szCs w:val="20"/>
          <w:color w:val="auto"/>
        </w:rPr>
      </w:pPr>
      <w:r>
        <w:rPr>
          <w:rFonts w:ascii="Times New Roman" w:cs="Times New Roman" w:eastAsia="Times New Roman" w:hAnsi="Times New Roman"/>
          <w:sz w:val="19"/>
          <w:szCs w:val="19"/>
          <w:color w:val="auto"/>
        </w:rPr>
        <w:t>amendments, restatements, amendment and restatements, extensions, supplements and other modifications thereto, but only to the extent that</w:t>
      </w:r>
    </w:p>
    <w:p>
      <w:pPr>
        <w:jc w:val="both"/>
        <w:spacing w:after="0" w:line="204" w:lineRule="auto"/>
        <w:rPr>
          <w:sz w:val="20"/>
          <w:szCs w:val="20"/>
          <w:color w:val="auto"/>
        </w:rPr>
      </w:pPr>
      <w:r>
        <w:rPr>
          <w:rFonts w:ascii="Times New Roman" w:cs="Times New Roman" w:eastAsia="Times New Roman" w:hAnsi="Times New Roman"/>
          <w:sz w:val="20"/>
          <w:szCs w:val="20"/>
          <w:color w:val="auto"/>
        </w:rPr>
        <w:t>such amendments, restatements, amendment and restatements, extensions, supplements and other modifications are permitted by any Credit Document and (b) references to any Requirement of Law shall include all statutory and regulatory provisions consolidating, amending,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replacing, supplementing or interpreting such Requirement of Law.</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Times of Day</w:t>
      </w:r>
      <w:r>
        <w:rPr>
          <w:rFonts w:ascii="Times New Roman" w:cs="Times New Roman" w:eastAsia="Times New Roman" w:hAnsi="Times New Roman"/>
          <w:sz w:val="20"/>
          <w:szCs w:val="20"/>
          <w:color w:val="auto"/>
        </w:rPr>
        <w:t>. Unless otherwise specified, all references herein to times of day shall be references to New York City (daylight saving or standard, as applicable).</w:t>
      </w:r>
    </w:p>
    <w:p>
      <w:pPr>
        <w:spacing w:after="0" w:line="16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Timing of Payment or Performance</w:t>
      </w:r>
      <w:r>
        <w:rPr>
          <w:rFonts w:ascii="Times New Roman" w:cs="Times New Roman" w:eastAsia="Times New Roman" w:hAnsi="Times New Roman"/>
          <w:sz w:val="20"/>
          <w:szCs w:val="20"/>
          <w:color w:val="auto"/>
        </w:rPr>
        <w:t>. When the payment of any obligation or the performance of any covenant, duty or obligation is stated to be due or performance required on a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39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0"/>
          <w:szCs w:val="20"/>
          <w:color w:val="auto"/>
        </w:rPr>
        <w:t xml:space="preserve">which is not a Business Day, the date of such payment (other than as described in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or performance shall extend to the immediately succeeding Business Day.</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1.8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 Loans may be classified and referred to by Type (e.g., a “</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u w:val="single" w:color="auto"/>
          <w:color w:val="auto"/>
        </w:rPr>
        <w:t>Hedging Requirements Generally</w:t>
      </w:r>
      <w:r>
        <w:rPr>
          <w:rFonts w:ascii="Times New Roman" w:cs="Times New Roman" w:eastAsia="Times New Roman" w:hAnsi="Times New Roman"/>
          <w:sz w:val="20"/>
          <w:szCs w:val="20"/>
          <w:color w:val="auto"/>
        </w:rPr>
        <w:t xml:space="preserve">. For purposes of any determination with respect to compliance with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 xml:space="preserve"> or any other calculation under or requirement of this Agreement in respect of hedging, such determination or calculation shall be calculated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separately for crude, gas and natural gas liquid.</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20"/>
          <w:szCs w:val="20"/>
          <w:u w:val="single" w:color="auto"/>
          <w:color w:val="auto"/>
        </w:rPr>
        <w:t>Certain Determinations</w:t>
      </w:r>
      <w:r>
        <w:rPr>
          <w:rFonts w:ascii="Times New Roman" w:cs="Times New Roman" w:eastAsia="Times New Roman" w:hAnsi="Times New Roman"/>
          <w:sz w:val="20"/>
          <w:szCs w:val="20"/>
          <w:color w:val="auto"/>
        </w:rPr>
        <w:t>. For purposes of determining compliance with any of the covenants set forth in</w:t>
      </w:r>
      <w:r>
        <w:rPr>
          <w:rFonts w:ascii="Times New Roman" w:cs="Times New Roman" w:eastAsia="Times New Roman" w:hAnsi="Times New Roman"/>
          <w:sz w:val="20"/>
          <w:szCs w:val="20"/>
          <w:u w:val="single" w:color="auto"/>
          <w:color w:val="auto"/>
        </w:rPr>
        <w:t xml:space="preserve"> Section 9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u w:val="single" w:color="auto"/>
          <w:color w:val="auto"/>
        </w:rPr>
        <w:t xml:space="preserve"> Section</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xml:space="preserve"> below, but subject to any limitation expressly set forth therein, as applicable, at any time (whether at the time of incurrence or thereafter)</w:t>
      </w:r>
    </w:p>
    <w:p>
      <w:pPr>
        <w:spacing w:after="0" w:line="211" w:lineRule="auto"/>
        <w:rPr>
          <w:sz w:val="20"/>
          <w:szCs w:val="20"/>
          <w:color w:val="auto"/>
        </w:rPr>
      </w:pPr>
      <w:r>
        <w:rPr>
          <w:rFonts w:ascii="Times New Roman" w:cs="Times New Roman" w:eastAsia="Times New Roman" w:hAnsi="Times New Roman"/>
          <w:sz w:val="20"/>
          <w:szCs w:val="20"/>
          <w:color w:val="auto"/>
        </w:rPr>
        <w:t>that  any  Lien,  Investment,  Indebtedness,  Disposition,  Restricted  Payment,  Affiliate  transaction,  prepayment,  redemption  or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consummation of any other transaction meets the criteria of one, or more than one, of the categories permitted pursuant to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below, as applicable, the Borrower shall, in its sole discretion, determine under which category such Lien, Investment,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Indebtedness, Disposition, Restricted Payment, Affiliate transaction, prepayment, redemption or the consummation of any other transaction (or, in each case, any portion thereof) is permitted.</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u w:val="single" w:color="auto"/>
          <w:color w:val="auto"/>
        </w:rPr>
        <w:t>Pro Forma and Other Calculations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2" w:lineRule="auto"/>
        <w:tabs>
          <w:tab w:leader="none" w:pos="128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for purposes of determining compliance with any test or covenant contained in this Agreement with respect to any period during which any Specified Transaction occurs, the Consolidated Secured Net Leverage Ratio, the Consolidated Total Net Leverage Ratio and the Current Ratio shall be calculated with respect to such period and such Specified Transaction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and in the manner prescribed by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since the beginning of any applicable Test Period any Person that subsequently became a Restricted Subsidiary or was merged, amalgamated or consolidated with or into the Borrower or any of its Restricted Subsidiaries since the beginning of such Test Period shall have made any Specified Transaction that would have required adjustment pursuant to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then such financial ratio or test (or Consolidated Total Assets) shall be calculated to give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thereto in accordance with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157" w:lineRule="exact"/>
        <w:rPr>
          <w:rFonts w:ascii="Times New Roman" w:cs="Times New Roman" w:eastAsia="Times New Roman" w:hAnsi="Times New Roman"/>
          <w:sz w:val="20"/>
          <w:szCs w:val="20"/>
          <w:color w:val="auto"/>
        </w:rPr>
      </w:pPr>
    </w:p>
    <w:p>
      <w:pPr>
        <w:ind w:firstLine="656"/>
        <w:spacing w:after="0" w:line="245" w:lineRule="auto"/>
        <w:tabs>
          <w:tab w:leader="none" w:pos="128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is to be given to a Specified Transaction, the pro forma calculations shall be made in good faith by a Financial Officer of the Borrower.</w:t>
      </w:r>
    </w:p>
    <w:p>
      <w:pPr>
        <w:spacing w:after="0" w:line="141" w:lineRule="exact"/>
        <w:rPr>
          <w:rFonts w:ascii="Times New Roman" w:cs="Times New Roman" w:eastAsia="Times New Roman" w:hAnsi="Times New Roman"/>
          <w:sz w:val="20"/>
          <w:szCs w:val="20"/>
          <w:color w:val="auto"/>
        </w:rPr>
      </w:pPr>
    </w:p>
    <w:p>
      <w:pPr>
        <w:jc w:val="both"/>
        <w:ind w:firstLine="656"/>
        <w:spacing w:after="0" w:line="234" w:lineRule="auto"/>
        <w:tabs>
          <w:tab w:leader="none" w:pos="1284"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the Borrower or any Restricted Subsidiary issues, repurchases or redeems Disqualified Stock (i) during the applicable Test Period or (ii) subsequent to the end of the applicable Test Period and prior to or simultaneously with the event for which the calculation of any such ratio is made, then such financial ratio or test shall be calculated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to such issuance, refinancing or redemption of Disqualified Stock to the extent required, as if the same had occurred on the last day of the applicable Test Period.</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u w:val="single" w:color="auto"/>
          <w:color w:val="auto"/>
        </w:rPr>
        <w:t>Rates</w:t>
      </w:r>
      <w:r>
        <w:rPr>
          <w:rFonts w:ascii="Times New Roman" w:cs="Times New Roman" w:eastAsia="Times New Roman" w:hAnsi="Times New Roman"/>
          <w:sz w:val="19"/>
          <w:szCs w:val="19"/>
          <w:color w:val="auto"/>
        </w:rPr>
        <w:t>. The Administrative Agent does not warrant or accept responsibility for, and shall not have any liability with respect to</w:t>
      </w:r>
    </w:p>
    <w:p>
      <w:pPr>
        <w:jc w:val="both"/>
        <w:ind w:firstLine="8"/>
        <w:spacing w:after="0" w:line="210" w:lineRule="auto"/>
        <w:tabs>
          <w:tab w:leader="none" w:pos="27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continuation of, administration of, submission of, calculation of or any other matter related to ABR,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ABR, the Term SOFR Reference Rate, Term SOFR, Adjusted Term SOFR, any alternative, successor or replacement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39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color w:val="auto"/>
        </w:rPr>
        <w:t>(including any Benchmark Replacement) or any relevant adjustments thereto, in each case, in a manner adverse to the Borrower. The</w:t>
      </w: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may select information sources or services in its reasonable discretion to ascertain ABR, the Term SOFR Reference Rate, Term SOFR, Adjusted Term SOFR or any other Benchmark, in each case pursuant to the terms of this Agreement, and shall have no</w:t>
      </w:r>
    </w:p>
    <w:p>
      <w:pPr>
        <w:spacing w:after="0" w:line="211" w:lineRule="auto"/>
        <w:rPr>
          <w:sz w:val="20"/>
          <w:szCs w:val="20"/>
          <w:color w:val="auto"/>
        </w:rPr>
      </w:pPr>
      <w:r>
        <w:rPr>
          <w:rFonts w:ascii="Times New Roman" w:cs="Times New Roman" w:eastAsia="Times New Roman" w:hAnsi="Times New Roman"/>
          <w:sz w:val="20"/>
          <w:szCs w:val="20"/>
          <w:color w:val="auto"/>
        </w:rPr>
        <w:t>liability to the Borrower, any Lender or any other person or entity for damages of any kind, including direct or indirect, special, punitive,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For all purposes under the Credit Documents, in connection with any division or plan of division under Delaware</w:t>
      </w:r>
    </w:p>
    <w:p>
      <w:pPr>
        <w:spacing w:after="0" w:line="204" w:lineRule="auto"/>
        <w:rPr>
          <w:sz w:val="20"/>
          <w:szCs w:val="20"/>
          <w:color w:val="auto"/>
        </w:rPr>
      </w:pPr>
      <w:r>
        <w:rPr>
          <w:rFonts w:ascii="Times New Roman" w:cs="Times New Roman" w:eastAsia="Times New Roman" w:hAnsi="Times New Roman"/>
          <w:sz w:val="20"/>
          <w:szCs w:val="20"/>
          <w:color w:val="auto"/>
        </w:rPr>
        <w:t>law (or any comparable event under a different jurisdiction’s laws): (a) if any asset, right, obligation or liability of any Person becomes the asset, right, obligation or liability of a different Person, then it shall be deemed to have been transferred from the original Person to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subsequent Person, and (b) if any new Person comes into existence, such new Person shall be deemed to have been organized on the first date of its existence by the holders of its Equity Interests at such time.</w:t>
      </w:r>
    </w:p>
    <w:p>
      <w:pPr>
        <w:spacing w:after="0" w:line="1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color w:val="auto"/>
        </w:rPr>
        <w:t>AMOUNT AND TERMS OF CREDIT</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1" w:lineRule="auto"/>
        <w:tabs>
          <w:tab w:leader="none" w:pos="128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and upon the terms and conditions herein set forth, each Lender severally, but not jointly, agrees to make a loan or loans denominated in Dollars (each a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xml:space="preserve">”) to the Borrower, which Loans (i) shall be made at any time and from time to time on and after the Closing Date and prior to the Termination Date, (ii) may, at the option of the Borrower, be incurred and maintained as, and/or converted into, ABR Loans or SOFR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all Loans made by each of the Lenders pursuant to the same Borrowing shall, unless otherwise specifically provided herein, consist entirely of Loans of the same Type, (iii) may be repaid and reborrowed in accordance with the provisions hereof, (iv) shall not, for any Lender at any time, after giving effect thereto and to the application of the proceeds thereof, result in such Lender’s Total Exposure at such time exceeding such Lender’s Commitment Percentage at such time of the Total Commitment and (v) shall not, after giving effect thereto and to the application of the proceeds thereof, result in the aggregate amount of all Lenders’ Total Exposures at such time exceeding the Total Commitment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least of (A) the Aggregate Maximum Credit Amounts, (B) the then-effective Borrowing Base and (C) the then-effective Aggregate Elected Commitment Amount).</w:t>
      </w:r>
    </w:p>
    <w:p>
      <w:pPr>
        <w:spacing w:after="0" w:line="165"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may at its option make any SOFR Loan by causing any domestic or foreign branch or Affiliate of such Lender to make such Loan,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any exercise of such option shall not affect the obligation of the Borrower to repay such Loan and (ii) in exercising such option, such Lender shall use its reasonable efforts to minimize any increased costs to the Borrower resulting therefrom (which obligation of the Lender shall not require it to take, or refrain from taking, actions that it determines would result in increased costs for which it will not be compensated hereunder or that it determines would be otherwise disadvantageous to it and in the event of such request for costs for which compensation is provided under this Agreement, the provisions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shall apply).</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u w:val="single" w:color="auto"/>
          <w:color w:val="auto"/>
        </w:rPr>
        <w:t>Minimum Amount of Each Borrowing; Maximum Number of Borrowings</w:t>
      </w:r>
      <w:r>
        <w:rPr>
          <w:rFonts w:ascii="Times New Roman" w:cs="Times New Roman" w:eastAsia="Times New Roman" w:hAnsi="Times New Roman"/>
          <w:sz w:val="20"/>
          <w:szCs w:val="20"/>
          <w:color w:val="auto"/>
        </w:rPr>
        <w:t>. The aggregate principal amount of each</w:t>
      </w:r>
    </w:p>
    <w:p>
      <w:pPr>
        <w:spacing w:after="0" w:line="215" w:lineRule="auto"/>
        <w:rPr>
          <w:sz w:val="20"/>
          <w:szCs w:val="20"/>
          <w:color w:val="auto"/>
        </w:rPr>
      </w:pPr>
      <w:r>
        <w:rPr>
          <w:rFonts w:ascii="Times New Roman" w:cs="Times New Roman" w:eastAsia="Times New Roman" w:hAnsi="Times New Roman"/>
          <w:sz w:val="19"/>
          <w:szCs w:val="19"/>
          <w:color w:val="auto"/>
        </w:rPr>
        <w:t>Borrowing shall be in a minimum amount of at least the Minimum Borrowing Amount for such Type of Loans and in a multiple of $100,000 in excess thereof (except that Loans to reimburse the applicable Issuing Bank with respect to any Unpaid Drawing shall be made in the</w:t>
      </w: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amounts required by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as applicable). More than one Borrowing may be incurred on any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at no time shall there be outstanding more than ten Borrowings of SOFR Loans under this Agreement.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Notice of Borrowing</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37" w:lineRule="auto"/>
        <w:tabs>
          <w:tab w:leader="none" w:pos="1286"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Whenever the Borrower desires to incur Loans (other than borrowings to repay Unpaid Drawings), the Borrower shall give the Administrative Agent at the Administrative Agent’s Office, (i) prior to 1:00 p.m. (New York City time) at least three (3) U.S. Government Securities Business Days’ prior written notice (or telephonic notice promptly confirmed in writing) of each Borrowing of Loans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39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color w:val="auto"/>
        </w:rPr>
        <w:t>such Loans are to be initially SOFR Loans and (ii) (A) in the case of any ABR Loans incurred on the Closing Date, prior to 1:00 p.m.</w:t>
      </w:r>
    </w:p>
    <w:p>
      <w:pPr>
        <w:spacing w:after="0" w:line="204" w:lineRule="auto"/>
        <w:rPr>
          <w:sz w:val="20"/>
          <w:szCs w:val="20"/>
          <w:color w:val="auto"/>
        </w:rPr>
      </w:pPr>
      <w:r>
        <w:rPr>
          <w:rFonts w:ascii="Times New Roman" w:cs="Times New Roman" w:eastAsia="Times New Roman" w:hAnsi="Times New Roman"/>
          <w:sz w:val="20"/>
          <w:szCs w:val="20"/>
          <w:color w:val="auto"/>
        </w:rPr>
        <w:t>(New York City time) at least one (1) Business Day prior written notice (or telephonic notice promptly confirmed in writing) of each Borrowing of Loans and (B) in the case of any ABR Loans incurred after the Closing Date, written notice (or telephonic notice promptly</w:t>
      </w:r>
    </w:p>
    <w:p>
      <w:pPr>
        <w:spacing w:after="0" w:line="223" w:lineRule="auto"/>
        <w:rPr>
          <w:sz w:val="20"/>
          <w:szCs w:val="20"/>
          <w:color w:val="auto"/>
        </w:rPr>
      </w:pPr>
      <w:r>
        <w:rPr>
          <w:rFonts w:ascii="Times New Roman" w:cs="Times New Roman" w:eastAsia="Times New Roman" w:hAnsi="Times New Roman"/>
          <w:sz w:val="19"/>
          <w:szCs w:val="19"/>
          <w:color w:val="auto"/>
        </w:rPr>
        <w:t>confirmed in writing) prior to 1:00 p.m. (New York City time) on the date of each Borrowing of Loans that are to be ABR Loans. Such notice</w:t>
      </w:r>
    </w:p>
    <w:p>
      <w:pPr>
        <w:spacing w:after="0" w:line="215" w:lineRule="auto"/>
        <w:rPr>
          <w:sz w:val="20"/>
          <w:szCs w:val="20"/>
          <w:color w:val="auto"/>
        </w:rPr>
      </w:pPr>
      <w:r>
        <w:rPr>
          <w:rFonts w:ascii="Times New Roman" w:cs="Times New Roman" w:eastAsia="Times New Roman" w:hAnsi="Times New Roman"/>
          <w:sz w:val="19"/>
          <w:szCs w:val="19"/>
          <w:color w:val="auto"/>
        </w:rPr>
        <w:t>(a “</w:t>
      </w:r>
      <w:r>
        <w:rPr>
          <w:rFonts w:ascii="Times New Roman" w:cs="Times New Roman" w:eastAsia="Times New Roman" w:hAnsi="Times New Roman"/>
          <w:sz w:val="19"/>
          <w:szCs w:val="19"/>
          <w:u w:val="single" w:color="auto"/>
          <w:color w:val="auto"/>
        </w:rPr>
        <w:t>Notice of Borrowing</w:t>
      </w:r>
      <w:r>
        <w:rPr>
          <w:rFonts w:ascii="Times New Roman" w:cs="Times New Roman" w:eastAsia="Times New Roman" w:hAnsi="Times New Roman"/>
          <w:sz w:val="19"/>
          <w:szCs w:val="19"/>
          <w:color w:val="auto"/>
        </w:rPr>
        <w:t>”) shall specify (A) the aggregate principal amount of the Loans to be made pursuant to such Borrowing, (B) the date of the Borrowing (which shall be a Business Day), (C) whether the respective Borrowing shall consist of ABR Loans and/or SOFR Loans</w:t>
      </w:r>
    </w:p>
    <w:p>
      <w:pPr>
        <w:spacing w:after="0" w:line="211" w:lineRule="auto"/>
        <w:rPr>
          <w:sz w:val="20"/>
          <w:szCs w:val="20"/>
          <w:color w:val="auto"/>
        </w:rPr>
      </w:pPr>
      <w:r>
        <w:rPr>
          <w:rFonts w:ascii="Times New Roman" w:cs="Times New Roman" w:eastAsia="Times New Roman" w:hAnsi="Times New Roman"/>
          <w:sz w:val="20"/>
          <w:szCs w:val="20"/>
          <w:color w:val="auto"/>
        </w:rPr>
        <w:t>and, if SOFR Loans, the Interest Period to be initially applicable thereto (if no Interest Period is selected, the Borrower shall be deemed to</w:t>
      </w:r>
    </w:p>
    <w:p>
      <w:pPr>
        <w:spacing w:after="0" w:line="215" w:lineRule="auto"/>
        <w:rPr>
          <w:sz w:val="20"/>
          <w:szCs w:val="20"/>
          <w:color w:val="auto"/>
        </w:rPr>
      </w:pPr>
      <w:r>
        <w:rPr>
          <w:rFonts w:ascii="Times New Roman" w:cs="Times New Roman" w:eastAsia="Times New Roman" w:hAnsi="Times New Roman"/>
          <w:sz w:val="19"/>
          <w:szCs w:val="19"/>
          <w:color w:val="auto"/>
        </w:rPr>
        <w:t>have selected an Interest Period of one (1) month’s duration) and (D) the amount of the then-effective Borrowing Base, the amount of the then-effective Aggregate Elected Commitment Amount, the current aggregate Total Exposures of all Lenders (without regard to the requested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Borrowing) and the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aggregate Total Exposures of all Lenders (giving effect to the requested Borrowing). The Administrative</w:t>
      </w:r>
    </w:p>
    <w:p>
      <w:pPr>
        <w:spacing w:after="0" w:line="221" w:lineRule="auto"/>
        <w:rPr>
          <w:sz w:val="20"/>
          <w:szCs w:val="20"/>
          <w:color w:val="auto"/>
        </w:rPr>
      </w:pPr>
      <w:r>
        <w:rPr>
          <w:rFonts w:ascii="Times New Roman" w:cs="Times New Roman" w:eastAsia="Times New Roman" w:hAnsi="Times New Roman"/>
          <w:sz w:val="20"/>
          <w:szCs w:val="20"/>
          <w:color w:val="auto"/>
        </w:rPr>
        <w:t>Agent shall promptly give each Lender written notice (or telephonic notice promptly confirmed in writing) of each proposed Borrowing of Loans, of such Lender’s Commitment Percentage thereof and of the other matters covered by the related Notice of Borrowing.</w:t>
      </w:r>
    </w:p>
    <w:p>
      <w:pPr>
        <w:spacing w:after="0" w:line="162" w:lineRule="exact"/>
        <w:rPr>
          <w:sz w:val="20"/>
          <w:szCs w:val="20"/>
          <w:color w:val="auto"/>
        </w:rPr>
      </w:pPr>
    </w:p>
    <w:p>
      <w:pPr>
        <w:ind w:left="1340" w:hanging="684"/>
        <w:spacing w:after="0"/>
        <w:tabs>
          <w:tab w:leader="none" w:pos="13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Borrowings to reimburse Unpaid Drawings shall be made upon the notice specified in </w:t>
      </w:r>
      <w:r>
        <w:rPr>
          <w:rFonts w:ascii="Times New Roman" w:cs="Times New Roman" w:eastAsia="Times New Roman" w:hAnsi="Times New Roman"/>
          <w:sz w:val="20"/>
          <w:szCs w:val="20"/>
          <w:u w:val="single" w:color="auto"/>
          <w:color w:val="auto"/>
        </w:rPr>
        <w:t>Section 3.4(a)</w:t>
      </w:r>
    </w:p>
    <w:p>
      <w:pPr>
        <w:spacing w:after="0" w:line="188"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in any way limiting the obligation of the Borrower to confirm in writing any notice it may give hereunder by telephone, the Administrative Agent may act prior to receipt of written confirmation without liability upon the basis of such telephonic notice believed by the Administrative Agent in good faith to be from an Authorized Officer of the Borrower.</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Disbursement of Funds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22" w:lineRule="auto"/>
        <w:tabs>
          <w:tab w:leader="none" w:pos="128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later than 2:00 p.m. (New York City time) on the date specified in each Notice of Borrowing, each Lender will make available its pro rata portion of each Borrowing requested to be made on such date in the manner provided below;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on the Closing Date, such funds shall be made available by 10:00 a.m. (New York City time) or such earlier time as may be agreed among the Lenders, the Borrower and the Administrative Agent for the purpose of consummating the Transactions.</w:t>
      </w:r>
    </w:p>
    <w:p>
      <w:pPr>
        <w:spacing w:after="0" w:line="161" w:lineRule="exact"/>
        <w:rPr>
          <w:rFonts w:ascii="Times New Roman" w:cs="Times New Roman" w:eastAsia="Times New Roman" w:hAnsi="Times New Roman"/>
          <w:sz w:val="20"/>
          <w:szCs w:val="20"/>
          <w:color w:val="auto"/>
        </w:rPr>
      </w:pPr>
    </w:p>
    <w:p>
      <w:pPr>
        <w:jc w:val="both"/>
        <w:ind w:firstLine="656"/>
        <w:spacing w:after="0" w:line="209" w:lineRule="auto"/>
        <w:tabs>
          <w:tab w:leader="none" w:pos="12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make available all amounts it is to fund to the Borrower under any Borrowing in immediately available funds to the Administrative Agent at the Administrative Agent’s Office in Dollars, and the Administrative Agent will (except in the case of Borrowings to repay Unpaid Drawings) make available to the Borrower, by depositing or wiring to an account (such account to be a Controlled Account on and after the date referred to in </w:t>
      </w:r>
      <w:r>
        <w:rPr>
          <w:rFonts w:ascii="Times New Roman" w:cs="Times New Roman" w:eastAsia="Times New Roman" w:hAnsi="Times New Roman"/>
          <w:sz w:val="20"/>
          <w:szCs w:val="20"/>
          <w:u w:val="single" w:color="auto"/>
          <w:color w:val="auto"/>
        </w:rPr>
        <w:t>Section 9.16</w:t>
      </w:r>
      <w:r>
        <w:rPr>
          <w:rFonts w:ascii="Times New Roman" w:cs="Times New Roman" w:eastAsia="Times New Roman" w:hAnsi="Times New Roman"/>
          <w:sz w:val="20"/>
          <w:szCs w:val="20"/>
          <w:color w:val="auto"/>
        </w:rPr>
        <w:t xml:space="preserve">) as designated by the Borrower in the Notice of Borrowing to the Administrative Agent the aggregate of the amounts so made available in Dollars. Unless the Administrative Agent shall have been notified by any Lender prior to the date of any such Borrowing (or, with respect to an ABR Loan, the date of such Borrowing prior to 1:00 p.m. (New York City time))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as the case may be,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Overnight Rate or (ii) if paid by the Borrower, the then-applicable rate of interest or fees, calculated in accordance with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for the respective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394" w:right="339" w:bottom="1440" w:gutter="0" w:footer="0" w:header="0"/>
        </w:sectPr>
      </w:pPr>
    </w:p>
    <w:bookmarkStart w:id="98" w:name="page99"/>
    <w:bookmarkEnd w:id="98"/>
    <w:p>
      <w:pPr>
        <w:jc w:val="both"/>
        <w:ind w:firstLine="656"/>
        <w:spacing w:after="0" w:line="226" w:lineRule="auto"/>
        <w:tabs>
          <w:tab w:leader="none" w:pos="128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u w:val="single" w:color="auto"/>
          <w:color w:val="auto"/>
        </w:rPr>
        <w:t>Repayment of Loans; Evidence of Debt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2" w:lineRule="auto"/>
        <w:tabs>
          <w:tab w:leader="none" w:pos="128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repay to the Administrative Agent, for the benefit of the applicable Lenders, the principal amount outstanding as of such date, together with all accrued and unpaid interest as of such date, and all fees and all other Obligations incurred and unpaid hereunder and under each other Credit Document (other than contingent or indemnification obligations not then due and payable) as of such date in respect of all Loans on the earlier of (X) the Termination Date and (Y) the Maturity Date.</w:t>
      </w:r>
    </w:p>
    <w:p>
      <w:pPr>
        <w:spacing w:after="0" w:line="148" w:lineRule="exact"/>
        <w:rPr>
          <w:rFonts w:ascii="Times New Roman" w:cs="Times New Roman" w:eastAsia="Times New Roman" w:hAnsi="Times New Roman"/>
          <w:sz w:val="20"/>
          <w:szCs w:val="20"/>
          <w:color w:val="auto"/>
        </w:rPr>
      </w:pPr>
    </w:p>
    <w:p>
      <w:pPr>
        <w:jc w:val="both"/>
        <w:ind w:right="20" w:firstLine="656"/>
        <w:spacing w:after="0" w:line="230" w:lineRule="auto"/>
        <w:tabs>
          <w:tab w:leader="none" w:pos="128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Borrower to the appropriate lending office of such Lender resulting from each Loan made by such lending office from time to time, including the amounts of principal and interest payable and paid to such lending office from time to time under this Agreement.</w:t>
      </w:r>
    </w:p>
    <w:p>
      <w:pPr>
        <w:spacing w:after="0" w:line="148"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acting solely for this purpose as a non-fiduciary agent of the Borrower, shall maintain the Register pursuant to </w:t>
      </w:r>
      <w:r>
        <w:rPr>
          <w:rFonts w:ascii="Times New Roman" w:cs="Times New Roman" w:eastAsia="Times New Roman" w:hAnsi="Times New Roman"/>
          <w:sz w:val="20"/>
          <w:szCs w:val="20"/>
          <w:u w:val="single" w:color="auto"/>
          <w:color w:val="auto"/>
        </w:rPr>
        <w:t>Section 13.6(b)(iv)</w:t>
      </w:r>
      <w:r>
        <w:rPr>
          <w:rFonts w:ascii="Times New Roman" w:cs="Times New Roman" w:eastAsia="Times New Roman" w:hAnsi="Times New Roman"/>
          <w:sz w:val="20"/>
          <w:szCs w:val="20"/>
          <w:color w:val="auto"/>
        </w:rPr>
        <w:t>, and a subaccount for each Lender, in which Register and subaccounts (taken together) shall be recorded (i) the amount of each Loan made hereunder, the Type of each Loan made and the Interest Period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60" w:lineRule="exact"/>
        <w:rPr>
          <w:rFonts w:ascii="Times New Roman" w:cs="Times New Roman" w:eastAsia="Times New Roman" w:hAnsi="Times New Roman"/>
          <w:sz w:val="20"/>
          <w:szCs w:val="20"/>
          <w:color w:val="auto"/>
        </w:rPr>
      </w:pPr>
    </w:p>
    <w:p>
      <w:pPr>
        <w:jc w:val="both"/>
        <w:ind w:firstLine="656"/>
        <w:spacing w:after="0" w:line="228" w:lineRule="auto"/>
        <w:tabs>
          <w:tab w:leader="none" w:pos="1284"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entries made in the Register and accounts and subaccounts maintained pursuant to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shall, to the extent permitted by applicable Requirements of Law, be prima facie evidence of the existence and amounts of the obligations of the Borrower therein recorded;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failure of any Lender or the Administrative Agent to maintain such account, such Register or such subaccount, as applicable, or any error therein, shall not in any manner affect the obligation of the Borrower to repay (with applicable interest) the Loans made to the Borrower by such Lender in accordance with the terms of this Agreement.</w:t>
      </w:r>
    </w:p>
    <w:p>
      <w:pPr>
        <w:spacing w:after="0" w:line="163" w:lineRule="exact"/>
        <w:rPr>
          <w:rFonts w:ascii="Times New Roman" w:cs="Times New Roman" w:eastAsia="Times New Roman" w:hAnsi="Times New Roman"/>
          <w:sz w:val="19"/>
          <w:szCs w:val="19"/>
          <w:color w:val="auto"/>
        </w:rPr>
      </w:pPr>
    </w:p>
    <w:p>
      <w:pPr>
        <w:jc w:val="both"/>
        <w:ind w:firstLine="656"/>
        <w:spacing w:after="0" w:line="210" w:lineRule="auto"/>
        <w:tabs>
          <w:tab w:leader="none" w:pos="128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requested by a Lender, the Loans made by each Lender shall be evidenced by a single promissory note of the Borrower in substantially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dated, in the case of (i) any Lender party hereto as of the Closing Date, as of the Closing Date, (ii) any Lender that becomes a party hereto pursuant to an Assignment and Assumption or amendment or other modification to this Agreement, as of the effective date of the Assignment and Assumption, amendment or other modification, as applicable, or (iii) in the case of any Lender that becomes a party hereto in connection with an increase in the Aggregate Elected Commitment Amount pursuant to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xml:space="preserve">, as of the effective date of such increase, in each case, payable to such Lender in a principal amount equal to its Maximum Credit Amount as in effect on such date, and otherwise duly completed. In the event that any Lender’s Maximum Credit Amount increases or decreases for any reason (whether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13.6(b)</w:t>
      </w:r>
      <w:r>
        <w:rPr>
          <w:rFonts w:ascii="Times New Roman" w:cs="Times New Roman" w:eastAsia="Times New Roman" w:hAnsi="Times New Roman"/>
          <w:sz w:val="20"/>
          <w:szCs w:val="20"/>
          <w:color w:val="auto"/>
        </w:rPr>
        <w:t xml:space="preserve"> or otherwise), the Borrower shall deliver or cause to be delivered, to the extent such Lender is then holding a Note, on the effective date of such increase or decrease, a new Note payable to such Lender in a principal amount equal to its Maximum Credit Amount after giving effect to such increase or decrease, and otherwise duly completed and such Lender shall promptly return to the Borrower the previously issued Note held by such Lender. The date, amount, Type, interest rate and, if applicable, Interest Period of each Loan made by each Lender, and all payments made on account of the principal thereof, shall be recorded by such Lender on its books and/or its Note, if applicable. Failure to make any such recordation shall not affect any Lender’s or the Borrower’s rights or obligations in respect of Loans by a Lender or affect the validity of any transfer by a Lender of its Note.</w:t>
      </w:r>
    </w:p>
    <w:p>
      <w:pPr>
        <w:spacing w:after="0" w:line="1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u w:val="single" w:color="auto"/>
          <w:color w:val="auto"/>
        </w:rPr>
        <w:t>Conversions and Continuations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399" w:right="339" w:bottom="1440" w:gutter="0" w:footer="0" w:header="0"/>
        </w:sectPr>
      </w:pPr>
    </w:p>
    <w:bookmarkStart w:id="99" w:name="page100"/>
    <w:bookmarkEnd w:id="99"/>
    <w:p>
      <w:pPr>
        <w:jc w:val="both"/>
        <w:ind w:firstLine="656"/>
        <w:spacing w:after="0" w:line="220" w:lineRule="auto"/>
        <w:tabs>
          <w:tab w:leader="none" w:pos="1286"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penultimate sentence of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(i) the Borrower shall have the option on any Business Day to convert all or a portion equal to at least the Minimum Borrowing Amount (and in multiples of $100,000 in excess thereof) of the outstanding principal amount of Loans of one Type into a Borrowing or Borrowings of another Type and (ii) the Borrower shall have the option on any Business Day to continue the outstanding principal amount of any SOFR Loans as SOFR Loans for an additional Interest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no partial conversion of SOFR Loans shall reduce the outstanding principal amount of SOFR Loans made pursuant to a single Borrowing to less than the Minimum Borrowing Amount, (B) ABR Loans may not be converted into SOFR Loans if an Event of Default is in existence on the date of the conversion and the Administrative Agent has or the Majority Lenders have determined in its or their sole discretion not to permit such conversion, (C) SOFR Loans may not be continued as SOFR Loans for an additional Interest Period if an Event of Default is in existence on the date of the proposed continuation and the Administrative Agent has or the Majority Lenders have determined in its or their sole discretion not to permit such continuation, and (D) Borrowings resulting from conversions pursuant to this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xml:space="preserve"> shall be limited in number as provided in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Each such conversion or continuation shall be effected by the Borrower by giving the Administrative Agent at the Administrative Agent’s Office prior to 2:00 p.m. (New York City time) at least (1) three (3) U.S. Government Securities Business Days’, in the case of a continuation of or conversion to SOFR Loans or (2) the date of conversion, in the case of a conversion into ABR Loans, prior written notice (or telephonic notice promptly confirmed in writing) (each, a “</w:t>
      </w:r>
      <w:r>
        <w:rPr>
          <w:rFonts w:ascii="Times New Roman" w:cs="Times New Roman" w:eastAsia="Times New Roman" w:hAnsi="Times New Roman"/>
          <w:sz w:val="19"/>
          <w:szCs w:val="19"/>
          <w:u w:val="single" w:color="auto"/>
          <w:color w:val="auto"/>
        </w:rPr>
        <w:t>Notice of Conversion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Continuation</w:t>
      </w:r>
      <w:r>
        <w:rPr>
          <w:rFonts w:ascii="Times New Roman" w:cs="Times New Roman" w:eastAsia="Times New Roman" w:hAnsi="Times New Roman"/>
          <w:sz w:val="19"/>
          <w:szCs w:val="19"/>
          <w:color w:val="auto"/>
        </w:rPr>
        <w:t>”) specifying the Loans to be so converted or continued, the Type of Loans to be converted into or continued and, if such Loans are to be converted into or continued as SOFR Loans, the Interest Period to be initially applicable thereto (if no Interest Period is selected, the Borrower shall be deemed to have selected an Interest Period of one (1) month’s duration). The Administrative Agent shall give each applicable Lender notice as promptly as practicable of any such proposed conversion or continuation affecting any of its Loans.</w:t>
      </w:r>
    </w:p>
    <w:p>
      <w:pPr>
        <w:spacing w:after="0" w:line="175" w:lineRule="exact"/>
        <w:rPr>
          <w:rFonts w:ascii="Times New Roman" w:cs="Times New Roman" w:eastAsia="Times New Roman" w:hAnsi="Times New Roman"/>
          <w:sz w:val="19"/>
          <w:szCs w:val="19"/>
          <w:color w:val="auto"/>
        </w:rPr>
      </w:pPr>
    </w:p>
    <w:p>
      <w:pPr>
        <w:jc w:val="both"/>
        <w:ind w:firstLine="656"/>
        <w:spacing w:after="0" w:line="216" w:lineRule="auto"/>
        <w:tabs>
          <w:tab w:leader="none" w:pos="128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Event of Default is in existence at the time of any proposed continuation of any SOFR Loans and the Administrative Agent has or the Majority Lenders have determined in its or their sole discretion not to permit such continuation, such SOFR Loans shall be automatically converted on the last day of the current Interest Period into ABR Loans. If upon the expiration of any Interest Period in respect of SOFR Loans, the Borrower has failed to elect a new Interest Period to be applicable thereto as provided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the Borrower shall be deemed to have elected to continue such Borrowing of SOFR Loans into a Borrowing of SOFR Loans having an interest period of one (1) month, effective as of the expiration date of such current Interest Period.</w:t>
      </w:r>
    </w:p>
    <w:p>
      <w:pPr>
        <w:spacing w:after="0" w:line="162"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the Borrower may deliver a Notice of Conversion or Continuation pursuant to which the Borrower elects to irrevocably continue the outstanding principal amount of any Loan subject to an interest rate Hedge Agreement as SOFR Loans for each Interest Period until the expiration of the term of such applicable Hedge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Notice of Conversion or Continuation delivered pursuant to this </w:t>
      </w:r>
      <w:r>
        <w:rPr>
          <w:rFonts w:ascii="Times New Roman" w:cs="Times New Roman" w:eastAsia="Times New Roman" w:hAnsi="Times New Roman"/>
          <w:sz w:val="20"/>
          <w:szCs w:val="20"/>
          <w:u w:val="single" w:color="auto"/>
          <w:color w:val="auto"/>
        </w:rPr>
        <w:t>Section 2.6(c)</w:t>
      </w:r>
      <w:r>
        <w:rPr>
          <w:rFonts w:ascii="Times New Roman" w:cs="Times New Roman" w:eastAsia="Times New Roman" w:hAnsi="Times New Roman"/>
          <w:sz w:val="20"/>
          <w:szCs w:val="20"/>
          <w:color w:val="auto"/>
        </w:rPr>
        <w:t xml:space="preserve"> shall include a schedule attaching the relevant interest rate Hedge Agreement or related trade confirmation.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20"/>
          <w:szCs w:val="20"/>
          <w:u w:val="single" w:color="auto"/>
          <w:color w:val="auto"/>
        </w:rPr>
        <w:t>Pro Rata Borrowings</w:t>
      </w:r>
      <w:r>
        <w:rPr>
          <w:rFonts w:ascii="Times New Roman" w:cs="Times New Roman" w:eastAsia="Times New Roman" w:hAnsi="Times New Roman"/>
          <w:sz w:val="20"/>
          <w:szCs w:val="20"/>
          <w:color w:val="auto"/>
        </w:rPr>
        <w:t>. Each Borrowing of Loans under this Agreement shall be made by the Lenders pro rata on the basis of</w:t>
      </w:r>
    </w:p>
    <w:p>
      <w:pPr>
        <w:spacing w:after="0" w:line="204" w:lineRule="auto"/>
        <w:rPr>
          <w:sz w:val="20"/>
          <w:szCs w:val="20"/>
          <w:color w:val="auto"/>
        </w:rPr>
      </w:pPr>
      <w:r>
        <w:rPr>
          <w:rFonts w:ascii="Times New Roman" w:cs="Times New Roman" w:eastAsia="Times New Roman" w:hAnsi="Times New Roman"/>
          <w:sz w:val="20"/>
          <w:szCs w:val="20"/>
          <w:color w:val="auto"/>
        </w:rPr>
        <w:t>their then applicable Commitment Percentages. It is understood that (a) no Lender shall be responsible for any default by any other Lender in its obligation to make Loans hereunder and that each Lender severally but not jointly shall be obligated to make the Loans provided to be</w:t>
      </w:r>
    </w:p>
    <w:p>
      <w:pPr>
        <w:spacing w:after="0" w:line="223" w:lineRule="auto"/>
        <w:rPr>
          <w:sz w:val="20"/>
          <w:szCs w:val="20"/>
          <w:color w:val="auto"/>
        </w:rPr>
      </w:pPr>
      <w:r>
        <w:rPr>
          <w:rFonts w:ascii="Times New Roman" w:cs="Times New Roman" w:eastAsia="Times New Roman" w:hAnsi="Times New Roman"/>
          <w:sz w:val="19"/>
          <w:szCs w:val="19"/>
          <w:color w:val="auto"/>
        </w:rPr>
        <w:t>made by it hereunder, regardless of the failure of any other Lender to fulfill its commitments hereunder and (b) failure by a Lender to perform</w:t>
      </w:r>
    </w:p>
    <w:p>
      <w:pPr>
        <w:spacing w:after="0" w:line="221" w:lineRule="auto"/>
        <w:rPr>
          <w:sz w:val="20"/>
          <w:szCs w:val="20"/>
          <w:color w:val="auto"/>
        </w:rPr>
      </w:pPr>
      <w:r>
        <w:rPr>
          <w:rFonts w:ascii="Times New Roman" w:cs="Times New Roman" w:eastAsia="Times New Roman" w:hAnsi="Times New Roman"/>
          <w:sz w:val="20"/>
          <w:szCs w:val="20"/>
          <w:color w:val="auto"/>
        </w:rPr>
        <w:t>any of its obligations under any of the Credit Documents shall not release any Person from performance of its obligation under any Credit Document.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6" w:lineRule="auto"/>
        <w:tabs>
          <w:tab w:leader="none" w:pos="128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unpaid principal amount of each ABR Loan shall bear interest from the date of the Borrowing thereof until maturity (whether by acceleration or otherwise) at a rate per annum that shall at all times be the Applicable Margin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ABR, in each case, in effect from time to time.</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unpaid principal amount of each SOFR Loan shall bear interest from the date of the Borrowing thereof until maturity thereof (whether by acceleration or otherwise) at a rate per annum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39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color w:val="auto"/>
        </w:rPr>
        <w:t xml:space="preserve">shall at all times be the Applicable Margin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Adjusted Term SOFR, in each case, in effect from time to time.</w:t>
      </w:r>
    </w:p>
    <w:p>
      <w:pPr>
        <w:spacing w:after="0" w:line="189" w:lineRule="exact"/>
        <w:rPr>
          <w:sz w:val="20"/>
          <w:szCs w:val="20"/>
          <w:color w:val="auto"/>
        </w:rPr>
      </w:pPr>
    </w:p>
    <w:p>
      <w:pPr>
        <w:jc w:val="both"/>
        <w:ind w:firstLine="656"/>
        <w:spacing w:after="0" w:line="217" w:lineRule="auto"/>
        <w:tabs>
          <w:tab w:leader="none" w:pos="128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 Event of Default, the Loans and all other amounts outstanding under the Credit Documents shall bear interest at a rate per annum, after as well as before judgment, that is (the “</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(A) in the case of outstanding principal, fees and other obligations, the rate that would otherwise be applicable thereto plus two percent (2%) or (B) in the case of any overdue interest, to the extent permitted by applicable Requirements of Law, the rate described in </w:t>
      </w:r>
      <w:r>
        <w:rPr>
          <w:rFonts w:ascii="Times New Roman" w:cs="Times New Roman" w:eastAsia="Times New Roman" w:hAnsi="Times New Roman"/>
          <w:sz w:val="20"/>
          <w:szCs w:val="20"/>
          <w:u w:val="single" w:color="auto"/>
          <w:color w:val="auto"/>
        </w:rPr>
        <w:t>Section 2.8(a)</w:t>
      </w:r>
      <w:r>
        <w:rPr>
          <w:rFonts w:ascii="Times New Roman" w:cs="Times New Roman" w:eastAsia="Times New Roman" w:hAnsi="Times New Roman"/>
          <w:sz w:val="20"/>
          <w:szCs w:val="20"/>
          <w:color w:val="auto"/>
        </w:rPr>
        <w:t xml:space="preserve"> plus two percent (2%) from the date of such non-payment to the date on which such amount is paid in full.</w:t>
      </w:r>
    </w:p>
    <w:p>
      <w:pPr>
        <w:spacing w:after="0" w:line="15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accrue from and including the date of any Borrowing to but excluding the date of any repayment</w:t>
      </w:r>
    </w:p>
    <w:p>
      <w:pPr>
        <w:spacing w:after="0" w:line="197" w:lineRule="auto"/>
        <w:rPr>
          <w:sz w:val="20"/>
          <w:szCs w:val="20"/>
          <w:color w:val="auto"/>
        </w:rPr>
      </w:pPr>
      <w:r>
        <w:rPr>
          <w:rFonts w:ascii="Times New Roman" w:cs="Times New Roman" w:eastAsia="Times New Roman" w:hAnsi="Times New Roman"/>
          <w:sz w:val="20"/>
          <w:szCs w:val="20"/>
          <w:color w:val="auto"/>
        </w:rPr>
        <w:t xml:space="preserve">thereof and shall be payable in Dollars;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Loan that is repaid on the same date on which it is made shall bear interest for one</w:t>
      </w:r>
    </w:p>
    <w:p>
      <w:pPr>
        <w:jc w:val="both"/>
        <w:ind w:firstLine="8"/>
        <w:spacing w:after="0" w:line="215" w:lineRule="auto"/>
        <w:tabs>
          <w:tab w:leader="none" w:pos="2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 Except as provided below, interest shall be payable (i) in respect of each ABR Loan, quarterly in arrears on the last Business Day of each March, June, September and December, (ii) in respect of each SOFR Loan, on the last day of each Interest Period applicable thereto and, in the case of an Interest Period in excess of three (3) months, on each date occurring at three-month intervals after the first (1st) day of such Interest Period, (iii) in respect of each Loan, (A) on any prepayment (on the amount prepaid), (B) at maturity (whether by acceleration or otherwise) and (C) after such maturity, on demand.</w:t>
      </w:r>
    </w:p>
    <w:p>
      <w:pPr>
        <w:spacing w:after="0" w:line="16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computations of interest hereunder shall be made in accordance with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56"/>
        <w:spacing w:after="0" w:line="230" w:lineRule="auto"/>
        <w:tabs>
          <w:tab w:leader="none" w:pos="1291"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upon determining the interest rate for any Borrowing of SOFR Loans, shall promptly notify the Borrower and the relevant Lenders thereof. Each such determination shall, absent clearly demonstrable error, be final and conclusive and binding on all parties hereto.</w:t>
      </w:r>
    </w:p>
    <w:p>
      <w:pPr>
        <w:spacing w:after="0" w:line="148"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or administration of Term SOFR,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 The Administrative Agent will promptly notify the Borrower and the Lenders of the effectiveness of any Conforming Changes in connection with the use or administration of Term SOFR.</w:t>
      </w:r>
    </w:p>
    <w:p>
      <w:pPr>
        <w:spacing w:after="0" w:line="14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1.9 </w:t>
      </w:r>
      <w:r>
        <w:rPr>
          <w:rFonts w:ascii="Times New Roman" w:cs="Times New Roman" w:eastAsia="Times New Roman" w:hAnsi="Times New Roman"/>
          <w:sz w:val="19"/>
          <w:szCs w:val="19"/>
          <w:u w:val="single" w:color="auto"/>
          <w:color w:val="auto"/>
        </w:rPr>
        <w:t>Interest Periods</w:t>
      </w:r>
      <w:r>
        <w:rPr>
          <w:rFonts w:ascii="Times New Roman" w:cs="Times New Roman" w:eastAsia="Times New Roman" w:hAnsi="Times New Roman"/>
          <w:sz w:val="19"/>
          <w:szCs w:val="19"/>
          <w:color w:val="auto"/>
        </w:rPr>
        <w:t xml:space="preserve">. At the time the Borrower gives a Notice of Borrowing or Notice of Conversion or Continuation in respect of the making of, or conversion into or continuation as, a Borrowing of SOFR Loans in accordance with </w:t>
      </w:r>
      <w:r>
        <w:rPr>
          <w:rFonts w:ascii="Times New Roman" w:cs="Times New Roman" w:eastAsia="Times New Roman" w:hAnsi="Times New Roman"/>
          <w:sz w:val="19"/>
          <w:szCs w:val="19"/>
          <w:u w:val="single" w:color="auto"/>
          <w:color w:val="auto"/>
        </w:rPr>
        <w:t>Section 2.6(a)</w:t>
      </w:r>
      <w:r>
        <w:rPr>
          <w:rFonts w:ascii="Times New Roman" w:cs="Times New Roman" w:eastAsia="Times New Roman" w:hAnsi="Times New Roman"/>
          <w:sz w:val="19"/>
          <w:szCs w:val="19"/>
          <w:color w:val="auto"/>
        </w:rPr>
        <w:t>, the Borrower shall give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Administrative Agent written notice (or telephonic notice promptly confirmed in writing) of the Interest Period applicable to such Borrowing, which Interest Period shall, at the option of the Borrower be a one-, three- or six-month period as requested by the Borrower.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anything to the contrary contained above:</w:t>
      </w:r>
    </w:p>
    <w:p>
      <w:pPr>
        <w:spacing w:after="0" w:line="189" w:lineRule="exact"/>
        <w:rPr>
          <w:sz w:val="20"/>
          <w:szCs w:val="20"/>
          <w:color w:val="auto"/>
        </w:rPr>
      </w:pPr>
    </w:p>
    <w:p>
      <w:pPr>
        <w:jc w:val="both"/>
        <w:ind w:firstLine="656"/>
        <w:spacing w:after="0" w:line="226" w:lineRule="auto"/>
        <w:tabs>
          <w:tab w:leader="none" w:pos="128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Interest Period for any Borrowing of SOFR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Interest Period relating to a Borrowing of SOFR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Interest Period in respect of a SOFR Loan would otherwise expire on a day that is not a Business Day, but is a day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39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color w:val="auto"/>
        </w:rPr>
        <w:t>month after which no further Business Day occurs in such month, such Interest Period shall expire on the next preceding Business Day;</w:t>
      </w:r>
    </w:p>
    <w:p>
      <w:pPr>
        <w:spacing w:after="0" w:line="189" w:lineRule="exact"/>
        <w:rPr>
          <w:sz w:val="20"/>
          <w:szCs w:val="20"/>
          <w:color w:val="auto"/>
        </w:rPr>
      </w:pPr>
    </w:p>
    <w:p>
      <w:pPr>
        <w:ind w:firstLine="656"/>
        <w:spacing w:after="0" w:line="233" w:lineRule="auto"/>
        <w:tabs>
          <w:tab w:leader="none" w:pos="128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be entitled to elect any Interest Period in respect of any SOFR Loan if such Interest Period would extend beyond the Maturity Date; and</w:t>
      </w:r>
    </w:p>
    <w:p>
      <w:pPr>
        <w:spacing w:after="0" w:line="160" w:lineRule="exact"/>
        <w:rPr>
          <w:rFonts w:ascii="Times New Roman" w:cs="Times New Roman" w:eastAsia="Times New Roman" w:hAnsi="Times New Roman"/>
          <w:sz w:val="20"/>
          <w:szCs w:val="20"/>
          <w:color w:val="auto"/>
        </w:rPr>
      </w:pPr>
    </w:p>
    <w:p>
      <w:pPr>
        <w:ind w:right="20" w:firstLine="656"/>
        <w:spacing w:after="0"/>
        <w:tabs>
          <w:tab w:leader="none" w:pos="128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tenor that has been removed from the definition of “Interest Period” pursuant to </w:t>
      </w:r>
      <w:r>
        <w:rPr>
          <w:rFonts w:ascii="Times New Roman" w:cs="Times New Roman" w:eastAsia="Times New Roman" w:hAnsi="Times New Roman"/>
          <w:sz w:val="20"/>
          <w:szCs w:val="20"/>
          <w:u w:val="single" w:color="auto"/>
          <w:color w:val="auto"/>
        </w:rPr>
        <w:t>Section 2.10(d)(iv)</w:t>
      </w:r>
      <w:r>
        <w:rPr>
          <w:rFonts w:ascii="Times New Roman" w:cs="Times New Roman" w:eastAsia="Times New Roman" w:hAnsi="Times New Roman"/>
          <w:sz w:val="20"/>
          <w:szCs w:val="20"/>
          <w:color w:val="auto"/>
        </w:rPr>
        <w:t xml:space="preserve"> shall be available for specification by the Borrower in any Notice of Borrowing or Notice of Conversion or Continuation.</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u w:val="single" w:color="auto"/>
          <w:color w:val="auto"/>
        </w:rPr>
        <w:t>Increased Costs, Illegality, Changed Circumstances, Etc</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2" w:lineRule="auto"/>
        <w:tabs>
          <w:tab w:leader="none" w:pos="128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in the event that (x) in the case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below, the Majority Lenders (or the Administrative Agent, as applicable) or (y) in the case of </w:t>
      </w:r>
      <w:r>
        <w:rPr>
          <w:rFonts w:ascii="Times New Roman" w:cs="Times New Roman" w:eastAsia="Times New Roman" w:hAnsi="Times New Roman"/>
          <w:sz w:val="20"/>
          <w:szCs w:val="20"/>
          <w:u w:val="single" w:color="auto"/>
          <w:color w:val="auto"/>
        </w:rPr>
        <w:t>clauses (ii)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below, any Lender (or the Administrative Agent, as applicable), shall have reasonably determined (which determination shall, absent clearly demonstrable error, be final and conclusive and binding upon all parties hereto):</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date for determining SOFR, the Term SOFR Reference Rate, Adjusted Term SOFR or Term SOFR for any Interest Period that (A) deposits in the principal amounts of the Loans comprising such Borrowing of SOFR Loans are not generally available in the relevant market or (B) adequate and fair means do not exist for ascertaining the applicable interest rate on the basis provided for in the definition of Term SOFR; or</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55"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a Change in Law occurring at any time after the Closing Date shall (A) impose, modify or deem applicable any reserve, special deposit, compulsory loan, insurance charge or similar requirement against assets of, deposits with or for the account of, or credit extended by, any Lender, (B) subject any Lender (including any Issuing Bank) and the Administrative Agent to any Tax (other than (i) Indemnified Taxes, (ii) Taxes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definition of Excluded Taxes and (iii) Connection Income Taxes) on its loans, loan principal, letters of credit, commitments, or other obligations, or its deposits, reserves, other liabilities or capital attributable thereto, or (C) impose on any Lender any other condition, cost or expense (in each case, other than Taxes) affecting this Agreement or SOFR Loans made by such Lender, which results in the cost to such Lender of making, converting into, continuing or maintaining SOFR Loans or participating in Letters of Credit (in each case hereunder) increasing by an amount which such Lender reasonably deems material or the amounts received or receivable by such Lender hereunder with respect to the foregoing shall be reduced; or</w:t>
      </w:r>
    </w:p>
    <w:p>
      <w:pPr>
        <w:spacing w:after="0" w:line="169"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that the making or continuance of any SOFR Loan has become unlawful as a result of compliance by such Lender in good faith with any Requirement of Law (or would conflict with any such Requirement of Law not having the force of law even though the failure to comply therewith would not be unlawful);</w:t>
      </w:r>
    </w:p>
    <w:p>
      <w:pPr>
        <w:spacing w:after="0" w:line="16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 xml:space="preserve">then, and in any such event, such Lenders (or the Administrative Agent, in the case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above) shall within a reasonable time thereafter give notice (if by telephone, confirmed in writing) to the Borrower and to the Administrative Agent of such determination</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(which notice the Administrative Agent shall promptly transmit to each of the other Lenders). Thereafter (x) in the case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SOFR Loans shall no longer be available until such time as the Administrative Agent notifies the Borrower and the Lenders that the circumstances giving rise to such notice by the Administrative Agent no longer exist (which notice the Administrative Agent agrees to give at</w:t>
      </w:r>
    </w:p>
    <w:p>
      <w:pPr>
        <w:spacing w:after="0" w:line="211" w:lineRule="auto"/>
        <w:rPr>
          <w:sz w:val="20"/>
          <w:szCs w:val="20"/>
          <w:color w:val="auto"/>
        </w:rPr>
      </w:pPr>
      <w:r>
        <w:rPr>
          <w:rFonts w:ascii="Times New Roman" w:cs="Times New Roman" w:eastAsia="Times New Roman" w:hAnsi="Times New Roman"/>
          <w:sz w:val="20"/>
          <w:szCs w:val="20"/>
          <w:color w:val="auto"/>
        </w:rPr>
        <w:t>such time when such circumstances no longer exist), and any Notice of Borrowing or Notice of Conversion or Continuation given by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Borrower with respect to SOFR Loans that have not yet been incurred shall be deemed rescinded by the Borrower, (y) in the case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the Borrower shall pay to such Lender (or the Administrative Agent, as applicable), promptly (but no later than fifteen (15)</w:t>
      </w:r>
    </w:p>
    <w:p>
      <w:pPr>
        <w:spacing w:after="0" w:line="223" w:lineRule="auto"/>
        <w:rPr>
          <w:sz w:val="20"/>
          <w:szCs w:val="20"/>
          <w:color w:val="auto"/>
        </w:rPr>
      </w:pPr>
      <w:r>
        <w:rPr>
          <w:rFonts w:ascii="Times New Roman" w:cs="Times New Roman" w:eastAsia="Times New Roman" w:hAnsi="Times New Roman"/>
          <w:sz w:val="19"/>
          <w:szCs w:val="19"/>
          <w:color w:val="auto"/>
        </w:rPr>
        <w:t>days) after receipt of written demand therefor such additional amounts as shall be required to compensate such Lender (or the Administrative</w:t>
      </w:r>
    </w:p>
    <w:p>
      <w:pPr>
        <w:ind w:right="20"/>
        <w:spacing w:after="0" w:line="221" w:lineRule="auto"/>
        <w:rPr>
          <w:sz w:val="20"/>
          <w:szCs w:val="20"/>
          <w:color w:val="auto"/>
        </w:rPr>
      </w:pPr>
      <w:r>
        <w:rPr>
          <w:rFonts w:ascii="Times New Roman" w:cs="Times New Roman" w:eastAsia="Times New Roman" w:hAnsi="Times New Roman"/>
          <w:sz w:val="20"/>
          <w:szCs w:val="20"/>
          <w:color w:val="auto"/>
        </w:rPr>
        <w:t>Agent, as applicable) for such increased costs or reductions in amounts receivable hereunder (it being agreed that a written notice as to the additional amounts owed to such Lender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39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color w:val="auto"/>
        </w:rPr>
        <w:t>Administrative Agent, as applicable), showing in reasonable detail the basis for the calculation thereof, submitted to the Borrower by such</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Lender (or the Administrative Agent, as applicable) shall, absent clearly demonstrable error, be final and conclusive and binding upon all parties hereto) and (z) in the case of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above, the Borrower shall take one of the actions specified in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as promptly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possible and, in any event, within the time period required by applicable Requirements of Law.</w:t>
      </w:r>
    </w:p>
    <w:p>
      <w:pPr>
        <w:spacing w:after="0" w:line="167" w:lineRule="exact"/>
        <w:rPr>
          <w:sz w:val="20"/>
          <w:szCs w:val="20"/>
          <w:color w:val="auto"/>
        </w:rPr>
      </w:pPr>
    </w:p>
    <w:p>
      <w:pPr>
        <w:jc w:val="both"/>
        <w:ind w:firstLine="656"/>
        <w:spacing w:after="0" w:line="215" w:lineRule="auto"/>
        <w:tabs>
          <w:tab w:leader="none" w:pos="128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that any SOFR Loan is affected by the circumstances described in </w:t>
      </w:r>
      <w:r>
        <w:rPr>
          <w:rFonts w:ascii="Times New Roman" w:cs="Times New Roman" w:eastAsia="Times New Roman" w:hAnsi="Times New Roman"/>
          <w:sz w:val="20"/>
          <w:szCs w:val="20"/>
          <w:u w:val="single" w:color="auto"/>
          <w:color w:val="auto"/>
        </w:rPr>
        <w:t>Section 2.10(a)(ii)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the Borrower may (and in the case of a SOFR Loan affected pursuant to </w:t>
      </w:r>
      <w:r>
        <w:rPr>
          <w:rFonts w:ascii="Times New Roman" w:cs="Times New Roman" w:eastAsia="Times New Roman" w:hAnsi="Times New Roman"/>
          <w:sz w:val="20"/>
          <w:szCs w:val="20"/>
          <w:u w:val="single" w:color="auto"/>
          <w:color w:val="auto"/>
        </w:rPr>
        <w:t>Section 2.10(a)(iii)</w:t>
      </w:r>
      <w:r>
        <w:rPr>
          <w:rFonts w:ascii="Times New Roman" w:cs="Times New Roman" w:eastAsia="Times New Roman" w:hAnsi="Times New Roman"/>
          <w:sz w:val="20"/>
          <w:szCs w:val="20"/>
          <w:color w:val="auto"/>
        </w:rPr>
        <w:t xml:space="preserve"> shall) either if the affected SOFR Loan is then being made pursuant to a Borrowing, cancel such Borrowing by giving the Administrative Agent telephonic notice (confirmed promptly in writing) thereof on the same date that the Borrower was notified by a Lender pursuant to </w:t>
      </w:r>
      <w:r>
        <w:rPr>
          <w:rFonts w:ascii="Times New Roman" w:cs="Times New Roman" w:eastAsia="Times New Roman" w:hAnsi="Times New Roman"/>
          <w:sz w:val="20"/>
          <w:szCs w:val="20"/>
          <w:u w:val="single" w:color="auto"/>
          <w:color w:val="auto"/>
        </w:rPr>
        <w:t>Section 2.10(a)(ii)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or if the affected SOFR Loan is then outstanding, upon at least three (3) Business Days’ notice to the Administrative Agent, require the affected Lender to convert each such SOFR Loan into an ABR Loan;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more than one Lender are affected at any time, then all affected Lenders must be treated in the same manner pursuant to this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w:t>
      </w:r>
    </w:p>
    <w:p>
      <w:pPr>
        <w:spacing w:after="0" w:line="150"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after the Closing Date, any Change in Law relating to capital adequacy or liquidity requirements of any Lender or compliance by any Lender or its parent with any Change in Law relating to capital adequacy or liquidity requirements occurring after the Closing Date, has or would have the effect of reducing the rate of return on such Lender’s or its parent’s capital or assets as a consequence of such Lender’s commitments or obligations hereunder to a level below that which such Lender or its parent could have achieved but for such Change in Law (taking into consideration such Lender’s or its parent’s policies with respect to capital adequacy or liquidity requirements), then from time to time, promptly (but in any event no later than fifteen (15) days) after written demand by such Lender (with a copy to the Administrative Agent), the Borrower shall pay to such Lender such additional amount or amounts as will compensate such Lender or its parent for such reduction, it being understood and agreed, however, that a Lender shall not be entitled to such compensation as a result of such Lender’s compliance with, or pursuant to any request or directive to comply with, any applicable Requirement of Law as in effect on the Closing Date. Each Lender, upon determining in good faith that any additional amounts will be payable pursuant to this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release or diminish the Borrower’s obligations to pay additional amounts pursuant to this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 xml:space="preserve"> upon receipt of such notice.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w:t>
      </w:r>
    </w:p>
    <w:p>
      <w:pPr>
        <w:spacing w:after="0" w:line="175" w:lineRule="exact"/>
        <w:rPr>
          <w:sz w:val="20"/>
          <w:szCs w:val="20"/>
          <w:color w:val="auto"/>
        </w:rPr>
      </w:pPr>
    </w:p>
    <w:p>
      <w:pPr>
        <w:jc w:val="both"/>
        <w:ind w:left="660" w:firstLine="644"/>
        <w:spacing w:after="0" w:line="226" w:lineRule="auto"/>
        <w:tabs>
          <w:tab w:leader="none" w:pos="1954"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or in any other Credit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9"/>
          <w:szCs w:val="19"/>
          <w:u w:val="single" w:color="auto"/>
          <w:color w:val="auto"/>
        </w:rPr>
        <w:t>Section 2.10(d)(i)</w:t>
      </w:r>
      <w:r>
        <w:rPr>
          <w:rFonts w:ascii="Times New Roman" w:cs="Times New Roman" w:eastAsia="Times New Roman" w:hAnsi="Times New Roman"/>
          <w:sz w:val="19"/>
          <w:szCs w:val="19"/>
          <w:color w:val="auto"/>
        </w:rPr>
        <w:t xml:space="preserve"> will occur prior to the applicable Benchmark Transition Start Date.</w:t>
      </w:r>
    </w:p>
    <w:p>
      <w:pPr>
        <w:spacing w:after="0" w:line="166" w:lineRule="exact"/>
        <w:rPr>
          <w:rFonts w:ascii="Times New Roman" w:cs="Times New Roman" w:eastAsia="Times New Roman" w:hAnsi="Times New Roman"/>
          <w:sz w:val="19"/>
          <w:szCs w:val="19"/>
          <w:color w:val="auto"/>
        </w:rPr>
      </w:pPr>
    </w:p>
    <w:p>
      <w:pPr>
        <w:jc w:val="both"/>
        <w:ind w:left="660" w:firstLine="644"/>
        <w:spacing w:after="0" w:line="220" w:lineRule="auto"/>
        <w:tabs>
          <w:tab w:leader="none" w:pos="195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administration, adoption or implementation of a Benchmark Replacement, the Administrative Agent will have the right (in consultation with the Borrower)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5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394" w:right="33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19"/>
          <w:szCs w:val="19"/>
          <w:color w:val="auto"/>
        </w:rPr>
        <w:t xml:space="preserve">removal or reinstatement of any tenor of a Benchmark pursuant to </w:t>
      </w:r>
      <w:r>
        <w:rPr>
          <w:rFonts w:ascii="Times New Roman" w:cs="Times New Roman" w:eastAsia="Times New Roman" w:hAnsi="Times New Roman"/>
          <w:sz w:val="19"/>
          <w:szCs w:val="19"/>
          <w:u w:val="single" w:color="auto"/>
          <w:color w:val="auto"/>
        </w:rPr>
        <w:t>Section 2.10(d)(iv)</w:t>
      </w:r>
      <w:r>
        <w:rPr>
          <w:rFonts w:ascii="Times New Roman" w:cs="Times New Roman" w:eastAsia="Times New Roman" w:hAnsi="Times New Roman"/>
          <w:sz w:val="19"/>
          <w:szCs w:val="19"/>
          <w:color w:val="auto"/>
        </w:rPr>
        <w:t xml:space="preserve"> below. Any determination, decision or election</w:t>
      </w:r>
    </w:p>
    <w:p>
      <w:pPr>
        <w:spacing w:after="0" w:line="6"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 xml:space="preserve">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including any determination with respect to a tenor, rate or adjustment or of the occurrence or non-occurrence of an event,</w:t>
      </w:r>
    </w:p>
    <w:p>
      <w:pPr>
        <w:ind w:left="660"/>
        <w:spacing w:after="0" w:line="211" w:lineRule="auto"/>
        <w:rPr>
          <w:sz w:val="20"/>
          <w:szCs w:val="20"/>
          <w:color w:val="auto"/>
        </w:rPr>
      </w:pPr>
      <w:r>
        <w:rPr>
          <w:rFonts w:ascii="Times New Roman" w:cs="Times New Roman" w:eastAsia="Times New Roman" w:hAnsi="Times New Roman"/>
          <w:sz w:val="20"/>
          <w:szCs w:val="20"/>
          <w:color w:val="auto"/>
        </w:rPr>
        <w:t>circumstance or date and any decision to take or refrain from taking any action or any selection, will be conclusive and binding</w:t>
      </w:r>
    </w:p>
    <w:p>
      <w:pPr>
        <w:spacing w:after="0" w:line="1"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 xml:space="preserve">absent manifest error and may be made in its or their sole discretion and without consent from any other party to this Agreement or any other Credit Document, except, in each case, as expressly required pursuant to this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660" w:firstLine="644"/>
        <w:spacing w:after="0" w:line="211" w:lineRule="auto"/>
        <w:tabs>
          <w:tab w:leader="none" w:pos="194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or in any other Credit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65"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4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Borrower’s receipt of notice of the commencement of a Benchmark Unavailability Period, the Borrower may revoke any pending request for a SOFR Loan of, conversion to or continuation of SOFR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6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1.11 </w:t>
      </w:r>
      <w:r>
        <w:rPr>
          <w:rFonts w:ascii="Times New Roman" w:cs="Times New Roman" w:eastAsia="Times New Roman" w:hAnsi="Times New Roman"/>
          <w:sz w:val="19"/>
          <w:szCs w:val="19"/>
          <w:u w:val="single" w:color="auto"/>
          <w:color w:val="auto"/>
        </w:rPr>
        <w:t>Compensation</w:t>
      </w:r>
      <w:r>
        <w:rPr>
          <w:rFonts w:ascii="Times New Roman" w:cs="Times New Roman" w:eastAsia="Times New Roman" w:hAnsi="Times New Roman"/>
          <w:sz w:val="19"/>
          <w:szCs w:val="19"/>
          <w:color w:val="auto"/>
        </w:rPr>
        <w:t xml:space="preserve">. If (a) any payment of principal of any SOFR Loan is made by the Borrower to or for the account of a Lender other than on the last day of the Interest Period for such SOFR Loan as a result of a payment or conversion pursuant to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2.10</w:t>
      </w:r>
      <w:r>
        <w:rPr>
          <w:rFonts w:ascii="Times New Roman" w:cs="Times New Roman" w:eastAsia="Times New Roman" w:hAnsi="Times New Roman"/>
          <w:sz w:val="19"/>
          <w:szCs w:val="19"/>
          <w:color w:val="auto"/>
        </w:rPr>
        <w:t>,</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13.7</w:t>
      </w:r>
      <w:r>
        <w:rPr>
          <w:rFonts w:ascii="Times New Roman" w:cs="Times New Roman" w:eastAsia="Times New Roman" w:hAnsi="Times New Roman"/>
          <w:sz w:val="20"/>
          <w:szCs w:val="20"/>
          <w:color w:val="auto"/>
        </w:rPr>
        <w:t xml:space="preserve">, as a result of acceleration of the maturity of the Loans pursuant to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or for any other reason, (b) any Borrowing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SOFR Loans is not made on the date specified in a Notice of Borrowing, (c) any ABR Loan is not converted into a SOFR Loan on the date specified in a Notice of Conversion or Continuation, (d) any SOFR Loan is not continued as a SOFR Loan on the date specified in a Notice</w:t>
      </w:r>
    </w:p>
    <w:p>
      <w:pPr>
        <w:spacing w:after="0" w:line="211" w:lineRule="auto"/>
        <w:rPr>
          <w:sz w:val="20"/>
          <w:szCs w:val="20"/>
          <w:color w:val="auto"/>
        </w:rPr>
      </w:pPr>
      <w:r>
        <w:rPr>
          <w:rFonts w:ascii="Times New Roman" w:cs="Times New Roman" w:eastAsia="Times New Roman" w:hAnsi="Times New Roman"/>
          <w:sz w:val="20"/>
          <w:szCs w:val="20"/>
          <w:color w:val="auto"/>
        </w:rPr>
        <w:t>of Conversion or Continuation or (e) any prepayment of principal of any SOFR Loan is not made as a result of a withdrawn notice of</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prepayment pursuant to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5.2</w:t>
      </w:r>
      <w:r>
        <w:rPr>
          <w:rFonts w:ascii="Times New Roman" w:cs="Times New Roman" w:eastAsia="Times New Roman" w:hAnsi="Times New Roman"/>
          <w:sz w:val="19"/>
          <w:szCs w:val="19"/>
          <w:color w:val="auto"/>
        </w:rPr>
        <w:t>, the Borrower shall after the Borrower’s receipt of a written request by such Lender (which request shall set forth in reasonable detail the basis for requesting such amount and shall be conclusive and binding in the absence of manifest error),</w:t>
      </w:r>
    </w:p>
    <w:p>
      <w:pPr>
        <w:spacing w:after="0" w:line="211" w:lineRule="auto"/>
        <w:rPr>
          <w:sz w:val="20"/>
          <w:szCs w:val="20"/>
          <w:color w:val="auto"/>
        </w:rPr>
      </w:pPr>
      <w:r>
        <w:rPr>
          <w:rFonts w:ascii="Times New Roman" w:cs="Times New Roman" w:eastAsia="Times New Roman" w:hAnsi="Times New Roman"/>
          <w:sz w:val="20"/>
          <w:szCs w:val="20"/>
          <w:color w:val="auto"/>
        </w:rPr>
        <w:t>pay to the Administrative Agent (within fifteen (15) days after such request) for the account of such Lender any amounts required to</w:t>
      </w:r>
    </w:p>
    <w:p>
      <w:pPr>
        <w:jc w:val="both"/>
        <w:spacing w:after="0" w:line="204" w:lineRule="auto"/>
        <w:rPr>
          <w:sz w:val="20"/>
          <w:szCs w:val="20"/>
          <w:color w:val="auto"/>
        </w:rPr>
      </w:pPr>
      <w:r>
        <w:rPr>
          <w:rFonts w:ascii="Times New Roman" w:cs="Times New Roman" w:eastAsia="Times New Roman" w:hAnsi="Times New Roman"/>
          <w:sz w:val="20"/>
          <w:szCs w:val="20"/>
          <w:color w:val="auto"/>
        </w:rPr>
        <w:t>compensate such Lender for any additional losses, costs or expenses that such Lender may reasonably incur as a result of such payment, failure to convert, failure to continue or failure to prepay, including any loss, cost or expense (excluding loss of anticipated profits) actually</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incurred by reason of the liquidation or reemployment of deposits or other funds acquired by any Lender to fund or maintain such SOFR Loan.</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Change of Lending Office</w:t>
      </w:r>
      <w:r>
        <w:rPr>
          <w:rFonts w:ascii="Times New Roman" w:cs="Times New Roman" w:eastAsia="Times New Roman" w:hAnsi="Times New Roman"/>
          <w:sz w:val="20"/>
          <w:szCs w:val="20"/>
          <w:color w:val="auto"/>
        </w:rPr>
        <w:t xml:space="preserve">. Each Lender agrees that, upon the occurrence of any event giving rise to the operation of </w:t>
      </w:r>
      <w:r>
        <w:rPr>
          <w:rFonts w:ascii="Times New Roman" w:cs="Times New Roman" w:eastAsia="Times New Roman" w:hAnsi="Times New Roman"/>
          <w:sz w:val="20"/>
          <w:szCs w:val="20"/>
          <w:u w:val="single" w:color="auto"/>
          <w:color w:val="auto"/>
        </w:rPr>
        <w:t>Section 2.10(a)(ii)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2.10(a)(iii)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with respect to such Lender, it will, if requested by the Borrower use reasonable efforts (subject to overall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39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9"/>
          <w:szCs w:val="19"/>
          <w:color w:val="auto"/>
        </w:rPr>
        <w:t xml:space="preserve">considerations of such Lender) to designate another lending office for any Loans affected by such event;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designation does</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not cause such Lender or its lending office to suffer any economic, legal or regulatory disadvantage, with the object of avoiding the consequence of the event giving rise to the operation of any such Section. Nothing in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shall affect or postpone any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obligations of the Borrower or the right of any Lender provided in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u w:val="single" w:color="auto"/>
          <w:color w:val="auto"/>
        </w:rPr>
        <w:t>Notice of Certain Costs</w:t>
      </w:r>
      <w:r>
        <w:rPr>
          <w:rFonts w:ascii="Times New Roman" w:cs="Times New Roman" w:eastAsia="Times New Roman" w:hAnsi="Times New Roman"/>
          <w:sz w:val="20"/>
          <w:szCs w:val="20"/>
          <w:color w:val="auto"/>
        </w:rPr>
        <w:t xml:space="preserve">. Notwithstanding anything in this Agreement to the contrary, to the extent any notice required by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is given by any Lender more than one hundred eighty (180) days after such Lender has knowledge (or should have had</w:t>
      </w:r>
    </w:p>
    <w:p>
      <w:pPr>
        <w:spacing w:after="0" w:line="224" w:lineRule="auto"/>
        <w:rPr>
          <w:sz w:val="20"/>
          <w:szCs w:val="20"/>
          <w:color w:val="auto"/>
        </w:rPr>
      </w:pPr>
      <w:r>
        <w:rPr>
          <w:rFonts w:ascii="Times New Roman" w:cs="Times New Roman" w:eastAsia="Times New Roman" w:hAnsi="Times New Roman"/>
          <w:sz w:val="19"/>
          <w:szCs w:val="19"/>
          <w:color w:val="auto"/>
        </w:rPr>
        <w:t>knowledge) of the occurrence of the event giving rise to the additional cost, reduction in amounts, loss or other additional amounts described</w:t>
      </w:r>
    </w:p>
    <w:p>
      <w:pPr>
        <w:spacing w:after="0" w:line="181" w:lineRule="auto"/>
        <w:rPr>
          <w:sz w:val="20"/>
          <w:szCs w:val="20"/>
          <w:color w:val="auto"/>
        </w:rPr>
      </w:pPr>
      <w:r>
        <w:rPr>
          <w:rFonts w:ascii="Times New Roman" w:cs="Times New Roman" w:eastAsia="Times New Roman" w:hAnsi="Times New Roman"/>
          <w:sz w:val="20"/>
          <w:szCs w:val="20"/>
          <w:color w:val="auto"/>
        </w:rPr>
        <w:t xml:space="preserve">in such Sections, such Lender shall not be entitled to compensation under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as the case may be, for any such amounts incurred or accruing prior to the 181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day prior to the giving of such notice to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circumstance giving rise 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such claim is retroactive, then such one hundred eighty (180)-day period referred to above shall be extended to include the period of retroactive effect thereof.</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u w:val="single" w:color="auto"/>
          <w:color w:val="auto"/>
        </w:rPr>
        <w:t>Borrowing Base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6" w:lineRule="auto"/>
        <w:tabs>
          <w:tab w:leader="none" w:pos="128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Borrowing Base</w:t>
      </w:r>
      <w:r>
        <w:rPr>
          <w:rFonts w:ascii="Times New Roman" w:cs="Times New Roman" w:eastAsia="Times New Roman" w:hAnsi="Times New Roman"/>
          <w:sz w:val="20"/>
          <w:szCs w:val="20"/>
          <w:color w:val="auto"/>
        </w:rPr>
        <w:t xml:space="preserve">. For the period from and including the Closing Date to but excluding the first Redetermination Date, the Borrowing Base shall be equal to $1,200,000,000. Notwithstanding the foregoing, the Borrowing Base may be subject to further adjustments from time to time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656"/>
        <w:spacing w:after="0" w:line="207" w:lineRule="auto"/>
        <w:tabs>
          <w:tab w:leader="none" w:pos="128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and Interim Redeterminations</w:t>
      </w:r>
      <w:r>
        <w:rPr>
          <w:rFonts w:ascii="Times New Roman" w:cs="Times New Roman" w:eastAsia="Times New Roman" w:hAnsi="Times New Roman"/>
          <w:sz w:val="20"/>
          <w:szCs w:val="20"/>
          <w:color w:val="auto"/>
        </w:rPr>
        <w:t xml:space="preserve">. The Borrowing Base shall be redetermined semi-annually in accordance with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Scheduled Redetermination</w:t>
      </w:r>
      <w:r>
        <w:rPr>
          <w:rFonts w:ascii="Times New Roman" w:cs="Times New Roman" w:eastAsia="Times New Roman" w:hAnsi="Times New Roman"/>
          <w:sz w:val="20"/>
          <w:szCs w:val="20"/>
          <w:color w:val="auto"/>
        </w:rPr>
        <w:t xml:space="preserve">”), and, subject to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 such redetermined Borrowing Base shall become effective and applicable to the Borrower, the Administrative Agent, the Issuing Banks and the Lenders on or about April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and October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of each year (or as promptly as possible thereafter), commencing on or about October 1, 2023. In addition, following the first Scheduled Redetermination Date of October 1, 2023, (i) the Borrower may at any time, by notifying the Administrative Agent thereof not more than once during any period between Scheduled Redeterminations and not more than once during any fiscal year; and (ii) the Administrative Agent, may at any time, at the written direction of the Required Lenders, by written notice to the Borrower thereof, not more than once during any period between Scheduled Redeterminations and not more than once during any fiscal year, in each case, elect to cause the Borrowing Base to be redetermined between Scheduled Redeterminations (an “</w:t>
      </w:r>
      <w:r>
        <w:rPr>
          <w:rFonts w:ascii="Times New Roman" w:cs="Times New Roman" w:eastAsia="Times New Roman" w:hAnsi="Times New Roman"/>
          <w:sz w:val="20"/>
          <w:szCs w:val="20"/>
          <w:u w:val="single" w:color="auto"/>
          <w:color w:val="auto"/>
        </w:rPr>
        <w:t>Interim Redetermination</w:t>
      </w:r>
      <w:r>
        <w:rPr>
          <w:rFonts w:ascii="Times New Roman" w:cs="Times New Roman" w:eastAsia="Times New Roman" w:hAnsi="Times New Roman"/>
          <w:sz w:val="20"/>
          <w:szCs w:val="20"/>
          <w:color w:val="auto"/>
        </w:rPr>
        <w:t xml:space="preserve">”) in accordance with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In addition to, and not including and/or limited by the annual Interim Redeterminations allowed above, the Borrower may, by notifying the Administrative Agent thereof, at any time between Scheduled Redeterminations, request additional Interim Redeterminations of the Borrowing Base in the event that a Credit Party acquires Oil and Gas Properties which are to be Borrowing Base Properties with Proved Reserves having a PV-9 value (calculated at the time of acquisition) in excess of five percent (5.0%) of the Borrowing Base in effect immediately prior to such acquisition (and for purposes of the foregoing, the designation of an Unrestricted Subsidiary owning Oil and Gas Properties with Proved Reserves as a Restricted Subsidiary shall be deemed to constitute an acquisition by a Credit Party of Oil and Gas Properties with Proved Reserves).</w:t>
      </w:r>
    </w:p>
    <w:p>
      <w:pPr>
        <w:spacing w:after="0" w:line="15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Scheduled and Interim Redetermination Procedure.</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54"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Scheduled Redetermination and each Interim Redetermination shall be effectuated as follows: Upon receipt by the Administrative Agent of the Reserve Report, the Reserve Report Certificate, the information provided pursuant to </w:t>
      </w:r>
      <w:r>
        <w:rPr>
          <w:rFonts w:ascii="Times New Roman" w:cs="Times New Roman" w:eastAsia="Times New Roman" w:hAnsi="Times New Roman"/>
          <w:sz w:val="20"/>
          <w:szCs w:val="20"/>
          <w:u w:val="single" w:color="auto"/>
          <w:color w:val="auto"/>
        </w:rPr>
        <w:t>Section 9.13(c)</w:t>
      </w:r>
      <w:r>
        <w:rPr>
          <w:rFonts w:ascii="Times New Roman" w:cs="Times New Roman" w:eastAsia="Times New Roman" w:hAnsi="Times New Roman"/>
          <w:sz w:val="20"/>
          <w:szCs w:val="20"/>
          <w:color w:val="auto"/>
        </w:rPr>
        <w:t xml:space="preserve"> and such other related reports, data and supplemental information as the Administrative Agent or the Required Lenders may reasonably request (the Reserve Report, such Reserve Report Certificate and such other related reports, data and information being the “</w:t>
      </w:r>
      <w:r>
        <w:rPr>
          <w:rFonts w:ascii="Times New Roman" w:cs="Times New Roman" w:eastAsia="Times New Roman" w:hAnsi="Times New Roman"/>
          <w:sz w:val="20"/>
          <w:szCs w:val="20"/>
          <w:u w:val="single" w:color="auto"/>
          <w:color w:val="auto"/>
        </w:rPr>
        <w:t>Engineering Reports</w:t>
      </w:r>
      <w:r>
        <w:rPr>
          <w:rFonts w:ascii="Times New Roman" w:cs="Times New Roman" w:eastAsia="Times New Roman" w:hAnsi="Times New Roman"/>
          <w:sz w:val="20"/>
          <w:szCs w:val="20"/>
          <w:color w:val="auto"/>
        </w:rPr>
        <w:t>”), the Administrative Agent shall evaluate the information contained in the Engineering Reports and shall in good faith and based upon its sole credit discretion propose a new Borrowing Base (the “</w:t>
      </w:r>
      <w:r>
        <w:rPr>
          <w:rFonts w:ascii="Times New Roman" w:cs="Times New Roman" w:eastAsia="Times New Roman" w:hAnsi="Times New Roman"/>
          <w:sz w:val="20"/>
          <w:szCs w:val="20"/>
          <w:u w:val="single" w:color="auto"/>
          <w:color w:val="auto"/>
        </w:rPr>
        <w:t>Proposed Borrowing Base</w:t>
      </w:r>
      <w:r>
        <w:rPr>
          <w:rFonts w:ascii="Times New Roman" w:cs="Times New Roman" w:eastAsia="Times New Roman" w:hAnsi="Times New Roman"/>
          <w:sz w:val="20"/>
          <w:szCs w:val="20"/>
          <w:color w:val="auto"/>
        </w:rPr>
        <w:t>”) based upon such information and such other related information (including the status of title information with respect to the Borrowing Base Properties as described in the Engineering Reports and the existence of any Hedge Agreements) in good faith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395" w:right="339" w:bottom="1440" w:gutter="0" w:footer="0" w:header="0"/>
        </w:sectPr>
      </w:pPr>
    </w:p>
    <w:bookmarkStart w:id="105" w:name="page106"/>
    <w:bookmarkEnd w:id="105"/>
    <w:p>
      <w:pPr>
        <w:ind w:left="660"/>
        <w:spacing w:after="0"/>
        <w:rPr>
          <w:sz w:val="20"/>
          <w:szCs w:val="20"/>
          <w:color w:val="auto"/>
        </w:rPr>
      </w:pPr>
      <w:r>
        <w:rPr>
          <w:rFonts w:ascii="Times New Roman" w:cs="Times New Roman" w:eastAsia="Times New Roman" w:hAnsi="Times New Roman"/>
          <w:sz w:val="19"/>
          <w:szCs w:val="19"/>
          <w:color w:val="auto"/>
        </w:rPr>
        <w:t>with its usual and customary oil and gas lending criteria as they exist at the particular time. For the avoidance of doubt, in the case of</w:t>
      </w:r>
    </w:p>
    <w:p>
      <w:pPr>
        <w:spacing w:after="0" w:line="6"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an Interim Redetermination, the Administrative Agent may utilize the Engineering Reports delivered in connection with the last Scheduled Redetermination,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the Administrative Agent may in its sole discretion request Borrower-generated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supplemental Engineering Reports in connection with such Interim Redetermination.</w:t>
      </w:r>
    </w:p>
    <w:p>
      <w:pPr>
        <w:spacing w:after="0" w:line="167" w:lineRule="exact"/>
        <w:rPr>
          <w:sz w:val="20"/>
          <w:szCs w:val="20"/>
          <w:color w:val="auto"/>
        </w:rPr>
      </w:pPr>
    </w:p>
    <w:p>
      <w:pPr>
        <w:ind w:left="660" w:firstLine="644"/>
        <w:spacing w:after="0" w:line="233" w:lineRule="auto"/>
        <w:tabs>
          <w:tab w:leader="none" w:pos="1955"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notify the Borrower and the Lenders of the Proposed Borrowing Base (the “</w:t>
      </w:r>
      <w:r>
        <w:rPr>
          <w:rFonts w:ascii="Times New Roman" w:cs="Times New Roman" w:eastAsia="Times New Roman" w:hAnsi="Times New Roman"/>
          <w:sz w:val="20"/>
          <w:szCs w:val="20"/>
          <w:u w:val="single" w:color="auto"/>
          <w:color w:val="auto"/>
        </w:rPr>
        <w:t>Proposed Borrowing Base Notice</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27" w:lineRule="auto"/>
        <w:tabs>
          <w:tab w:leader="none" w:pos="2587" w:val="left"/>
        </w:tabs>
        <w:numPr>
          <w:ilvl w:val="2"/>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Scheduled Redetermination, (1) if the Administrative Agent shall have received the Engineering Reports required to be delivered by the Borrower pursuant to </w:t>
      </w:r>
      <w:r>
        <w:rPr>
          <w:rFonts w:ascii="Times New Roman" w:cs="Times New Roman" w:eastAsia="Times New Roman" w:hAnsi="Times New Roman"/>
          <w:sz w:val="19"/>
          <w:szCs w:val="19"/>
          <w:u w:val="single" w:color="auto"/>
          <w:color w:val="auto"/>
        </w:rPr>
        <w:t>Sections 9.13(a)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in a timely manner, within ten (10) Business Days following its receipt of such Engineering Reports or (2) if the Administrative Agent shall not have received the Engineering Reports required to be delivered by the Borrower pursuant to </w:t>
      </w:r>
      <w:r>
        <w:rPr>
          <w:rFonts w:ascii="Times New Roman" w:cs="Times New Roman" w:eastAsia="Times New Roman" w:hAnsi="Times New Roman"/>
          <w:sz w:val="19"/>
          <w:szCs w:val="19"/>
          <w:u w:val="single" w:color="auto"/>
          <w:color w:val="auto"/>
        </w:rPr>
        <w:t>Sections 9.13(a)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in a timely manner, then promptly after the Administrative Agent has received complete Engineering Reports from the Borrower and has had a reasonable opportunity to determine the Proposed Borrowing Base in accordance with </w:t>
      </w:r>
      <w:r>
        <w:rPr>
          <w:rFonts w:ascii="Times New Roman" w:cs="Times New Roman" w:eastAsia="Times New Roman" w:hAnsi="Times New Roman"/>
          <w:sz w:val="19"/>
          <w:szCs w:val="19"/>
          <w:u w:val="single" w:color="auto"/>
          <w:color w:val="auto"/>
        </w:rPr>
        <w:t>Section 2.14(c)(i)</w:t>
      </w:r>
      <w:r>
        <w:rPr>
          <w:rFonts w:ascii="Times New Roman" w:cs="Times New Roman" w:eastAsia="Times New Roman" w:hAnsi="Times New Roman"/>
          <w:sz w:val="19"/>
          <w:szCs w:val="19"/>
          <w:color w:val="auto"/>
        </w:rPr>
        <w:t>; and</w:t>
      </w:r>
    </w:p>
    <w:p>
      <w:pPr>
        <w:spacing w:after="0" w:line="164" w:lineRule="exact"/>
        <w:rPr>
          <w:rFonts w:ascii="Times New Roman" w:cs="Times New Roman" w:eastAsia="Times New Roman" w:hAnsi="Times New Roman"/>
          <w:sz w:val="19"/>
          <w:szCs w:val="19"/>
          <w:color w:val="auto"/>
        </w:rPr>
      </w:pPr>
    </w:p>
    <w:p>
      <w:pPr>
        <w:jc w:val="both"/>
        <w:ind w:left="1300" w:firstLine="652"/>
        <w:spacing w:after="0" w:line="226" w:lineRule="auto"/>
        <w:tabs>
          <w:tab w:leader="none" w:pos="2590"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Interim Redetermination, promptly, and in any event, within fifteen (15) days after the Administrative Agent has received the required Engineering Reports (or such later date to which the Borrower and the Administrative Agent may agree in their respective sole discretion).</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0" w:lineRule="auto"/>
        <w:tabs>
          <w:tab w:leader="none" w:pos="195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Proposed Borrowing Base that would increase the Borrowing Base then in effect must be approved by each Lender in each such Lender’s sole discretion and consistent with each such Lender’s normal and customary oil and gas lending criteria as they exist at the particular time as provided in this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 xml:space="preserve"> and any Proposed Borrowing Base that would decrease or maintain the Borrowing Base then in effect must be approved by Lenders constituting at least the Required Lenders in each such Lender’s sole discretion and consistent with each such Lender’s normal and customary oil and gas lending criteria as they exist at the particular time as provided in this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 xml:space="preserve">. Upon receipt of the Proposed Borrowing Base Notice, each Lender shall have fifteen (15) Business Days to agree with the Proposed Borrowing Base or disagree with the Proposed Borrowing Base by proposing an alternate Borrowing Base. If at the end of such 15-Business Day period, all of the Lenders, in the case of a Proposed Borrowing Base that would increase the Borrowing Base then in effect, or the Required Lenders, in the case of a Proposed Borrowing Base that would decrease or maintain the Borrowing Base then in effect, have approved, then the Proposed Borrowing Base shall become the new Borrowing Base, effective on the date specified in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 xml:space="preserve">. If, however, at the end of such 15-Business Day period, all Lenders or the Required Lenders, as applicable, have not approved, then the Administrative Agent shall promptly thereafter poll the Lenders to ascertain the highest Borrowing Base then acceptable to (a) in the case of a decrease or reaffirmation, a number of Lenders sufficient to constitute the Required Lenders or (b) in the case of an increase, all of the Lenders, and such amount shall become the new Borrowing Base, effective on the date specified in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 of a Redetermined Borrowing Base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2.14(h)</w:t>
      </w:r>
      <w:r>
        <w:rPr>
          <w:rFonts w:ascii="Times New Roman" w:cs="Times New Roman" w:eastAsia="Times New Roman" w:hAnsi="Times New Roman"/>
          <w:sz w:val="20"/>
          <w:szCs w:val="20"/>
          <w:color w:val="auto"/>
        </w:rPr>
        <w:t xml:space="preserve">, after a redetermined Borrowing Base is approved by each Lender or the Required Lenders, as applicable, pursuant to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 the Administrative Agent shall promptly thereafter notify the Borrower and the Lenders of the amount of the redetermined Borrowing Base (the “</w:t>
      </w:r>
      <w:r>
        <w:rPr>
          <w:rFonts w:ascii="Times New Roman" w:cs="Times New Roman" w:eastAsia="Times New Roman" w:hAnsi="Times New Roman"/>
          <w:sz w:val="20"/>
          <w:szCs w:val="20"/>
          <w:u w:val="single" w:color="auto"/>
          <w:color w:val="auto"/>
        </w:rPr>
        <w:t>New Borrowing Base Notice</w:t>
      </w:r>
      <w:r>
        <w:rPr>
          <w:rFonts w:ascii="Times New Roman" w:cs="Times New Roman" w:eastAsia="Times New Roman" w:hAnsi="Times New Roman"/>
          <w:sz w:val="20"/>
          <w:szCs w:val="20"/>
          <w:color w:val="auto"/>
        </w:rPr>
        <w:t>”), and such amount shall become the new Borrowing Base, effective and applicable to the Borrower, the Administrative Agent, the Issuing Banks and the Lenders: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Scheduled Redetermination, on the earlier to occur of (A) April 1 or October 1, as applicable, following such notice, or (B) if such notice is not delivered on or before April 1 or October 1, as applicable, then on the day of delivery of such New Borrowing Base Notice;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399" w:right="339" w:bottom="1440" w:gutter="0" w:footer="0" w:header="0"/>
        </w:sectPr>
      </w:pPr>
    </w:p>
    <w:bookmarkStart w:id="106" w:name="page107"/>
    <w:bookmarkEnd w:id="106"/>
    <w:p>
      <w:pPr>
        <w:ind w:left="1960" w:hanging="656"/>
        <w:spacing w:after="0"/>
        <w:tabs>
          <w:tab w:leader="none" w:pos="19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Interim Redetermination, on the day of delivery of such New Borrowing Base Notice.</w:t>
      </w:r>
    </w:p>
    <w:p>
      <w:pPr>
        <w:spacing w:after="0" w:line="189"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Such amount shall then become the Borrowing Base until the next Scheduled Redetermination Date, the next redetermination or modification thereof hereunder. Notwithstanding the foregoing, no Scheduled Redetermination or Interim</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Redetermination shall become effective until the New Borrowing Base Notice related thereto delivered to the Borrower in accordance with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firstLine="656"/>
        <w:spacing w:after="0" w:line="215" w:lineRule="auto"/>
        <w:tabs>
          <w:tab w:leader="none" w:pos="128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Reduction of Borrowing Base Upon Incurrence of Borrowing Base Reduction Debt</w:t>
      </w:r>
      <w:r>
        <w:rPr>
          <w:rFonts w:ascii="Times New Roman" w:cs="Times New Roman" w:eastAsia="Times New Roman" w:hAnsi="Times New Roman"/>
          <w:sz w:val="20"/>
          <w:szCs w:val="20"/>
          <w:color w:val="auto"/>
        </w:rPr>
        <w:t xml:space="preserve">. The Borrowing Base shall be reduced upon the issuance or incurrence of any Borrowing Base Reduction Debt after the Closing Date (other than Borrowing Base Reduction Debt constituting Permitted Refinancing Indebtedness incurred to Refinance such Indebtedness, but only to the extent that the aggregate principal amount of Permitted Refinancing Indebtedness incurred to Refinance such Indebtedness does not exceed the principal amount of the Refinanced Indebtedness) by an amount equal to the product of 0.25 </w:t>
      </w:r>
      <w:r>
        <w:rPr>
          <w:rFonts w:ascii="Times New Roman" w:cs="Times New Roman" w:eastAsia="Times New Roman" w:hAnsi="Times New Roman"/>
          <w:sz w:val="20"/>
          <w:szCs w:val="20"/>
          <w:u w:val="single" w:color="auto"/>
          <w:color w:val="auto"/>
        </w:rPr>
        <w:t>multiplied</w:t>
      </w:r>
      <w:r>
        <w:rPr>
          <w:rFonts w:ascii="Times New Roman" w:cs="Times New Roman" w:eastAsia="Times New Roman" w:hAnsi="Times New Roman"/>
          <w:sz w:val="20"/>
          <w:szCs w:val="20"/>
          <w:color w:val="auto"/>
        </w:rPr>
        <w:t xml:space="preserve"> by the stated principal amount of such Borrowing Base Reduction Debt (without regard to any original issue discount), and the Borrowing Base as so reduced shall become the new Borrowing Base immediately upon the date of such issuance or incurrence, effective and applicable to the Borrower, the Administrative Agent, the Issuing Banks and the Lenders on such date until the next redetermination or modification thereof hereunder.</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of Borrowing Base Upon Termination of Hedge Positions and Asset Dispositions.</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44" w:lineRule="auto"/>
        <w:tabs>
          <w:tab w:leader="none" w:pos="1954"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Borrower or any Restricted Subsidiary shall terminate, unwind or create any off-setting positions in respect of any commodity hedge positions (whether evidenced by a floor, put or Hedge Agreement) (for the avoidance of doubt, excluding any novation of any Hedge Agreements with respect to which the Borrower or applicable Restricted Subsidiary remains a party), and/or</w:t>
      </w:r>
    </w:p>
    <w:p>
      <w:pPr>
        <w:spacing w:after="0" w:line="143" w:lineRule="exact"/>
        <w:rPr>
          <w:rFonts w:ascii="Times New Roman" w:cs="Times New Roman" w:eastAsia="Times New Roman" w:hAnsi="Times New Roman"/>
          <w:sz w:val="19"/>
          <w:szCs w:val="19"/>
          <w:color w:val="auto"/>
        </w:rPr>
      </w:pPr>
    </w:p>
    <w:p>
      <w:pPr>
        <w:jc w:val="both"/>
        <w:ind w:left="660" w:firstLine="644"/>
        <w:spacing w:after="0" w:line="226" w:lineRule="auto"/>
        <w:tabs>
          <w:tab w:leader="none" w:pos="1955"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or one of the other Credit Parties Disposes of Borrowing Base Properties (including pursuant to an Investment or designation of Unrestricted Subsidiary) or Disposes of any Equity Interests in any Restricted Subsidiary owning Borrowing Base Properties, and</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1" w:lineRule="auto"/>
        <w:tabs>
          <w:tab w:leader="none" w:pos="1956"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sum of (x) the aggregate Borrowing Base Value of all such terminated, unwound and/or offsetting positions (after taking into account any other similar Hedge Agreement executed contemporaneously with the taking of such actions acceptable to the Required Lenders)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(y) the aggregate Borrowing Base Value of all such Borrowing Base Properties Disposed of (after giving effect to any acquisitions of and other investments in Oil and Gas Properties by the Borrower and the Grantors with respect to which the Borrower has delivered a Reserve Report in accordance with </w:t>
      </w:r>
      <w:r>
        <w:rPr>
          <w:rFonts w:ascii="Times New Roman" w:cs="Times New Roman" w:eastAsia="Times New Roman" w:hAnsi="Times New Roman"/>
          <w:sz w:val="19"/>
          <w:szCs w:val="19"/>
          <w:u w:val="single" w:color="auto"/>
          <w:color w:val="auto"/>
        </w:rPr>
        <w:t>Section 9.13(b)</w:t>
      </w:r>
      <w:r>
        <w:rPr>
          <w:rFonts w:ascii="Times New Roman" w:cs="Times New Roman" w:eastAsia="Times New Roman" w:hAnsi="Times New Roman"/>
          <w:sz w:val="19"/>
          <w:szCs w:val="19"/>
          <w:color w:val="auto"/>
        </w:rPr>
        <w:t xml:space="preserve"> since the last Borrowing Base redetermination or adjustment pursuant to this </w:t>
      </w:r>
      <w:r>
        <w:rPr>
          <w:rFonts w:ascii="Times New Roman" w:cs="Times New Roman" w:eastAsia="Times New Roman" w:hAnsi="Times New Roman"/>
          <w:sz w:val="19"/>
          <w:szCs w:val="19"/>
          <w:u w:val="single" w:color="auto"/>
          <w:color w:val="auto"/>
        </w:rPr>
        <w:t>Section 2.14(f)</w:t>
      </w:r>
      <w:r>
        <w:rPr>
          <w:rFonts w:ascii="Times New Roman" w:cs="Times New Roman" w:eastAsia="Times New Roman" w:hAnsi="Times New Roman"/>
          <w:sz w:val="19"/>
          <w:szCs w:val="19"/>
          <w:color w:val="auto"/>
        </w:rPr>
        <w:t>), in each case, since the later of (A) the most recent Scheduled Redetermination Date and</w:t>
      </w:r>
    </w:p>
    <w:p>
      <w:pPr>
        <w:spacing w:after="0" w:line="2" w:lineRule="exact"/>
        <w:rPr>
          <w:rFonts w:ascii="Times New Roman" w:cs="Times New Roman" w:eastAsia="Times New Roman" w:hAnsi="Times New Roman"/>
          <w:sz w:val="19"/>
          <w:szCs w:val="19"/>
          <w:color w:val="auto"/>
        </w:rPr>
      </w:pPr>
    </w:p>
    <w:p>
      <w:pPr>
        <w:jc w:val="both"/>
        <w:ind w:left="660"/>
        <w:spacing w:after="0" w:line="20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(B) the last adjustment of the Borrowing Base made pursuant to this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exceeds five percent (5.0%) of the then-effective Borrowing Base, then upon the approval or deemed approval of the Borrowing Base Value pursuant to the definition thereof, the Borrowing Base shall automatically reduce by an amount equal to the sum of (1) the Borrowing Base Value, if any, attributable to such terminated, unwound or off-setting hedge positions in the calculation of the then-effective Borrowing Base (after taking into account any other similar Hedge Agreement executed contemporaneously with the taking of such actions acceptable to the Required Lenders) and (2) an amount equal to the Borrowing Base Value, if any, attributable to such Disposed Borrowing Base Properties in the calculation of the then-effective Borrowing Base (after giving effect to any acquisitions of and other investments in Oil and Gas Properties by the Borrower and the Restricted Subsidiaries with respect to which the Borrower has delivered a Reserve Report in accordance with </w:t>
      </w:r>
      <w:r>
        <w:rPr>
          <w:rFonts w:ascii="Times New Roman" w:cs="Times New Roman" w:eastAsia="Times New Roman" w:hAnsi="Times New Roman"/>
          <w:sz w:val="20"/>
          <w:szCs w:val="20"/>
          <w:u w:val="single" w:color="auto"/>
          <w:color w:val="auto"/>
        </w:rPr>
        <w:t>Section 9.13(b)</w:t>
      </w:r>
      <w:r>
        <w:rPr>
          <w:rFonts w:ascii="Times New Roman" w:cs="Times New Roman" w:eastAsia="Times New Roman" w:hAnsi="Times New Roman"/>
          <w:sz w:val="20"/>
          <w:szCs w:val="20"/>
          <w:color w:val="auto"/>
        </w:rPr>
        <w:t xml:space="preserve"> since the last Borrowing Base redetermination or adjustment pursuant to this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The Administrative Agent shall promptly notify the Borrower in writing of the Borrowing Base Value, if any, attributable to such terminated, unwound or offsetting hedge positions and Disposed of Borrowing Base Properties in the calculation of the then-effective Borrowing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399" w:right="3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20"/>
          <w:szCs w:val="20"/>
          <w:color w:val="auto"/>
        </w:rPr>
        <w:t>and, upon receipt of such notice, the Borrowing Base shall be simultaneously reduced by such amount.</w:t>
      </w:r>
    </w:p>
    <w:p>
      <w:pPr>
        <w:spacing w:after="0" w:line="189" w:lineRule="exact"/>
        <w:rPr>
          <w:sz w:val="20"/>
          <w:szCs w:val="20"/>
          <w:color w:val="auto"/>
        </w:rPr>
      </w:pPr>
    </w:p>
    <w:p>
      <w:pPr>
        <w:jc w:val="both"/>
        <w:ind w:left="660" w:firstLine="644"/>
        <w:spacing w:after="0" w:line="216" w:lineRule="auto"/>
        <w:tabs>
          <w:tab w:leader="none" w:pos="1945"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purposes of this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a “Disposition” of Oil and Gas Properties shall include the designation of a Restricted Subsidiary owning Oil and Gas Properties as an Unrestricted Subsidiary, any Investment or capital contribution of Oil and Gas Properties, and the Disposition or other transfer of Oil and Gas Properties or the Equity Interests in any Restricted Subsidiary owning Oil and Gas Properties to an Unrestricted Subsidiary or any other Person that is not the Borrower or a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transfer of a Production Sharing Contract to a Production Sharing Entity shall not be deemed a Disposition for purposes of this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Reduction of Borrowing Base Related to Title</w:t>
      </w:r>
      <w:r>
        <w:rPr>
          <w:rFonts w:ascii="Times New Roman" w:cs="Times New Roman" w:eastAsia="Times New Roman" w:hAnsi="Times New Roman"/>
          <w:sz w:val="20"/>
          <w:szCs w:val="20"/>
          <w:color w:val="auto"/>
        </w:rPr>
        <w:t xml:space="preserve">. If (i) the Borrower fails to provide the information required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9.15(a)</w:t>
      </w:r>
      <w:r>
        <w:rPr>
          <w:rFonts w:ascii="Times New Roman" w:cs="Times New Roman" w:eastAsia="Times New Roman" w:hAnsi="Times New Roman"/>
          <w:sz w:val="20"/>
          <w:szCs w:val="20"/>
          <w:color w:val="auto"/>
        </w:rPr>
        <w:t xml:space="preserve"> within the time periods specified therein or (ii) any title defect or exception requested by the Administrative Agent to be cured pursuant to </w:t>
      </w:r>
      <w:r>
        <w:rPr>
          <w:rFonts w:ascii="Times New Roman" w:cs="Times New Roman" w:eastAsia="Times New Roman" w:hAnsi="Times New Roman"/>
          <w:sz w:val="20"/>
          <w:szCs w:val="20"/>
          <w:u w:val="single" w:color="auto"/>
          <w:color w:val="auto"/>
        </w:rPr>
        <w:t>Section 9.15(b)</w:t>
      </w:r>
      <w:r>
        <w:rPr>
          <w:rFonts w:ascii="Times New Roman" w:cs="Times New Roman" w:eastAsia="Times New Roman" w:hAnsi="Times New Roman"/>
          <w:sz w:val="20"/>
          <w:szCs w:val="20"/>
          <w:color w:val="auto"/>
        </w:rPr>
        <w:t xml:space="preserve"> is not cured within the time period specified therein, the Required Lenders shall have the right to adjust the Borrowing Base upon written notice (which such notice shall include the effective date of reduction) such that, after giving effect to such reduction, the Borrower shall have provided reasonably satisfactory title information in respect of the required percentage of the value of the Borrowing Base Properties, and upon the effective date of the reduction specified in the notice described above, the new Borrowing Base will become effective.</w:t>
      </w:r>
    </w:p>
    <w:p>
      <w:pPr>
        <w:spacing w:after="0" w:line="150"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Borrower’s Right to Elect Reduced Borrowing Base</w:t>
      </w:r>
      <w:r>
        <w:rPr>
          <w:rFonts w:ascii="Times New Roman" w:cs="Times New Roman" w:eastAsia="Times New Roman" w:hAnsi="Times New Roman"/>
          <w:sz w:val="20"/>
          <w:szCs w:val="20"/>
          <w:color w:val="auto"/>
        </w:rPr>
        <w:t xml:space="preserve">. Within three (3) Business Days of its receipt of a New Borrowing Base Notice, the Borrower may provide written notice to the Administrative Agent and the Lenders that specifies for the period from the effective date of the New Borrowing Base Notice until the next succeeding Scheduled Redetermination Date, the Borrowing Base will be a lesser amount than the amount set forth in such New Borrowing Base Notice, whereupon such specified lesser amount will become the new Borrowing Base. The Borrower’s notice under this </w:t>
      </w:r>
      <w:r>
        <w:rPr>
          <w:rFonts w:ascii="Times New Roman" w:cs="Times New Roman" w:eastAsia="Times New Roman" w:hAnsi="Times New Roman"/>
          <w:sz w:val="20"/>
          <w:szCs w:val="20"/>
          <w:u w:val="single" w:color="auto"/>
          <w:color w:val="auto"/>
        </w:rPr>
        <w:t>Section 2.14(h)</w:t>
      </w:r>
      <w:r>
        <w:rPr>
          <w:rFonts w:ascii="Times New Roman" w:cs="Times New Roman" w:eastAsia="Times New Roman" w:hAnsi="Times New Roman"/>
          <w:sz w:val="20"/>
          <w:szCs w:val="20"/>
          <w:color w:val="auto"/>
        </w:rPr>
        <w:t xml:space="preserve"> shall be irrevocable, but without prejudice to its rights to initiate Interim Redeterminations.</w:t>
      </w:r>
    </w:p>
    <w:p>
      <w:pPr>
        <w:spacing w:after="0" w:line="162" w:lineRule="exact"/>
        <w:rPr>
          <w:rFonts w:ascii="Times New Roman" w:cs="Times New Roman" w:eastAsia="Times New Roman" w:hAnsi="Times New Roman"/>
          <w:sz w:val="20"/>
          <w:szCs w:val="20"/>
          <w:color w:val="auto"/>
        </w:rPr>
      </w:pPr>
    </w:p>
    <w:p>
      <w:pPr>
        <w:jc w:val="both"/>
        <w:ind w:firstLine="656"/>
        <w:spacing w:after="0" w:line="220" w:lineRule="auto"/>
        <w:tabs>
          <w:tab w:leader="none" w:pos="129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Administrative Agent Data</w:t>
      </w:r>
      <w:r>
        <w:rPr>
          <w:rFonts w:ascii="Times New Roman" w:cs="Times New Roman" w:eastAsia="Times New Roman" w:hAnsi="Times New Roman"/>
          <w:sz w:val="20"/>
          <w:szCs w:val="20"/>
          <w:color w:val="auto"/>
        </w:rPr>
        <w:t>. The Administrative Agent hereby agrees to provide an updated Bank Price Deck to the Borrower promptly, and in any event within three (3) Business Days, following (i) its receipt of a request by the Borrower or (ii) its request for an Interim Redetermination. In addition, the Administrative Agent agrees, upon request, to meet with the Borrower to discuss its evaluation of the reservoir engineering of the Oil and Gas Properties included in the Reserve Report and their respective methodologies for valuing such properties and the other factors considered in calculating the Borrowing Base.</w:t>
      </w:r>
    </w:p>
    <w:p>
      <w:pPr>
        <w:spacing w:after="0" w:line="147"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Notwithstanding any provision of this Agreement to the contrary, if any Lender becomes a Defaulting Lender, then the following provisions shall apply for so long as such Lender is a Defaulting Lender:</w:t>
      </w:r>
    </w:p>
    <w:p>
      <w:pPr>
        <w:spacing w:after="0" w:line="142" w:lineRule="exact"/>
        <w:rPr>
          <w:sz w:val="20"/>
          <w:szCs w:val="20"/>
          <w:color w:val="auto"/>
        </w:rPr>
      </w:pPr>
    </w:p>
    <w:p>
      <w:pPr>
        <w:ind w:left="1300" w:hanging="644"/>
        <w:spacing w:after="0"/>
        <w:tabs>
          <w:tab w:leader="none" w:pos="130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 Fees shall cease to accrue on the unfunded portion of the Commitment of such Defaulting Lender pursuant to</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jc w:val="both"/>
        <w:ind w:firstLine="656"/>
        <w:spacing w:after="0" w:line="224" w:lineRule="auto"/>
        <w:tabs>
          <w:tab w:leader="none" w:pos="1284"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Commitment and Total Exposure of such Defaulting Lender shall not be included in determining whether all Lenders, the Majority Lenders or the Required Lenders or each affected Lender have taken or may take any action hereunder (including any consent to any amendment or waiver pursuant to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any waiver, amendment or modification requiring the consent of all Lenders pursuant to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 13.1(a)(x)</w:t>
      </w:r>
      <w:r>
        <w:rPr>
          <w:rFonts w:ascii="Times New Roman" w:cs="Times New Roman" w:eastAsia="Times New Roman" w:hAnsi="Times New Roman"/>
          <w:sz w:val="19"/>
          <w:szCs w:val="19"/>
          <w:color w:val="auto"/>
        </w:rPr>
        <w:t xml:space="preserve">) or requiring the consent of each affected Lender pursuant to </w:t>
      </w:r>
      <w:r>
        <w:rPr>
          <w:rFonts w:ascii="Times New Roman" w:cs="Times New Roman" w:eastAsia="Times New Roman" w:hAnsi="Times New Roman"/>
          <w:sz w:val="19"/>
          <w:szCs w:val="19"/>
          <w:u w:val="single" w:color="auto"/>
          <w:color w:val="auto"/>
        </w:rPr>
        <w:t>Section 13.1(a)</w:t>
      </w:r>
    </w:p>
    <w:p>
      <w:pPr>
        <w:spacing w:after="0" w:line="2" w:lineRule="exact"/>
        <w:rPr>
          <w:rFonts w:ascii="Times New Roman" w:cs="Times New Roman" w:eastAsia="Times New Roman" w:hAnsi="Times New Roman"/>
          <w:sz w:val="19"/>
          <w:szCs w:val="19"/>
          <w:color w:val="auto"/>
        </w:rPr>
      </w:pPr>
    </w:p>
    <w:p>
      <w:pPr>
        <w:jc w:val="both"/>
        <w:ind w:firstLine="8"/>
        <w:spacing w:after="0" w:line="212" w:lineRule="auto"/>
        <w:tabs>
          <w:tab w:leader="none" w:pos="243" w:val="left"/>
        </w:tabs>
        <w:numPr>
          <w:ilvl w:val="0"/>
          <w:numId w:val="7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(ix)</w:t>
      </w:r>
      <w:r>
        <w:rPr>
          <w:rFonts w:ascii="Times New Roman" w:cs="Times New Roman" w:eastAsia="Times New Roman" w:hAnsi="Times New Roman"/>
          <w:sz w:val="20"/>
          <w:szCs w:val="20"/>
          <w:color w:val="auto"/>
        </w:rPr>
        <w:t xml:space="preserve"> shall require the consent of such Defaulting Lender (which for the avoidance of doubt would include any change to the Maturity Date applicable to such Defaulting Lender, decreasing or forgiving any principal or interest due to such Defaulting Lender, any decrease of any interest rate applicable to Loans made by such Defaulting Lender (other than the waiving of post-default interest rates) and any increase in or extension of such Defaulting Lender’s Commitment) and (ii) any redetermination, whether an increase, decrease or affirmation, of the Borrowing Base shall occur without the participation of a Defaulting Lender, but the Commitment (i.e., the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39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color w:val="auto"/>
        </w:rPr>
        <w:t>Percentage of the Borrowing Base) of a Defaulting Lender may not be increased without the consent of such Defaulting Lender;</w:t>
      </w:r>
    </w:p>
    <w:p>
      <w:pPr>
        <w:spacing w:after="0" w:line="189" w:lineRule="exact"/>
        <w:rPr>
          <w:sz w:val="20"/>
          <w:szCs w:val="20"/>
          <w:color w:val="auto"/>
        </w:rPr>
      </w:pPr>
    </w:p>
    <w:p>
      <w:pPr>
        <w:jc w:val="both"/>
        <w:ind w:firstLine="656"/>
        <w:spacing w:after="0" w:line="209" w:lineRule="auto"/>
        <w:tabs>
          <w:tab w:leader="none" w:pos="1286"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Letter of Credit Exposure exists at the time a Lender becomes a Defaulting Lender, then (i) all or any part of such Letter of Credit Exposure of such Defaulting Lender will, subject to the limitation in the first proviso below, automatically be reallocated (effective on the day such Lender becomes a Defaulting Lender) among the Non-Defaulting Lenders pro rata in accordance with their respective Commitment Percentages;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each Non-Defaulting Lender’s Total Exposure may not in any event exceed the Commitment Percentage of the Commitment of such Non-Defaulting Lender as in effect at the time of such reallocation and (B) neither such reallocation nor any payment by a Non-Defaulting Lender pursuant thereto will constitute a waiver or release of any claim the Borrower, the Administrative Agent, the Issuing Banks or any other Lender may have against such Defaulting Lender or cause such Defaulting Lender to be a Non-Defaulting Lender, (ii) to the extent that all or any portion of the Defaulting Lender’s Letter of Credit Exposure cannot, or can only partially, be so reallocated to Non-Defaulting Lenders, whether by reason of the first proviso in </w:t>
      </w:r>
      <w:r>
        <w:rPr>
          <w:rFonts w:ascii="Times New Roman" w:cs="Times New Roman" w:eastAsia="Times New Roman" w:hAnsi="Times New Roman"/>
          <w:sz w:val="20"/>
          <w:szCs w:val="20"/>
          <w:u w:val="single" w:color="auto"/>
          <w:color w:val="auto"/>
        </w:rPr>
        <w:t>Section 2.15(c)(i)</w:t>
      </w:r>
      <w:r>
        <w:rPr>
          <w:rFonts w:ascii="Times New Roman" w:cs="Times New Roman" w:eastAsia="Times New Roman" w:hAnsi="Times New Roman"/>
          <w:sz w:val="20"/>
          <w:szCs w:val="20"/>
          <w:color w:val="auto"/>
        </w:rPr>
        <w:t xml:space="preserve"> or otherwise, the Borrower shall within two (2) Business Days following notice by the Administrative Agent Cash Collateralize for the benefit of the applicable Issuing Bank only the Borrower’s obligations corresponding to such Defaulting Lender’s Letter of Credit Exposure (after giving effect to any partial reallocation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in accordance with the procedures set forth in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for so long as such Letter of Credit Exposure is outstanding, (iii) if the Borrower Cash Collateralizes any portion of such Defaulting Lender’s Letter of Credit Exposure pursuant to this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the Borrower shall not be required to pay any fees to such Defaulting Lender pursuant to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xml:space="preserve"> with respect to such Defaulting Lender’s Letter of Credit Exposure during the period such Defaulting Lender’s Letter of Credit Exposure is Cash Collateralized (and such fees shall be payable to the Issuing Banks), (iv) if the Letter of Credit Exposure of the Non-Defaulting Lenders is reallocated pursuant to this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then the Letter of Credit Fees payable for the account of the Lenders pursuant to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xml:space="preserve"> shall be adjusted in accordance with such Non-Defaulting Lenders’ Commitment Percentages and the Borrower shall not be required to pay any Letter of Credit Fees to the Defaulting Lender pursuant to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xml:space="preserve"> with respect to such Defaulting Lender’s Letter of Credit Exposure during the period that such Defaulting Lender’s Letter of Credit Exposure is reallocated, or (v) if any Defaulting Lender’s Letter of Credit Exposure is neither Cash Collateralized nor reallocated pursuant to this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then, without prejudice to any rights or remedies of any Issuing Bank or any Lender hereunder, all Letter of Credit Fees payable under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xml:space="preserve"> with respect to such Defaulting Lender’s Letter of Credit Exposure shall be payable to such Issuing Bank until such Letter of Credit Exposure is Cash Collateralized and/or reallocated;</w:t>
      </w:r>
    </w:p>
    <w:p>
      <w:pPr>
        <w:spacing w:after="0" w:line="147" w:lineRule="exact"/>
        <w:rPr>
          <w:rFonts w:ascii="Times New Roman" w:cs="Times New Roman" w:eastAsia="Times New Roman" w:hAnsi="Times New Roman"/>
          <w:sz w:val="20"/>
          <w:szCs w:val="20"/>
          <w:color w:val="auto"/>
        </w:rPr>
      </w:pPr>
    </w:p>
    <w:p>
      <w:pPr>
        <w:jc w:val="both"/>
        <w:ind w:firstLine="656"/>
        <w:spacing w:after="0" w:line="221" w:lineRule="auto"/>
        <w:tabs>
          <w:tab w:leader="none" w:pos="1284"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any Lender is a Defaulting Lender, no Issuing Bank will be required to issue any new Letter of Credit or amend any outstanding Letter of Credit to increase the Stated Amount thereof, alter the drawing terms thereunder or extend the expiry date thereof, unless each Issuing Bank is reasonably satisfied that any exposure that would result from the exposure to such Defaulting Lender is eliminated or fully covered by the Commitments of the Non-Defaulting Lenders or by Cash Collateralization or a combination thereof in accordance with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above or otherwise in a manner reasonably satisfactory to such Issuing Bank, and participating interests in any such newly issued or increased Letter of Credit shall be allocated among Non-Defaulting Lenders in a manner consistent with </w:t>
      </w:r>
      <w:r>
        <w:rPr>
          <w:rFonts w:ascii="Times New Roman" w:cs="Times New Roman" w:eastAsia="Times New Roman" w:hAnsi="Times New Roman"/>
          <w:sz w:val="19"/>
          <w:szCs w:val="19"/>
          <w:u w:val="single" w:color="auto"/>
          <w:color w:val="auto"/>
        </w:rPr>
        <w:t>Section 2.15(c)</w:t>
      </w:r>
    </w:p>
    <w:p>
      <w:pPr>
        <w:spacing w:after="0" w:line="2" w:lineRule="exact"/>
        <w:rPr>
          <w:rFonts w:ascii="Times New Roman" w:cs="Times New Roman" w:eastAsia="Times New Roman" w:hAnsi="Times New Roman"/>
          <w:sz w:val="19"/>
          <w:szCs w:val="19"/>
          <w:color w:val="auto"/>
        </w:rPr>
      </w:pPr>
    </w:p>
    <w:p>
      <w:pPr>
        <w:ind w:left="240" w:hanging="232"/>
        <w:spacing w:after="0"/>
        <w:tabs>
          <w:tab w:leader="none" w:pos="240" w:val="left"/>
        </w:tabs>
        <w:numPr>
          <w:ilvl w:val="0"/>
          <w:numId w:val="7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(and Defaulting Lenders shall not participate therein);</w:t>
      </w:r>
    </w:p>
    <w:p>
      <w:pPr>
        <w:spacing w:after="0" w:line="166" w:lineRule="exact"/>
        <w:rPr>
          <w:rFonts w:ascii="Times New Roman" w:cs="Times New Roman" w:eastAsia="Times New Roman" w:hAnsi="Times New Roman"/>
          <w:sz w:val="20"/>
          <w:szCs w:val="20"/>
          <w:u w:val="single" w:color="auto"/>
          <w:color w:val="auto"/>
        </w:rPr>
      </w:pPr>
    </w:p>
    <w:p>
      <w:pPr>
        <w:jc w:val="both"/>
        <w:ind w:firstLine="656"/>
        <w:spacing w:after="0" w:line="215" w:lineRule="auto"/>
        <w:tabs>
          <w:tab w:leader="none" w:pos="1286"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the Administrative Agent and each Issuing Bank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such Lender will cease to be a Defaulting Lender and will be a Non-Defaulting Lender and any applicable Cash Collateral shall be promptly returned to the Borrower and any Letter of Credit Exposure of such Lender reallocated pursuant to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shall be reallocated back to such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except to the extent otherwise expressly agreed by the affected parties, no change hereunder from Defaulting Lender to Non-Defaulting Lender will constitute a waiver or release of any claim of any party hereunder arising from such Lender’s having been a Defaulting Lender;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399" w:right="339" w:bottom="1440" w:gutter="0" w:footer="0" w:header="0"/>
        </w:sectPr>
      </w:pPr>
    </w:p>
    <w:bookmarkStart w:id="109" w:name="page110"/>
    <w:bookmarkEnd w:id="109"/>
    <w:p>
      <w:pPr>
        <w:jc w:val="both"/>
        <w:ind w:firstLine="656"/>
        <w:spacing w:after="0" w:line="209" w:lineRule="auto"/>
        <w:tabs>
          <w:tab w:leader="none" w:pos="129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or otherwise, and including any amounts made available to the Administrative Agent by that Defaulting Lender pursuant to </w:t>
      </w:r>
      <w:r>
        <w:rPr>
          <w:rFonts w:ascii="Times New Roman" w:cs="Times New Roman" w:eastAsia="Times New Roman" w:hAnsi="Times New Roman"/>
          <w:sz w:val="20"/>
          <w:szCs w:val="20"/>
          <w:u w:val="single" w:color="auto"/>
          <w:color w:val="auto"/>
        </w:rPr>
        <w:t>Section 13.8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that Defaulting Lender to the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the payment on a pro rata basis of any amounts owing by that Defaulting Lender to each Issuing Bank hereunder;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to the payment of any amounts owing to the Lenders, each Issuing Bank as a result of any final judgment of a court of competent jurisdiction obtained by any Lender, such Issuing Bank against that Defaulting Lender as a result of that Defaulting Lender’s breach of its obligations under this Agreement;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xml:space="preserve">, so long as no Default or Event of Default exists, to the payment of any amounts owing to the Borrower as a result of any final judgment of a court of competent jurisdiction obtained by the Borrower against that Defaulting Lender as a result of that Defaulting Lender’s breach of its obligations under this Agreement; and </w:t>
      </w: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xml:space="preserve">, to that Defaulting Lender or as otherwise directed by a court of competent jurisdiction;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if such payment is a payment of the principal amount of any Loans or Unpaid Drawings, such payment shall be applied solely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to pay the relevant Loans of, and Unpaid Drawings owed to, the relevant non-Defaulting Lenders on a pro rata basis prior to being applied in the manner set forth in this </w:t>
      </w:r>
      <w:r>
        <w:rPr>
          <w:rFonts w:ascii="Times New Roman" w:cs="Times New Roman" w:eastAsia="Times New Roman" w:hAnsi="Times New Roman"/>
          <w:sz w:val="20"/>
          <w:szCs w:val="20"/>
          <w:u w:val="single" w:color="auto"/>
          <w:color w:val="auto"/>
        </w:rPr>
        <w:t>Section 2.15(f)</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shall be deemed paid to and redirected by that Defaulting Lender, and each Lender irrevocably consents hereto.</w:t>
      </w:r>
    </w:p>
    <w:p>
      <w:pPr>
        <w:spacing w:after="0" w:line="16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u w:val="single" w:color="auto"/>
          <w:color w:val="auto"/>
        </w:rPr>
        <w:t>Termination, Revision and Reduction of Commitments and Aggregate Maximum Credit Amounts; Increase, Reduction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Termination of Aggregate Elected Commitment Amount</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656"/>
        <w:spacing w:after="0" w:line="226" w:lineRule="auto"/>
        <w:tabs>
          <w:tab w:leader="none" w:pos="128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Termination of Commitments</w:t>
      </w:r>
      <w:r>
        <w:rPr>
          <w:rFonts w:ascii="Times New Roman" w:cs="Times New Roman" w:eastAsia="Times New Roman" w:hAnsi="Times New Roman"/>
          <w:sz w:val="20"/>
          <w:szCs w:val="20"/>
          <w:color w:val="auto"/>
        </w:rPr>
        <w:t>. Unless previously terminated, the Commitments shall terminate on the Maturity Date. If at any time the Aggregate Maximum Credit Amounts, the Borrowing Base or the Aggregate Elected Commitment Amount is terminated or reduced to zero, then the Commitments shall terminate on the effective date of such termination or reduction.</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Optional Termination and Reduction of Aggregate Maximum Credit Amounts.</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5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at any time terminate, or from time to time reduce, the Aggregate Maximum Credit Amounts;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 each reduction of the Aggregate Maximum Credit Amounts shall be in an amount that is an integral multiple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$1,000,000 and not less than $5,000,000 and (B) the Borrower shall not terminate or reduce the Aggregate Maximum Credit Amounts if, (1) after giving effect to any concurrent prepayment of the Loans in accordance with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the aggregate Total Exposures of all Lenders would exceed the Total Commitment or (2) the Aggregate Maximum Credit Amount would be less than $5,000,000 (unless, with respect to this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the Aggregate Maximum Credit Amounts are reduced to $0), and (C) upon any reduction of the Aggregate Maximum Credit Amounts that would otherwise result in the Aggregate Maximum Credit Amounts being less than the Aggregate Elected Commitment Amount, the Aggregate Elected Commitment Amount shall be automatically reduced (ratably among the Lenders in accordance with each Lender’s Commitment Percentage) so that they equal the Aggregate Maximum Credit Amounts as so reduced.</w:t>
      </w:r>
    </w:p>
    <w:p>
      <w:pPr>
        <w:spacing w:after="0" w:line="169"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55"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of any election to terminate or reduce the Aggregate Maximum Credit Amounts under </w:t>
      </w:r>
      <w:r>
        <w:rPr>
          <w:rFonts w:ascii="Times New Roman" w:cs="Times New Roman" w:eastAsia="Times New Roman" w:hAnsi="Times New Roman"/>
          <w:sz w:val="20"/>
          <w:szCs w:val="20"/>
          <w:u w:val="single" w:color="auto"/>
          <w:color w:val="auto"/>
        </w:rPr>
        <w:t>Section 2.16(b)(i)</w:t>
      </w:r>
      <w:r>
        <w:rPr>
          <w:rFonts w:ascii="Times New Roman" w:cs="Times New Roman" w:eastAsia="Times New Roman" w:hAnsi="Times New Roman"/>
          <w:sz w:val="20"/>
          <w:szCs w:val="20"/>
          <w:color w:val="auto"/>
        </w:rPr>
        <w:t xml:space="preserve">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w:t>
      </w:r>
      <w:r>
        <w:rPr>
          <w:rFonts w:ascii="Times New Roman" w:cs="Times New Roman" w:eastAsia="Times New Roman" w:hAnsi="Times New Roman"/>
          <w:sz w:val="20"/>
          <w:szCs w:val="20"/>
          <w:u w:val="single" w:color="auto"/>
          <w:color w:val="auto"/>
        </w:rPr>
        <w:t>Section 2.16(b)(ii)</w:t>
      </w:r>
      <w:r>
        <w:rPr>
          <w:rFonts w:ascii="Times New Roman" w:cs="Times New Roman" w:eastAsia="Times New Roman" w:hAnsi="Times New Roman"/>
          <w:sz w:val="20"/>
          <w:szCs w:val="20"/>
          <w:color w:val="auto"/>
        </w:rPr>
        <w:t xml:space="preserve"> shall be irrevocable;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notice of termination or reduction of the Aggregate Maximum Credit Amounts delivered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399" w:right="339" w:bottom="1440" w:gutter="0" w:footer="0" w:header="0"/>
        </w:sectPr>
      </w:pPr>
    </w:p>
    <w:bookmarkStart w:id="110" w:name="page111"/>
    <w:bookmarkEnd w:id="110"/>
    <w:p>
      <w:pPr>
        <w:ind w:left="4"/>
        <w:spacing w:after="0"/>
        <w:rPr>
          <w:sz w:val="20"/>
          <w:szCs w:val="20"/>
          <w:color w:val="auto"/>
        </w:rPr>
      </w:pPr>
      <w:r>
        <w:rPr>
          <w:rFonts w:ascii="Times New Roman" w:cs="Times New Roman" w:eastAsia="Times New Roman" w:hAnsi="Times New Roman"/>
          <w:sz w:val="20"/>
          <w:szCs w:val="20"/>
          <w:color w:val="auto"/>
        </w:rPr>
        <w:t>may state that such notice is conditioned upon the effectiveness of other credit facilities or the closing of a specified transaction, in</w:t>
      </w:r>
    </w:p>
    <w:p>
      <w:pPr>
        <w:ind w:left="4"/>
        <w:spacing w:after="0" w:line="215" w:lineRule="auto"/>
        <w:rPr>
          <w:sz w:val="20"/>
          <w:szCs w:val="20"/>
          <w:color w:val="auto"/>
        </w:rPr>
      </w:pPr>
      <w:r>
        <w:rPr>
          <w:rFonts w:ascii="Times New Roman" w:cs="Times New Roman" w:eastAsia="Times New Roman" w:hAnsi="Times New Roman"/>
          <w:sz w:val="19"/>
          <w:szCs w:val="19"/>
          <w:color w:val="auto"/>
        </w:rPr>
        <w:t>which case such notice may be revoked by the Borrower (by notice to the Administrative Agent on or prior to the specified effective date) if such condition is not satisfied. Any termination or reduction of the Aggregate Maximum Credit Amounts shall be permanent</w:t>
      </w:r>
    </w:p>
    <w:p>
      <w:pPr>
        <w:ind w:left="4"/>
        <w:spacing w:after="0" w:line="228" w:lineRule="auto"/>
        <w:rPr>
          <w:sz w:val="20"/>
          <w:szCs w:val="20"/>
          <w:color w:val="auto"/>
        </w:rPr>
      </w:pPr>
      <w:r>
        <w:rPr>
          <w:rFonts w:ascii="Times New Roman" w:cs="Times New Roman" w:eastAsia="Times New Roman" w:hAnsi="Times New Roman"/>
          <w:sz w:val="20"/>
          <w:szCs w:val="20"/>
          <w:color w:val="auto"/>
        </w:rPr>
        <w:t>and may not be reinstated. Each reduction of the Aggregate Maximum Credit Amounts shall be made ratably among the Lenders in accordance with each Lender’s Commitment Percentage.</w:t>
      </w:r>
    </w:p>
    <w:p>
      <w:pPr>
        <w:spacing w:after="0" w:line="149" w:lineRule="exact"/>
        <w:rPr>
          <w:sz w:val="20"/>
          <w:szCs w:val="20"/>
          <w:color w:val="auto"/>
        </w:rPr>
      </w:pPr>
    </w:p>
    <w:p>
      <w:pPr>
        <w:ind w:left="644" w:hanging="644"/>
        <w:spacing w:after="0"/>
        <w:tabs>
          <w:tab w:leader="none" w:pos="64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Reductions and Terminations of Aggregate Elected Commitment Amount.</w:t>
      </w:r>
    </w:p>
    <w:p>
      <w:pPr>
        <w:spacing w:after="0" w:line="188" w:lineRule="exact"/>
        <w:rPr>
          <w:rFonts w:ascii="Times New Roman" w:cs="Times New Roman" w:eastAsia="Times New Roman" w:hAnsi="Times New Roman"/>
          <w:sz w:val="20"/>
          <w:szCs w:val="20"/>
          <w:color w:val="auto"/>
        </w:rPr>
      </w:pPr>
    </w:p>
    <w:p>
      <w:pPr>
        <w:jc w:val="both"/>
        <w:ind w:left="4" w:firstLine="644"/>
        <w:spacing w:after="0" w:line="216" w:lineRule="auto"/>
        <w:tabs>
          <w:tab w:leader="none" w:pos="129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conditions set forth in </w:t>
      </w:r>
      <w:r>
        <w:rPr>
          <w:rFonts w:ascii="Times New Roman" w:cs="Times New Roman" w:eastAsia="Times New Roman" w:hAnsi="Times New Roman"/>
          <w:sz w:val="20"/>
          <w:szCs w:val="20"/>
          <w:u w:val="single" w:color="auto"/>
          <w:color w:val="auto"/>
        </w:rPr>
        <w:t>Section 2.16(c)(ii)</w:t>
      </w:r>
      <w:r>
        <w:rPr>
          <w:rFonts w:ascii="Times New Roman" w:cs="Times New Roman" w:eastAsia="Times New Roman" w:hAnsi="Times New Roman"/>
          <w:sz w:val="20"/>
          <w:szCs w:val="20"/>
          <w:color w:val="auto"/>
        </w:rPr>
        <w:t xml:space="preserve"> and the prior written approval of the Administrative Agent (not to be unreasonably withheld, conditioned or delayed), the Borrower may increase the Aggregate Elected Commitment Amount then in effect by increasing the Elected Commitment of a Lender and/or by causing a Person that is reasonably acceptable to the Administrative Agent that at such time is not a Lender to become a Lender (any such Person that is not at such time a Lender and becomes a Lender, an “</w:t>
      </w:r>
      <w:r>
        <w:rPr>
          <w:rFonts w:ascii="Times New Roman" w:cs="Times New Roman" w:eastAsia="Times New Roman" w:hAnsi="Times New Roman"/>
          <w:sz w:val="20"/>
          <w:szCs w:val="20"/>
          <w:u w:val="single" w:color="auto"/>
          <w:color w:val="auto"/>
        </w:rPr>
        <w:t>Additional Lender</w:t>
      </w:r>
      <w:r>
        <w:rPr>
          <w:rFonts w:ascii="Times New Roman" w:cs="Times New Roman" w:eastAsia="Times New Roman" w:hAnsi="Times New Roman"/>
          <w:sz w:val="20"/>
          <w:szCs w:val="20"/>
          <w:color w:val="auto"/>
        </w:rPr>
        <w:t>”). Notwithstanding anything to the contrary contained in this Agreement, in no case shall an Additional Lender be a natural person, the Borrower or any Affiliate of the Borrower.</w:t>
      </w:r>
    </w:p>
    <w:p>
      <w:pPr>
        <w:spacing w:after="0" w:line="162"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increase in the Aggregate Elected Commitment Amount shall be subject to the following additional conditions:</w:t>
      </w:r>
    </w:p>
    <w:p>
      <w:pPr>
        <w:spacing w:after="0" w:line="200" w:lineRule="exact"/>
        <w:rPr>
          <w:rFonts w:ascii="Times New Roman" w:cs="Times New Roman" w:eastAsia="Times New Roman" w:hAnsi="Times New Roman"/>
          <w:sz w:val="19"/>
          <w:szCs w:val="19"/>
          <w:color w:val="auto"/>
        </w:rPr>
      </w:pPr>
    </w:p>
    <w:p>
      <w:pPr>
        <w:jc w:val="both"/>
        <w:ind w:left="644" w:firstLine="652"/>
        <w:spacing w:after="0" w:line="226" w:lineRule="auto"/>
        <w:tabs>
          <w:tab w:leader="none" w:pos="1931"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increase shall not be less than $25,000,000 unless the Administrative Agent otherwise consents, and no such increase shall be permitted if after giving effect thereto the Aggregate Elected Commitment Amount exceeds the Borrowing Base then in effect;</w:t>
      </w:r>
    </w:p>
    <w:p>
      <w:pPr>
        <w:spacing w:after="0" w:line="160" w:lineRule="exact"/>
        <w:rPr>
          <w:rFonts w:ascii="Times New Roman" w:cs="Times New Roman" w:eastAsia="Times New Roman" w:hAnsi="Times New Roman"/>
          <w:sz w:val="20"/>
          <w:szCs w:val="20"/>
          <w:color w:val="auto"/>
        </w:rPr>
      </w:pPr>
    </w:p>
    <w:p>
      <w:pPr>
        <w:jc w:val="both"/>
        <w:ind w:left="644" w:firstLine="652"/>
        <w:spacing w:after="0" w:line="218" w:lineRule="auto"/>
        <w:tabs>
          <w:tab w:leader="none" w:pos="1934"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any Scheduled Redetermination Date, the Borrower may not increase the Aggregate Elected Commitment Amount more than once before the next Scheduled Redetermination Date (for the sake of clarity, all increases in the Aggregate Elected Commitment Amount effective on a single date shall be deemed a single increase in the Aggregate Elected Commitment Amount for purposes of this </w:t>
      </w:r>
      <w:r>
        <w:rPr>
          <w:rFonts w:ascii="Times New Roman" w:cs="Times New Roman" w:eastAsia="Times New Roman" w:hAnsi="Times New Roman"/>
          <w:sz w:val="20"/>
          <w:szCs w:val="20"/>
          <w:u w:val="single" w:color="auto"/>
          <w:color w:val="auto"/>
        </w:rPr>
        <w:t>Section 2.16(c)(ii)(B)</w:t>
      </w:r>
      <w:r>
        <w:rPr>
          <w:rFonts w:ascii="Times New Roman" w:cs="Times New Roman" w:eastAsia="Times New Roman" w:hAnsi="Times New Roman"/>
          <w:sz w:val="20"/>
          <w:szCs w:val="20"/>
          <w:color w:val="auto"/>
        </w:rPr>
        <w:t>);</w:t>
      </w:r>
    </w:p>
    <w:p>
      <w:pPr>
        <w:spacing w:after="0" w:line="163" w:lineRule="exact"/>
        <w:rPr>
          <w:rFonts w:ascii="Times New Roman" w:cs="Times New Roman" w:eastAsia="Times New Roman" w:hAnsi="Times New Roman"/>
          <w:sz w:val="20"/>
          <w:szCs w:val="20"/>
          <w:color w:val="auto"/>
        </w:rPr>
      </w:pPr>
    </w:p>
    <w:p>
      <w:pPr>
        <w:ind w:left="1944" w:hanging="648"/>
        <w:spacing w:after="0"/>
        <w:tabs>
          <w:tab w:leader="none" w:pos="1944"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shall have occurred and be continuing on the effective date of such increase;</w:t>
      </w:r>
    </w:p>
    <w:p>
      <w:pPr>
        <w:spacing w:after="0" w:line="188" w:lineRule="exact"/>
        <w:rPr>
          <w:rFonts w:ascii="Times New Roman" w:cs="Times New Roman" w:eastAsia="Times New Roman" w:hAnsi="Times New Roman"/>
          <w:sz w:val="20"/>
          <w:szCs w:val="20"/>
          <w:color w:val="auto"/>
        </w:rPr>
      </w:pPr>
    </w:p>
    <w:p>
      <w:pPr>
        <w:jc w:val="both"/>
        <w:ind w:left="644" w:firstLine="652"/>
        <w:spacing w:after="0" w:line="226" w:lineRule="auto"/>
        <w:tabs>
          <w:tab w:leader="none" w:pos="1931"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effective date of such increase, no Borrowings of SOFR Loans shall be outstanding or if any Borrowings of SOFR Loans are outstanding, then the effective date of such increase shall be the last day of the Interest Period in respect of such Borrowings of SOFR Loans unless the Borrower pays any compensation required by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1944" w:hanging="648"/>
        <w:spacing w:after="0"/>
        <w:tabs>
          <w:tab w:leader="none" w:pos="1944"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Lender’s Elected Commitment may be increased without the consent of such Lender;</w:t>
      </w:r>
    </w:p>
    <w:p>
      <w:pPr>
        <w:spacing w:after="0" w:line="175" w:lineRule="exact"/>
        <w:rPr>
          <w:rFonts w:ascii="Times New Roman" w:cs="Times New Roman" w:eastAsia="Times New Roman" w:hAnsi="Times New Roman"/>
          <w:sz w:val="20"/>
          <w:szCs w:val="20"/>
          <w:color w:val="auto"/>
        </w:rPr>
      </w:pPr>
    </w:p>
    <w:p>
      <w:pPr>
        <w:jc w:val="both"/>
        <w:ind w:left="644" w:firstLine="652"/>
        <w:spacing w:after="0" w:line="230" w:lineRule="auto"/>
        <w:tabs>
          <w:tab w:leader="none" w:pos="1939"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elects to increase the Aggregate Elected Commitment Amount by increasing the Elected Commitment of a Lender, the Borrower and such Lender shall execute and deliver to the Administrative Agent a certificate substantially in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 xml:space="preserve"> (an “</w:t>
      </w:r>
      <w:r>
        <w:rPr>
          <w:rFonts w:ascii="Times New Roman" w:cs="Times New Roman" w:eastAsia="Times New Roman" w:hAnsi="Times New Roman"/>
          <w:sz w:val="20"/>
          <w:szCs w:val="20"/>
          <w:u w:val="single" w:color="auto"/>
          <w:color w:val="auto"/>
        </w:rPr>
        <w:t>Elected Commitment Increase Certificate</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left="644" w:firstLine="652"/>
        <w:spacing w:after="0" w:line="220" w:lineRule="auto"/>
        <w:tabs>
          <w:tab w:leader="none" w:pos="1931"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elects to increase the Aggregate Elected Commitment Amount by causing an Additional Lender to become a party to this Agreement, then the Borrower and such Additional Lender shall execute and deliver to the Administrative Agent a certificate substantially in the form of </w:t>
      </w:r>
      <w:r>
        <w:rPr>
          <w:rFonts w:ascii="Times New Roman" w:cs="Times New Roman" w:eastAsia="Times New Roman" w:hAnsi="Times New Roman"/>
          <w:sz w:val="20"/>
          <w:szCs w:val="20"/>
          <w:u w:val="single" w:color="auto"/>
          <w:color w:val="auto"/>
        </w:rPr>
        <w:t>Exhibit L</w:t>
      </w:r>
      <w:r>
        <w:rPr>
          <w:rFonts w:ascii="Times New Roman" w:cs="Times New Roman" w:eastAsia="Times New Roman" w:hAnsi="Times New Roman"/>
          <w:sz w:val="20"/>
          <w:szCs w:val="20"/>
          <w:color w:val="auto"/>
        </w:rPr>
        <w:t xml:space="preserve"> (an “</w:t>
      </w:r>
      <w:r>
        <w:rPr>
          <w:rFonts w:ascii="Times New Roman" w:cs="Times New Roman" w:eastAsia="Times New Roman" w:hAnsi="Times New Roman"/>
          <w:sz w:val="20"/>
          <w:szCs w:val="20"/>
          <w:u w:val="single" w:color="auto"/>
          <w:color w:val="auto"/>
        </w:rPr>
        <w:t>Additional Lender Certificate</w:t>
      </w:r>
      <w:r>
        <w:rPr>
          <w:rFonts w:ascii="Times New Roman" w:cs="Times New Roman" w:eastAsia="Times New Roman" w:hAnsi="Times New Roman"/>
          <w:sz w:val="20"/>
          <w:szCs w:val="20"/>
          <w:color w:val="auto"/>
        </w:rPr>
        <w:t>”), together with an Administrative Questionnaire and a processing and recordation fee of $3,500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may, in its discretion, elect to waive such processing and recordation fee in connection with any such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0584"/>
          </w:cols>
          <w:pgMar w:left="976" w:top="1394" w:right="339" w:bottom="1440" w:gutter="0" w:footer="0" w:header="0"/>
        </w:sectPr>
      </w:pPr>
    </w:p>
    <w:bookmarkStart w:id="111" w:name="page112"/>
    <w:bookmarkEnd w:id="111"/>
    <w:p>
      <w:pPr>
        <w:ind w:left="644"/>
        <w:spacing w:after="0"/>
        <w:rPr>
          <w:sz w:val="20"/>
          <w:szCs w:val="20"/>
          <w:color w:val="auto"/>
        </w:rPr>
      </w:pPr>
      <w:r>
        <w:rPr>
          <w:rFonts w:ascii="Times New Roman" w:cs="Times New Roman" w:eastAsia="Times New Roman" w:hAnsi="Times New Roman"/>
          <w:sz w:val="20"/>
          <w:szCs w:val="20"/>
          <w:color w:val="auto"/>
        </w:rPr>
        <w:t>the Administrative Agent and the Issuing Banks shall have given their prior written consent (to the extent that such</w:t>
      </w:r>
    </w:p>
    <w:p>
      <w:pPr>
        <w:ind w:left="644"/>
        <w:spacing w:after="0" w:line="215" w:lineRule="auto"/>
        <w:rPr>
          <w:sz w:val="20"/>
          <w:szCs w:val="20"/>
          <w:color w:val="auto"/>
        </w:rPr>
      </w:pPr>
      <w:r>
        <w:rPr>
          <w:rFonts w:ascii="Times New Roman" w:cs="Times New Roman" w:eastAsia="Times New Roman" w:hAnsi="Times New Roman"/>
          <w:sz w:val="19"/>
          <w:szCs w:val="19"/>
          <w:color w:val="auto"/>
        </w:rPr>
        <w:t>Additional Lender is not an existing Lender’s Affiliate and in each case, such consent not to be unreasonably withheld or delayed) and the Borrower shall (1) if requested by the Additional Lender, deliver a Note payable to such Additional Lender</w:t>
      </w:r>
    </w:p>
    <w:p>
      <w:pPr>
        <w:ind w:left="644"/>
        <w:spacing w:after="0" w:line="222" w:lineRule="auto"/>
        <w:rPr>
          <w:sz w:val="20"/>
          <w:szCs w:val="20"/>
          <w:color w:val="auto"/>
        </w:rPr>
      </w:pPr>
      <w:r>
        <w:rPr>
          <w:rFonts w:ascii="Times New Roman" w:cs="Times New Roman" w:eastAsia="Times New Roman" w:hAnsi="Times New Roman"/>
          <w:sz w:val="19"/>
          <w:szCs w:val="19"/>
          <w:color w:val="auto"/>
        </w:rPr>
        <w:t>in a principal amount equal to its Maximum Credit Amount, and otherwise duly completed and (2) pay any applicable fees as</w:t>
      </w:r>
    </w:p>
    <w:p>
      <w:pPr>
        <w:ind w:left="644"/>
        <w:spacing w:after="0" w:line="221" w:lineRule="auto"/>
        <w:rPr>
          <w:sz w:val="20"/>
          <w:szCs w:val="20"/>
          <w:color w:val="auto"/>
        </w:rPr>
      </w:pPr>
      <w:r>
        <w:rPr>
          <w:rFonts w:ascii="Times New Roman" w:cs="Times New Roman" w:eastAsia="Times New Roman" w:hAnsi="Times New Roman"/>
          <w:sz w:val="20"/>
          <w:szCs w:val="20"/>
          <w:color w:val="auto"/>
        </w:rPr>
        <w:t>may have been agreed to between the Borrower and the Additional Lender, and, to the extent applicable and agreed to by the Borrower, the Administrative Agent; and</w:t>
      </w:r>
    </w:p>
    <w:p>
      <w:pPr>
        <w:spacing w:after="0" w:line="162" w:lineRule="exact"/>
        <w:rPr>
          <w:sz w:val="20"/>
          <w:szCs w:val="20"/>
          <w:color w:val="auto"/>
        </w:rPr>
      </w:pPr>
    </w:p>
    <w:p>
      <w:pPr>
        <w:jc w:val="both"/>
        <w:ind w:left="4" w:firstLine="644"/>
        <w:spacing w:after="0" w:line="223" w:lineRule="auto"/>
        <w:tabs>
          <w:tab w:leader="none" w:pos="1300"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acceptance and recording thereof pursuant to </w:t>
      </w:r>
      <w:r>
        <w:rPr>
          <w:rFonts w:ascii="Times New Roman" w:cs="Times New Roman" w:eastAsia="Times New Roman" w:hAnsi="Times New Roman"/>
          <w:sz w:val="19"/>
          <w:szCs w:val="19"/>
          <w:u w:val="single" w:color="auto"/>
          <w:color w:val="auto"/>
        </w:rPr>
        <w:t>Section 2.16(c)(iv)</w:t>
      </w:r>
      <w:r>
        <w:rPr>
          <w:rFonts w:ascii="Times New Roman" w:cs="Times New Roman" w:eastAsia="Times New Roman" w:hAnsi="Times New Roman"/>
          <w:sz w:val="19"/>
          <w:szCs w:val="19"/>
          <w:color w:val="auto"/>
        </w:rPr>
        <w:t xml:space="preserve">, from and after the effective date specified in the Elected Commitment Increase Certificate or the Additional Lender Certificate (or if any Borrowings of SOFR Loans are outstanding, then the last day of the Interest Period in respect of such Borrowings of SOFR Loans, unless the Borrower has paid any compensation required by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(A) the amount of the Aggregate Elected Commitment Amount shall be increased as set forth therein, and (B) in the case of an Additional Lender Certificate, any Additional Lender party thereto shall be a party to this Agreement and have the rights and obligations of a Lender under this Agreement and the other Credit Documents. In addition, the Lender or the Additional Lender, as applicable, shall purchase a pro rata portion of the outstanding Loans (and participation interests in Letters of Credit) of each of the other Lenders (and such Lenders hereby agree to sell and to take all such further action to effectuate such sale) such that each Lender (including any Additional Lender, if applicable) shall hold its Commitment Percentage of the outstanding Loans (and participation interests) after giving effect to the increase in the Aggregate Elected Commitment Amount (and the resulting modifications of each Lender’s Maximum Credit Amount pursuant to </w:t>
      </w:r>
      <w:r>
        <w:rPr>
          <w:rFonts w:ascii="Times New Roman" w:cs="Times New Roman" w:eastAsia="Times New Roman" w:hAnsi="Times New Roman"/>
          <w:sz w:val="19"/>
          <w:szCs w:val="19"/>
          <w:u w:val="single" w:color="auto"/>
          <w:color w:val="auto"/>
        </w:rPr>
        <w:t>Section 2.16(c)(iv)</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2.16(c)(v)</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jc w:val="both"/>
        <w:ind w:left="4" w:firstLine="644"/>
        <w:spacing w:after="0" w:line="215" w:lineRule="auto"/>
        <w:tabs>
          <w:tab w:leader="none" w:pos="1289"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its receipt of a duly completed Elected Commitment Increase Certificate or an Additional Lender Certificate, executed by the Borrower and the Lender or by the Borrower and the Additional Lender party thereto, as applicable, the processing and recording fee referred to in </w:t>
      </w:r>
      <w:r>
        <w:rPr>
          <w:rFonts w:ascii="Times New Roman" w:cs="Times New Roman" w:eastAsia="Times New Roman" w:hAnsi="Times New Roman"/>
          <w:sz w:val="20"/>
          <w:szCs w:val="20"/>
          <w:u w:val="single" w:color="auto"/>
          <w:color w:val="auto"/>
        </w:rPr>
        <w:t>Section 2.16(c)(ii)</w:t>
      </w:r>
      <w:r>
        <w:rPr>
          <w:rFonts w:ascii="Times New Roman" w:cs="Times New Roman" w:eastAsia="Times New Roman" w:hAnsi="Times New Roman"/>
          <w:sz w:val="20"/>
          <w:szCs w:val="20"/>
          <w:color w:val="auto"/>
        </w:rPr>
        <w:t xml:space="preserve">, if required, the Administrative Questionnaire referred to in </w:t>
      </w:r>
      <w:r>
        <w:rPr>
          <w:rFonts w:ascii="Times New Roman" w:cs="Times New Roman" w:eastAsia="Times New Roman" w:hAnsi="Times New Roman"/>
          <w:sz w:val="20"/>
          <w:szCs w:val="20"/>
          <w:u w:val="single" w:color="auto"/>
          <w:color w:val="auto"/>
        </w:rPr>
        <w:t>Section 2.16(c)(ii)</w:t>
      </w:r>
      <w:r>
        <w:rPr>
          <w:rFonts w:ascii="Times New Roman" w:cs="Times New Roman" w:eastAsia="Times New Roman" w:hAnsi="Times New Roman"/>
          <w:sz w:val="20"/>
          <w:szCs w:val="20"/>
          <w:color w:val="auto"/>
        </w:rPr>
        <w:t xml:space="preserve"> and the break-funding payments from the Borrower, if any, required by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if applicable, the Administrative Agent shall accept such Elected Commitment Increase Certificate or Additional Lender Certificate and record the information contained therein in the Register required to be maintained by the Administrative Agent pursuant to </w:t>
      </w:r>
      <w:r>
        <w:rPr>
          <w:rFonts w:ascii="Times New Roman" w:cs="Times New Roman" w:eastAsia="Times New Roman" w:hAnsi="Times New Roman"/>
          <w:sz w:val="20"/>
          <w:szCs w:val="20"/>
          <w:u w:val="single" w:color="auto"/>
          <w:color w:val="auto"/>
        </w:rPr>
        <w:t>Section 13.6(b)</w:t>
      </w:r>
      <w:r>
        <w:rPr>
          <w:rFonts w:ascii="Times New Roman" w:cs="Times New Roman" w:eastAsia="Times New Roman" w:hAnsi="Times New Roman"/>
          <w:sz w:val="20"/>
          <w:szCs w:val="20"/>
          <w:color w:val="auto"/>
        </w:rPr>
        <w:t xml:space="preserve">. No increase in the Aggregate Elected Commitment Amount shall be effective for purposes of this Agreement unless it has been recorded in the Register as provided in this </w:t>
      </w:r>
      <w:r>
        <w:rPr>
          <w:rFonts w:ascii="Times New Roman" w:cs="Times New Roman" w:eastAsia="Times New Roman" w:hAnsi="Times New Roman"/>
          <w:sz w:val="20"/>
          <w:szCs w:val="20"/>
          <w:u w:val="single" w:color="auto"/>
          <w:color w:val="auto"/>
        </w:rPr>
        <w:t>Section 2.16(c)(iv)</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left="4" w:firstLine="644"/>
        <w:spacing w:after="0" w:line="215" w:lineRule="auto"/>
        <w:tabs>
          <w:tab w:leader="none" w:pos="1288"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increase in the Aggregate Elected Commitment Amount pursuant to </w:t>
      </w:r>
      <w:r>
        <w:rPr>
          <w:rFonts w:ascii="Times New Roman" w:cs="Times New Roman" w:eastAsia="Times New Roman" w:hAnsi="Times New Roman"/>
          <w:sz w:val="20"/>
          <w:szCs w:val="20"/>
          <w:u w:val="single" w:color="auto"/>
          <w:color w:val="auto"/>
        </w:rPr>
        <w:t>Section 2.16(c)(iv)</w:t>
      </w:r>
      <w:r>
        <w:rPr>
          <w:rFonts w:ascii="Times New Roman" w:cs="Times New Roman" w:eastAsia="Times New Roman" w:hAnsi="Times New Roman"/>
          <w:sz w:val="20"/>
          <w:szCs w:val="20"/>
          <w:color w:val="auto"/>
        </w:rPr>
        <w:t xml:space="preserve">, (A) each Lender’s Maximum Credit Amount shall be automatically deemed amended to the extent necessary so that each such Lender’s Commitment Percentage equals the percentage of the Aggregate Elected Commitment Amount represented by such Lender’s Elected Commitment, in each case after giving effect to such increase, and (B)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to this Agreement shall be deemed amended to reflect the Elected Commitment of each Lender (including any Additional Lender) as thereby increased, any changes in the Lenders’ Maximum Credit Amounts pursuant to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and any resulting changes in the Lenders’ Commitment Percentages.</w:t>
      </w:r>
    </w:p>
    <w:p>
      <w:pPr>
        <w:spacing w:after="0" w:line="164" w:lineRule="exact"/>
        <w:rPr>
          <w:rFonts w:ascii="Times New Roman" w:cs="Times New Roman" w:eastAsia="Times New Roman" w:hAnsi="Times New Roman"/>
          <w:sz w:val="20"/>
          <w:szCs w:val="20"/>
          <w:color w:val="auto"/>
        </w:rPr>
      </w:pPr>
    </w:p>
    <w:p>
      <w:pPr>
        <w:ind w:left="1284" w:hanging="636"/>
        <w:spacing w:after="0"/>
        <w:tabs>
          <w:tab w:leader="none" w:pos="1284"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from time to time terminate or reduce the Aggregate Elected Commitment Amount; provided that</w:t>
      </w:r>
    </w:p>
    <w:p>
      <w:pPr>
        <w:spacing w:after="0" w:line="6" w:lineRule="exact"/>
        <w:rPr>
          <w:rFonts w:ascii="Times New Roman" w:cs="Times New Roman" w:eastAsia="Times New Roman" w:hAnsi="Times New Roman"/>
          <w:sz w:val="19"/>
          <w:szCs w:val="19"/>
          <w:color w:val="auto"/>
        </w:rPr>
      </w:pPr>
    </w:p>
    <w:p>
      <w:pPr>
        <w:jc w:val="both"/>
        <w:ind w:left="4" w:hanging="4"/>
        <w:spacing w:after="0" w:line="216" w:lineRule="auto"/>
        <w:tabs>
          <w:tab w:leader="none" w:pos="34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reduction of the Aggregate Elected Commitment Amount shall be in an amount that is an integral multiple of $1,000,000 and not less than $5,000,000 and (B) the Borrower shall not reduce the Aggregate Elected Commitment Amount if, after giving effect to any concurrent prepayment of the Loans in accordance with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the aggregate Total Exposures of all Lenders would exceed the Aggregate Elected Commitment Amount as reduced.</w:t>
      </w:r>
    </w:p>
    <w:p>
      <w:pPr>
        <w:spacing w:after="0" w:line="149" w:lineRule="exact"/>
        <w:rPr>
          <w:rFonts w:ascii="Times New Roman" w:cs="Times New Roman" w:eastAsia="Times New Roman" w:hAnsi="Times New Roman"/>
          <w:sz w:val="20"/>
          <w:szCs w:val="20"/>
          <w:color w:val="auto"/>
        </w:rPr>
      </w:pPr>
    </w:p>
    <w:p>
      <w:pPr>
        <w:jc w:val="both"/>
        <w:ind w:left="4" w:firstLine="644"/>
        <w:spacing w:after="0" w:line="230" w:lineRule="auto"/>
        <w:tabs>
          <w:tab w:leader="none" w:pos="1289"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of any election to terminate or reduce the Aggregate Elected Commitment Amount under </w:t>
      </w:r>
      <w:r>
        <w:rPr>
          <w:rFonts w:ascii="Times New Roman" w:cs="Times New Roman" w:eastAsia="Times New Roman" w:hAnsi="Times New Roman"/>
          <w:sz w:val="20"/>
          <w:szCs w:val="20"/>
          <w:u w:val="single" w:color="auto"/>
          <w:color w:val="auto"/>
        </w:rPr>
        <w:t>Section 2.16(c)(vi)</w:t>
      </w:r>
      <w:r>
        <w:rPr>
          <w:rFonts w:ascii="Times New Roman" w:cs="Times New Roman" w:eastAsia="Times New Roman" w:hAnsi="Times New Roman"/>
          <w:sz w:val="20"/>
          <w:szCs w:val="20"/>
          <w:color w:val="auto"/>
        </w:rPr>
        <w:t xml:space="preserve"> at least three (3) Business Days prior to the effective date of such termination or reduction (or such lesser period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0584"/>
          </w:cols>
          <w:pgMar w:left="976" w:top="1394" w:right="339"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20"/>
          <w:szCs w:val="20"/>
          <w:color w:val="auto"/>
        </w:rPr>
        <w:t>may be reasonably acceptable to the Administrative Agent), specifying such election and the effective date thereof. Promptly</w:t>
      </w: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following receipt of any notice, the Administrative Agent shall advise the Lenders of the contents thereof. Each notice delivered by the Borrower pursuant to this </w:t>
      </w:r>
      <w:r>
        <w:rPr>
          <w:rFonts w:ascii="Times New Roman" w:cs="Times New Roman" w:eastAsia="Times New Roman" w:hAnsi="Times New Roman"/>
          <w:sz w:val="20"/>
          <w:szCs w:val="20"/>
          <w:u w:val="single" w:color="auto"/>
          <w:color w:val="auto"/>
        </w:rPr>
        <w:t>Section 2.16(c)(vii)</w:t>
      </w:r>
      <w:r>
        <w:rPr>
          <w:rFonts w:ascii="Times New Roman" w:cs="Times New Roman" w:eastAsia="Times New Roman" w:hAnsi="Times New Roman"/>
          <w:sz w:val="20"/>
          <w:szCs w:val="20"/>
          <w:color w:val="auto"/>
        </w:rPr>
        <w:t xml:space="preserve"> shall be irrevocable; provided that a notice of termination or reduction of the</w:t>
      </w:r>
    </w:p>
    <w:p>
      <w:pPr>
        <w:ind w:left="660"/>
        <w:spacing w:after="0" w:line="223" w:lineRule="auto"/>
        <w:rPr>
          <w:sz w:val="20"/>
          <w:szCs w:val="20"/>
          <w:color w:val="auto"/>
        </w:rPr>
      </w:pPr>
      <w:r>
        <w:rPr>
          <w:rFonts w:ascii="Times New Roman" w:cs="Times New Roman" w:eastAsia="Times New Roman" w:hAnsi="Times New Roman"/>
          <w:sz w:val="19"/>
          <w:szCs w:val="19"/>
          <w:color w:val="auto"/>
        </w:rPr>
        <w:t>Aggregate Elected Commitment Amount delivered by the Borrower may state that such notice is conditioned upon the effectiveness</w:t>
      </w: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of other credit facilities or the closing of a specified transaction, in which case such notice may be revoked by the Borrower (by notice to the Administrative Agent on or prior to the specified effective date of such termination) if such condition is not satisfied.</w:t>
      </w:r>
    </w:p>
    <w:p>
      <w:pPr>
        <w:ind w:left="660"/>
        <w:spacing w:after="0" w:line="211" w:lineRule="auto"/>
        <w:rPr>
          <w:sz w:val="20"/>
          <w:szCs w:val="20"/>
          <w:color w:val="auto"/>
        </w:rPr>
      </w:pPr>
      <w:r>
        <w:rPr>
          <w:rFonts w:ascii="Times New Roman" w:cs="Times New Roman" w:eastAsia="Times New Roman" w:hAnsi="Times New Roman"/>
          <w:sz w:val="20"/>
          <w:szCs w:val="20"/>
          <w:color w:val="auto"/>
        </w:rPr>
        <w:t>Any termination or reduction of the Aggregate Elected Commitment Amount shall be permanent and may not be reinstated, except</w:t>
      </w:r>
    </w:p>
    <w:p>
      <w:pPr>
        <w:spacing w:after="0" w:line="1"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2.16(c)(i)</w:t>
      </w:r>
      <w:r>
        <w:rPr>
          <w:rFonts w:ascii="Times New Roman" w:cs="Times New Roman" w:eastAsia="Times New Roman" w:hAnsi="Times New Roman"/>
          <w:sz w:val="20"/>
          <w:szCs w:val="20"/>
          <w:color w:val="auto"/>
        </w:rPr>
        <w:t>. Each reduction of the Aggregate Elected Commitment Amount shall be made ratably among the Lenders in accordance with each Lender’s Commitment Percentage.</w:t>
      </w:r>
    </w:p>
    <w:p>
      <w:pPr>
        <w:spacing w:after="0" w:line="162" w:lineRule="exact"/>
        <w:rPr>
          <w:sz w:val="20"/>
          <w:szCs w:val="20"/>
          <w:color w:val="auto"/>
        </w:rPr>
      </w:pPr>
    </w:p>
    <w:p>
      <w:pPr>
        <w:jc w:val="both"/>
        <w:ind w:left="660" w:firstLine="644"/>
        <w:spacing w:after="0" w:line="220" w:lineRule="auto"/>
        <w:tabs>
          <w:tab w:leader="none" w:pos="194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redetermination or other adjustment in the Borrowing Base pursuant to this Agreement that would otherwise result in the Borrowing Base becoming less than the Aggregate Elected Commitment Amount, the Aggregate Elected Commitment Amount shall be automatically reduced (ratably among the Lenders in accordance with each Lender’s Commitment Percentage) so that they equal such redetermined Borrowing Base (and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shall be deemed amended to reflect such amendments to each Lender’s Elected Commitment and the Aggregate Elected Commitment Amount).</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Contemporaneously with any increase in the Borrowing Base pursuant to this Agreement, if (A) the Borrower elects to increase the Aggregate Elected Commitment Amount and (B) each Lender has consented to such increase in its Elected Commitment, then the Aggregate Elected Commitment Amount shall be increased (ratably among the Lenders in accordance with each Lender’s Commitment Percentage) by the amount requested by the Borrower without the requirement that any Lender deliver an Elected Commitment Increase Certificate or that the Borrower pay any amounts under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shall be deemed amended to reflect such amendments to each Lender’s Elected Commitment and the Aggregate Elected Commitment Amount. The Administrative Agent shall record the information regarding such increases in the Register required to be maintained by the Administrative Agent pursuant to </w:t>
      </w:r>
      <w:r>
        <w:rPr>
          <w:rFonts w:ascii="Times New Roman" w:cs="Times New Roman" w:eastAsia="Times New Roman" w:hAnsi="Times New Roman"/>
          <w:sz w:val="20"/>
          <w:szCs w:val="20"/>
          <w:u w:val="single" w:color="auto"/>
          <w:color w:val="auto"/>
        </w:rPr>
        <w:t>Section 13.6(b)</w:t>
      </w:r>
      <w:r>
        <w:rPr>
          <w:rFonts w:ascii="Times New Roman" w:cs="Times New Roman" w:eastAsia="Times New Roman" w:hAnsi="Times New Roman"/>
          <w:sz w:val="20"/>
          <w:szCs w:val="20"/>
          <w:color w:val="auto"/>
        </w:rPr>
        <w:t>.</w:t>
      </w:r>
    </w:p>
    <w:p>
      <w:pPr>
        <w:spacing w:after="0" w:line="147"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9"/>
          <w:szCs w:val="19"/>
          <w:color w:val="auto"/>
        </w:rPr>
        <w:t xml:space="preserve">If, after giving effect to any reduction in the Aggregate Elected Commitment Amount pursuant to this </w:t>
      </w:r>
      <w:r>
        <w:rPr>
          <w:rFonts w:ascii="Times New Roman" w:cs="Times New Roman" w:eastAsia="Times New Roman" w:hAnsi="Times New Roman"/>
          <w:sz w:val="19"/>
          <w:szCs w:val="19"/>
          <w:u w:val="single" w:color="auto"/>
          <w:color w:val="auto"/>
        </w:rPr>
        <w:t>Section 2.16(c)</w:t>
      </w:r>
      <w:r>
        <w:rPr>
          <w:rFonts w:ascii="Times New Roman" w:cs="Times New Roman" w:eastAsia="Times New Roman" w:hAnsi="Times New Roman"/>
          <w:sz w:val="19"/>
          <w:szCs w:val="19"/>
          <w:color w:val="auto"/>
        </w:rPr>
        <w:t>, the aggregate Total Exposures of all Lenders exceeds the Total Commitment, then the Borrower shall (A) prepay the Borrowings on the date of such termination</w:t>
      </w:r>
    </w:p>
    <w:p>
      <w:pPr>
        <w:spacing w:after="0" w:line="1"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auto"/>
        </w:rPr>
        <w:t>or reduction in an aggregate principal amount equal to such excess, and (B) if any excess remains after prepaying all of the Borrowings as a result of Letter of Credit Exposure, transfer to the Administrative Agent on behalf of the Lenders an amount equal to such excess to be held</w:t>
      </w:r>
    </w:p>
    <w:p>
      <w:pPr>
        <w:spacing w:after="0"/>
        <w:rPr>
          <w:sz w:val="20"/>
          <w:szCs w:val="20"/>
          <w:color w:val="auto"/>
        </w:rPr>
      </w:pPr>
      <w:r>
        <w:rPr>
          <w:rFonts w:ascii="Times New Roman" w:cs="Times New Roman" w:eastAsia="Times New Roman" w:hAnsi="Times New Roman"/>
          <w:sz w:val="20"/>
          <w:szCs w:val="20"/>
          <w:color w:val="auto"/>
        </w:rPr>
        <w:t xml:space="preserve">as cash collateral as provided in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w:t>
      </w:r>
    </w:p>
    <w:p>
      <w:pPr>
        <w:spacing w:after="0" w:line="12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color w:val="auto"/>
        </w:rPr>
        <w:t>LETTERS OF CREDIT</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2" w:lineRule="auto"/>
        <w:tabs>
          <w:tab w:leader="none" w:pos="128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and upon the terms and conditions herein set forth, (i) the Existing Letters of Credit shall be refunded, refinanced, replaced and deemed issued hereunder and, on and after the Closing Date, shall constitute Letters of Credit for all purposes hereunder and under the Credit Documents and (ii) at any time and from time to time on and after the Closing Date and prior to the L/C Maturity Date, each Issuing Bank, severally, and not jointly, agrees, in reliance upon the agreements of the Lenders set forth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to issue upon the request of the Borrower and for the direct or indirect benefit of the Borrower and its Subsidiaries, a letter of credit or letters of credit in Dollars (the “</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in such form and with such Issuer Documents as may be approved by the applicable Issuing Bank in its reasonable discretion;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be a co-applicant of, and jointly and severally liable with respect to, each Letter of Credit issued for the account of a Subsidiary;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up to $50,000,000 of Letters of Credit may be requested by the Borrower in support of any obligations of, or for the account of, any Unrestricted Subsidiary, subject to constituting an Investment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394" w:right="339" w:bottom="1440" w:gutter="0" w:footer="0" w:header="0"/>
        </w:sectPr>
      </w:pPr>
    </w:p>
    <w:bookmarkStart w:id="113" w:name="page114"/>
    <w:bookmarkEnd w:id="113"/>
    <w:p>
      <w:pPr>
        <w:jc w:val="both"/>
        <w:ind w:firstLine="656"/>
        <w:spacing w:after="0" w:line="210" w:lineRule="auto"/>
        <w:tabs>
          <w:tab w:leader="none" w:pos="128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(i) no Letter of Credit shall be issued the Stated Amount of which, when added to the Letters of Credit Outstanding at such time, would exceed the Letter of Credit Commitment then in effect, (ii) no Letter of Credit shall be issued the Stated Amount of which would cause the aggregate Total Exposures of all Lenders at such time to exceed the Total Commitment then in effect, (iii) each Letter of Credit shall have an expiration date occurring no later than twelve (12) months after the date of issuance or such longer period of time as may be agreed by the applicable Issuing Bank, unless otherwise agreed upon by the Administrative Agent and the applicable Issuing Bank or as provided under </w:t>
      </w:r>
      <w:r>
        <w:rPr>
          <w:rFonts w:ascii="Times New Roman" w:cs="Times New Roman" w:eastAsia="Times New Roman" w:hAnsi="Times New Roman"/>
          <w:sz w:val="20"/>
          <w:szCs w:val="20"/>
          <w:u w:val="single" w:color="auto"/>
          <w:color w:val="auto"/>
        </w:rPr>
        <w:t>Section 3.2(b)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Letter of Credit may provide for automatic renewal thereof for additional periods of up to twelve (12) months or such longer period of time as may be agreed upon by the applicable Issuing Bank, subject to the provisions of </w:t>
      </w:r>
      <w:r>
        <w:rPr>
          <w:rFonts w:ascii="Times New Roman" w:cs="Times New Roman" w:eastAsia="Times New Roman" w:hAnsi="Times New Roman"/>
          <w:sz w:val="20"/>
          <w:szCs w:val="20"/>
          <w:u w:val="single" w:color="auto"/>
          <w:color w:val="auto"/>
        </w:rPr>
        <w:t>Section 3.2(b)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in no event shall such expiration date occur later than the L/C Maturity Date unless arrangements which are reasonably satisfactory to the applicable Issuing Bank to Cash Collateralize (or backstop) such Letter of Credit have been made (provided, however, that no Lenders shall be obligated to fund participations in respect of any Letter of Credit after the Maturity Date), (iv) no Letter of Credit shall be issued if it would be illegal under any applicable Requirement of Law for the beneficiary of the Letter of Credit to have a Letter of Credit issued in its favor, (v) no Letter of Credit shall be issued by an Issuing Bank after it has received a written notice from the Administrative Agent or the Majority Lenders stating that a Default or Event of Default has occurred and is continuing until such time as such Issuing Bank shall have received a written notice (A) of rescission of such notice from the party or parties originally delivering such notice, (B) of the waiver of such Default or Event of Default in accordance with the provisions of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or (C) that such Default or Event of Default is no longer continuing and (vi) without the consent of the applicable Issuing Bank, no Letter of Credit shall be issued in any currency other than Dollars.</w:t>
      </w:r>
    </w:p>
    <w:p>
      <w:pPr>
        <w:spacing w:after="0" w:line="156"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at least one (1) Business Day’s prior written notice (or telephonic notice promptly confirmed in writing) to the Administrative Agent and the applicable Issuing Bank (which notice the Administrative Agent shall promptly transmit to each of the applicable Lenders), the Borrower shall have the right, on any day, permanently to terminate or reduce the Letter of Credit Commitment in whole or in part;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after giving effect to such termination or reduction, the Letters of Credit Outstanding (other than with respect to the Existing Letters of Credit) shall not exceed the Letter of Credit Commitment.</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Letter of Credit Applications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2" w:lineRule="auto"/>
        <w:tabs>
          <w:tab w:leader="none" w:pos="128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Borrower desires that a Letter of Credit be issued, amended or renewed for its account on its own behalf, or on behalf of its Subsidiaries, the Borrower shall hand deliver or telecopy (or transmit by electronic communication, if arrangements for doing so have been approved by the applicable Issuing Bank) to the applicable Issuing Bank and the Administrative Agent a Letter of Credit application, amendment request or any such document in the Issuing Bank’s customary form or, if the relevant Issuing Bank does not maintain such a form, in such form as may be approved by the applicable Issuing Bank (each, a “</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Upon receipt of any Letter of Credit Application or amendment request, the applicable Issuing Bank will issue such Letter of Credit or amendment on the second (or such lesser number as may be agreed upon by the Administrative Agent and the Issuing Bank) Business Day after the relevant Letter of Credit Application is received, so long as such Letter of Credit Application is received no later than 3:00 p.m. (New York City time) on such Business Day, or if received after such time or on a day that is not a Business Day, the third (3rd) Business Day next succeeding receipt of such Letter of Credit Application. No Issuing Bank shall issue any Letters of Credit unless such Issuing Bank shall have received notice from the Administrative Agent that the conditions to such issuance have been met.</w:t>
      </w:r>
    </w:p>
    <w:p>
      <w:pPr>
        <w:spacing w:after="0" w:line="154"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so requests in any applicable Letter of Credit Application, the applicable Issuing Bank may, in its sole and absolute discretion, agree to issue a Letter of Credit that has automatic extension provisions (each, an “</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any such Auto-Extension Letter of Credit must permit such Issuing Bank to prevent any such extension at least once in each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twelve (12)-month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in each such twelve (12)-month period to be agreed upon at the time such Letter of Credit is issued. Unless otherwise directed by the applicable Issuing Bank, the Borrower shall not be required to make a specific request to such Issuing Bank for any such extension. Once an Auto-Extension Letter of Credit has been issued,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39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9"/>
          <w:szCs w:val="19"/>
          <w:color w:val="auto"/>
        </w:rPr>
        <w:t>Lenders shall be deemed to have authorized (but may not require) the applicable Issuing Bank to permit the extension of such Letter of Credit</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at any time to an expiry date not later than the L/C Maturity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Issuing Bank shall not permit any such extension if (i) such Issuing Bank has determined that it would not be permitted, or would have no obligation, at such time to issue such</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Letter of Credit in its revised form (as extended) under the terms hereof (by reason of the provisions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otherwise), or (ii) it has received notice (which may be by telephone or in writing) on or before the day that is five (5) Business Days before the Non-Extension Notice Date from the Administrative Agent that one or more of the applicable conditions specified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are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then satisfied, and in each such case directing such Issuing Bank not to permit such extension.</w:t>
      </w:r>
    </w:p>
    <w:p>
      <w:pPr>
        <w:spacing w:after="0" w:line="167" w:lineRule="exact"/>
        <w:rPr>
          <w:sz w:val="20"/>
          <w:szCs w:val="20"/>
          <w:color w:val="auto"/>
        </w:rPr>
      </w:pPr>
    </w:p>
    <w:p>
      <w:pPr>
        <w:jc w:val="both"/>
        <w:ind w:firstLine="656"/>
        <w:spacing w:after="0" w:line="222" w:lineRule="auto"/>
        <w:tabs>
          <w:tab w:leader="none" w:pos="128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Issuing Bank (other than the Administrative Agent or any of its Affiliates) shall provide the Administrative Agent with a reasonably detailed notice upon its issuance or amendment of any Letter of Credit, or upon any drawing under any Letter of Credit issued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upon written request from the Administrative Agent, such Issuing Bank shall promptly provide the Administrative Agent with a list of all Letters of Credit issued by it that are outstanding at such time.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Letter of Credit Participations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6" w:lineRule="auto"/>
        <w:tabs>
          <w:tab w:leader="none" w:pos="1286"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upon the issuance by an Issuing Bank of any Letter of Credit, such Issuing Bank shall be deemed to have sold and transferred to each Lender (each such Lender, in its capacity under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an “</w:t>
      </w:r>
      <w:r>
        <w:rPr>
          <w:rFonts w:ascii="Times New Roman" w:cs="Times New Roman" w:eastAsia="Times New Roman" w:hAnsi="Times New Roman"/>
          <w:sz w:val="20"/>
          <w:szCs w:val="20"/>
          <w:u w:val="single" w:color="auto"/>
          <w:color w:val="auto"/>
        </w:rPr>
        <w:t>L/C Participant</w:t>
      </w:r>
      <w:r>
        <w:rPr>
          <w:rFonts w:ascii="Times New Roman" w:cs="Times New Roman" w:eastAsia="Times New Roman" w:hAnsi="Times New Roman"/>
          <w:sz w:val="20"/>
          <w:szCs w:val="20"/>
          <w:color w:val="auto"/>
        </w:rPr>
        <w:t>”), and each such L/C Participant shall be deemed irrevocably and unconditionally to have purchased and received from such Issuing Bank, without recourse or warranty, an undivided interest and participation (each an “</w:t>
      </w:r>
      <w:r>
        <w:rPr>
          <w:rFonts w:ascii="Times New Roman" w:cs="Times New Roman" w:eastAsia="Times New Roman" w:hAnsi="Times New Roman"/>
          <w:sz w:val="20"/>
          <w:szCs w:val="20"/>
          <w:u w:val="single" w:color="auto"/>
          <w:color w:val="auto"/>
        </w:rPr>
        <w:t>L/C Participation</w:t>
      </w:r>
      <w:r>
        <w:rPr>
          <w:rFonts w:ascii="Times New Roman" w:cs="Times New Roman" w:eastAsia="Times New Roman" w:hAnsi="Times New Roman"/>
          <w:sz w:val="20"/>
          <w:szCs w:val="20"/>
          <w:color w:val="auto"/>
        </w:rPr>
        <w:t>”), to the extent of such L/C Participant’s Commitment Percentage, in each Letter of Credit, each substitute therefor, each drawing made thereunder and the obligations of the Borrower under this Agreement with respect thereto, and any security therefor or guaranty pertaining thereto.</w:t>
      </w:r>
    </w:p>
    <w:p>
      <w:pPr>
        <w:spacing w:after="0" w:line="162"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determining whether to pay under any Letter of Credit, the relevant Issuing Bank shall have no obligation relative to the L/C Participants other than to confirm that (i) any documents required to be delivered under such Letter of Credit have been delivered,</w:t>
      </w:r>
    </w:p>
    <w:p>
      <w:pPr>
        <w:spacing w:after="0" w:line="1" w:lineRule="exact"/>
        <w:rPr>
          <w:rFonts w:ascii="Times New Roman" w:cs="Times New Roman" w:eastAsia="Times New Roman" w:hAnsi="Times New Roman"/>
          <w:sz w:val="20"/>
          <w:szCs w:val="20"/>
          <w:color w:val="auto"/>
        </w:rPr>
      </w:pPr>
    </w:p>
    <w:p>
      <w:pPr>
        <w:jc w:val="both"/>
        <w:ind w:firstLine="8"/>
        <w:spacing w:after="0" w:line="216" w:lineRule="auto"/>
        <w:tabs>
          <w:tab w:leader="none" w:pos="31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Issuing Bank has examined the documents with reasonable care and (iii) the documents appear to comply on their face with the requirements of such Letter of Credit. Any action taken or omitted to be taken by the relevant Issuing Bank under or in connection with any Letter of Credit issued by it, if taken or omitted in the absence of gross negligence or willful misconduct (as finally determined by a court of competent jurisdiction), shall not create for such Issuing Bank any resulting liability.</w:t>
      </w:r>
    </w:p>
    <w:p>
      <w:pPr>
        <w:spacing w:after="0" w:line="162" w:lineRule="exact"/>
        <w:rPr>
          <w:rFonts w:ascii="Times New Roman" w:cs="Times New Roman" w:eastAsia="Times New Roman" w:hAnsi="Times New Roman"/>
          <w:sz w:val="20"/>
          <w:szCs w:val="20"/>
          <w:color w:val="auto"/>
        </w:rPr>
      </w:pPr>
    </w:p>
    <w:p>
      <w:pPr>
        <w:jc w:val="both"/>
        <w:ind w:firstLine="656"/>
        <w:spacing w:after="0" w:line="210" w:lineRule="auto"/>
        <w:tabs>
          <w:tab w:leader="none" w:pos="1286"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 Issuing Bank makes any payment under any Letter of Credit issued by it and the Borrower shall not have repaid such amount in full to such Issuing Bank pursuant to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such Issuing Bank shall promptly notify the Administrative Agent (which shall promptly notify each L/C Participant) of such failure, and each such L/C Participant shall promptly and unconditionally pay to the Administrative Agent for the account of such Issuing Bank, the amount of such L/C Participant’s Commitment Percentage of such unreimbursed payment in Dollars and in immediately available funds. Each L/C Participant shall make available to the Administrative Agent for the account of the relevant Issuing Bank such L/C Participant’s Commitment Percentage of the amount of such payment no later than 1:00 p.m. (New York City time) on the first (1st) Business Day after the date notified by such Issuing Bank in immediately available funds. If and to the extent such L/C Participant shall not have so made its Commitment Percentage of the amount of such payment available to the Administrative Agent for the account of the relevant Issuing Bank, such L/C Participant agrees to pay to the Administrative Agent for the account of such Issuing Bank, forthwith on demand, such amount, together with interest thereon for each day from such date until the date such amount is paid to the Administrative Agent for the account of such Issuing Bank at a rate per annum equal to the Overnight Rate from time to time then in effect,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administrative, processing or similar fees customarily charged by such Issuing Bank in connection with the foregoing. The failure of any L/C Participant to make available to the Administrative Agent for the account of any Issuing Bank its Commitment Percentage of any payment under any Letter of Credit shall not relieve any other L/C Participant of its obligation hereunder to make available to the Administrative Agent for the account of such Issuing Bank its Commitment Percentage of any payment under such Letter of Credit on the date required, as specified above, but no L/C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39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color w:val="auto"/>
        </w:rPr>
        <w:t>shall be responsible for the failure of any other L/C Participant to make available to the Administrative Agent such other L/C Participant’s Commitment Percentage of any such payment.</w:t>
      </w:r>
    </w:p>
    <w:p>
      <w:pPr>
        <w:spacing w:after="0" w:line="148" w:lineRule="exact"/>
        <w:rPr>
          <w:sz w:val="20"/>
          <w:szCs w:val="20"/>
          <w:color w:val="auto"/>
        </w:rPr>
      </w:pPr>
    </w:p>
    <w:p>
      <w:pPr>
        <w:jc w:val="both"/>
        <w:ind w:firstLine="656"/>
        <w:spacing w:after="0" w:line="215" w:lineRule="auto"/>
        <w:tabs>
          <w:tab w:leader="none" w:pos="128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an Issuing Bank receives a payment in respect of an unpaid reimbursement obligation as to which the Administrative Agent has received for the account of such Issuing Bank any payments from the L/C Participants pursuant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 such Issuing Bank shall pay to the Administrative Agent and the Administrative Agent shall promptly pay to each L/C Participant that has paid its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principal amount so paid in respect of such reimbursement obligation and interest thereon accruing after the purchase of the respective L/C Participations at the Overnight Rate.</w:t>
      </w:r>
    </w:p>
    <w:p>
      <w:pPr>
        <w:spacing w:after="0" w:line="164"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L/C Participants to make payments to the Administrative Agent for the account of an Issuing Bank with respect to Letters of Credit shall be irrevocable and not subject to counterclaim, set-off or other defense or any other qualification or exception whatsoever and shall be made in accordance with the terms and conditions of this Agreement under all circumstances, including under any of the following circumstances: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this Agreement or any of the other Credit Documents;</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55"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set-off, defense or other right that the Borrower or any other Person (including an L/C Participant) may have at any time against a beneficiary named in a Letter of Credit, any transferee of any Letter of Credit (or any Person for whom any such transferee may be acting), the Administrative Agent, any Issuing Bank, any Lender or other Person, whether in connection with this Agreement, any Letter of Credit, the transactions contemplated herein or any unrelated transactions (including any underlying transaction between the Borrower and the beneficiary named in any such Letter of Credit);</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56"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certificate or any other document presented under any Letter of Credit proving to be forged, fraudulent, invalid or insufficient in any respect or any statement therein being untrue or inaccurate in any respect;</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45"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surrender or impairment of any security for the performance or observance of any of the terms of any of the Credit Documents; or</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or Event of Default; or</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condition of circumstance, whether or not similar to the foregoing.</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Agreement to Repay Letter of Credit Drawings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2" w:lineRule="auto"/>
        <w:tabs>
          <w:tab w:leader="none" w:pos="128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agrees to reimburse the relevant Issuing Bank by making payment in Dollars or to the Administrative Agent for the account of such Issuing Bank (whether with its own funds or with proceeds of the Loans) in immediately available funds, for any payment or disbursement made by such Issuing Bank under any Letter of Credit issued by it (each such amount so paid until reimbursed, an “</w:t>
      </w:r>
      <w:r>
        <w:rPr>
          <w:rFonts w:ascii="Times New Roman" w:cs="Times New Roman" w:eastAsia="Times New Roman" w:hAnsi="Times New Roman"/>
          <w:sz w:val="20"/>
          <w:szCs w:val="20"/>
          <w:u w:val="single" w:color="auto"/>
          <w:color w:val="auto"/>
        </w:rPr>
        <w:t>Unpaid Drawing</w:t>
      </w:r>
      <w:r>
        <w:rPr>
          <w:rFonts w:ascii="Times New Roman" w:cs="Times New Roman" w:eastAsia="Times New Roman" w:hAnsi="Times New Roman"/>
          <w:sz w:val="20"/>
          <w:szCs w:val="20"/>
          <w:color w:val="auto"/>
        </w:rPr>
        <w:t xml:space="preserve">”) (i) within one (1) Business Day of the date of such payment or disbursement if such Issuing Bank provides notice to the Borrower of such payment or disbursement prior to 11:00 a.m. (New York City time) on such next succeeding Business Day (from the date of such payment or disbursement) or (ii) if such notice is received after such time, on the next Business Day following the date of receipt of such notice (such required date for reimbursement under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as applicable, on such Business Day (the “</w:t>
      </w: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xml:space="preserve">”)), with interest on the amount so paid or disbursed by such Issuing Bank, from and including the date of such payment or disbursement to but excluding the Reimbursement Date, at the per annum rate for each day equal to the rate described in </w:t>
      </w:r>
      <w:r>
        <w:rPr>
          <w:rFonts w:ascii="Times New Roman" w:cs="Times New Roman" w:eastAsia="Times New Roman" w:hAnsi="Times New Roman"/>
          <w:sz w:val="20"/>
          <w:szCs w:val="20"/>
          <w:u w:val="single" w:color="auto"/>
          <w:color w:val="auto"/>
        </w:rPr>
        <w:t>Section 2.8(a)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contained in this Agreement to the contrary, with respect to any Letter of Credit, (i) unless the Borrower shall have notified the Administrative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39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9"/>
          <w:szCs w:val="19"/>
          <w:color w:val="auto"/>
        </w:rPr>
        <w:t>such Issuing Bank prior to 11:00 a.m. (New York City time) on the Reimbursement Date that the Borrower intends to reimburse such Issuing</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Bank for the amount of such drawing with funds other than the proceeds of Loans, the Borrower shall be deemed to have given a Notice of Borrowing requesting that the Lenders make Loans (which shall be ABR Loans) on the Reimbursement Date in an amount equal to the</w:t>
      </w:r>
    </w:p>
    <w:p>
      <w:pPr>
        <w:spacing w:after="0" w:line="211" w:lineRule="auto"/>
        <w:rPr>
          <w:sz w:val="20"/>
          <w:szCs w:val="20"/>
          <w:color w:val="auto"/>
        </w:rPr>
      </w:pPr>
      <w:r>
        <w:rPr>
          <w:rFonts w:ascii="Times New Roman" w:cs="Times New Roman" w:eastAsia="Times New Roman" w:hAnsi="Times New Roman"/>
          <w:sz w:val="20"/>
          <w:szCs w:val="20"/>
          <w:color w:val="auto"/>
        </w:rPr>
        <w:t>amount at such drawing, and (ii) the Administrative Agent shall promptly notify each L/C Participant of such drawing and the amount of its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Loan to be made in respect thereof, and each L/C Participant shall be irrevocably obligated to make a Loan to the Borrower in the manner deemed to have been requested in the amount of its Commitment Percentage of the applicable Unpaid Drawing by 12:00 noon (New York</w:t>
      </w:r>
    </w:p>
    <w:p>
      <w:pPr>
        <w:spacing w:after="0" w:line="211" w:lineRule="auto"/>
        <w:rPr>
          <w:sz w:val="20"/>
          <w:szCs w:val="20"/>
          <w:color w:val="auto"/>
        </w:rPr>
      </w:pPr>
      <w:r>
        <w:rPr>
          <w:rFonts w:ascii="Times New Roman" w:cs="Times New Roman" w:eastAsia="Times New Roman" w:hAnsi="Times New Roman"/>
          <w:sz w:val="20"/>
          <w:szCs w:val="20"/>
          <w:color w:val="auto"/>
        </w:rPr>
        <w:t>City time) on such Reimbursement Date by making the amount of such Loan available to the Administrative Agent. Such Loans made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respect of such Unpaid Drawing on such Reimbursement Date shall be made without regard to the Minimum Borrowing Amount and without regard to the satisfaction of the conditions set forth in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The Administrative Agent shall use the proceeds of such Loans solely for</w:t>
      </w:r>
    </w:p>
    <w:p>
      <w:pPr>
        <w:spacing w:after="0" w:line="211" w:lineRule="auto"/>
        <w:rPr>
          <w:sz w:val="20"/>
          <w:szCs w:val="20"/>
          <w:color w:val="auto"/>
        </w:rPr>
      </w:pPr>
      <w:r>
        <w:rPr>
          <w:rFonts w:ascii="Times New Roman" w:cs="Times New Roman" w:eastAsia="Times New Roman" w:hAnsi="Times New Roman"/>
          <w:sz w:val="20"/>
          <w:szCs w:val="20"/>
          <w:color w:val="auto"/>
        </w:rPr>
        <w:t>purpose of reimbursing the relevant Issuing Bank for the related Unpaid Drawing. In the event that the Borrower fails to Cash Collateralize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any Letter of Credit that is outstanding on the L/C Maturity Date, the full amount of the Letters of Credit Outstanding in respect of such Letter of Credit shall be deemed to be an Unpaid Drawing subject to the provisions of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except that such Issuing Bank shall</w:t>
      </w:r>
    </w:p>
    <w:p>
      <w:pPr>
        <w:spacing w:after="0" w:line="211" w:lineRule="auto"/>
        <w:rPr>
          <w:sz w:val="20"/>
          <w:szCs w:val="20"/>
          <w:color w:val="auto"/>
        </w:rPr>
      </w:pPr>
      <w:r>
        <w:rPr>
          <w:rFonts w:ascii="Times New Roman" w:cs="Times New Roman" w:eastAsia="Times New Roman" w:hAnsi="Times New Roman"/>
          <w:sz w:val="20"/>
          <w:szCs w:val="20"/>
          <w:color w:val="auto"/>
        </w:rPr>
        <w:t>hold the proceeds received from the Lenders as contemplated above as cash collateral for such Letter of Credit to reimburse any Drawing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under such Letter of Credit and shall use such proceeds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reimburse itself for any Drawings made in respect of such Letter of Credit following the L/C Maturity Date,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the extent such Letter of Credit expires or is returned undrawn while any such cash collateral</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remains, to the repayment of obligations in respect of any Loans that have not paid at such time and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the Borrower or as otherwise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directed by a court of competent jurisdiction. Nothing in this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shall affect the Borrower’s obligation to repay all outstanding Loans when due in accordance with the terms of this Agreement.</w:t>
      </w:r>
    </w:p>
    <w:p>
      <w:pPr>
        <w:spacing w:after="0" w:line="162" w:lineRule="exact"/>
        <w:rPr>
          <w:sz w:val="20"/>
          <w:szCs w:val="20"/>
          <w:color w:val="auto"/>
        </w:rPr>
      </w:pPr>
    </w:p>
    <w:p>
      <w:pPr>
        <w:jc w:val="both"/>
        <w:ind w:firstLine="656"/>
        <w:spacing w:after="0" w:line="209" w:lineRule="auto"/>
        <w:tabs>
          <w:tab w:leader="none" w:pos="128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Borrower under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to reimburse the relevant Issuing Bank with respect to Unpaid Drawings (including, in each case, interest thereon) shall be absolute, unconditional and irrevocable under any and all circumstances and irrespective of any set-off, counterclaim or defense to payment that the Borrower or any other Person may have or have had against such Issuing Bank, the Administrative Agent or any Lender (including in its capacity as an L/C Participant), including any defense based upon (i) the failure of any drawing under a Letter of Credit (each a “</w:t>
      </w:r>
      <w:r>
        <w:rPr>
          <w:rFonts w:ascii="Times New Roman" w:cs="Times New Roman" w:eastAsia="Times New Roman" w:hAnsi="Times New Roman"/>
          <w:sz w:val="20"/>
          <w:szCs w:val="20"/>
          <w:u w:val="single" w:color="auto"/>
          <w:color w:val="auto"/>
        </w:rPr>
        <w:t>Drawing</w:t>
      </w:r>
      <w:r>
        <w:rPr>
          <w:rFonts w:ascii="Times New Roman" w:cs="Times New Roman" w:eastAsia="Times New Roman" w:hAnsi="Times New Roman"/>
          <w:sz w:val="20"/>
          <w:szCs w:val="20"/>
          <w:color w:val="auto"/>
        </w:rPr>
        <w:t xml:space="preserve">”) to conform to the terms of the Letter of Credit, (ii) any non-application or misapplication by the beneficiary of the proceeds of such Drawing, (iii) any lack of validity or enforceability of any Letter of Credit or this Agreement, or any term or provision therein, (iv) any draft or other document presented under a Letter of Credit proving to be forged, fraudulent or invalid in any respect or any statement therein being untrue or inaccurate in any respect or (v) any other event or circumstance whatsoever, whether or not similar to any of the foregoing, that might, but for the provisions of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constitute a legal or equitable discharge of, or provide a right of setoff against, the Borrower’s obligations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be construed to excuse the relevant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pursuant to the applicable ICC Rule or applicable law when determining whether drafts and other documents presented under a Letter of Credit comply with the terms thereof. The Borrower agrees that any action taken or omitted to be taken by an Issuing Bank under or in connection with any Letter of Credit or the related drafts or documents, if done in the absence of gross negligence or willful misconduct (as finally determined by a court of competent jurisdiction), shall be binding on the Borrower and shall not result in any liability of such Issuing Bank to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be construed to excuse such Issuing Bank from liability to the Borrower to the extent of any direct damages suffered by the Borrower that are caused by such Issuing Bank’s failure to exercise care, when determining whether drafts and other documents presented under a Letter of Credit comply with the terms thereof as determined by a final and non-appealable judgment of a court of competent jurisdiction. In furtherance of the foregoing, the parties hereto agree that, with respect to documents presented which appear on their face to be in compliance with the terms of a Letter of Credit, the Issuing Bank that issued such Letter of Credit may in its sole discretion either accept or make payment upon such documents without responsibility for further investigation, regardless of any notice or information to the contrary, or refuse to accept and make payment upon such documents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39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color w:val="auto"/>
        </w:rPr>
        <w:t>documents are not in strict compliance with the terms of such Letter of Credit (unless the Borrower shall consent to payment thereon not withstanding such lack of strict compliance).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u w:val="single" w:color="auto"/>
          <w:color w:val="auto"/>
        </w:rPr>
        <w:t>New or Successor Issuing Bank</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08" w:lineRule="auto"/>
        <w:tabs>
          <w:tab w:leader="none" w:pos="128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Issuing Bank may resign as an Issuing Bank upon thirty (30) days’ prior written notice to the Administrative Agent, the Lenders and the Borrower. The Borrower may replace any Issuing Bank for any reason upon written notice to such Issuing Bank and the Administrative Agent and may add Issuing Banks at any time upon notice to the Administrative Agent. If an Issuing Bank shall resign or be replaced, or if the Borrower shall decide to add a new Issuing Bank under this Agreement, then the Borrower may appoint from among the Lenders (who have agreed to act as successor issuer of Letters of Credit or a new Issuing Bank) a successor issuer of Letters of Credit or a new Issuing Bank, as the case may be, or, with the consent of the Administrative Agent (such consent not to be unreasonably withheld) and such new Issuing Bank, another successor or new issuer of Letters of Credit, whereupon such successor issuer shall succeed to the rights, powers and duties of the replaced or resigning Issuing Bank under this Agreement and the other Credit Documents, or such new issuer of Letters of Credit shall be granted the rights, powers and duties of an Issuing Bank hereunder, and the term “Issuing Bank” shall mean such successor or such new issuer of Letters of Credit effective upon such appointment. The acceptance of any appointment as an Issuing Bank hereunder whether as a successor issuer or new issuer of Letters of Credit in accordance with this Agreement, shall be evidenced by an agreement entered into by such new or successor issuer of Letters of Credit, in a form reasonably satisfactory to the Borrower and the Administrative Agent and, from and after the effective date of such agreement, such new or successor issuer of Letters of Credit shall become an “Issuing Bank” hereunder. After the resignation or replacement of an Issuing Bank hereunder, the resigning or replaced Issuing Bank shall remain a party hereto and shall continue to have all the rights and obligations of an Issuing Bank under this Agreement and the other Credit Documents with respect to Letters of Credit issued by it prior to such resignation or replacement, but shall not be required to issue additional Letters of Credit. In connection with any resignation or replacement pursuant to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(but, in case of any such resignation, only to the extent that a successor issuer of Letters of Credit shall have been appointed), either (i) the Borrower, the resigning or replaced Issuing Bank and the successor issuer of Letters of Credit shall arrange to have any outstanding Letters of Credit issued by the resigning or replaced Issuing Bank replaced with Letters of Credit issued by the successor issuer of Letters of Credit or (ii) the Borrower shall cause the successor issuer of Letters of Credit, if such successor issuer is reasonably satisfactory to the replaced or resigning Issuing Bank, to issue “back-stop” Letters of Credit naming the resigning or replaced Issuing Bank as beneficiary for each outstanding Letter of Credit issued by the resigning or replaced Issuing Bank, which new Letters of Credit shall have a Stated Amount equal to the Letters of Credit being back-stopped and the sole requirement for drawing on such new Letters of Credit shall be a drawing on the corresponding back-stopped Letters of Credit (for the avoidance of doubt, the Stated Amount of such backstopped Letters of Credit shall no longer be deemed outstanding under the Facility). After any resigning or replaced Issuing Bank’s resignation or replacement as Issuing Bank, the provisions of this Agreement relating to an Issuing Bank shall inure to its benefit as to any actions taken or omitted to be taken by it (A) while it was an Issuing Bank under this Agreement or (B) at any time with respect to Letters of Credit issued by such Issuing Bank.</w:t>
      </w:r>
    </w:p>
    <w:p>
      <w:pPr>
        <w:spacing w:after="0" w:line="170"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there are, at the time of any resignation or replacement as set forth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any outstanding Letters of Credit, nothing herein shall be deemed to impact or impair any rights and obligations of any of the parties hereto with respect to such outstanding Letters of Credit (including any obligations related to the payment of fees or the reimbursement or funding of amounts drawn), except that the Borrower, the resigning or replaced Issuing Bank and the successor issuer of Letters of Credit shall have the obligations regarding outstanding Letters of Credit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Role of Issuing Bank</w:t>
      </w:r>
      <w:r>
        <w:rPr>
          <w:rFonts w:ascii="Times New Roman" w:cs="Times New Roman" w:eastAsia="Times New Roman" w:hAnsi="Times New Roman"/>
          <w:sz w:val="20"/>
          <w:szCs w:val="20"/>
          <w:color w:val="auto"/>
        </w:rPr>
        <w:t>. Each Lender and the Borrower agree that, in paying any drawing under a Letter of Credit, no Issuing Bank shall have any responsibility to obtain any document (other than any sight draft, certificates and documents expressly required by the</w:t>
      </w:r>
    </w:p>
    <w:p>
      <w:pPr>
        <w:spacing w:after="0" w:line="212" w:lineRule="auto"/>
        <w:rPr>
          <w:sz w:val="20"/>
          <w:szCs w:val="20"/>
          <w:color w:val="auto"/>
        </w:rPr>
      </w:pPr>
      <w:r>
        <w:rPr>
          <w:rFonts w:ascii="Times New Roman" w:cs="Times New Roman" w:eastAsia="Times New Roman" w:hAnsi="Times New Roman"/>
          <w:sz w:val="20"/>
          <w:szCs w:val="20"/>
          <w:color w:val="auto"/>
        </w:rPr>
        <w:t>Letter of Credit) or to ascertain or inquire as to the validity or accuracy of any such document or the authority of the Person executing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delivering any such document. None of the Issuing Banks, the Administrative Agent, any of their respective affiliates nor any correspondent, participant or assignee of any Issuing Bank shall be liable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39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color w:val="auto"/>
        </w:rPr>
        <w:t>any Lender for (a) any action taken or omitted in connection herewith at the request or with the approval of the Majority Lenders, (b) any</w:t>
      </w:r>
    </w:p>
    <w:p>
      <w:pPr>
        <w:spacing w:after="0" w:line="204" w:lineRule="auto"/>
        <w:rPr>
          <w:sz w:val="20"/>
          <w:szCs w:val="20"/>
          <w:color w:val="auto"/>
        </w:rPr>
      </w:pPr>
      <w:r>
        <w:rPr>
          <w:rFonts w:ascii="Times New Roman" w:cs="Times New Roman" w:eastAsia="Times New Roman" w:hAnsi="Times New Roman"/>
          <w:sz w:val="20"/>
          <w:szCs w:val="20"/>
          <w:color w:val="auto"/>
        </w:rPr>
        <w:t>action taken or omitted in the absence of gross negligence or willful misconduct or (c) the due execution, effectiveness, validity or enforceability of any document or instrument related to any Letter of Credit or Issuer Document. The Borrower hereby assumes all risks of</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 acts or omissions of any beneficiary or transferee with respect to its use of any Letter of Credit;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assumption is not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intended to, and shall not, preclude the Borrower’s pursuing such rights and remedies as it may have against the beneficiary or transferee at law or under any other agreement. None of the Issuing Banks, the Administrative Agent, any of their respective affiliates nor any</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correspondent, participant or assignee of any Issuing Bank shall be liable or responsible for any of the matters described in </w:t>
      </w:r>
      <w:r>
        <w:rPr>
          <w:rFonts w:ascii="Times New Roman" w:cs="Times New Roman" w:eastAsia="Times New Roman" w:hAnsi="Times New Roman"/>
          <w:sz w:val="20"/>
          <w:szCs w:val="20"/>
          <w:u w:val="single" w:color="auto"/>
          <w:color w:val="auto"/>
        </w:rPr>
        <w:t>Section 3.3(e)</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anything in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3.3(e)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contrary notwithstanding, the Borrower may have a claim against an Issuing Bank,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Issuing Bank may be liable to the Borrower, to the extent, but only to the extent, of any direct, as opposed to consequential or</w:t>
      </w:r>
    </w:p>
    <w:p>
      <w:pPr>
        <w:spacing w:after="0" w:line="211" w:lineRule="auto"/>
        <w:rPr>
          <w:sz w:val="20"/>
          <w:szCs w:val="20"/>
          <w:color w:val="auto"/>
        </w:rPr>
      </w:pPr>
      <w:r>
        <w:rPr>
          <w:rFonts w:ascii="Times New Roman" w:cs="Times New Roman" w:eastAsia="Times New Roman" w:hAnsi="Times New Roman"/>
          <w:sz w:val="20"/>
          <w:szCs w:val="20"/>
          <w:color w:val="auto"/>
        </w:rPr>
        <w:t>exemplary, damages suffered by the Borrower which the Borrower proves were caused by such Issuing Bank’s willful misconduct or gross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negligence (as finally determined by a court of competent jurisdiction) or such Issuing Bank’s unlawful failure (as finally determined by a court of competent jurisdiction) to pay under any Letter of Credit after the presentation to it by the beneficiary of a sight draft and</w:t>
      </w:r>
    </w:p>
    <w:p>
      <w:pPr>
        <w:spacing w:after="0" w:line="211" w:lineRule="auto"/>
        <w:rPr>
          <w:sz w:val="20"/>
          <w:szCs w:val="20"/>
          <w:color w:val="auto"/>
        </w:rPr>
      </w:pPr>
      <w:r>
        <w:rPr>
          <w:rFonts w:ascii="Times New Roman" w:cs="Times New Roman" w:eastAsia="Times New Roman" w:hAnsi="Times New Roman"/>
          <w:sz w:val="20"/>
          <w:szCs w:val="20"/>
          <w:color w:val="auto"/>
        </w:rPr>
        <w:t>certificate(s) strictly complying with the terms and conditions of a Letter of Credit. In furtherance and not in limitation of the foregoing,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w:t>
      </w:r>
    </w:p>
    <w:p>
      <w:pPr>
        <w:ind w:right="20"/>
        <w:spacing w:after="0" w:line="228" w:lineRule="auto"/>
        <w:rPr>
          <w:sz w:val="20"/>
          <w:szCs w:val="20"/>
          <w:color w:val="auto"/>
        </w:rPr>
      </w:pPr>
      <w:r>
        <w:rPr>
          <w:rFonts w:ascii="Times New Roman" w:cs="Times New Roman" w:eastAsia="Times New Roman" w:hAnsi="Times New Roman"/>
          <w:sz w:val="20"/>
          <w:szCs w:val="20"/>
          <w:color w:val="auto"/>
        </w:rPr>
        <w:t>assigning or purporting to transfer or assign a Letter of Credit or the rights or benefits thereunder or proceeds thereof, in whole or in part, which may prove to be invalid or ineffective for any reason.</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u w:val="single" w:color="auto"/>
          <w:color w:val="auto"/>
        </w:rPr>
        <w:t>Cash Collateral</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ind w:left="1300" w:hanging="644"/>
        <w:spacing w:after="0"/>
        <w:tabs>
          <w:tab w:leader="none" w:pos="13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Upon the request of the Majority Lenders if, as of the L/C Maturity Date, there are any Letters of Credit Outstanding, or</w:t>
      </w:r>
    </w:p>
    <w:p>
      <w:pPr>
        <w:ind w:left="300" w:hanging="292"/>
        <w:spacing w:after="0" w:line="211" w:lineRule="auto"/>
        <w:tabs>
          <w:tab w:leader="none" w:pos="3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Letter of Credit Exposure exceeds the Letter of Credit Commitment at any time as a result of a reduction in the Borrowing Base or</w:t>
      </w:r>
    </w:p>
    <w:p>
      <w:pPr>
        <w:spacing w:after="0"/>
        <w:rPr>
          <w:sz w:val="20"/>
          <w:szCs w:val="20"/>
          <w:color w:val="auto"/>
        </w:rPr>
      </w:pPr>
      <w:r>
        <w:rPr>
          <w:rFonts w:ascii="Times New Roman" w:cs="Times New Roman" w:eastAsia="Times New Roman" w:hAnsi="Times New Roman"/>
          <w:sz w:val="20"/>
          <w:szCs w:val="20"/>
          <w:color w:val="auto"/>
        </w:rPr>
        <w:t>the Elected Commitments, the Borrower shall immediately Cash Collateralize the Letters of Credit Outstanding.</w:t>
      </w:r>
    </w:p>
    <w:p>
      <w:pPr>
        <w:spacing w:after="0" w:line="167" w:lineRule="exact"/>
        <w:rPr>
          <w:sz w:val="20"/>
          <w:szCs w:val="20"/>
          <w:color w:val="auto"/>
        </w:rPr>
      </w:pPr>
    </w:p>
    <w:p>
      <w:pPr>
        <w:jc w:val="both"/>
        <w:ind w:firstLine="656"/>
        <w:spacing w:after="0" w:line="222" w:lineRule="auto"/>
        <w:tabs>
          <w:tab w:leader="none" w:pos="12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Event of Default shall occur and be continuing and the Loans shall have been accelerated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xml:space="preserve">, the Majority Lenders may require that the L/C Obligations be Cash Collateralized;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upon the occurrence of an Event of Default referred to in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with respect to the Borrower, the Borrower shall immediately Cash Collateralize the Letters of Credit then outstanding and no notice or request by or consent from the Majority Lenders shall be required.</w:t>
      </w:r>
    </w:p>
    <w:p>
      <w:pPr>
        <w:spacing w:after="0" w:line="148"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shall mean to (i) pledge and deposit with or deliver to the Administrative Agent, for the benefit of the Issuing Banks and the Lenders, as collateral for the L/C Obligations, cash or deposit account balances (“</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in an amount equal to the amount of the Letters of Credit Outstanding required to be Cash Collateralized (the “</w:t>
      </w:r>
      <w:r>
        <w:rPr>
          <w:rFonts w:ascii="Times New Roman" w:cs="Times New Roman" w:eastAsia="Times New Roman" w:hAnsi="Times New Roman"/>
          <w:sz w:val="20"/>
          <w:szCs w:val="20"/>
          <w:u w:val="single" w:color="auto"/>
          <w:color w:val="auto"/>
        </w:rPr>
        <w:t>Required Cash Collateral Amount</w:t>
      </w:r>
      <w:r>
        <w:rPr>
          <w:rFonts w:ascii="Times New Roman" w:cs="Times New Roman" w:eastAsia="Times New Roman" w:hAnsi="Times New Roman"/>
          <w:sz w:val="20"/>
          <w:szCs w:val="20"/>
          <w:color w:val="auto"/>
        </w:rPr>
        <w:t xml:space="preserve">”) or (ii) if the relevant Issuing Bank benefiting from such collateral shall agree in its reasonable discretion, other forms of credit support (including any backstop letter of credit) in a face amount equal to one hundred and three percent (103%) of the Required Cash Collateral Amount from an issuer reasonably satisfactory to such Issuing Bank, in each case under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pursuant to documentation in form and substance reasonably satisfactory to the Administrative Agent and the relevant Issuing Bank (which documents are hereby consented to by the Lenders). Derivatives of such term have corresponding meanings. The Borrower hereby grants to the Administrative Agent, for the benefit of the Issuing Banks and the L/C Participants, a security interest in all such cash, deposit accounts and all balances therein and all proceeds of the foregoing. Such cash Collateral shall be maintained in blocked, interest bearing deposit accounts established by and in the name of the Borrower, but under the “control” (as defined in Section 9-104 of the UCC) of the Administrative Agent.</w:t>
      </w:r>
    </w:p>
    <w:p>
      <w:pPr>
        <w:spacing w:after="0" w:line="154"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1.8 </w:t>
      </w:r>
      <w:r>
        <w:rPr>
          <w:rFonts w:ascii="Times New Roman" w:cs="Times New Roman" w:eastAsia="Times New Roman" w:hAnsi="Times New Roman"/>
          <w:sz w:val="20"/>
          <w:szCs w:val="20"/>
          <w:u w:val="single" w:color="auto"/>
          <w:color w:val="auto"/>
        </w:rPr>
        <w:t>Applicability of ISP and UCP</w:t>
      </w:r>
      <w:r>
        <w:rPr>
          <w:rFonts w:ascii="Times New Roman" w:cs="Times New Roman" w:eastAsia="Times New Roman" w:hAnsi="Times New Roman"/>
          <w:sz w:val="20"/>
          <w:szCs w:val="20"/>
          <w:color w:val="auto"/>
        </w:rPr>
        <w:t>. The Borrower agrees that any Issuing Bank may issue Letters of Credit hereunder subject to the Uniform Customs and Practice for Documentary Credits, International Chamber of Commerce (“</w:t>
      </w:r>
      <w:r>
        <w:rPr>
          <w:rFonts w:ascii="Times New Roman" w:cs="Times New Roman" w:eastAsia="Times New Roman" w:hAnsi="Times New Roman"/>
          <w:sz w:val="20"/>
          <w:szCs w:val="20"/>
          <w:u w:val="single" w:color="auto"/>
          <w:color w:val="auto"/>
        </w:rPr>
        <w:t>ICC</w:t>
      </w:r>
      <w:r>
        <w:rPr>
          <w:rFonts w:ascii="Times New Roman" w:cs="Times New Roman" w:eastAsia="Times New Roman" w:hAnsi="Times New Roman"/>
          <w:sz w:val="20"/>
          <w:szCs w:val="20"/>
          <w:color w:val="auto"/>
        </w:rPr>
        <w:t>”) Publication Nos. 600 (2007</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Revision) (“</w:t>
      </w:r>
      <w:r>
        <w:rPr>
          <w:rFonts w:ascii="Times New Roman" w:cs="Times New Roman" w:eastAsia="Times New Roman" w:hAnsi="Times New Roman"/>
          <w:sz w:val="19"/>
          <w:szCs w:val="19"/>
          <w:u w:val="single" w:color="auto"/>
          <w:color w:val="auto"/>
        </w:rPr>
        <w:t>UCP 600</w:t>
      </w:r>
      <w:r>
        <w:rPr>
          <w:rFonts w:ascii="Times New Roman" w:cs="Times New Roman" w:eastAsia="Times New Roman" w:hAnsi="Times New Roman"/>
          <w:sz w:val="19"/>
          <w:szCs w:val="19"/>
          <w:color w:val="auto"/>
        </w:rPr>
        <w:t>”) or, at such Issuing Bank’s option, such later revision thereof in effect at the time of issuance of the Letter of Credit or the International Standby Practices 1998, ICC Publication No. 590 or, at such Issuing Bank’s option, such later revision thereof in effect at</w:t>
      </w:r>
    </w:p>
    <w:p>
      <w:pPr>
        <w:spacing w:after="0"/>
        <w:rPr>
          <w:sz w:val="20"/>
          <w:szCs w:val="20"/>
          <w:color w:val="auto"/>
        </w:rPr>
      </w:pPr>
      <w:r>
        <w:rPr>
          <w:rFonts w:ascii="Times New Roman" w:cs="Times New Roman" w:eastAsia="Times New Roman" w:hAnsi="Times New Roman"/>
          <w:sz w:val="20"/>
          <w:szCs w:val="20"/>
          <w:color w:val="auto"/>
        </w:rPr>
        <w:t>the time of issuance of any such Letter of Credit (“</w:t>
      </w:r>
      <w:r>
        <w:rPr>
          <w:rFonts w:ascii="Times New Roman" w:cs="Times New Roman" w:eastAsia="Times New Roman" w:hAnsi="Times New Roman"/>
          <w:sz w:val="20"/>
          <w:szCs w:val="20"/>
          <w:u w:val="single" w:color="auto"/>
          <w:color w:val="auto"/>
        </w:rPr>
        <w:t>ISP 98</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39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9"/>
          <w:szCs w:val="19"/>
          <w:color w:val="auto"/>
        </w:rPr>
        <w:t>and each of the UCP 600 and the ISP 98, an “</w:t>
      </w:r>
      <w:r>
        <w:rPr>
          <w:rFonts w:ascii="Times New Roman" w:cs="Times New Roman" w:eastAsia="Times New Roman" w:hAnsi="Times New Roman"/>
          <w:sz w:val="19"/>
          <w:szCs w:val="19"/>
          <w:u w:val="single" w:color="auto"/>
          <w:color w:val="auto"/>
        </w:rPr>
        <w:t>ICC Rule</w:t>
      </w:r>
      <w:r>
        <w:rPr>
          <w:rFonts w:ascii="Times New Roman" w:cs="Times New Roman" w:eastAsia="Times New Roman" w:hAnsi="Times New Roman"/>
          <w:sz w:val="19"/>
          <w:szCs w:val="19"/>
          <w:color w:val="auto"/>
        </w:rPr>
        <w:t>”). Each Issuing Bank’s privileges, rights and remedies under such ICC Rules shall be</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 addition to, and not in limitation of, its privileges, rights and remedies expressly provided for herein. The Borrower agrees for matters not addressed by the chosen ICC Rule, each Letter of Credit shall be subject to and governed by the laws of the State of New York and applicable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United States Federal laws;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at Borrower’s request, a Letter of Credit chooses a state or country law other than New York</w:t>
      </w:r>
    </w:p>
    <w:p>
      <w:pPr>
        <w:spacing w:after="0" w:line="215" w:lineRule="auto"/>
        <w:rPr>
          <w:sz w:val="20"/>
          <w:szCs w:val="20"/>
          <w:color w:val="auto"/>
        </w:rPr>
      </w:pPr>
      <w:r>
        <w:rPr>
          <w:rFonts w:ascii="Times New Roman" w:cs="Times New Roman" w:eastAsia="Times New Roman" w:hAnsi="Times New Roman"/>
          <w:sz w:val="19"/>
          <w:szCs w:val="19"/>
          <w:color w:val="auto"/>
        </w:rPr>
        <w:t>State law and United States Federal law or is silent with respect to the choice of an ICC Rule or a governing law, the Issuing Bank shall not be liable for any payment, cost, expense or loss resulting from any action or inaction taken by the Issuing Bank if such action or inaction is or</w:t>
      </w:r>
    </w:p>
    <w:p>
      <w:pPr>
        <w:spacing w:after="0" w:line="228" w:lineRule="auto"/>
        <w:rPr>
          <w:sz w:val="20"/>
          <w:szCs w:val="20"/>
          <w:color w:val="auto"/>
        </w:rPr>
      </w:pPr>
      <w:r>
        <w:rPr>
          <w:rFonts w:ascii="Times New Roman" w:cs="Times New Roman" w:eastAsia="Times New Roman" w:hAnsi="Times New Roman"/>
          <w:sz w:val="20"/>
          <w:szCs w:val="20"/>
          <w:color w:val="auto"/>
        </w:rPr>
        <w:t>would be justified under an ICC Rule, New York law or applicable United States Federal law, and Borrower shall indemnify Issuing Bank for all such payments, costs, expenses or losses.</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1.10 </w:t>
      </w: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Subsidiary, the Borrower shall be obligated to reimburse the relevant Issuing Bank</w:t>
      </w:r>
    </w:p>
    <w:p>
      <w:pPr>
        <w:spacing w:after="0" w:line="224" w:lineRule="auto"/>
        <w:rPr>
          <w:sz w:val="20"/>
          <w:szCs w:val="20"/>
          <w:color w:val="auto"/>
        </w:rPr>
      </w:pPr>
      <w:r>
        <w:rPr>
          <w:rFonts w:ascii="Times New Roman" w:cs="Times New Roman" w:eastAsia="Times New Roman" w:hAnsi="Times New Roman"/>
          <w:sz w:val="19"/>
          <w:szCs w:val="19"/>
          <w:color w:val="auto"/>
        </w:rPr>
        <w:t>hereunder for any and all drawings under such Letter of Credit. The Borrower hereby acknowledges that the issuance of Letters of Credit for</w:t>
      </w:r>
    </w:p>
    <w:p>
      <w:pPr>
        <w:spacing w:after="0" w:line="221" w:lineRule="auto"/>
        <w:rPr>
          <w:sz w:val="20"/>
          <w:szCs w:val="20"/>
          <w:color w:val="auto"/>
        </w:rPr>
      </w:pPr>
      <w:r>
        <w:rPr>
          <w:rFonts w:ascii="Times New Roman" w:cs="Times New Roman" w:eastAsia="Times New Roman" w:hAnsi="Times New Roman"/>
          <w:sz w:val="20"/>
          <w:szCs w:val="20"/>
          <w:color w:val="auto"/>
        </w:rPr>
        <w:t>the account of Subsidiaries inures to the benefit of the Borrower, and that the Borrower’s business derives substantial benefits from the businesses of such Subsidiaries.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20"/>
          <w:szCs w:val="20"/>
          <w:u w:val="single" w:color="auto"/>
          <w:color w:val="auto"/>
        </w:rPr>
        <w:t>Increased Costs</w:t>
      </w:r>
      <w:r>
        <w:rPr>
          <w:rFonts w:ascii="Times New Roman" w:cs="Times New Roman" w:eastAsia="Times New Roman" w:hAnsi="Times New Roman"/>
          <w:sz w:val="20"/>
          <w:szCs w:val="20"/>
          <w:color w:val="auto"/>
        </w:rPr>
        <w:t>. If, after the Closing Date, the adoption of any Change in Law shall either (a) impose, modify or make</w:t>
      </w:r>
    </w:p>
    <w:p>
      <w:pPr>
        <w:spacing w:after="0" w:line="204" w:lineRule="auto"/>
        <w:rPr>
          <w:sz w:val="20"/>
          <w:szCs w:val="20"/>
          <w:color w:val="auto"/>
        </w:rPr>
      </w:pPr>
      <w:r>
        <w:rPr>
          <w:rFonts w:ascii="Times New Roman" w:cs="Times New Roman" w:eastAsia="Times New Roman" w:hAnsi="Times New Roman"/>
          <w:sz w:val="20"/>
          <w:szCs w:val="20"/>
          <w:color w:val="auto"/>
        </w:rPr>
        <w:t>applicable any reserve, deposit, capital adequacy or similar requirement against Letters of Credit issued by any Issuing Bank, or any L/C Participant’s L/C Participation therein, or (b) impose on any Issuing Bank or any L/C Participant any other conditions, costs or expenses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affecting its obligations under this Agreement in respect of Letters of Credit or L/C Participations therein or any Letter of Credit or such L/C Participant’s L/C Participation therein, and the result of any of the foregoing is to increase the cost to such Issuing Bank or such L/C</w:t>
      </w:r>
    </w:p>
    <w:p>
      <w:pPr>
        <w:spacing w:after="0" w:line="223" w:lineRule="auto"/>
        <w:rPr>
          <w:sz w:val="20"/>
          <w:szCs w:val="20"/>
          <w:color w:val="auto"/>
        </w:rPr>
      </w:pPr>
      <w:r>
        <w:rPr>
          <w:rFonts w:ascii="Times New Roman" w:cs="Times New Roman" w:eastAsia="Times New Roman" w:hAnsi="Times New Roman"/>
          <w:sz w:val="19"/>
          <w:szCs w:val="19"/>
          <w:color w:val="auto"/>
        </w:rPr>
        <w:t>Participant of issuing, maintaining or participating in any Letter of Credit, or to reduce the amount of any sum received or receivable by such</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Issuing Bank or such L/C Participant hereunder (other than (i) Taxes indemnifiable under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or (ii) Excluded Taxes) in respect of Letters of Credit or L/C Participations therein, then, promptly (and in any event no later than fifteen (15) days) after receipt of written</w:t>
      </w:r>
    </w:p>
    <w:p>
      <w:pPr>
        <w:spacing w:after="0" w:line="211" w:lineRule="auto"/>
        <w:rPr>
          <w:sz w:val="20"/>
          <w:szCs w:val="20"/>
          <w:color w:val="auto"/>
        </w:rPr>
      </w:pPr>
      <w:r>
        <w:rPr>
          <w:rFonts w:ascii="Times New Roman" w:cs="Times New Roman" w:eastAsia="Times New Roman" w:hAnsi="Times New Roman"/>
          <w:sz w:val="20"/>
          <w:szCs w:val="20"/>
          <w:color w:val="auto"/>
        </w:rPr>
        <w:t>demand to the Borrower by such Issuing Bank or such L/C Participant, as the case may be (a copy of which notice shall be sent by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Issuing Bank or such L/C Participant to the Administrative Agent), the Borrower shall pay to such Issuing Bank or such L/C Participant such additional amount or amounts as will compensate such Issuing Bank or such L/C Participant for such increased cost or reduction, it being</w:t>
      </w:r>
    </w:p>
    <w:p>
      <w:pPr>
        <w:spacing w:after="0" w:line="211" w:lineRule="auto"/>
        <w:rPr>
          <w:sz w:val="20"/>
          <w:szCs w:val="20"/>
          <w:color w:val="auto"/>
        </w:rPr>
      </w:pPr>
      <w:r>
        <w:rPr>
          <w:rFonts w:ascii="Times New Roman" w:cs="Times New Roman" w:eastAsia="Times New Roman" w:hAnsi="Times New Roman"/>
          <w:sz w:val="20"/>
          <w:szCs w:val="20"/>
          <w:color w:val="auto"/>
        </w:rPr>
        <w:t>understood and agreed, however, that no Issuing Bank or L/C Participant shall be entitled to such compensation as a result of such Person’s</w:t>
      </w:r>
    </w:p>
    <w:p>
      <w:pPr>
        <w:spacing w:after="0" w:line="204" w:lineRule="auto"/>
        <w:rPr>
          <w:sz w:val="20"/>
          <w:szCs w:val="20"/>
          <w:color w:val="auto"/>
        </w:rPr>
      </w:pPr>
      <w:r>
        <w:rPr>
          <w:rFonts w:ascii="Times New Roman" w:cs="Times New Roman" w:eastAsia="Times New Roman" w:hAnsi="Times New Roman"/>
          <w:sz w:val="20"/>
          <w:szCs w:val="20"/>
          <w:color w:val="auto"/>
        </w:rPr>
        <w:t>compliance with, or pursuant to any request or directive to comply with, any such Requirement of Law as in effect on the Closing Date. A certificate submitted to the Borrower by the relevant Issuing Bank or an L/C Participant, as the case may be (a copy of which certificate</w:t>
      </w:r>
    </w:p>
    <w:p>
      <w:pPr>
        <w:spacing w:after="0" w:line="211" w:lineRule="auto"/>
        <w:rPr>
          <w:sz w:val="20"/>
          <w:szCs w:val="20"/>
          <w:color w:val="auto"/>
        </w:rPr>
      </w:pPr>
      <w:r>
        <w:rPr>
          <w:rFonts w:ascii="Times New Roman" w:cs="Times New Roman" w:eastAsia="Times New Roman" w:hAnsi="Times New Roman"/>
          <w:sz w:val="20"/>
          <w:szCs w:val="20"/>
          <w:color w:val="auto"/>
        </w:rPr>
        <w:t>shall be sent by such Issuing Bank or such L/C Participant to the Administrative Agent), setting forth in reasonable detail the basis for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determination of such additional amount or amounts necessary to compensate such Issuing Bank or such L/C Participant as aforesaid shall be conclusive and binding on the Borrower absent clearly demonstrable error.</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20"/>
          <w:szCs w:val="20"/>
          <w:u w:val="single" w:color="auto"/>
          <w:color w:val="auto"/>
        </w:rPr>
        <w:t>Independence</w:t>
      </w:r>
      <w:r>
        <w:rPr>
          <w:rFonts w:ascii="Times New Roman" w:cs="Times New Roman" w:eastAsia="Times New Roman" w:hAnsi="Times New Roman"/>
          <w:sz w:val="20"/>
          <w:szCs w:val="20"/>
          <w:color w:val="auto"/>
        </w:rPr>
        <w:t>. The Borrower acknowledges that the rights and obligations of each Issuing Bank under each Letter of Credit</w:t>
      </w:r>
    </w:p>
    <w:p>
      <w:pPr>
        <w:spacing w:after="0" w:line="204" w:lineRule="auto"/>
        <w:rPr>
          <w:sz w:val="20"/>
          <w:szCs w:val="20"/>
          <w:color w:val="auto"/>
        </w:rPr>
      </w:pPr>
      <w:r>
        <w:rPr>
          <w:rFonts w:ascii="Times New Roman" w:cs="Times New Roman" w:eastAsia="Times New Roman" w:hAnsi="Times New Roman"/>
          <w:sz w:val="20"/>
          <w:szCs w:val="20"/>
          <w:color w:val="auto"/>
        </w:rPr>
        <w:t>issued by it are independent of the existence, performance or nonperformance of any contract or arrangement underlying such Letter of Credit, including contracts or arrangements between such Issuing Bank and the Borrower (other than the Credit Documents and the Issuer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Documents) and between the Borrower and the relevant beneficiary.</w:t>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20"/>
          <w:szCs w:val="20"/>
          <w:color w:val="auto"/>
        </w:rPr>
        <w:t>FEES.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6" w:lineRule="auto"/>
        <w:tabs>
          <w:tab w:leader="none" w:pos="128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in Dollars, for the account of each Lender (in each case pro rata according to the respective Commitment Percentages of the Lenders), a commitment fee (the “</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for each day from the Closing Date until but excluding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39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color w:val="auto"/>
        </w:rPr>
        <w:t>Termination Date. Each Commitment Fee shall be payable by the Borrower quarterly in arrears on the last Business Day of each March,</w:t>
      </w:r>
    </w:p>
    <w:p>
      <w:pPr>
        <w:spacing w:after="0" w:line="215" w:lineRule="auto"/>
        <w:rPr>
          <w:sz w:val="20"/>
          <w:szCs w:val="20"/>
          <w:color w:val="auto"/>
        </w:rPr>
      </w:pPr>
      <w:r>
        <w:rPr>
          <w:rFonts w:ascii="Times New Roman" w:cs="Times New Roman" w:eastAsia="Times New Roman" w:hAnsi="Times New Roman"/>
          <w:sz w:val="19"/>
          <w:szCs w:val="19"/>
          <w:color w:val="auto"/>
        </w:rPr>
        <w:t>June, September and December (for the three-month period (or portion thereof) ended on such day for which no payment has been received) and on the Termination Date (for the period ended on such date for which no payment has been received), and shall be computed for each day</w:t>
      </w:r>
    </w:p>
    <w:p>
      <w:pPr>
        <w:spacing w:after="0" w:line="228" w:lineRule="auto"/>
        <w:rPr>
          <w:sz w:val="20"/>
          <w:szCs w:val="20"/>
          <w:color w:val="auto"/>
        </w:rPr>
      </w:pPr>
      <w:r>
        <w:rPr>
          <w:rFonts w:ascii="Times New Roman" w:cs="Times New Roman" w:eastAsia="Times New Roman" w:hAnsi="Times New Roman"/>
          <w:sz w:val="20"/>
          <w:szCs w:val="20"/>
          <w:color w:val="auto"/>
        </w:rPr>
        <w:t>during such period at a rate per annum equal to the Commitment Fee Rate in effect on such day on the Available Commitment in effect on such day.</w:t>
      </w:r>
    </w:p>
    <w:p>
      <w:pPr>
        <w:spacing w:after="0" w:line="149" w:lineRule="exact"/>
        <w:rPr>
          <w:sz w:val="20"/>
          <w:szCs w:val="20"/>
          <w:color w:val="auto"/>
        </w:rPr>
      </w:pPr>
    </w:p>
    <w:p>
      <w:pPr>
        <w:jc w:val="both"/>
        <w:ind w:firstLine="656"/>
        <w:spacing w:after="0" w:line="218" w:lineRule="auto"/>
        <w:tabs>
          <w:tab w:leader="none" w:pos="12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in Dollars for the account of the Lenders pro rata on the basis of their respective Letter of Credit Exposure, a fee in respect of each Letter of Credit (the “</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for the period from the date of issuance of such Letter of Credit until the termination or expiration date of such Letter of Credit computed at the per annum rate for each day equal to the Applicable Margin for SOFR Loans on the average daily Stated Amount of such Letter of Credit. Such Letter of Credit Fees shall be due and payable (i) quarterly in arrears on the last Business Day of each March, June, September and December and (ii) on the Termination Date (for the period for which no payment has been received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w:t>
      </w:r>
    </w:p>
    <w:p>
      <w:pPr>
        <w:spacing w:after="0" w:line="150"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each Issuing Bank a fee in respect of each Letter of Credit issued by it (the “</w:t>
      </w:r>
      <w:r>
        <w:rPr>
          <w:rFonts w:ascii="Times New Roman" w:cs="Times New Roman" w:eastAsia="Times New Roman" w:hAnsi="Times New Roman"/>
          <w:sz w:val="20"/>
          <w:szCs w:val="20"/>
          <w:u w:val="single" w:color="auto"/>
          <w:color w:val="auto"/>
        </w:rPr>
        <w:t>Fronting Fee</w:t>
      </w:r>
      <w:r>
        <w:rPr>
          <w:rFonts w:ascii="Times New Roman" w:cs="Times New Roman" w:eastAsia="Times New Roman" w:hAnsi="Times New Roman"/>
          <w:sz w:val="20"/>
          <w:szCs w:val="20"/>
          <w:color w:val="auto"/>
        </w:rPr>
        <w:t xml:space="preserve">”), for the period from the date of issuance of such Letter of Credit to the termination or expiration date of such Letter of Credit, computed at the rate for each day equal to one-fifth of one percentage point (0.20%) per annum (or such other amount as may be agreed in a separate writing between the Borrower and the relevant Issuing Bank) on the average daily Stated Amount of such Letter of Credit (or at such other rate per annum as agreed in writing between the Borrower and the relevant Issuing Bank). Such Fronting Fees shall be due and payable by the Borrower (i) quarterly in arrears on the last Business Day of each March, June, September and December and (ii) on the Termination Date (for the period for which no payment has been received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w:t>
      </w:r>
    </w:p>
    <w:p>
      <w:pPr>
        <w:spacing w:after="0" w:line="164"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directly to each Issuing Bank upon each issuance of, drawing under, and/or amendment of, a Letter of Credit issued by it such amount as the relevant Issuing Bank and the Borrower shall have agreed upon for issuances of, drawings under or amendments of, letters of credit issued by it.</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8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the administrative agent fees in the amounts and on the dates as set forth in writing from time to time between the Administrative Agent and the Borrower.</w:t>
      </w:r>
    </w:p>
    <w:p>
      <w:pPr>
        <w:spacing w:after="0" w:line="16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color w:val="auto"/>
        </w:rPr>
        <w:t>PAYMENTS.</w:t>
      </w:r>
    </w:p>
    <w:p>
      <w:pPr>
        <w:spacing w:after="0" w:line="189"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Voluntary Prepayments</w:t>
      </w:r>
      <w:r>
        <w:rPr>
          <w:rFonts w:ascii="Times New Roman" w:cs="Times New Roman" w:eastAsia="Times New Roman" w:hAnsi="Times New Roman"/>
          <w:sz w:val="20"/>
          <w:szCs w:val="20"/>
          <w:color w:val="auto"/>
        </w:rPr>
        <w:t>. The Borrower shall have the right to prepay Loans without premium or penalty, in whole or in part from time to time on the following terms and conditions:</w:t>
      </w:r>
    </w:p>
    <w:p>
      <w:pPr>
        <w:spacing w:after="0" w:line="161" w:lineRule="exact"/>
        <w:rPr>
          <w:sz w:val="20"/>
          <w:szCs w:val="20"/>
          <w:color w:val="auto"/>
        </w:rPr>
      </w:pPr>
    </w:p>
    <w:p>
      <w:pPr>
        <w:jc w:val="both"/>
        <w:ind w:firstLine="656"/>
        <w:spacing w:after="0" w:line="220" w:lineRule="auto"/>
        <w:tabs>
          <w:tab w:leader="none" w:pos="1286"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give the Administrative Agent at the Administrative Agent’s Office written notice (or telephonic notice promptly confirmed in writing) of its intent to make such prepayment, the amount of such prepayment and (in the case of SOFR Loans) the specific Borrowing(s) being prepaid, which notice shall be given by the Borrower no later than 1:00 p.m. (New York City time) (i) in the case of SOFR Loans, three (3) U.S. Government Securities Business Days prior to the date of such prepayment and (ii) in the case of ABR Loans on the date of such prepayment and shall promptly be transmitted by the Administrative Agent to each of the Lenders;</w:t>
      </w:r>
    </w:p>
    <w:p>
      <w:pPr>
        <w:spacing w:after="0" w:line="14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partial prepayment of (i) SOFR Loans shall be in a minimum amount of $500,000 and in multiples of $100,000 in excess thereof or a lesser amount to the extent such lesser amount represents the entire aggregate outstanding SOFR Loans at such time, and</w:t>
      </w:r>
    </w:p>
    <w:p>
      <w:pPr>
        <w:spacing w:after="0" w:line="1" w:lineRule="exact"/>
        <w:rPr>
          <w:rFonts w:ascii="Times New Roman" w:cs="Times New Roman" w:eastAsia="Times New Roman" w:hAnsi="Times New Roman"/>
          <w:sz w:val="20"/>
          <w:szCs w:val="20"/>
          <w:color w:val="auto"/>
        </w:rPr>
      </w:pPr>
    </w:p>
    <w:p>
      <w:pPr>
        <w:jc w:val="both"/>
        <w:ind w:firstLine="8"/>
        <w:spacing w:after="0" w:line="216" w:lineRule="auto"/>
        <w:tabs>
          <w:tab w:leader="none" w:pos="311"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ABR Loans shall be in a minimum amount of $500,000 and in multiples of $100,000 in excess thereof or a lesser amount to the extent such lesser amount represents the entire aggregate outstanding ABR Loans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partial prepayment of SOFR Loans made pursuant to a single Borrowing shall reduce the outstanding SOFR Loans made pursuant to such Borrowing to an amount less than the applicable Minimum Borrowing Amount for such SOFR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394" w:right="339" w:bottom="1440" w:gutter="0" w:footer="0" w:header="0"/>
        </w:sectPr>
      </w:pPr>
    </w:p>
    <w:bookmarkStart w:id="121" w:name="page122"/>
    <w:bookmarkEnd w:id="121"/>
    <w:p>
      <w:pPr>
        <w:jc w:val="both"/>
        <w:ind w:firstLine="656"/>
        <w:spacing w:after="0" w:line="226" w:lineRule="auto"/>
        <w:tabs>
          <w:tab w:leader="none" w:pos="128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prepayment of SOFR Loans pursuant to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on any day other than the last day of an Interest Period applicable thereto shall be subject to compliance by the Borrower with the applicable provisions of, including any breakage costs as set forth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Each such notice shall specify the date and amount of such prepayment and the Type of Loans to be prepaid. At the Borrower’s election in connection with any prepayment pursuant to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such prepayment shall not be applied to any Loans of a Defaulting Lender.</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any such notice of prepayment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may state that it is conditioned upon the occurrence or non-occurrence of any event specified therein (including the effectiveness of other credit</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facilities or other transactions), in which case such notice may be revoked by the Borrower (by written notice to the Administrative Agent on or prior to the specified effective date) if such condition is not satisfied.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Mandatory Prepayments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0" w:lineRule="auto"/>
        <w:tabs>
          <w:tab w:leader="none" w:pos="1286"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following Optional Reduction of Commitments</w:t>
      </w:r>
      <w:r>
        <w:rPr>
          <w:rFonts w:ascii="Times New Roman" w:cs="Times New Roman" w:eastAsia="Times New Roman" w:hAnsi="Times New Roman"/>
          <w:sz w:val="20"/>
          <w:szCs w:val="20"/>
          <w:color w:val="auto"/>
        </w:rPr>
        <w:t xml:space="preserve">. If, after giving effect to any termination or reduction of the Aggregate Maximum Credit Amounts pursuant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or of the Aggregate Elected Commitment Amount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2.16(c)</w:t>
      </w:r>
      <w:r>
        <w:rPr>
          <w:rFonts w:ascii="Times New Roman" w:cs="Times New Roman" w:eastAsia="Times New Roman" w:hAnsi="Times New Roman"/>
          <w:sz w:val="20"/>
          <w:szCs w:val="20"/>
          <w:color w:val="auto"/>
        </w:rPr>
        <w:t>, the aggregate Total Exposures of all Lenders exceeds the Total Commitment (as reduced), then the Borrower shall on the same Business Day (i) prepay the Loans on the date of such termination or reduction in an aggregate principal amount equal to such excess and</w:t>
      </w:r>
    </w:p>
    <w:p>
      <w:pPr>
        <w:ind w:left="320" w:hanging="312"/>
        <w:spacing w:after="0" w:line="211" w:lineRule="auto"/>
        <w:tabs>
          <w:tab w:leader="none" w:pos="32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excess remains after prepaying all of the Loans as a result of any Letter of Credit Exposure, pay to the Administrative Agent on</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behalf of the Issuing Banks and the L/C Participants an amount in cash or otherwise Cash Collateralize an amount equal to such excess as provided in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Repayment of Loans Following Redetermination or Adjustment of Borrowing Base.</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09" w:lineRule="auto"/>
        <w:tabs>
          <w:tab w:leader="none" w:pos="1954"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effectiveness of a redetermination of the Borrowing Base in accordance with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 xml:space="preserve"> or an adjustment of the Borrowing Base pursuant to </w:t>
      </w:r>
      <w:r>
        <w:rPr>
          <w:rFonts w:ascii="Times New Roman" w:cs="Times New Roman" w:eastAsia="Times New Roman" w:hAnsi="Times New Roman"/>
          <w:sz w:val="20"/>
          <w:szCs w:val="20"/>
          <w:u w:val="single" w:color="auto"/>
          <w:color w:val="auto"/>
        </w:rPr>
        <w:t>Section 2.14(g)</w:t>
      </w:r>
      <w:r>
        <w:rPr>
          <w:rFonts w:ascii="Times New Roman" w:cs="Times New Roman" w:eastAsia="Times New Roman" w:hAnsi="Times New Roman"/>
          <w:sz w:val="20"/>
          <w:szCs w:val="20"/>
          <w:color w:val="auto"/>
        </w:rPr>
        <w:t xml:space="preserve">, if a Borrowing Base Deficiency exists, then the Borrower shall, within ten (10) days after (x) its receipt of a New Borrowing Base Notice indicating such Borrowing Base Deficiency or (y) in the case of </w:t>
      </w:r>
      <w:r>
        <w:rPr>
          <w:rFonts w:ascii="Times New Roman" w:cs="Times New Roman" w:eastAsia="Times New Roman" w:hAnsi="Times New Roman"/>
          <w:sz w:val="20"/>
          <w:szCs w:val="20"/>
          <w:u w:val="single" w:color="auto"/>
          <w:color w:val="auto"/>
        </w:rPr>
        <w:t>Section 2.14(g)</w:t>
      </w:r>
      <w:r>
        <w:rPr>
          <w:rFonts w:ascii="Times New Roman" w:cs="Times New Roman" w:eastAsia="Times New Roman" w:hAnsi="Times New Roman"/>
          <w:sz w:val="20"/>
          <w:szCs w:val="20"/>
          <w:color w:val="auto"/>
        </w:rPr>
        <w:t xml:space="preserve"> the effectiveness of a new Borrowing Base, inform the Administrative Agent that it intends to take one or more of the following actions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if the Borrower fails to inform the Administrative Agent within such ten (10) day period, the Borrower shall be deemed to have elected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below): (A) within thirty (30) days following receipt of the notice provided in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above, prepay the Loans in an aggregate principal amount equal to such excess, (B) prepay the Loans in six equal monthly installments, commencing on the thirtieth (30th) day following receipt of the notice provided in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above, with each payment being equal to l/6th of the aggregate principal amount of such excess, (C) within thirty (30) days following receipt of the notice provided in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above, provide additional Oil and Gas Properties (accompanied by reasonably acceptable Engineering Reports) not evaluated in the most recently delivered Reserve Report (which shall become Mortgaged Properties within the time period prescribed by </w:t>
      </w:r>
      <w:r>
        <w:rPr>
          <w:rFonts w:ascii="Times New Roman" w:cs="Times New Roman" w:eastAsia="Times New Roman" w:hAnsi="Times New Roman"/>
          <w:sz w:val="20"/>
          <w:szCs w:val="20"/>
          <w:u w:val="single" w:color="auto"/>
          <w:color w:val="auto"/>
        </w:rPr>
        <w:t>Section 9.10(c)</w:t>
      </w:r>
      <w:r>
        <w:rPr>
          <w:rFonts w:ascii="Times New Roman" w:cs="Times New Roman" w:eastAsia="Times New Roman" w:hAnsi="Times New Roman"/>
          <w:sz w:val="20"/>
          <w:szCs w:val="20"/>
          <w:color w:val="auto"/>
        </w:rPr>
        <w:t xml:space="preserve"> regardless of whether the Collateral Coverage Minimum is then satisfied) or other Collateral reasonably acceptable to the Administrative Agent having a Borrowing Base Value (as proposed by the Administrative Agent and approved by the Required Lenders) sufficient, after giving effect to any other actions taken pursuant to this </w:t>
      </w:r>
      <w:r>
        <w:rPr>
          <w:rFonts w:ascii="Times New Roman" w:cs="Times New Roman" w:eastAsia="Times New Roman" w:hAnsi="Times New Roman"/>
          <w:sz w:val="20"/>
          <w:szCs w:val="20"/>
          <w:u w:val="single" w:color="auto"/>
          <w:color w:val="auto"/>
        </w:rPr>
        <w:t>Section 5.2(b)(i)</w:t>
      </w:r>
      <w:r>
        <w:rPr>
          <w:rFonts w:ascii="Times New Roman" w:cs="Times New Roman" w:eastAsia="Times New Roman" w:hAnsi="Times New Roman"/>
          <w:sz w:val="20"/>
          <w:szCs w:val="20"/>
          <w:color w:val="auto"/>
        </w:rPr>
        <w:t xml:space="preserve"> to eliminate any such excess, or (D) undertake a combination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because of Letter of Credit Exposure, a Borrowing Base Deficiency remains after prepaying all of the Loans, the Borrower shall Cash Collateralize such remaining Borrowing Base Deficiency as provided in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any Borrowing Base Deficiency must be cured on or prior to the Termination Date.</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adjustment to the Borrowing Base pursuant to </w:t>
      </w:r>
      <w:r>
        <w:rPr>
          <w:rFonts w:ascii="Times New Roman" w:cs="Times New Roman" w:eastAsia="Times New Roman" w:hAnsi="Times New Roman"/>
          <w:sz w:val="20"/>
          <w:szCs w:val="20"/>
          <w:u w:val="single" w:color="auto"/>
          <w:color w:val="auto"/>
        </w:rPr>
        <w:t>Section 2.14(e)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if a Borrowing Base Deficiency exists, as adjusted, then the Borrower shall, (A) prepay the Loans in an aggregate principal amount equal to such excess and (B) if any excess remains after prepaying all of the Loans as a result of any Letter of Credit Exposure, Cash Collateralize such excess as provided in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Upon any Disposition pursuant to </w:t>
      </w:r>
      <w:r>
        <w:rPr>
          <w:rFonts w:ascii="Times New Roman" w:cs="Times New Roman" w:eastAsia="Times New Roman" w:hAnsi="Times New Roman"/>
          <w:sz w:val="20"/>
          <w:szCs w:val="20"/>
          <w:u w:val="single" w:color="auto"/>
          <w:color w:val="auto"/>
        </w:rPr>
        <w:t>Section 10.4(k)</w:t>
      </w:r>
      <w:r>
        <w:rPr>
          <w:rFonts w:ascii="Times New Roman" w:cs="Times New Roman" w:eastAsia="Times New Roman" w:hAnsi="Times New Roman"/>
          <w:sz w:val="20"/>
          <w:szCs w:val="20"/>
          <w:color w:val="auto"/>
        </w:rPr>
        <w:t xml:space="preserve"> when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399" w:right="339" w:bottom="1440" w:gutter="0" w:footer="0" w:header="0"/>
        </w:sectPr>
      </w:pPr>
    </w:p>
    <w:bookmarkStart w:id="122" w:name="page123"/>
    <w:bookmarkEnd w:id="122"/>
    <w:p>
      <w:pPr>
        <w:ind w:left="660"/>
        <w:spacing w:after="0"/>
        <w:rPr>
          <w:sz w:val="20"/>
          <w:szCs w:val="20"/>
          <w:color w:val="auto"/>
        </w:rPr>
      </w:pPr>
      <w:r>
        <w:rPr>
          <w:rFonts w:ascii="Times New Roman" w:cs="Times New Roman" w:eastAsia="Times New Roman" w:hAnsi="Times New Roman"/>
          <w:sz w:val="20"/>
          <w:szCs w:val="20"/>
          <w:color w:val="auto"/>
        </w:rPr>
        <w:t>Borrowing Base Deficiency exists or would result therefrom (unless the Net Cash Proceeds of such Disposition are sufficient,</w:t>
      </w:r>
    </w:p>
    <w:p>
      <w:pPr>
        <w:ind w:left="660"/>
        <w:spacing w:after="0" w:line="215" w:lineRule="auto"/>
        <w:rPr>
          <w:sz w:val="20"/>
          <w:szCs w:val="20"/>
          <w:color w:val="auto"/>
        </w:rPr>
      </w:pPr>
      <w:r>
        <w:rPr>
          <w:rFonts w:ascii="Times New Roman" w:cs="Times New Roman" w:eastAsia="Times New Roman" w:hAnsi="Times New Roman"/>
          <w:sz w:val="19"/>
          <w:szCs w:val="19"/>
          <w:color w:val="auto"/>
        </w:rPr>
        <w:t>together with Unrestricted Cash, to eliminate any Borrowing Base Deficiency that exists or would result therefrom), the Borrower shall within one (1) Business Day prepay the Loans in an aggregate principal amount equal to the aggregate Net Cash Proceeds of all</w:t>
      </w:r>
    </w:p>
    <w:p>
      <w:pPr>
        <w:ind w:left="660"/>
        <w:spacing w:after="0" w:line="222" w:lineRule="auto"/>
        <w:rPr>
          <w:sz w:val="20"/>
          <w:szCs w:val="20"/>
          <w:color w:val="auto"/>
        </w:rPr>
      </w:pPr>
      <w:r>
        <w:rPr>
          <w:rFonts w:ascii="Times New Roman" w:cs="Times New Roman" w:eastAsia="Times New Roman" w:hAnsi="Times New Roman"/>
          <w:sz w:val="19"/>
          <w:szCs w:val="19"/>
          <w:color w:val="auto"/>
        </w:rPr>
        <w:t>such Dispositions in excess of $5,000,000 in any fiscal year. The Borrower shall be obligated to make any prepayment and/or deposit</w:t>
      </w: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of cash collateral under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no later than one (1) Business Day following the dates of any applicable adjustment of the Borrowing Base; provided that all payments required to be made pursuant to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must be made on or prior to the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Termination Date.</w:t>
      </w:r>
    </w:p>
    <w:p>
      <w:pPr>
        <w:spacing w:after="0" w:line="167" w:lineRule="exact"/>
        <w:rPr>
          <w:sz w:val="20"/>
          <w:szCs w:val="20"/>
          <w:color w:val="auto"/>
        </w:rPr>
      </w:pPr>
    </w:p>
    <w:p>
      <w:pPr>
        <w:jc w:val="both"/>
        <w:ind w:left="660" w:firstLine="644"/>
        <w:spacing w:after="0" w:line="216" w:lineRule="auto"/>
        <w:tabs>
          <w:tab w:leader="none" w:pos="1956" w:val="left"/>
        </w:tabs>
        <w:numPr>
          <w:ilvl w:val="2"/>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that Permitted Additional Debt (other than Permitted Refinancing Indebtedness in respect thereof) shall be incurred or issued while a Borrowing Base Deficiency exists, the Borrower shall, upon the incurrence or issuance of such Permitted Additional Debt, prepay the Loans in an aggregate principal amount equal to the lesser of (A) one hundred percent (100%) of the Net Cash Proceeds received in respect of such Permitted Additional Debt and (B) the aggregate principal amount equal to (1) such Borrowing Base Deficiency and (2) if excess remains after prepaying all of the Loans as a result of any Letter of Credit Exposure, Cash Collateralize such excess as provided in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jc w:val="both"/>
        <w:ind w:firstLine="656"/>
        <w:spacing w:after="0" w:line="214" w:lineRule="auto"/>
        <w:tabs>
          <w:tab w:leader="none" w:pos="1286"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to Loans</w:t>
      </w:r>
      <w:r>
        <w:rPr>
          <w:rFonts w:ascii="Times New Roman" w:cs="Times New Roman" w:eastAsia="Times New Roman" w:hAnsi="Times New Roman"/>
          <w:sz w:val="20"/>
          <w:szCs w:val="20"/>
          <w:color w:val="auto"/>
        </w:rPr>
        <w:t xml:space="preserve">. With respect to each prepayment of Loans elected under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required by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the Borrower may designate (i) the Types of Loans that are to be prepaid and the specific Borrowing(s) being repaid and (ii) the Loans to be prepaid;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each prepayment of any Loans made pursuant to a Borrowing shall be applied pro rata among such Loans, and</w:t>
      </w:r>
    </w:p>
    <w:p>
      <w:pPr>
        <w:jc w:val="both"/>
        <w:ind w:firstLine="8"/>
        <w:spacing w:after="0" w:line="213" w:lineRule="auto"/>
        <w:tabs>
          <w:tab w:leader="none" w:pos="33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provisions of the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no prepayment of Loans shall be applied to the Loans of any Defaulting Lender except in accordance with </w:t>
      </w:r>
      <w:r>
        <w:rPr>
          <w:rFonts w:ascii="Times New Roman" w:cs="Times New Roman" w:eastAsia="Times New Roman" w:hAnsi="Times New Roman"/>
          <w:sz w:val="20"/>
          <w:szCs w:val="20"/>
          <w:u w:val="single" w:color="auto"/>
          <w:color w:val="auto"/>
        </w:rPr>
        <w:t>Section 2.15(f)</w:t>
      </w:r>
      <w:r>
        <w:rPr>
          <w:rFonts w:ascii="Times New Roman" w:cs="Times New Roman" w:eastAsia="Times New Roman" w:hAnsi="Times New Roman"/>
          <w:sz w:val="20"/>
          <w:szCs w:val="20"/>
          <w:color w:val="auto"/>
        </w:rPr>
        <w:t xml:space="preserve">.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SOFR Interest Periods</w:t>
      </w:r>
      <w:r>
        <w:rPr>
          <w:rFonts w:ascii="Times New Roman" w:cs="Times New Roman" w:eastAsia="Times New Roman" w:hAnsi="Times New Roman"/>
          <w:sz w:val="20"/>
          <w:szCs w:val="20"/>
          <w:color w:val="auto"/>
        </w:rPr>
        <w:t xml:space="preserve">. In lieu of making any payment pursuant to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in respect of any SOFR Loan, other than on the last day of the Interest Period thereof so long as no Event of Default shall have occurred and be continuing, the Borrower at its option may deposit, on behalf of the Borrower, with the Administrative Agent an amount equal to the amount of the SOFR Loan to be prepaid and such SOFR Loan shall be repaid on the last day of the Interest Period therefor in the required amount. Such deposit shall be held by the Administrative Agent in a corporate time deposit account established on terms reasonably satisfactory to the Administrative Agent, earning interest at the then customary rate for accounts of such type. The Borrower hereby grants to the Administrative Agent, for the benefit of the Lenders, a security interest in all such cash, deposit accounts and all balances therein and all proceeds of the foregoing. Such deposit shall constitute cash collateral for the SOFR Loans to be so prepaid;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may at any time direct that such deposit be applied to make the applicable payment required pursuant to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20" w:firstLine="656"/>
        <w:spacing w:after="0"/>
        <w:tabs>
          <w:tab w:leader="none" w:pos="1286"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Proceeds</w:t>
      </w:r>
      <w:r>
        <w:rPr>
          <w:rFonts w:ascii="Times New Roman" w:cs="Times New Roman" w:eastAsia="Times New Roman" w:hAnsi="Times New Roman"/>
          <w:sz w:val="20"/>
          <w:szCs w:val="20"/>
          <w:color w:val="auto"/>
        </w:rPr>
        <w:t xml:space="preserve">. The application of proceeds pursuant to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shall not reduce the aggregate amount of Commitments under the Facility and amounts prepaid may be reborrowed subject to the Available Commitment.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Method and Place of Payment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5" w:lineRule="auto"/>
        <w:tabs>
          <w:tab w:leader="none" w:pos="128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specifically provided herein, all payments under this Agreement shall be made by the Borrower without set-off, counterclaim or deduction of any kind, to the Administrative Agent for the ratable account of the Lenders entitled thereto or the Issuing Banks entitled thereto, as the case may be, not later than 2:00 p.m. (New York City time), in each case, on the date when due and shall be made in immediately available funds at the Administrative Agent’s Office or at such other office as the Administrative Agent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and all other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39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color w:val="auto"/>
        </w:rPr>
        <w:t>under each Credit Document shall be made in Dollars. The Administrative Agent will thereafter cause to be distributed on the same day (if</w:t>
      </w:r>
    </w:p>
    <w:p>
      <w:pPr>
        <w:spacing w:after="0" w:line="215" w:lineRule="auto"/>
        <w:rPr>
          <w:sz w:val="20"/>
          <w:szCs w:val="20"/>
          <w:color w:val="auto"/>
        </w:rPr>
      </w:pPr>
      <w:r>
        <w:rPr>
          <w:rFonts w:ascii="Times New Roman" w:cs="Times New Roman" w:eastAsia="Times New Roman" w:hAnsi="Times New Roman"/>
          <w:sz w:val="19"/>
          <w:szCs w:val="19"/>
          <w:color w:val="auto"/>
        </w:rPr>
        <w:t>payment was actually received by the Administrative Agent prior to 2:00 p.m. (New York City time) or, otherwise, on the next Business Day in the sole discretion of the Administrative Agent) like funds relating to the payment of principal or interest or fees ratably to the Lenders or</w:t>
      </w:r>
    </w:p>
    <w:p>
      <w:pPr>
        <w:spacing w:after="0"/>
        <w:rPr>
          <w:sz w:val="20"/>
          <w:szCs w:val="20"/>
          <w:color w:val="auto"/>
        </w:rPr>
      </w:pPr>
      <w:r>
        <w:rPr>
          <w:rFonts w:ascii="Times New Roman" w:cs="Times New Roman" w:eastAsia="Times New Roman" w:hAnsi="Times New Roman"/>
          <w:sz w:val="20"/>
          <w:szCs w:val="20"/>
          <w:color w:val="auto"/>
        </w:rPr>
        <w:t>the Issuing Banks, as applicable, entitled thereto.</w:t>
      </w:r>
    </w:p>
    <w:p>
      <w:pPr>
        <w:spacing w:after="0" w:line="167" w:lineRule="exact"/>
        <w:rPr>
          <w:sz w:val="20"/>
          <w:szCs w:val="20"/>
          <w:color w:val="auto"/>
        </w:rPr>
      </w:pPr>
    </w:p>
    <w:p>
      <w:pPr>
        <w:jc w:val="both"/>
        <w:ind w:firstLine="656"/>
        <w:spacing w:after="0" w:line="217" w:lineRule="auto"/>
        <w:tabs>
          <w:tab w:leader="none" w:pos="128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computing interest or fees, any payments under this Agreement that are made later than 2:00 p.m. (New York City time) shall be deemed to have been made on the next succeeding Business Day in the sole discretion of the Administrative Agent.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Net Payments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3" w:lineRule="auto"/>
        <w:tabs>
          <w:tab w:leader="none" w:pos="128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xml:space="preserve">. Any and all payments by or on account of any obligation of the Borrower under any Credit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162"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Borrower</w:t>
      </w:r>
      <w:r>
        <w:rPr>
          <w:rFonts w:ascii="Times New Roman" w:cs="Times New Roman" w:eastAsia="Times New Roman" w:hAnsi="Times New Roman"/>
          <w:sz w:val="20"/>
          <w:szCs w:val="20"/>
          <w:color w:val="auto"/>
        </w:rPr>
        <w:t>. The Borrower shall timely pay to the relevant Governmental Authority in accordance with applicable law, or at the option of the Administrative Agent or the applicable Lender timely reimburse it for the payment of, any Other Taxes.</w:t>
      </w:r>
    </w:p>
    <w:p>
      <w:pPr>
        <w:spacing w:after="0" w:line="160"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6"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Borrower</w:t>
      </w:r>
      <w:r>
        <w:rPr>
          <w:rFonts w:ascii="Times New Roman" w:cs="Times New Roman" w:eastAsia="Times New Roman" w:hAnsi="Times New Roman"/>
          <w:sz w:val="19"/>
          <w:szCs w:val="19"/>
          <w:color w:val="auto"/>
        </w:rPr>
        <w:t xml:space="preserve">. The Borrower shall indemnify each Recipient,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9"/>
          <w:szCs w:val="19"/>
          <w:u w:val="single" w:color="auto"/>
          <w:color w:val="auto"/>
        </w:rPr>
        <w:t>Section 5.4</w:t>
      </w:r>
      <w:r>
        <w:rPr>
          <w:rFonts w:ascii="Times New Roman" w:cs="Times New Roman" w:eastAsia="Times New Roman" w:hAnsi="Times New Roman"/>
          <w:sz w:val="19"/>
          <w:szCs w:val="19"/>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any Agent on its own behalf or on behalf of a Lender, shall be conclusive absent manifest error.</w:t>
      </w:r>
    </w:p>
    <w:p>
      <w:pPr>
        <w:spacing w:after="0" w:line="164" w:lineRule="exact"/>
        <w:rPr>
          <w:rFonts w:ascii="Times New Roman" w:cs="Times New Roman" w:eastAsia="Times New Roman" w:hAnsi="Times New Roman"/>
          <w:sz w:val="19"/>
          <w:szCs w:val="19"/>
          <w:color w:val="auto"/>
        </w:rPr>
      </w:pPr>
    </w:p>
    <w:p>
      <w:pPr>
        <w:jc w:val="both"/>
        <w:ind w:firstLine="656"/>
        <w:spacing w:after="0" w:line="211" w:lineRule="auto"/>
        <w:tabs>
          <w:tab w:leader="none" w:pos="128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xml:space="preserve">. 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13.6(c)</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auto"/>
        </w:rPr>
      </w:pPr>
    </w:p>
    <w:p>
      <w:pPr>
        <w:ind w:right="20" w:firstLine="656"/>
        <w:spacing w:after="0"/>
        <w:tabs>
          <w:tab w:leader="none" w:pos="128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the Borrower to a Governmental Authority pursuant to this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the Borrower shall deliver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39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color w:val="auto"/>
        </w:rPr>
        <w:t>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48" w:lineRule="exact"/>
        <w:rPr>
          <w:sz w:val="20"/>
          <w:szCs w:val="20"/>
          <w:color w:val="auto"/>
        </w:rPr>
      </w:pPr>
    </w:p>
    <w:p>
      <w:pPr>
        <w:jc w:val="both"/>
        <w:ind w:firstLine="656"/>
        <w:spacing w:after="0" w:line="212" w:lineRule="auto"/>
        <w:tabs>
          <w:tab w:leader="none" w:pos="1291"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 xml:space="preserve">. (i) Any Lender that is entitled to an exemption from or reduction of withholding Tax with respect to payments made under any Credit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clauses (ii)(A)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175" w:lineRule="exact"/>
        <w:rPr>
          <w:rFonts w:ascii="Times New Roman" w:cs="Times New Roman" w:eastAsia="Times New Roman" w:hAnsi="Times New Roman"/>
          <w:sz w:val="20"/>
          <w:szCs w:val="20"/>
          <w:color w:val="auto"/>
        </w:rPr>
      </w:pPr>
    </w:p>
    <w:p>
      <w:pPr>
        <w:jc w:val="both"/>
        <w:ind w:left="1300" w:right="20" w:firstLine="652"/>
        <w:spacing w:after="0" w:line="222" w:lineRule="auto"/>
        <w:tabs>
          <w:tab w:leader="none" w:pos="2587"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0"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48" w:lineRule="exact"/>
        <w:rPr>
          <w:rFonts w:ascii="Times New Roman" w:cs="Times New Roman" w:eastAsia="Times New Roman" w:hAnsi="Times New Roman"/>
          <w:sz w:val="20"/>
          <w:szCs w:val="20"/>
          <w:color w:val="auto"/>
        </w:rPr>
      </w:pPr>
    </w:p>
    <w:p>
      <w:pPr>
        <w:jc w:val="both"/>
        <w:ind w:left="1960" w:firstLine="640"/>
        <w:spacing w:after="0" w:line="218" w:lineRule="auto"/>
        <w:tabs>
          <w:tab w:leader="none" w:pos="3244" w:val="left"/>
        </w:tabs>
        <w:numPr>
          <w:ilvl w:val="3"/>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Credit Document, executed copies of IRS Form W-8BEN or IRS Form W-8BEN-E establishing an exemption from, or reduction of, U.S. federal withholding Tax pursuant to the “interest” article of such tax treaty and (y) with respect to any other applicable payments under any Credit Document, IRS Form W-8BEN or IRS Form W-8BEN-E establishing an exemption from, or reduction of, U.S. federal withholding Tax pursuant to the “business profits” or “other income” article of such tax treaty;</w:t>
      </w:r>
    </w:p>
    <w:p>
      <w:pPr>
        <w:spacing w:after="0" w:line="150"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3"/>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188" w:lineRule="exact"/>
        <w:rPr>
          <w:rFonts w:ascii="Times New Roman" w:cs="Times New Roman" w:eastAsia="Times New Roman" w:hAnsi="Times New Roman"/>
          <w:sz w:val="20"/>
          <w:szCs w:val="20"/>
          <w:color w:val="auto"/>
        </w:rPr>
      </w:pPr>
    </w:p>
    <w:p>
      <w:pPr>
        <w:jc w:val="both"/>
        <w:ind w:left="1960" w:firstLine="640"/>
        <w:spacing w:after="0" w:line="210" w:lineRule="auto"/>
        <w:tabs>
          <w:tab w:leader="none" w:pos="3244" w:val="left"/>
        </w:tabs>
        <w:numPr>
          <w:ilvl w:val="3"/>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w:t>
      </w:r>
    </w:p>
    <w:p>
      <w:pPr>
        <w:spacing w:after="0" w:line="1"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 executed copies of IRS Form W-8BEN or IRS Form W-8BEN-E; or</w:t>
      </w:r>
    </w:p>
    <w:p>
      <w:pPr>
        <w:spacing w:after="0" w:line="166" w:lineRule="exact"/>
        <w:rPr>
          <w:rFonts w:ascii="Times New Roman" w:cs="Times New Roman" w:eastAsia="Times New Roman" w:hAnsi="Times New Roman"/>
          <w:sz w:val="20"/>
          <w:szCs w:val="20"/>
          <w:color w:val="auto"/>
        </w:rPr>
      </w:pPr>
    </w:p>
    <w:p>
      <w:pPr>
        <w:ind w:left="1960" w:firstLine="640"/>
        <w:spacing w:after="0"/>
        <w:tabs>
          <w:tab w:leader="none" w:pos="3244" w:val="left"/>
        </w:tabs>
        <w:numPr>
          <w:ilvl w:val="3"/>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Foreign Lender is not the beneficial owner, executed copies of IRS Form W-8IMY, accompanied by IRS Form W-8ECI,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399" w:right="339" w:bottom="1440" w:gutter="0" w:footer="0" w:header="0"/>
        </w:sectPr>
      </w:pPr>
    </w:p>
    <w:bookmarkStart w:id="125" w:name="page126"/>
    <w:bookmarkEnd w:id="125"/>
    <w:p>
      <w:pPr>
        <w:ind w:left="1960"/>
        <w:spacing w:after="0"/>
        <w:rPr>
          <w:sz w:val="20"/>
          <w:szCs w:val="20"/>
          <w:color w:val="auto"/>
        </w:rPr>
      </w:pPr>
      <w:r>
        <w:rPr>
          <w:rFonts w:ascii="Times New Roman" w:cs="Times New Roman" w:eastAsia="Times New Roman" w:hAnsi="Times New Roman"/>
          <w:sz w:val="19"/>
          <w:szCs w:val="19"/>
          <w:color w:val="auto"/>
        </w:rPr>
        <w:t>Form W-8BEN, IRS Form W-8BEN-E, a U.S. Tax Compliance Certificate substantially in the form of Exhibit I-2 or</w:t>
      </w:r>
    </w:p>
    <w:p>
      <w:pPr>
        <w:spacing w:after="0" w:line="6" w:lineRule="exact"/>
        <w:rPr>
          <w:sz w:val="20"/>
          <w:szCs w:val="20"/>
          <w:color w:val="auto"/>
        </w:rPr>
      </w:pPr>
    </w:p>
    <w:p>
      <w:pPr>
        <w:ind w:left="1960"/>
        <w:spacing w:after="0" w:line="215" w:lineRule="auto"/>
        <w:rPr>
          <w:sz w:val="20"/>
          <w:szCs w:val="20"/>
          <w:color w:val="auto"/>
        </w:rPr>
      </w:pPr>
      <w:r>
        <w:rPr>
          <w:rFonts w:ascii="Times New Roman" w:cs="Times New Roman" w:eastAsia="Times New Roman" w:hAnsi="Times New Roman"/>
          <w:sz w:val="19"/>
          <w:szCs w:val="19"/>
          <w:color w:val="auto"/>
        </w:rPr>
        <w:t xml:space="preserve">Exhibit I-3, IRS Form W-9, and/or other certification documents from each beneficial owner,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Foreign Lender is a partnership and one or more direct or indirect partners of such Foreign Lender are</w:t>
      </w:r>
    </w:p>
    <w:p>
      <w:pPr>
        <w:ind w:left="1960" w:right="20"/>
        <w:spacing w:after="0" w:line="228" w:lineRule="auto"/>
        <w:rPr>
          <w:sz w:val="20"/>
          <w:szCs w:val="20"/>
          <w:color w:val="auto"/>
        </w:rPr>
      </w:pPr>
      <w:r>
        <w:rPr>
          <w:rFonts w:ascii="Times New Roman" w:cs="Times New Roman" w:eastAsia="Times New Roman" w:hAnsi="Times New Roman"/>
          <w:sz w:val="20"/>
          <w:szCs w:val="20"/>
          <w:color w:val="auto"/>
        </w:rPr>
        <w:t>claiming the portfolio interest exemption, such Foreign Lender may provide a U.S. Tax Compliance Certificate substantially in the form of Exhibit I-4 on behalf of each such direct and indirect partner;</w:t>
      </w:r>
    </w:p>
    <w:p>
      <w:pPr>
        <w:spacing w:after="0" w:line="149" w:lineRule="exact"/>
        <w:rPr>
          <w:sz w:val="20"/>
          <w:szCs w:val="20"/>
          <w:color w:val="auto"/>
        </w:rPr>
      </w:pPr>
    </w:p>
    <w:p>
      <w:pPr>
        <w:jc w:val="both"/>
        <w:ind w:left="1300" w:firstLine="652"/>
        <w:spacing w:after="0" w:line="215" w:lineRule="auto"/>
        <w:tabs>
          <w:tab w:leader="none" w:pos="259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4" w:lineRule="exact"/>
        <w:rPr>
          <w:rFonts w:ascii="Times New Roman" w:cs="Times New Roman" w:eastAsia="Times New Roman" w:hAnsi="Times New Roman"/>
          <w:sz w:val="20"/>
          <w:szCs w:val="20"/>
          <w:color w:val="auto"/>
        </w:rPr>
      </w:pPr>
    </w:p>
    <w:p>
      <w:pPr>
        <w:jc w:val="both"/>
        <w:ind w:left="1300" w:firstLine="652"/>
        <w:spacing w:after="0" w:line="212" w:lineRule="auto"/>
        <w:tabs>
          <w:tab w:leader="none" w:pos="2587"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 (C)(i)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“FATCA” shall include any amendments made to FATCA after the date of this Agreement.</w:t>
      </w:r>
    </w:p>
    <w:p>
      <w:pPr>
        <w:spacing w:after="0" w:line="151" w:lineRule="exact"/>
        <w:rPr>
          <w:sz w:val="20"/>
          <w:szCs w:val="20"/>
          <w:color w:val="auto"/>
        </w:rPr>
      </w:pPr>
    </w:p>
    <w:p>
      <w:pPr>
        <w:ind w:left="660" w:right="780" w:firstLine="648"/>
        <w:spacing w:after="0" w:line="225"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57" w:lineRule="exact"/>
        <w:rPr>
          <w:sz w:val="20"/>
          <w:szCs w:val="20"/>
          <w:color w:val="auto"/>
        </w:rPr>
      </w:pPr>
    </w:p>
    <w:p>
      <w:pPr>
        <w:jc w:val="both"/>
        <w:ind w:firstLine="656"/>
        <w:spacing w:after="0" w:line="211" w:lineRule="auto"/>
        <w:tabs>
          <w:tab w:leader="none" w:pos="128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(including by the payment of additional amounts pursuant to this Section), it shall pay to the indemnifying party an amount equal to such refund (but only to the extent of indemnity payments made under this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399" w:right="339" w:bottom="1440" w:gutter="0" w:footer="0" w:header="0"/>
        </w:sectPr>
      </w:pPr>
    </w:p>
    <w:bookmarkStart w:id="126" w:name="page127"/>
    <w:bookmarkEnd w:id="126"/>
    <w:p>
      <w:pPr>
        <w:ind w:left="1300" w:hanging="644"/>
        <w:spacing w:after="0"/>
        <w:tabs>
          <w:tab w:leader="none" w:pos="130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the term “applicable law” includes FATCA.</w:t>
      </w:r>
    </w:p>
    <w:p>
      <w:pPr>
        <w:spacing w:after="0" w:line="188"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obligations under and agreements in this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shall survive the resignation or replacement of any Agent, any assignment of rights by, or the replacement of, a Lender, the termination of the Commitments, the termination of this Agreement and any other Credit Document and the payment, satisfaction or discharge of all Obligations under any Credit Document.</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u w:val="single" w:color="auto"/>
          <w:color w:val="auto"/>
        </w:rPr>
        <w:t>Computations of Interest and Fees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22" w:lineRule="auto"/>
        <w:tabs>
          <w:tab w:leader="none" w:pos="128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the next succeeding sentence, interest on SOFR Loans and ABR Loans shall be calculated on the basis of a three hundred sixty (360)-day year for the actual days elapsed. Interest on ABR Loans in respect of which the rate of interest is calculated on the basis of the Administrative Agent’s prime rate and interest on overdue interest shall be calculated on the basis of a 365- (or 366-, as the case may be) day year for the actual days elapsed.</w:t>
      </w:r>
    </w:p>
    <w:p>
      <w:pPr>
        <w:spacing w:after="0" w:line="161"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and the average daily Stated Amount of Letters of Credit shall be calculated on the basis of a three hundred sixty (360)-day year for the actual days elapsed.</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u w:val="single" w:color="auto"/>
          <w:color w:val="auto"/>
        </w:rPr>
        <w:t>Limit on Rate of Interest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6" w:lineRule="auto"/>
        <w:tabs>
          <w:tab w:leader="none" w:pos="128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Payment Shall Exceed Lawful Rate</w:t>
      </w:r>
      <w:r>
        <w:rPr>
          <w:rFonts w:ascii="Times New Roman" w:cs="Times New Roman" w:eastAsia="Times New Roman" w:hAnsi="Times New Roman"/>
          <w:sz w:val="20"/>
          <w:szCs w:val="20"/>
          <w:color w:val="auto"/>
        </w:rPr>
        <w:t>. Notwithstanding any other term of this Agreement, the Borrower shall not be obligated to pay any interest or other amounts under or in connection with this Agreement or otherwise in respect to any of the Obligations in excess of the amount or rate permitted under or consistent with any applicable law, rule or regulation.</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at Highest Lawful Rate</w:t>
      </w:r>
      <w:r>
        <w:rPr>
          <w:rFonts w:ascii="Times New Roman" w:cs="Times New Roman" w:eastAsia="Times New Roman" w:hAnsi="Times New Roman"/>
          <w:sz w:val="20"/>
          <w:szCs w:val="20"/>
          <w:color w:val="auto"/>
        </w:rPr>
        <w:t xml:space="preserve">. If the Borrower is not obliged to make a payment that it would otherwise be required to make, as a result of </w:t>
      </w:r>
      <w:r>
        <w:rPr>
          <w:rFonts w:ascii="Times New Roman" w:cs="Times New Roman" w:eastAsia="Times New Roman" w:hAnsi="Times New Roman"/>
          <w:sz w:val="20"/>
          <w:szCs w:val="20"/>
          <w:u w:val="single" w:color="auto"/>
          <w:color w:val="auto"/>
        </w:rPr>
        <w:t>Section 5.6(a)</w:t>
      </w:r>
      <w:r>
        <w:rPr>
          <w:rFonts w:ascii="Times New Roman" w:cs="Times New Roman" w:eastAsia="Times New Roman" w:hAnsi="Times New Roman"/>
          <w:sz w:val="20"/>
          <w:szCs w:val="20"/>
          <w:color w:val="auto"/>
        </w:rPr>
        <w:t>, the Borrower shall make such payment to the maximum extent permitted by or consistent with applicable laws, rules and regulations.</w:t>
      </w:r>
    </w:p>
    <w:p>
      <w:pPr>
        <w:spacing w:after="0" w:line="160"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if Any Payment Exceeds Lawful Rate</w:t>
      </w:r>
      <w:r>
        <w:rPr>
          <w:rFonts w:ascii="Times New Roman" w:cs="Times New Roman" w:eastAsia="Times New Roman" w:hAnsi="Times New Roman"/>
          <w:sz w:val="20"/>
          <w:szCs w:val="20"/>
          <w:color w:val="auto"/>
        </w:rPr>
        <w:t xml:space="preserve">. If any provision of this Agreement or any of the other Credit Documents would obligate the Borrower or any other Credit Party to make any payment of interest or other amount payable to any Lender in an amount or calculated at a rate that would be prohibited by any applicable Requirement of Law, then notwithstanding such provision, such amount or rate shall be deemed to have been adjusted with retroactive effect to the maximum amount or rate of interest, as the case may be, as would not be so prohibited by applicable Requirements of Law, such adjustment to be effected, to the extent necessary, by reducing the amount or rate of interest required to be paid by the Borrower to the affected Lender under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Rebate of Excess Interest</w:t>
      </w:r>
      <w:r>
        <w:rPr>
          <w:rFonts w:ascii="Times New Roman" w:cs="Times New Roman" w:eastAsia="Times New Roman" w:hAnsi="Times New Roman"/>
          <w:sz w:val="20"/>
          <w:szCs w:val="20"/>
          <w:color w:val="auto"/>
        </w:rPr>
        <w:t>. Notwithstanding the foregoing, and after giving effect to all adjustments contemplated thereby, if any Lender shall have received from the Borrower an amount in excess of the maximum permitted by any applicable Requirement of Law,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9"/>
          <w:szCs w:val="19"/>
          <w:color w:val="auto"/>
        </w:rPr>
        <w:t>CONDITIONS PRECEDENT TO INITIAL BORROWING.</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The Closing Date is subject to the satisfaction of the following conditions precedent, except as otherwise agreed or waived pursuant to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656"/>
        <w:spacing w:after="0" w:line="226" w:lineRule="auto"/>
        <w:tabs>
          <w:tab w:leader="none" w:pos="128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from the Borrower (i) a counterpart of this Agreement signed on behalf of such party or (ii) written evidence satisfactory to the Administrative Agent (which may include e-mail transmission of a signed signature page of this Agreement) that such party has signed a counterpart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399" w:right="339" w:bottom="1440" w:gutter="0" w:footer="0" w:header="0"/>
        </w:sectPr>
      </w:pPr>
    </w:p>
    <w:bookmarkStart w:id="127" w:name="page128"/>
    <w:bookmarkEnd w:id="127"/>
    <w:p>
      <w:pPr>
        <w:jc w:val="both"/>
        <w:ind w:firstLine="656"/>
        <w:spacing w:after="0" w:line="220" w:lineRule="auto"/>
        <w:tabs>
          <w:tab w:leader="none" w:pos="128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on behalf of itself, the Collateral Agent and the Lenders, written opinions of (i) Vinson &amp; Elkins, LLP, counsel to the Credit Parties and (ii) local counsel in each jurisdiction where Mortgaged Properties are located, in each case (A) dated the Closing Date, (B) addressed to the Administrative Agent, the Collateral Agent, the Lenders and each Issuing Bank and (C) in form and substance satisfactory to the Administrative Agent and customary for transactions of this type. The Borrower, the other Credit Parties and the Administrative Agent hereby instruct such counsel to deliver such legal opinions.</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in the case of each Credit Party, a certificate of the Secretary or Assistant Secretary or similar officer of each Credit Party dated the Closing Date and certifying:</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5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attached thereto is a true and complete copy of the bylaws (or limited liability company agreement or other equivalent governing documents) of such Credit Party as in effect on the Closing Date,</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attached thereto is a true and complete copy of resolutions duly adopted by the board of directors (or managing member or equivalent) of such Credit Party authorizing the execution, delivery and performance of the Credit Documents to which such person is a party and, in the case of the Borrower, the borrowings hereunder, and that such resolutions have not been modified, rescinded or amended and are in full force and effect on the Closing Date,</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56"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attached thereto is (A) a true and complete copy of the certificate or articles of incorporation or certificate of formation, including all amendments thereto, of such Credit Party, certified as of a recent date by the Secretary of State (or other similar official) of the jurisdiction of its organization, (B) a certificate as to the good standing (to the extent such concept or a similar concept exists under the laws of such jurisdiction) of each such Credit Party (other than Tidelands Oil Production Company, LLC) in the jurisdiction in which it is formed or organized as of a recent date from such Secretary of State (or other similar official), which has not been amended and, (C) if available after the use of commercially reasonable efforts by the Borrower, a certificate as to the good standing (to the extent such concept or a similar concept exists under the laws of such jurisdiction) of each Credit Party in each jurisdiction where such Credit Party owns material Borrowing Base Properties (other than in the jurisdiction where such Credit Party is formed or organized), as of a recent date from the Secretary of State (or other similar official) of such jurisdiction, which has not been amended,</w:t>
      </w:r>
    </w:p>
    <w:p>
      <w:pPr>
        <w:spacing w:after="0" w:line="165" w:lineRule="exact"/>
        <w:rPr>
          <w:rFonts w:ascii="Times New Roman" w:cs="Times New Roman" w:eastAsia="Times New Roman" w:hAnsi="Times New Roman"/>
          <w:sz w:val="20"/>
          <w:szCs w:val="20"/>
          <w:color w:val="auto"/>
        </w:rPr>
      </w:pPr>
    </w:p>
    <w:p>
      <w:pPr>
        <w:ind w:left="660" w:firstLine="644"/>
        <w:spacing w:after="0"/>
        <w:tabs>
          <w:tab w:leader="none" w:pos="1945"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incumbency and specimen signature of each officer executing any Credit Document or any other document delivered in connection herewith on behalf of such Credit Party, and</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a director or an officer as to the incumbency and specimen signature of the Secretary or Assistant Secretary or similar officer executing the certificate pursuant to </w:t>
      </w:r>
      <w:r>
        <w:rPr>
          <w:rFonts w:ascii="Times New Roman" w:cs="Times New Roman" w:eastAsia="Times New Roman" w:hAnsi="Times New Roman"/>
          <w:sz w:val="20"/>
          <w:szCs w:val="20"/>
          <w:u w:val="single" w:color="auto"/>
          <w:color w:val="auto"/>
        </w:rPr>
        <w:t>subclause (ii)</w:t>
      </w:r>
      <w:r>
        <w:rPr>
          <w:rFonts w:ascii="Times New Roman" w:cs="Times New Roman" w:eastAsia="Times New Roman" w:hAnsi="Times New Roman"/>
          <w:sz w:val="20"/>
          <w:szCs w:val="20"/>
          <w:color w:val="auto"/>
        </w:rPr>
        <w:t xml:space="preserve"> above.</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a promissory note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executed by the Borrower in favor of each Lender that has requested a promissory note, evidencing the Loans owing to such Lender.</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All Equity Interests directly owned by the Borrower or any Subsidiary Grantor, in each case as of the Closing Date, shall have been pledged pursuant to the Collateral Agreement (except that such Credit Parties shall not be required to pledge any Excluded Equity Interests) and the Collateral Agent shall have received all certificates, if any, representing such securities pledged under the Collateral Agreement, accompanied by instruments of transfer and/or undated powers endorsed in blank</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customary UCC, tax and judgment lien searches with respect to the Borrower and the Grantors in their applicable jurisdictions of organization, reflecting the absence of Liens and security interests other than those being released on or prior to the Closing Date or which are otherwise permitted under the Credit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399" w:right="339" w:bottom="1440" w:gutter="0" w:footer="0" w:header="0"/>
        </w:sectPr>
      </w:pPr>
    </w:p>
    <w:bookmarkStart w:id="128" w:name="page129"/>
    <w:bookmarkEnd w:id="128"/>
    <w:p>
      <w:pPr>
        <w:jc w:val="both"/>
        <w:ind w:firstLine="656"/>
        <w:spacing w:after="0" w:line="216" w:lineRule="auto"/>
        <w:tabs>
          <w:tab w:leader="none" w:pos="1291"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made by any Credit Party contained herein or in the other Credit Documents are true and correct in all material respects on and as of the Closing Date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 and the Administrative Agent shall have received a certificate of an Authorized Officer of the Borrower certifying as to the satisfaction of such condition.</w:t>
      </w:r>
    </w:p>
    <w:p>
      <w:pPr>
        <w:spacing w:after="0" w:line="162"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(or its counsel) shall have received copies of the Collateral Agreement, the Mortgages, UCC financing statements and each other Security Document that is required to be executed on the Closing Date, duly executed by each Credit Party party thereto, together with evidence that all other actions, recordings and filings required by the Security Documents as of the Closing Date or that the Collateral Agent may deem reasonably necessary to (A) create the Liens intended to be created by any Security Document and perfect such Liens to the extent required by, and with the priority required by, such Security Document shall have been delivered to the Collateral Agent for filing, registration or recording and (B) comply with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in each case shall have been taken, completed or otherwise provided for in a manner reasonably satisfactory to the Administrative Agent.</w:t>
      </w:r>
    </w:p>
    <w:p>
      <w:pPr>
        <w:spacing w:after="0" w:line="164"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 the Initial Reserve Report and (ii) lease operating statements and production reports with respect to the Oil and Gas Properties evaluated in the Initial Reserve Report, in form and substance satisfactory to the Administrative Agent, for the fiscal year ended December 31, 2022.</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9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Closing Date, the Administrative Agent (or its counsel) shall have received a solvency certificate substantially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hereto and signed by a Financial Officer of the Borrower.</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evidence that the Borrower has (i) obtained and effected all insurance required to be maintained pursuant to the Credit Documents and (ii) caused the Administrative Agent to be named as lender loss payee and/or additional insured under each insurance policy with respect to such insurance, as applicable.</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and expenses required to be paid hereunder and invoiced, including, without limitation, the reasonable and documented fees and expenses of Latham &amp; Watkins LLP, counsel to the Administrative Agent, shall have been paid in full in cash or netted from the proceeds of the initial funding under the Facility, to the extent applicable.</w:t>
      </w:r>
    </w:p>
    <w:p>
      <w:pPr>
        <w:spacing w:after="0" w:line="160" w:lineRule="exact"/>
        <w:rPr>
          <w:rFonts w:ascii="Times New Roman" w:cs="Times New Roman" w:eastAsia="Times New Roman" w:hAnsi="Times New Roman"/>
          <w:sz w:val="20"/>
          <w:szCs w:val="20"/>
          <w:color w:val="auto"/>
        </w:rPr>
      </w:pPr>
    </w:p>
    <w:p>
      <w:pPr>
        <w:jc w:val="both"/>
        <w:ind w:firstLine="656"/>
        <w:spacing w:after="0" w:line="213" w:lineRule="auto"/>
        <w:tabs>
          <w:tab w:leader="none" w:pos="129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and the Lenders shall have received at least three (3) Business Days prior to the Closing Date all documentation and other information required by regulatory authorities under applicable “know your customer” and anti-money laundering rules and regulations, including, the Patriot Act, that has been requested by the Administrative Agent in writing at least five (5) Business Days prior to the Closing Date and (ii) to the extent the Borrower qualifies as a “legal entity customer” under the Beneficial Ownership Regulation, at least three (3) Business Days prior to the Closing Date, any Lender that has requested, in a written notice to the Borrower at least five (5) Business Days prior to the Closing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62"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shall have delivered title information to the Administrative Agent (or its counsel) as the Administrative Agent may reasonably require satisfactory to the Administrative Agent setting forth the status of title to at least eighty-five percent (85%) of the PV-9 value (excluding the PV-9 of any Production Sharing Contracts) of the Borrowing Base Properties (excluding any Oil and Gas Properties subject to Production Sharing Contracts) evaluated in the Initial Reserve Report.</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executed copies of the Guarantee, executed by each Person which will be a Guarantor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399" w:right="339" w:bottom="1440" w:gutter="0" w:footer="0" w:header="0"/>
        </w:sectPr>
      </w:pPr>
    </w:p>
    <w:bookmarkStart w:id="129" w:name="page130"/>
    <w:bookmarkEnd w:id="129"/>
    <w:p>
      <w:pPr>
        <w:jc w:val="both"/>
        <w:ind w:firstLine="656"/>
        <w:spacing w:after="0" w:line="216" w:lineRule="auto"/>
        <w:tabs>
          <w:tab w:leader="none" w:pos="128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certificate of an Authorized Officer of the Borrower certifying (a) that the Borrower and its Restricted Subsidiaries have received all material third-party and governmental consents and approvals required by the terms of the Credit Documents, (b) since December 31, 2022, there has not been any material adverse change in, or Material Adverse Effect on the business, operations, property, liabilities (actual or contingent) or condition (financial or otherwise) of the Credit Parties, taken as a whole and (c) at the time of this Agreement and also after giving effect to any Borrowing on the Closing Date, no Default or Event of Default shall have occurred and be continuing.</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for purposes of determining compliance with the conditions</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specified in this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each Lender that has signed this Agreement shall be deemed to have consented to, approved or accepted or to be satisfied with, each document or other matters required under this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to be consented to or approved by or acceptable or satisfactory to</w:t>
      </w:r>
    </w:p>
    <w:p>
      <w:pPr>
        <w:spacing w:after="0" w:line="228" w:lineRule="auto"/>
        <w:rPr>
          <w:sz w:val="20"/>
          <w:szCs w:val="20"/>
          <w:color w:val="auto"/>
        </w:rPr>
      </w:pPr>
      <w:r>
        <w:rPr>
          <w:rFonts w:ascii="Times New Roman" w:cs="Times New Roman" w:eastAsia="Times New Roman" w:hAnsi="Times New Roman"/>
          <w:sz w:val="20"/>
          <w:szCs w:val="20"/>
          <w:color w:val="auto"/>
        </w:rPr>
        <w:t>a Lender unless the Administrative Agent shall have received notice from such Lender prior to the Closing Date specifying its objection thereto.</w:t>
      </w:r>
    </w:p>
    <w:p>
      <w:pPr>
        <w:spacing w:after="0" w:line="1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19"/>
          <w:szCs w:val="19"/>
          <w:color w:val="auto"/>
        </w:rPr>
        <w:t>CONDITIONS PRECEDENT TO ALL SUBSEQUENT CREDIT EVENTS.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agreement of each Lender to make any Loan requested to be made by it on any date (including the initial Borrowing on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Closing Date, but excluding Loans required to be made by the Lenders in respect of Unpaid Drawings pursuant to </w:t>
      </w:r>
      <w:r>
        <w:rPr>
          <w:rFonts w:ascii="Times New Roman" w:cs="Times New Roman" w:eastAsia="Times New Roman" w:hAnsi="Times New Roman"/>
          <w:sz w:val="19"/>
          <w:szCs w:val="19"/>
          <w:u w:val="single" w:color="auto"/>
          <w:color w:val="auto"/>
        </w:rPr>
        <w:t>Sections 3.3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3.4</w:t>
      </w:r>
      <w:r>
        <w:rPr>
          <w:rFonts w:ascii="Times New Roman" w:cs="Times New Roman" w:eastAsia="Times New Roman" w:hAnsi="Times New Roman"/>
          <w:sz w:val="19"/>
          <w:szCs w:val="19"/>
          <w:color w:val="auto"/>
        </w:rPr>
        <w:t xml:space="preserve"> and subject, in the case of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below, to the provisions set forth in </w:t>
      </w:r>
      <w:r>
        <w:rPr>
          <w:rFonts w:ascii="Times New Roman" w:cs="Times New Roman" w:eastAsia="Times New Roman" w:hAnsi="Times New Roman"/>
          <w:sz w:val="19"/>
          <w:szCs w:val="19"/>
          <w:u w:val="single" w:color="auto"/>
          <w:color w:val="auto"/>
        </w:rPr>
        <w:t>Section 1.11(a)</w:t>
      </w:r>
      <w:r>
        <w:rPr>
          <w:rFonts w:ascii="Times New Roman" w:cs="Times New Roman" w:eastAsia="Times New Roman" w:hAnsi="Times New Roman"/>
          <w:sz w:val="19"/>
          <w:szCs w:val="19"/>
          <w:color w:val="auto"/>
        </w:rPr>
        <w:t>), and the obligation of any Issuing Bank to issue, amend,</w:t>
      </w:r>
    </w:p>
    <w:p>
      <w:pPr>
        <w:spacing w:after="0" w:line="228" w:lineRule="auto"/>
        <w:rPr>
          <w:sz w:val="20"/>
          <w:szCs w:val="20"/>
          <w:color w:val="auto"/>
        </w:rPr>
      </w:pPr>
      <w:r>
        <w:rPr>
          <w:rFonts w:ascii="Times New Roman" w:cs="Times New Roman" w:eastAsia="Times New Roman" w:hAnsi="Times New Roman"/>
          <w:sz w:val="20"/>
          <w:szCs w:val="20"/>
          <w:color w:val="auto"/>
        </w:rPr>
        <w:t>renew or extend Letters of Credit on any date (including the Closing Date), is subject to the satisfaction of the following conditions precedent:</w:t>
      </w:r>
    </w:p>
    <w:p>
      <w:pPr>
        <w:spacing w:after="0" w:line="149" w:lineRule="exact"/>
        <w:rPr>
          <w:sz w:val="20"/>
          <w:szCs w:val="20"/>
          <w:color w:val="auto"/>
        </w:rPr>
      </w:pPr>
    </w:p>
    <w:p>
      <w:pPr>
        <w:jc w:val="both"/>
        <w:ind w:firstLine="656"/>
        <w:spacing w:after="0" w:line="215" w:lineRule="auto"/>
        <w:tabs>
          <w:tab w:leader="none" w:pos="1286"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each such Credit Event and also after giving effect thereto, (i) no Default or Event of Default shall have occurred and be continuing and (ii) all representations and warranties made by any Credit Party contained herein or in the other Credit Documents shall be true and correct in all material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w:t>
      </w:r>
    </w:p>
    <w:p>
      <w:pPr>
        <w:spacing w:after="0" w:line="164"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the making of each Loan (other than any Loan made pursuant to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the Administrative Agent shall have received a Notice of Borrowing (whether in writing or by telephone) meeting the requirements of </w:t>
      </w:r>
      <w:r>
        <w:rPr>
          <w:rFonts w:ascii="Times New Roman" w:cs="Times New Roman" w:eastAsia="Times New Roman" w:hAnsi="Times New Roman"/>
          <w:sz w:val="20"/>
          <w:szCs w:val="20"/>
          <w:u w:val="single" w:color="auto"/>
          <w:color w:val="auto"/>
        </w:rPr>
        <w:t>Section 2.3(a)</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6"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the issuance of each Letter of Credit (or an amendment, extension or renewal of a Letter of Credit except in the case of an automatic extension or renewal), (i) the Administrative Agent and the applicable Issuing Bank shall have received a Letter of Credit Application meeting the requirements of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xml:space="preserve"> and (ii) if such Letter of Credit is being issued on behalf of a non-Credit Party, subject to such issuance constituting an Investment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on a pro forma basis and to the applicable Issuing Bank’s receipt of all documentation and other information required by regulatory authorities under applicable “know your customer” and anti-money laundering rules and regulations, including the Patriot Act and Beneficial Ownership Regulation.</w:t>
      </w:r>
    </w:p>
    <w:p>
      <w:pPr>
        <w:spacing w:after="0" w:line="162"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such proposed Credit Event, the Borrower and its Restricted Subsidiaries shall not have Excess Cash in excess of $100,000,000.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acceptance of the benefits of each Credit Event after the Closing Date shall constitute a representation and warranty by each Credit Party to each of the Lenders that all the applicable conditions specified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above have been satisfied as of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399" w:right="339" w:bottom="1440" w:gutter="0" w:footer="0" w:header="0"/>
        </w:sectPr>
      </w:pPr>
    </w:p>
    <w:bookmarkStart w:id="130" w:name="page131"/>
    <w:bookmarkEnd w:id="130"/>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color w:val="auto"/>
        </w:rPr>
        <w:t>REPRESENTATIONS, WARRANTIES AND AGREEMENTS</w:t>
      </w:r>
    </w:p>
    <w:p>
      <w:pPr>
        <w:spacing w:after="0" w:line="18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In order to induce the Lenders to enter into this Agreement, to make the Loans and issue or participate in Letters of Credit as provided for herein, the Borrower makes, on the date of each Credit Event and on each other date as required or set forth in this Agreement,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 following representations and warranties to, and agreements with, the Lenders, all of which shall survive the execution and delivery of this Agreement and the making of the Loans and the issuance of the Letters of Credit: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Existence, Qualification and Power</w:t>
      </w:r>
      <w:r>
        <w:rPr>
          <w:rFonts w:ascii="Times New Roman" w:cs="Times New Roman" w:eastAsia="Times New Roman" w:hAnsi="Times New Roman"/>
          <w:sz w:val="20"/>
          <w:szCs w:val="20"/>
          <w:color w:val="auto"/>
        </w:rPr>
        <w:t>. Each of the Borrower and each Restricted Subsidiary of the Borrower (a) is duly organized and validly existing under the laws of the jurisdiction of its organization and has the corporate or other organizational power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authority to own its property and assets and to transact its business as now conducted and (b) has duly qualified and is authorized to do business and is in good standing (if applicable) in all jurisdictions where it is required to be so qualified, except where the failure to be so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qualified or in good standing would not, individually or in the aggregate, reasonably be expected to have a Material Adverse Effect.</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u w:val="single" w:color="auto"/>
          <w:color w:val="auto"/>
        </w:rPr>
        <w:t>Corporate Power and Authority; Enforceability; Binding Effect</w:t>
      </w:r>
      <w:r>
        <w:rPr>
          <w:rFonts w:ascii="Times New Roman" w:cs="Times New Roman" w:eastAsia="Times New Roman" w:hAnsi="Times New Roman"/>
          <w:sz w:val="19"/>
          <w:szCs w:val="19"/>
          <w:color w:val="auto"/>
        </w:rPr>
        <w:t>. Each Credit Party has the corporate or other organizational power and authority to execute, deliver and carry out the terms and provisions of the Credit Documents to which it is a party and has taken all</w:t>
      </w:r>
    </w:p>
    <w:p>
      <w:pPr>
        <w:spacing w:after="0" w:line="211" w:lineRule="auto"/>
        <w:rPr>
          <w:sz w:val="20"/>
          <w:szCs w:val="20"/>
          <w:color w:val="auto"/>
        </w:rPr>
      </w:pPr>
      <w:r>
        <w:rPr>
          <w:rFonts w:ascii="Times New Roman" w:cs="Times New Roman" w:eastAsia="Times New Roman" w:hAnsi="Times New Roman"/>
          <w:sz w:val="20"/>
          <w:szCs w:val="20"/>
          <w:color w:val="auto"/>
        </w:rPr>
        <w:t>necessary corporate or other organizational action to authorize the execution, delivery and performance of the Credit Documents to which it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is a party. Each Credit Party has duly executed and delivered each Credit Document to which it is a party and each such Credit Document constitutes the legal, valid and binding obligation of such Credit Party enforceable in accordance with its terms, subject to the effects of</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bankruptcy, insolvency, fraudulent conveyance, reorganization and other similar laws relating to or affecting creditors’ rights generally and general principles of equity (whether considered in a proceeding in equity or law).</w:t>
      </w:r>
    </w:p>
    <w:p>
      <w:pPr>
        <w:spacing w:after="0" w:line="1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20"/>
          <w:szCs w:val="20"/>
          <w:u w:val="single" w:color="auto"/>
          <w:color w:val="auto"/>
        </w:rPr>
        <w:t>No Violation</w:t>
      </w:r>
      <w:r>
        <w:rPr>
          <w:rFonts w:ascii="Times New Roman" w:cs="Times New Roman" w:eastAsia="Times New Roman" w:hAnsi="Times New Roman"/>
          <w:sz w:val="20"/>
          <w:szCs w:val="20"/>
          <w:color w:val="auto"/>
        </w:rPr>
        <w:t>. None of the execution, delivery or performance by any Credit Party of the Credit Documents to which it is a</w:t>
      </w:r>
    </w:p>
    <w:p>
      <w:pPr>
        <w:spacing w:after="0" w:line="204" w:lineRule="auto"/>
        <w:rPr>
          <w:sz w:val="20"/>
          <w:szCs w:val="20"/>
          <w:color w:val="auto"/>
        </w:rPr>
      </w:pPr>
      <w:r>
        <w:rPr>
          <w:rFonts w:ascii="Times New Roman" w:cs="Times New Roman" w:eastAsia="Times New Roman" w:hAnsi="Times New Roman"/>
          <w:sz w:val="20"/>
          <w:szCs w:val="20"/>
          <w:color w:val="auto"/>
        </w:rPr>
        <w:t>party will (a) contravene any Requirement of Law, except to the extent such contravention would not reasonably be expected to result in a Material Adverse Effect, (b) result in any breach of any of the terms, covenants, conditions or provisions of, or constitute a default under, or</w:t>
      </w:r>
    </w:p>
    <w:p>
      <w:pPr>
        <w:spacing w:after="0" w:line="211" w:lineRule="auto"/>
        <w:rPr>
          <w:sz w:val="20"/>
          <w:szCs w:val="20"/>
          <w:color w:val="auto"/>
        </w:rPr>
      </w:pPr>
      <w:r>
        <w:rPr>
          <w:rFonts w:ascii="Times New Roman" w:cs="Times New Roman" w:eastAsia="Times New Roman" w:hAnsi="Times New Roman"/>
          <w:sz w:val="20"/>
          <w:szCs w:val="20"/>
          <w:color w:val="auto"/>
        </w:rPr>
        <w:t>result in the creation or imposition of (or the obligation to create or impose) any Lien upon any of the property or assets of such Credit Party</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or any of the Restricted Subsidiaries (other than Liens created under the Credit Documents) pursuant to the terms of any indenture, loan agreement, lease agreement, mortgage, deed of trust, agreement or other instrument to which such Credit Party or any of the Restricted</w:t>
      </w:r>
    </w:p>
    <w:p>
      <w:pPr>
        <w:spacing w:after="0" w:line="223" w:lineRule="auto"/>
        <w:rPr>
          <w:sz w:val="20"/>
          <w:szCs w:val="20"/>
          <w:color w:val="auto"/>
        </w:rPr>
      </w:pPr>
      <w:r>
        <w:rPr>
          <w:rFonts w:ascii="Times New Roman" w:cs="Times New Roman" w:eastAsia="Times New Roman" w:hAnsi="Times New Roman"/>
          <w:sz w:val="19"/>
          <w:szCs w:val="19"/>
          <w:color w:val="auto"/>
        </w:rPr>
        <w:t>Subsidiaries is a party or by which it or any of its property or assets is bound (any such term, covenant, condition or provision, a “</w:t>
      </w:r>
      <w:r>
        <w:rPr>
          <w:rFonts w:ascii="Times New Roman" w:cs="Times New Roman" w:eastAsia="Times New Roman" w:hAnsi="Times New Roman"/>
          <w:sz w:val="19"/>
          <w:szCs w:val="19"/>
          <w:u w:val="single" w:color="auto"/>
          <w:color w:val="auto"/>
        </w:rPr>
        <w:t>Contractual</w:t>
      </w:r>
    </w:p>
    <w:p>
      <w:pPr>
        <w:spacing w:after="0" w:line="221" w:lineRule="auto"/>
        <w:rPr>
          <w:sz w:val="20"/>
          <w:szCs w:val="20"/>
          <w:color w:val="auto"/>
        </w:rPr>
      </w:pPr>
      <w:r>
        <w:rPr>
          <w:rFonts w:ascii="Times New Roman" w:cs="Times New Roman" w:eastAsia="Times New Roman" w:hAnsi="Times New Roman"/>
          <w:sz w:val="20"/>
          <w:szCs w:val="20"/>
          <w:u w:val="single" w:color="auto"/>
          <w:color w:val="auto"/>
        </w:rPr>
        <w:t>Requirement</w:t>
      </w:r>
      <w:r>
        <w:rPr>
          <w:rFonts w:ascii="Times New Roman" w:cs="Times New Roman" w:eastAsia="Times New Roman" w:hAnsi="Times New Roman"/>
          <w:sz w:val="20"/>
          <w:szCs w:val="20"/>
          <w:color w:val="auto"/>
        </w:rPr>
        <w:t>”) except to the extent such breach, default or Lien that would not reasonably be expected to result in a Material Adverse Effect or (c) violate any provision of the Organization Documents of such Credit Party or any of the Restricted Subsidiaries.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u w:val="single" w:color="auto"/>
          <w:color w:val="auto"/>
        </w:rPr>
        <w:t xml:space="preserve"> Schedule 8.4</w:t>
      </w:r>
      <w:r>
        <w:rPr>
          <w:rFonts w:ascii="Times New Roman" w:cs="Times New Roman" w:eastAsia="Times New Roman" w:hAnsi="Times New Roman"/>
          <w:sz w:val="20"/>
          <w:szCs w:val="20"/>
          <w:color w:val="auto"/>
        </w:rPr>
        <w:t>, there are no actions, suits, proceedings, claims or disputes pending or, to the</w:t>
      </w:r>
    </w:p>
    <w:p>
      <w:pPr>
        <w:spacing w:after="0" w:line="215" w:lineRule="auto"/>
        <w:rPr>
          <w:sz w:val="20"/>
          <w:szCs w:val="20"/>
          <w:color w:val="auto"/>
        </w:rPr>
      </w:pPr>
      <w:r>
        <w:rPr>
          <w:rFonts w:ascii="Times New Roman" w:cs="Times New Roman" w:eastAsia="Times New Roman" w:hAnsi="Times New Roman"/>
          <w:sz w:val="19"/>
          <w:szCs w:val="19"/>
          <w:color w:val="auto"/>
        </w:rPr>
        <w:t>actual knowledge of an Authorized Officer of the Borrower, threatened in writing, at law, in equity, in arbitration or before any Governmental Authority, by or against the Borrower or any of its Restricted Subsidiaries or against any of their properties or revenues that either</w:t>
      </w:r>
    </w:p>
    <w:p>
      <w:pPr>
        <w:spacing w:after="0"/>
        <w:rPr>
          <w:sz w:val="20"/>
          <w:szCs w:val="20"/>
          <w:color w:val="auto"/>
        </w:rPr>
      </w:pPr>
      <w:r>
        <w:rPr>
          <w:rFonts w:ascii="Times New Roman" w:cs="Times New Roman" w:eastAsia="Times New Roman" w:hAnsi="Times New Roman"/>
          <w:sz w:val="20"/>
          <w:szCs w:val="20"/>
          <w:color w:val="auto"/>
        </w:rPr>
        <w:t>individually or in the aggregate, would reasonably be expected to have a Material Adverse Effect.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Margin Regulations</w:t>
      </w:r>
      <w:r>
        <w:rPr>
          <w:rFonts w:ascii="Times New Roman" w:cs="Times New Roman" w:eastAsia="Times New Roman" w:hAnsi="Times New Roman"/>
          <w:sz w:val="20"/>
          <w:szCs w:val="20"/>
          <w:color w:val="auto"/>
        </w:rPr>
        <w:t>. Neither the making of any Loan hereunder nor the use of the proceeds thereof will violate the provisions of Regulation T, Regulation U or Regulation X of the Board. The Borrower is not engaged principally, or as one of its important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activities, in the business of extending credit for the purpose of buying or carrying Margin Stock.</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Governmental Authorization</w:t>
      </w:r>
      <w:r>
        <w:rPr>
          <w:rFonts w:ascii="Times New Roman" w:cs="Times New Roman" w:eastAsia="Times New Roman" w:hAnsi="Times New Roman"/>
          <w:sz w:val="20"/>
          <w:szCs w:val="20"/>
          <w:color w:val="auto"/>
        </w:rPr>
        <w:t>. The execution, delivery and performance of each Credit Document do not require any consent or approval of, registration or filing with, or other action by, any Governmental Authority or any other Person, except for (a) such as have</w:t>
      </w:r>
    </w:p>
    <w:p>
      <w:pPr>
        <w:spacing w:after="0" w:line="212" w:lineRule="auto"/>
        <w:rPr>
          <w:sz w:val="20"/>
          <w:szCs w:val="20"/>
          <w:color w:val="auto"/>
        </w:rPr>
      </w:pPr>
      <w:r>
        <w:rPr>
          <w:rFonts w:ascii="Times New Roman" w:cs="Times New Roman" w:eastAsia="Times New Roman" w:hAnsi="Times New Roman"/>
          <w:sz w:val="20"/>
          <w:szCs w:val="20"/>
          <w:color w:val="auto"/>
        </w:rPr>
        <w:t>been obtained or made and are in full force and effect, (b) filings and recordings in respect of the Liens created pursuant to the Security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Documents and (c) such consents, approvals, registrations, filings or actions the failure of which to obtain or make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399" w:right="339" w:bottom="1440" w:gutter="0" w:footer="0" w:header="0"/>
        </w:sectPr>
      </w:pPr>
    </w:p>
    <w:bookmarkStart w:id="131" w:name="page132"/>
    <w:bookmarkEnd w:id="131"/>
    <w:p>
      <w:pPr>
        <w:ind w:firstLine="648"/>
        <w:spacing w:after="0"/>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Investment Company Act</w:t>
      </w:r>
      <w:r>
        <w:rPr>
          <w:rFonts w:ascii="Times New Roman" w:cs="Times New Roman" w:eastAsia="Times New Roman" w:hAnsi="Times New Roman"/>
          <w:sz w:val="20"/>
          <w:szCs w:val="20"/>
          <w:color w:val="auto"/>
        </w:rPr>
        <w:t>. No Credit Party is an “investment company” within the meaning of the Investment Company Act of 1940, as amended.</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u w:val="single" w:color="auto"/>
          <w:color w:val="auto"/>
        </w:rPr>
        <w:t>True and Complete Disclosure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3" w:lineRule="auto"/>
        <w:tabs>
          <w:tab w:leader="none" w:pos="128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written factual information delivered by or on behalf of the Borrower or any of its Subsidiaries to the Administrative Agent and the Lenders (other than the Projections,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financial information, estimates, forecasts and other forward looking information and information of a general economic nature or general industry nature) (the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concerning the Borrower, the Restricted Subsidiaries, the Transactions and any other transactions contemplated hereby prepared by or on behalf of the foregoing or their representatives and made available to any Lenders or the Administrative Agent in connection with the Transactions or the other transactions contemplated hereby and the negotiation of the Credit Documents (as modified or supplemented by other information so furnished), when taken as a whole, was true and correct in all material respects, as of the date when made and did not, taken as a whole, contain any untrue statement of a material fact as of the date when made or omit to state a material fact necessary in order to make the statements contained therein, taken as a whole, not materially misleading in light of the circumstances under which such statements were made.</w:t>
      </w:r>
    </w:p>
    <w:p>
      <w:pPr>
        <w:spacing w:after="0" w:line="161"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Projections (i) have been prepared in good faith based upon assumptions believed by the Borrower to be reasonable as of the date made (it being understood that such Projections are as to future events and are not to be viewed as facts, the projections are subject to significant uncertainties and contingencies, many of which are beyond the control of the Borrower and the Subsidiaries, that no assurance can be given that any particular projections will be realized and that actual results during the period or periods covered by any such projections may differ from the projected results and such differences may be material) and (ii) as of the Closing Date, have not been modified in any material respect by the Borrower.</w:t>
      </w:r>
    </w:p>
    <w:p>
      <w:pPr>
        <w:spacing w:after="0" w:line="162"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neither the Borrower nor any Restricted Subsidiary has any material Indebtedness, any material guarantee obligations, contingent liabilities, off balance sheet liabilities, partnership liabilities for taxes or unusual forward or long-term commitments that, in each case, have not been disclosed in writing to the Administrative Agent.</w:t>
      </w:r>
    </w:p>
    <w:p>
      <w:pPr>
        <w:spacing w:after="0" w:line="160" w:lineRule="exact"/>
        <w:rPr>
          <w:rFonts w:ascii="Times New Roman" w:cs="Times New Roman" w:eastAsia="Times New Roman" w:hAnsi="Times New Roman"/>
          <w:sz w:val="20"/>
          <w:szCs w:val="20"/>
          <w:color w:val="auto"/>
        </w:rPr>
      </w:pPr>
    </w:p>
    <w:p>
      <w:pPr>
        <w:ind w:right="20" w:firstLine="656"/>
        <w:spacing w:after="0" w:line="233" w:lineRule="auto"/>
        <w:tabs>
          <w:tab w:leader="none" w:pos="128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to the knowledge of the Borrower, the information included in the Beneficial Ownership Certification delivered, on or prior to the Closing Date, to any Lender in connection with this Agreement is true and correct in all respects.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20"/>
          <w:szCs w:val="20"/>
          <w:u w:val="single" w:color="auto"/>
          <w:color w:val="auto"/>
        </w:rPr>
        <w:t>Tax Matters</w:t>
      </w:r>
      <w:r>
        <w:rPr>
          <w:rFonts w:ascii="Times New Roman" w:cs="Times New Roman" w:eastAsia="Times New Roman" w:hAnsi="Times New Roman"/>
          <w:sz w:val="20"/>
          <w:szCs w:val="20"/>
          <w:color w:val="auto"/>
        </w:rPr>
        <w:t>. Except as would not, either individually or in the aggregate, reasonably be expected to result in a Material</w:t>
      </w:r>
    </w:p>
    <w:p>
      <w:pPr>
        <w:ind w:right="20"/>
        <w:spacing w:after="0" w:line="204" w:lineRule="auto"/>
        <w:rPr>
          <w:sz w:val="20"/>
          <w:szCs w:val="20"/>
          <w:color w:val="auto"/>
        </w:rPr>
      </w:pPr>
      <w:r>
        <w:rPr>
          <w:rFonts w:ascii="Times New Roman" w:cs="Times New Roman" w:eastAsia="Times New Roman" w:hAnsi="Times New Roman"/>
          <w:sz w:val="20"/>
          <w:szCs w:val="20"/>
          <w:color w:val="auto"/>
        </w:rPr>
        <w:t>Adverse Effect, each of the Credit Parties and the Restricted Subsidiaries have filed all tax returns required to be filed by it, and have paid all Taxes payable by it (including in its capacity as a withholding agent), except those that are being contested in good faith by appropriate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proceedings and as to which adequate reserves have been provided to the extent required by and in accordance with GAAP.</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u w:val="single" w:color="auto"/>
          <w:color w:val="auto"/>
        </w:rPr>
        <w:t>Compliance with ERISA</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30" w:lineRule="auto"/>
        <w:tabs>
          <w:tab w:leader="none" w:pos="128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8.10(a)</w:t>
      </w:r>
      <w:r>
        <w:rPr>
          <w:rFonts w:ascii="Times New Roman" w:cs="Times New Roman" w:eastAsia="Times New Roman" w:hAnsi="Times New Roman"/>
          <w:sz w:val="20"/>
          <w:szCs w:val="20"/>
          <w:color w:val="auto"/>
        </w:rPr>
        <w:t xml:space="preserve"> or as would not, either individually or in the aggregate, reasonably be expected to result in a Material Adverse Effect, each Plan maintained by a Credit Party is in compliance with the applicable provisions of ERISA and the Code and the regulations and published interpretations thereunder and other federal or state laws.</w:t>
      </w:r>
    </w:p>
    <w:p>
      <w:pPr>
        <w:spacing w:after="0" w:line="148"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ERISA Event has occurred during the six (6) year period prior to the date on which this representation is made or deemed made or is reasonably expected to occur; (ii) neither any Credit Party nor any ERISA Affiliate has incurred, or reasonably expects to incur, any liability under Title IV of ERISA with respect to any Pension Plan (other than premiums due and not delinquent under Section 4007 of ERISA); (iii) neither any Credit Party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any Credit Party nor any ERISA Affiliate has engaged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39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color w:val="auto"/>
        </w:rPr>
        <w:t xml:space="preserve">transaction that could be subject to Sections 4069 or 4212(c) of ERISA except, with respect to each of the foregoing clauses of this </w:t>
      </w:r>
      <w:r>
        <w:rPr>
          <w:rFonts w:ascii="Times New Roman" w:cs="Times New Roman" w:eastAsia="Times New Roman" w:hAnsi="Times New Roman"/>
          <w:sz w:val="20"/>
          <w:szCs w:val="20"/>
          <w:u w:val="single" w:color="auto"/>
          <w:color w:val="auto"/>
        </w:rPr>
        <w:t>Section</w:t>
      </w:r>
    </w:p>
    <w:p>
      <w:pPr>
        <w:spacing w:after="0" w:line="221" w:lineRule="auto"/>
        <w:rPr>
          <w:sz w:val="20"/>
          <w:szCs w:val="20"/>
          <w:color w:val="auto"/>
        </w:rPr>
      </w:pPr>
      <w:r>
        <w:rPr>
          <w:rFonts w:ascii="Times New Roman" w:cs="Times New Roman" w:eastAsia="Times New Roman" w:hAnsi="Times New Roman"/>
          <w:sz w:val="20"/>
          <w:szCs w:val="20"/>
          <w:u w:val="single" w:color="auto"/>
          <w:color w:val="auto"/>
        </w:rPr>
        <w:t>8.10(b)</w:t>
      </w:r>
      <w:r>
        <w:rPr>
          <w:rFonts w:ascii="Times New Roman" w:cs="Times New Roman" w:eastAsia="Times New Roman" w:hAnsi="Times New Roman"/>
          <w:sz w:val="20"/>
          <w:szCs w:val="20"/>
          <w:color w:val="auto"/>
        </w:rPr>
        <w:t>, as would not reasonably be expected, individually or in the aggregate, to result in a Material Adverse Effect or the imposition of a Lien on the assets of any Credit Party.</w:t>
      </w:r>
    </w:p>
    <w:p>
      <w:pPr>
        <w:spacing w:after="0" w:line="162" w:lineRule="exact"/>
        <w:rPr>
          <w:sz w:val="20"/>
          <w:szCs w:val="20"/>
          <w:color w:val="auto"/>
        </w:rPr>
      </w:pPr>
    </w:p>
    <w:p>
      <w:pPr>
        <w:jc w:val="both"/>
        <w:ind w:firstLine="656"/>
        <w:spacing w:after="0" w:line="216" w:lineRule="auto"/>
        <w:tabs>
          <w:tab w:leader="none" w:pos="1286"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Pension Plan, the adjusted funding target attainment percentage as determined by the applicable Pension Plan’s Enrolled Actuary under Sections 436(j) and 430(d)(2) of the Code and all applicable regulatory guidance promulgated thereunder (“</w:t>
      </w:r>
      <w:r>
        <w:rPr>
          <w:rFonts w:ascii="Times New Roman" w:cs="Times New Roman" w:eastAsia="Times New Roman" w:hAnsi="Times New Roman"/>
          <w:sz w:val="20"/>
          <w:szCs w:val="20"/>
          <w:u w:val="single" w:color="auto"/>
          <w:color w:val="auto"/>
        </w:rPr>
        <w:t>AFTAP</w:t>
      </w:r>
      <w:r>
        <w:rPr>
          <w:rFonts w:ascii="Times New Roman" w:cs="Times New Roman" w:eastAsia="Times New Roman" w:hAnsi="Times New Roman"/>
          <w:sz w:val="20"/>
          <w:szCs w:val="20"/>
          <w:color w:val="auto"/>
        </w:rPr>
        <w:t>”), would not reasonably be expected to result, individually or in the aggregate, in a Material Adverse Effect. Neither any Credit Party nor any ERISA Affiliate maintains or contributes to a Pension Plan that is, or is expected to be, in at-risk status (as defined in Section 303(i)(4) of ERISA or Section 430(i)(4) of the Code) in each case, except as would not reasonably be expected, individually or in the aggregate, to have a Material Adverse Effect.</w:t>
      </w:r>
    </w:p>
    <w:p>
      <w:pPr>
        <w:spacing w:after="0" w:line="162"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Foreign Plans are in compliance with, and have been established, administered and operated in accordance with, the terms of such Foreign Plans and applicable law, except for any failure to so comply, establish, administer or operate the Foreign Plans as would not reasonably be expected to have a Material Adverse Effect. All contributions or other payments which are due with respect to each Foreign Plan have been made in full and there are no funding deficiencies thereunder, except to the extent any such events would not, individually or in the aggregate, reasonably be expected to have a Material Adverse Effect.</w:t>
      </w:r>
    </w:p>
    <w:p>
      <w:pPr>
        <w:spacing w:after="0" w:line="147"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8.11</w:t>
      </w:r>
      <w:r>
        <w:rPr>
          <w:rFonts w:ascii="Times New Roman" w:cs="Times New Roman" w:eastAsia="Times New Roman" w:hAnsi="Times New Roman"/>
          <w:sz w:val="20"/>
          <w:szCs w:val="20"/>
          <w:color w:val="auto"/>
        </w:rPr>
        <w:t xml:space="preserve"> lists each Subsidiary of the Borrower (and the direct and indirect ownership interest of the Borrower therein), in each case existing on the Closing Date (after giving effect to the Transactions). Each Guarantor, Grantor, Material</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Subsidiary, Excluded Subsidiary and Unrestricted Subsidiary as of the Closing Date (after giving effect to the Transactions) has been so designated on </w:t>
      </w:r>
      <w:r>
        <w:rPr>
          <w:rFonts w:ascii="Times New Roman" w:cs="Times New Roman" w:eastAsia="Times New Roman" w:hAnsi="Times New Roman"/>
          <w:sz w:val="20"/>
          <w:szCs w:val="20"/>
          <w:u w:val="single" w:color="auto"/>
          <w:color w:val="auto"/>
        </w:rPr>
        <w:t>Schedule 8.11</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The Borrower and each of the Restricted Subsidiaries own or have obtained valid rights to use all intellectual property, free from any burdensome restrictions, that to the knowledge of the Borrower is reasonably necessary for the operation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of their respective businesses as currently conducted and as proposed to be conducted, except where the failure to obtain any such rights would not reasonably be expected to have a Material Adverse Effect.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Except as would not, individually or in the aggregate, reasonably be expected to have a Material Adverse Effect, (i) the Credit Parties and each of their respective Subsidiaries are and, since January 1, 2017, have been in compliance with</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all applicable Environmental Laws and have no liability thereunder; (ii) neither the Credit Parties nor any of their respective Subsidiaries have received written notice of any Environmental Claim, nor are the Credit Parties aware of any reasonable basis for such an Environmental</w:t>
      </w:r>
    </w:p>
    <w:p>
      <w:pPr>
        <w:spacing w:after="0" w:line="211" w:lineRule="auto"/>
        <w:rPr>
          <w:sz w:val="20"/>
          <w:szCs w:val="20"/>
          <w:color w:val="auto"/>
        </w:rPr>
      </w:pPr>
      <w:r>
        <w:rPr>
          <w:rFonts w:ascii="Times New Roman" w:cs="Times New Roman" w:eastAsia="Times New Roman" w:hAnsi="Times New Roman"/>
          <w:sz w:val="20"/>
          <w:szCs w:val="20"/>
          <w:color w:val="auto"/>
        </w:rPr>
        <w:t>Claim; (iii) neither the Credit Parties nor any of their respective Subsidiaries are conducting or have been ordered by a Governmental</w:t>
      </w:r>
    </w:p>
    <w:p>
      <w:pPr>
        <w:ind w:right="20"/>
        <w:spacing w:after="0" w:line="215" w:lineRule="auto"/>
        <w:rPr>
          <w:sz w:val="20"/>
          <w:szCs w:val="20"/>
          <w:color w:val="auto"/>
        </w:rPr>
      </w:pPr>
      <w:r>
        <w:rPr>
          <w:rFonts w:ascii="Times New Roman" w:cs="Times New Roman" w:eastAsia="Times New Roman" w:hAnsi="Times New Roman"/>
          <w:sz w:val="19"/>
          <w:szCs w:val="19"/>
          <w:color w:val="auto"/>
        </w:rPr>
        <w:t>Authority to conduct any investigation, removal, remedial, reclamation, closure, or other corrective action pursuant to any Environmental Law related to Hazardous Materials contamination at any location; (iv) neither the Credit Parties nor any of their respective Subsidiaries have</w:t>
      </w:r>
    </w:p>
    <w:p>
      <w:pPr>
        <w:spacing w:after="0" w:line="211" w:lineRule="auto"/>
        <w:rPr>
          <w:sz w:val="20"/>
          <w:szCs w:val="20"/>
          <w:color w:val="auto"/>
        </w:rPr>
      </w:pPr>
      <w:r>
        <w:rPr>
          <w:rFonts w:ascii="Times New Roman" w:cs="Times New Roman" w:eastAsia="Times New Roman" w:hAnsi="Times New Roman"/>
          <w:sz w:val="20"/>
          <w:szCs w:val="20"/>
          <w:color w:val="auto"/>
        </w:rPr>
        <w:t>treated, stored, transported, Released or disposed or arranged for disposal or transport for disposal of Hazardous Materials at, on, under or</w:t>
      </w:r>
    </w:p>
    <w:p>
      <w:pPr>
        <w:ind w:right="20"/>
        <w:spacing w:after="0" w:line="204" w:lineRule="auto"/>
        <w:rPr>
          <w:sz w:val="20"/>
          <w:szCs w:val="20"/>
          <w:color w:val="auto"/>
        </w:rPr>
      </w:pPr>
      <w:r>
        <w:rPr>
          <w:rFonts w:ascii="Times New Roman" w:cs="Times New Roman" w:eastAsia="Times New Roman" w:hAnsi="Times New Roman"/>
          <w:sz w:val="20"/>
          <w:szCs w:val="20"/>
          <w:color w:val="auto"/>
        </w:rPr>
        <w:t>from any currently or formerly owned, leased or operated facility or from any other location in a manner that would reasonably be expected to give rise to liability of the Credit Parties or any of their respective Subsidiaries under Environmental Law and (v) there has been no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Release, or to the knowledge of any Authorized Officer of the Borrower, threatened Release of any Hazardous Materials at, on or under any properties currently owned or leased by the Borrower or any of its Subsidiaries.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u w:val="single" w:color="auto"/>
          <w:color w:val="auto"/>
        </w:rPr>
        <w:t>Properties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2" w:lineRule="auto"/>
        <w:tabs>
          <w:tab w:leader="none" w:pos="1286"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Assuming that all applicable Governmental Authorities have granted approvals, made recordations and taken such other actions as are necessary in connection with the Transactions and any assignments made in connection therewith, except as set forth on </w:t>
      </w:r>
      <w:r>
        <w:rPr>
          <w:rFonts w:ascii="Times New Roman" w:cs="Times New Roman" w:eastAsia="Times New Roman" w:hAnsi="Times New Roman"/>
          <w:sz w:val="20"/>
          <w:szCs w:val="20"/>
          <w:u w:val="single" w:color="auto"/>
          <w:color w:val="auto"/>
        </w:rPr>
        <w:t>Schedule 8.14</w:t>
      </w:r>
      <w:r>
        <w:rPr>
          <w:rFonts w:ascii="Times New Roman" w:cs="Times New Roman" w:eastAsia="Times New Roman" w:hAnsi="Times New Roman"/>
          <w:sz w:val="20"/>
          <w:szCs w:val="20"/>
          <w:color w:val="auto"/>
        </w:rPr>
        <w:t xml:space="preserve"> hereto or in an exhibit to any Reserve Report Certificate delivered hereunder, the Borrower and each Restricted Subsidiary has good and defensible title to the Borrowing Base Properties evaluated in the most recently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39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color w:val="auto"/>
        </w:rPr>
        <w:t>Reserve Report (other than those (i) Disposed of in compliance with this Agreement since delivery of such Reserve Report, (ii) leases that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have expired in accordance with their terms and (iii) with title defects disclosed in writing to the Administrative Agent), and valid title to all its material personal properties, in each case, free and clear of all Liens other than Liens permitted by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except in each case where</w:t>
      </w:r>
    </w:p>
    <w:p>
      <w:pPr>
        <w:spacing w:after="0" w:line="211" w:lineRule="auto"/>
        <w:rPr>
          <w:sz w:val="20"/>
          <w:szCs w:val="20"/>
          <w:color w:val="auto"/>
        </w:rPr>
      </w:pPr>
      <w:r>
        <w:rPr>
          <w:rFonts w:ascii="Times New Roman" w:cs="Times New Roman" w:eastAsia="Times New Roman" w:hAnsi="Times New Roman"/>
          <w:sz w:val="20"/>
          <w:szCs w:val="20"/>
          <w:color w:val="auto"/>
        </w:rPr>
        <w:t>the failure to have such title would not reasonably be expected to have, individually or in the aggregate, a Material Adverse Effect. After</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giving effect to the Liens permitted by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the Borrower or the Restricted Subsidiary specified as the owner owns the working interests and net revenue interests attributable to the Hydrocarbon Interests as such working interests and net revenue interests are reflected in</w:t>
      </w:r>
    </w:p>
    <w:p>
      <w:pPr>
        <w:spacing w:after="0" w:line="211" w:lineRule="auto"/>
        <w:rPr>
          <w:sz w:val="20"/>
          <w:szCs w:val="20"/>
          <w:color w:val="auto"/>
        </w:rPr>
      </w:pPr>
      <w:r>
        <w:rPr>
          <w:rFonts w:ascii="Times New Roman" w:cs="Times New Roman" w:eastAsia="Times New Roman" w:hAnsi="Times New Roman"/>
          <w:sz w:val="20"/>
          <w:szCs w:val="20"/>
          <w:color w:val="auto"/>
        </w:rPr>
        <w:t>the most recently delivered Reserve Report, and the ownership of such properties shall not in any material respect obligate the Borrower or</w:t>
      </w:r>
    </w:p>
    <w:p>
      <w:pPr>
        <w:spacing w:after="0" w:line="204" w:lineRule="auto"/>
        <w:rPr>
          <w:sz w:val="20"/>
          <w:szCs w:val="20"/>
          <w:color w:val="auto"/>
        </w:rPr>
      </w:pPr>
      <w:r>
        <w:rPr>
          <w:rFonts w:ascii="Times New Roman" w:cs="Times New Roman" w:eastAsia="Times New Roman" w:hAnsi="Times New Roman"/>
          <w:sz w:val="20"/>
          <w:szCs w:val="20"/>
          <w:color w:val="auto"/>
        </w:rPr>
        <w:t>such Restricted Subsidiary to bear the costs and expenses relating to the maintenance, development and operations of each such property in an amount in excess of the working interest of each property set forth in the most recently delivered Reserve Report that is not offset by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corresponding proportionate increase in the Borrower’s or such Restricted Subsidiary’s net revenue interest in such property.</w:t>
      </w:r>
    </w:p>
    <w:p>
      <w:pPr>
        <w:spacing w:after="0" w:line="167" w:lineRule="exact"/>
        <w:rPr>
          <w:sz w:val="20"/>
          <w:szCs w:val="20"/>
          <w:color w:val="auto"/>
        </w:rPr>
      </w:pPr>
    </w:p>
    <w:p>
      <w:pPr>
        <w:jc w:val="both"/>
        <w:ind w:firstLine="656"/>
        <w:spacing w:after="0" w:line="226" w:lineRule="auto"/>
        <w:tabs>
          <w:tab w:leader="none" w:pos="12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material leases and agreements necessary for the conduct of the business of the Borrower and the Restricted Subsidiaries are valid and subsisting, in full force and effect, except to the extent that any such failure to be valid or subsisting would not reasonably be expected to have a Material Adverse Effect.</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and properties presently owned, leased or licensed by the Borrower and the Restricted Subsidiaries including all easements and rights of way, include all rights and properties necessary to permit the Borrower and the Restricted Subsidiaries to conduct their respective businesses as currently conducted, except to the extent any failure to have any such rights or properties would not reasonably be expected to have a Material Adverse Effect.</w:t>
      </w:r>
    </w:p>
    <w:p>
      <w:pPr>
        <w:spacing w:after="0" w:line="148"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properties of the Borrower and the Restricted Subsidiaries that are reasonably necessary for the operation of their businesses are in good working condition and are maintained in accordance with prudent business standards, except to the extent any failure to satisfy the foregoing would reasonably be expected to have a Material Adverse Effect.</w:t>
      </w:r>
    </w:p>
    <w:p>
      <w:pPr>
        <w:spacing w:after="0" w:line="160"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After giving effect to the Transactions, the Borrower and its Restricted Subsidiaries, on a consolidated basis, are Solvent.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9"/>
          <w:szCs w:val="19"/>
          <w:u w:val="single" w:color="auto"/>
          <w:color w:val="auto"/>
        </w:rPr>
        <w:t>Security Documents; Restrictions on Liens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3" w:lineRule="auto"/>
        <w:tabs>
          <w:tab w:leader="none" w:pos="128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 Documents create in favor of the Collateral Agent, for the benefit of the Secured Parties, a legal, valid and enforceable Lien or security interest in the respective Collateral described therein as security for the Obligations to the extent that a legal, valid, binding and enforceable Lien or security interest in such Collateral may be created under any applicable Requirement of Law, which Lien or security interest, upon the filing of financing statements, recordation of the Mortgages or the obtaining of possession or “control,” in each case, as applicable, with respect to the relevant Collateral as required under the applicable UCC or applicable local law, will constitute a fully perfected Lien on, and security interest in, all right, title and interest of the Borrower and each other Credit Party thereunder in such Collateral, in each case prior and superior (except as otherwise provided for in the relevant Security Document) in right to any other Person (other than Permitted Liens), in each case to the extent that a security interest may be perfected by the filing of a financing statement under the applicable UCC, recordation of the Mortgages under applicable local law or by obtaining possession or “control.”</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Borrower nor any of the Restricted Subsidiaries is a party to any material agreement or arrangement (other than those permitted hereunder), or subject to any order, judgment, writ or decree, which either restricts or purports to restrict its ability to grant Liens to the Administrative Agent and the Lenders on or in respect of their Oil and Gas Properties to secure the Obligations and the Credit Documents.</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1.17 </w:t>
      </w:r>
      <w:r>
        <w:rPr>
          <w:rFonts w:ascii="Times New Roman" w:cs="Times New Roman" w:eastAsia="Times New Roman" w:hAnsi="Times New Roman"/>
          <w:sz w:val="20"/>
          <w:szCs w:val="20"/>
          <w:u w:val="single" w:color="auto"/>
          <w:color w:val="auto"/>
        </w:rPr>
        <w:t>Gas Imbalances, Prepayments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8.17</w:t>
      </w:r>
      <w:r>
        <w:rPr>
          <w:rFonts w:ascii="Times New Roman" w:cs="Times New Roman" w:eastAsia="Times New Roman" w:hAnsi="Times New Roman"/>
          <w:sz w:val="20"/>
          <w:szCs w:val="20"/>
          <w:color w:val="auto"/>
        </w:rPr>
        <w:t xml:space="preserve"> on the Closing Date or as set forth in the most recently delivered certificate pursuant to </w:t>
      </w:r>
      <w:r>
        <w:rPr>
          <w:rFonts w:ascii="Times New Roman" w:cs="Times New Roman" w:eastAsia="Times New Roman" w:hAnsi="Times New Roman"/>
          <w:sz w:val="20"/>
          <w:szCs w:val="20"/>
          <w:u w:val="single" w:color="auto"/>
          <w:color w:val="auto"/>
        </w:rPr>
        <w:t>Section 9.13(c)(v)</w:t>
      </w:r>
      <w:r>
        <w:rPr>
          <w:rFonts w:ascii="Times New Roman" w:cs="Times New Roman" w:eastAsia="Times New Roman" w:hAnsi="Times New Roman"/>
          <w:sz w:val="20"/>
          <w:szCs w:val="20"/>
          <w:color w:val="auto"/>
        </w:rPr>
        <w:t>, on a net basis, there are no gas imbalances, take or pay or other prepayments exceeding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 half bcf of gas (stated on an mcf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39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color w:val="auto"/>
        </w:rPr>
        <w:t>equivalent basis) in the aggregate, with respect to the Borrower and the Restricted Subsidiaries’ Oil and Gas Properties that in each case</w:t>
      </w:r>
    </w:p>
    <w:p>
      <w:pPr>
        <w:spacing w:after="0" w:line="221" w:lineRule="auto"/>
        <w:rPr>
          <w:sz w:val="20"/>
          <w:szCs w:val="20"/>
          <w:color w:val="auto"/>
        </w:rPr>
      </w:pPr>
      <w:r>
        <w:rPr>
          <w:rFonts w:ascii="Times New Roman" w:cs="Times New Roman" w:eastAsia="Times New Roman" w:hAnsi="Times New Roman"/>
          <w:sz w:val="20"/>
          <w:szCs w:val="20"/>
          <w:color w:val="auto"/>
        </w:rPr>
        <w:t>would require any Credit Party or Subsidiary thereof to deliver Hydrocarbons either generally or produced from their Borrowing Base Properties at some future time without then or thereafter receiving full payment therefor.</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1.18</w:t>
      </w:r>
      <w:r>
        <w:rPr>
          <w:sz w:val="20"/>
          <w:szCs w:val="20"/>
          <w:color w:val="auto"/>
        </w:rPr>
        <w:tab/>
      </w:r>
      <w:r>
        <w:rPr>
          <w:rFonts w:ascii="Times New Roman" w:cs="Times New Roman" w:eastAsia="Times New Roman" w:hAnsi="Times New Roman"/>
          <w:sz w:val="19"/>
          <w:szCs w:val="19"/>
          <w:u w:val="single" w:color="auto"/>
          <w:color w:val="auto"/>
        </w:rPr>
        <w:t>Marketing of Production</w:t>
      </w:r>
      <w:r>
        <w:rPr>
          <w:rFonts w:ascii="Times New Roman" w:cs="Times New Roman" w:eastAsia="Times New Roman" w:hAnsi="Times New Roman"/>
          <w:sz w:val="19"/>
          <w:szCs w:val="19"/>
          <w:color w:val="auto"/>
        </w:rPr>
        <w:t>. Except as set forth on</w:t>
      </w:r>
      <w:r>
        <w:rPr>
          <w:rFonts w:ascii="Times New Roman" w:cs="Times New Roman" w:eastAsia="Times New Roman" w:hAnsi="Times New Roman"/>
          <w:sz w:val="19"/>
          <w:szCs w:val="19"/>
          <w:u w:val="single" w:color="auto"/>
          <w:color w:val="auto"/>
        </w:rPr>
        <w:t xml:space="preserve"> Schedule 8.18 </w:t>
      </w:r>
      <w:r>
        <w:rPr>
          <w:rFonts w:ascii="Times New Roman" w:cs="Times New Roman" w:eastAsia="Times New Roman" w:hAnsi="Times New Roman"/>
          <w:sz w:val="19"/>
          <w:szCs w:val="19"/>
          <w:color w:val="auto"/>
        </w:rPr>
        <w:t>or otherwise disclosed to the Administrative Agent in writing,</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as of the most recent date that the certificate described in </w:t>
      </w:r>
      <w:r>
        <w:rPr>
          <w:rFonts w:ascii="Times New Roman" w:cs="Times New Roman" w:eastAsia="Times New Roman" w:hAnsi="Times New Roman"/>
          <w:sz w:val="19"/>
          <w:szCs w:val="19"/>
          <w:u w:val="single" w:color="auto"/>
          <w:color w:val="auto"/>
        </w:rPr>
        <w:t>Section 9.13(c)(vii)</w:t>
      </w:r>
      <w:r>
        <w:rPr>
          <w:rFonts w:ascii="Times New Roman" w:cs="Times New Roman" w:eastAsia="Times New Roman" w:hAnsi="Times New Roman"/>
          <w:sz w:val="19"/>
          <w:szCs w:val="19"/>
          <w:color w:val="auto"/>
        </w:rPr>
        <w:t xml:space="preserve"> is required to be delivered, no material agreements exist (which are not cancelable on sixty (60) days’ notice or less without penalty or detriment) for the sale of production of the Borrower and Restricted</w:t>
      </w:r>
    </w:p>
    <w:p>
      <w:pPr>
        <w:spacing w:after="0" w:line="222" w:lineRule="auto"/>
        <w:rPr>
          <w:sz w:val="20"/>
          <w:szCs w:val="20"/>
          <w:color w:val="auto"/>
        </w:rPr>
      </w:pPr>
      <w:r>
        <w:rPr>
          <w:rFonts w:ascii="Times New Roman" w:cs="Times New Roman" w:eastAsia="Times New Roman" w:hAnsi="Times New Roman"/>
          <w:sz w:val="19"/>
          <w:szCs w:val="19"/>
          <w:color w:val="auto"/>
        </w:rPr>
        <w:t>Subsidiaries’ Hydrocarbons at a fixed non-index price (including calls on, or other rights to purchase, production, whether or not the same are</w:t>
      </w:r>
    </w:p>
    <w:p>
      <w:pPr>
        <w:jc w:val="both"/>
        <w:spacing w:after="0" w:line="204" w:lineRule="auto"/>
        <w:rPr>
          <w:sz w:val="20"/>
          <w:szCs w:val="20"/>
          <w:color w:val="auto"/>
        </w:rPr>
      </w:pPr>
      <w:r>
        <w:rPr>
          <w:rFonts w:ascii="Times New Roman" w:cs="Times New Roman" w:eastAsia="Times New Roman" w:hAnsi="Times New Roman"/>
          <w:sz w:val="20"/>
          <w:szCs w:val="20"/>
          <w:color w:val="auto"/>
        </w:rPr>
        <w:t>currently being exercised) that (i) represent in respect of such agreements two and a half percent (2.5%) or more of the Borrower’s and its Restricted Subsidiaries’ average monthly production of Hydrocarbon volumes and (ii) have a maturity or expiry date of longer than six (6)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months.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20" w:lineRule="auto"/>
        <w:tabs>
          <w:tab w:leader="none" w:pos="128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and after the first date of delivery of financial statements pursuant to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the most recent financial statements delivered pursuant to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fairly present in all material respects the financial condition of the Borrower and its Subsidiaries as of the date thereof and their results of operations for the period covered thereby in accordance with GAAP consistently applied throughout the period covered thereby (subject to the impact of fresh start accounting), except for customary year-end adjustments and as otherwise expressly noted therein.</w:t>
      </w:r>
    </w:p>
    <w:p>
      <w:pPr>
        <w:spacing w:after="0" w:line="160"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and after the first date of delivery of financial statements pursuant to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the most recent financial statements delivered pursuant to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fairly present in all material respects the financial condition of the Borrower and its Subsidiaries as of the date thereof and their results of operations for the period covered thereby in accordance with GAAP consistently applied throughout the period covered thereby (subject to the impact of fresh start accounting), except for the absence of the statements of comprehensive income, equity, cash flows and complete footnotes and as otherwise expressly noted therein.</w:t>
      </w:r>
    </w:p>
    <w:p>
      <w:pPr>
        <w:spacing w:after="0" w:line="161" w:lineRule="exact"/>
        <w:rPr>
          <w:rFonts w:ascii="Times New Roman" w:cs="Times New Roman" w:eastAsia="Times New Roman" w:hAnsi="Times New Roman"/>
          <w:sz w:val="20"/>
          <w:szCs w:val="20"/>
          <w:color w:val="auto"/>
        </w:rPr>
      </w:pPr>
    </w:p>
    <w:p>
      <w:pPr>
        <w:ind w:right="20" w:firstLine="656"/>
        <w:spacing w:after="0" w:line="233" w:lineRule="auto"/>
        <w:tabs>
          <w:tab w:leader="none" w:pos="128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Closing Date, there has been no event or circumstance, either individually or in the aggregate, that has had or would reasonably be expected to have a Material Adverse Effect.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1.20</w:t>
      </w:r>
      <w:r>
        <w:rPr>
          <w:sz w:val="20"/>
          <w:szCs w:val="20"/>
          <w:color w:val="auto"/>
        </w:rPr>
        <w:tab/>
      </w:r>
      <w:r>
        <w:rPr>
          <w:rFonts w:ascii="Times New Roman" w:cs="Times New Roman" w:eastAsia="Times New Roman" w:hAnsi="Times New Roman"/>
          <w:sz w:val="19"/>
          <w:szCs w:val="19"/>
          <w:u w:val="single" w:color="auto"/>
          <w:color w:val="auto"/>
        </w:rPr>
        <w:t>OFAC; Patriot Act; FCPA; Use of Proceeds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3" w:lineRule="auto"/>
        <w:tabs>
          <w:tab w:leader="none" w:pos="128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each of the Borrower and its Subsidiaries and, to the knowledge of any Authorized Officer of the Borrower and the other Credit Parties, each director, officer, employee, agent acting on behalf of any Credit Party and controlled affiliate of the Borrower or any Subsidiary, is in compliance, in all material respects, with (i) the Trading with the Enemy Act, as amended, the International Emergency Economic Powers Act, as amended, Sanctions Laws, the United States Foreign Corrupt Practices Act of 1977, as amended and other anti-corruption laws, and (ii) the Patriot Act. Neither the Borrower nor any of its Subsidiaries nor, to the knowledge of any Authorized Officer of the Borrower and the other Credit Parties, any director, officer, employee, agent acting on behalf of any Credit Party or controlled affiliate of the Borrower or any Subsidiary is currently the subject of any Sanctions, nor is the Borrower or any of its Subsidiaries located, organized or resident in any country or territory that is the subject of comprehensive Sanctions.</w:t>
      </w:r>
    </w:p>
    <w:p>
      <w:pPr>
        <w:spacing w:after="0" w:line="162"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proceeds of the Loans will be used for the purposes set forth in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No part of the proceeds of the Loans will be used, directly or, to the knowledge of any Authorized Officer of the Borrower, indirectly, by the Borrower (i) in violation of the United States Foreign Corrupt Practices Act of 1977, as amended or (ii) for the purpose of financing any activities or business (x) of or with any Person that, at the time of such financing, is the subject of any Sanctions or (y) in any country or territory that is the subject of comprehensive Sanctions.</w:t>
      </w:r>
    </w:p>
    <w:p>
      <w:pPr>
        <w:spacing w:after="0" w:line="147"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Hedge Agreements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8.21</w:t>
      </w:r>
      <w:r>
        <w:rPr>
          <w:rFonts w:ascii="Times New Roman" w:cs="Times New Roman" w:eastAsia="Times New Roman" w:hAnsi="Times New Roman"/>
          <w:sz w:val="20"/>
          <w:szCs w:val="20"/>
          <w:color w:val="auto"/>
        </w:rPr>
        <w:t xml:space="preserve"> sets forth, as of the Closing Date, and after the Closing Date, each report required to be delivered by the Borrower pursuant to </w:t>
      </w:r>
      <w:r>
        <w:rPr>
          <w:rFonts w:ascii="Times New Roman" w:cs="Times New Roman" w:eastAsia="Times New Roman" w:hAnsi="Times New Roman"/>
          <w:sz w:val="20"/>
          <w:szCs w:val="20"/>
          <w:u w:val="single" w:color="auto"/>
          <w:color w:val="auto"/>
        </w:rPr>
        <w:t>Section 9.1(g)</w:t>
      </w:r>
      <w:r>
        <w:rPr>
          <w:rFonts w:ascii="Times New Roman" w:cs="Times New Roman" w:eastAsia="Times New Roman" w:hAnsi="Times New Roman"/>
          <w:sz w:val="20"/>
          <w:szCs w:val="20"/>
          <w:color w:val="auto"/>
        </w:rPr>
        <w:t xml:space="preserve"> or as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39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auto"/>
        </w:rPr>
        <w:t>otherwise be disclosed in writing to the Administrative Agent sets forth, a true and complete list of all material commodity Hedge</w:t>
      </w:r>
    </w:p>
    <w:p>
      <w:pPr>
        <w:spacing w:after="0" w:line="221" w:lineRule="auto"/>
        <w:rPr>
          <w:sz w:val="20"/>
          <w:szCs w:val="20"/>
          <w:color w:val="auto"/>
        </w:rPr>
      </w:pPr>
      <w:r>
        <w:rPr>
          <w:rFonts w:ascii="Times New Roman" w:cs="Times New Roman" w:eastAsia="Times New Roman" w:hAnsi="Times New Roman"/>
          <w:sz w:val="20"/>
          <w:szCs w:val="20"/>
          <w:color w:val="auto"/>
        </w:rPr>
        <w:t>Agreements of each Credit Party, the terms thereof relating to the type, term, effective date, termination date and notional amounts or volumes, and all credit support agreements relating thereto (including any margin required or supplied).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9"/>
          <w:szCs w:val="19"/>
          <w:u w:val="single" w:color="auto"/>
          <w:color w:val="auto"/>
        </w:rPr>
        <w:t>EEA Financial Institutions</w:t>
      </w:r>
      <w:r>
        <w:rPr>
          <w:rFonts w:ascii="Times New Roman" w:cs="Times New Roman" w:eastAsia="Times New Roman" w:hAnsi="Times New Roman"/>
          <w:sz w:val="19"/>
          <w:szCs w:val="19"/>
          <w:color w:val="auto"/>
        </w:rPr>
        <w:t>. Neither the Borrower nor any of its Restricted Subsidiaries is an EEA Financial Institution.</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9"/>
          <w:szCs w:val="19"/>
          <w:u w:val="single" w:color="auto"/>
          <w:color w:val="auto"/>
        </w:rPr>
        <w:t>Compliance with Laws and Agreements; No Default</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22" w:lineRule="auto"/>
        <w:tabs>
          <w:tab w:leader="none" w:pos="1286"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Borrower and each Restricted Subsidiary is in compliance with each Requirement of Law applicable to it or its property and all agreements and other instruments binding upon it or its property, and possesses all licenses, permits, franchises, exemptions, approvals and other governmental authorizations necessary for the ownership of its property and the conduct of its business, except where the failure to do so, individually or in the aggregate, could not reasonably be expected to result in a Material Adverse Effect.</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Event of Default or Borrowing Base Deficiency has occurred and is continuing.</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The properties of the Borrower and the Restricted Subsidiaries are insured in the manner contemplated by</w:t>
      </w:r>
      <w:r>
        <w:rPr>
          <w:rFonts w:ascii="Times New Roman" w:cs="Times New Roman" w:eastAsia="Times New Roman" w:hAnsi="Times New Roman"/>
          <w:sz w:val="19"/>
          <w:szCs w:val="19"/>
          <w:u w:val="single" w:color="auto"/>
          <w:color w:val="auto"/>
        </w:rPr>
        <w:t xml:space="preserve"> Section</w:t>
      </w:r>
    </w:p>
    <w:p>
      <w:pPr>
        <w:spacing w:after="0"/>
        <w:rPr>
          <w:sz w:val="20"/>
          <w:szCs w:val="20"/>
          <w:color w:val="auto"/>
        </w:rPr>
      </w:pPr>
      <w:r>
        <w:rPr>
          <w:rFonts w:ascii="Times New Roman" w:cs="Times New Roman" w:eastAsia="Times New Roman" w:hAnsi="Times New Roman"/>
          <w:sz w:val="20"/>
          <w:szCs w:val="20"/>
          <w:u w:val="single" w:color="auto"/>
          <w:color w:val="auto"/>
        </w:rPr>
        <w:t>9.3</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20"/>
          <w:szCs w:val="20"/>
          <w:u w:val="single" w:color="auto"/>
          <w:color w:val="auto"/>
        </w:rPr>
        <w:t>Foreign Operations</w:t>
      </w:r>
      <w:r>
        <w:rPr>
          <w:rFonts w:ascii="Times New Roman" w:cs="Times New Roman" w:eastAsia="Times New Roman" w:hAnsi="Times New Roman"/>
          <w:sz w:val="20"/>
          <w:szCs w:val="20"/>
          <w:color w:val="auto"/>
        </w:rPr>
        <w:t>. The Borrower and its Restricted Subsidiaries (a) do not have any Foreign Subsidiaries and (b) do not</w:t>
      </w:r>
    </w:p>
    <w:p>
      <w:pPr>
        <w:spacing w:after="0" w:line="221" w:lineRule="auto"/>
        <w:rPr>
          <w:sz w:val="20"/>
          <w:szCs w:val="20"/>
          <w:color w:val="auto"/>
        </w:rPr>
      </w:pPr>
      <w:r>
        <w:rPr>
          <w:rFonts w:ascii="Times New Roman" w:cs="Times New Roman" w:eastAsia="Times New Roman" w:hAnsi="Times New Roman"/>
          <w:sz w:val="20"/>
          <w:szCs w:val="20"/>
          <w:color w:val="auto"/>
        </w:rPr>
        <w:t>make any material expenditures (whether such expenditure is capital, operating or otherwise) in or related to any Oil and Gas Properties not located within the geographical boundaries, and the territorial waters, of the United States.</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color w:val="auto"/>
        </w:rPr>
        <w:t>AFFIRMATIVE COVENANTS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Borrower hereby covenants and agrees that on the Closing Date and thereafter, until Payment in Full has occurred:</w:t>
      </w:r>
    </w:p>
    <w:p>
      <w:pPr>
        <w:spacing w:after="0" w:line="175"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Information Covenants</w:t>
      </w:r>
      <w:r>
        <w:rPr>
          <w:rFonts w:ascii="Times New Roman" w:cs="Times New Roman" w:eastAsia="Times New Roman" w:hAnsi="Times New Roman"/>
          <w:sz w:val="20"/>
          <w:szCs w:val="20"/>
          <w:color w:val="auto"/>
        </w:rPr>
        <w:t>. The Borrower will furnish to the Administrative Agent (which shall promptly make such information available to the Lenders in accordance with its customary practice):</w:t>
      </w:r>
    </w:p>
    <w:p>
      <w:pPr>
        <w:spacing w:after="0" w:line="148" w:lineRule="exact"/>
        <w:rPr>
          <w:sz w:val="20"/>
          <w:szCs w:val="20"/>
          <w:color w:val="auto"/>
        </w:rPr>
      </w:pPr>
    </w:p>
    <w:p>
      <w:pPr>
        <w:jc w:val="both"/>
        <w:ind w:firstLine="656"/>
        <w:spacing w:after="0" w:line="210" w:lineRule="auto"/>
        <w:tabs>
          <w:tab w:leader="none" w:pos="128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Financial Statements</w:t>
      </w:r>
      <w:r>
        <w:rPr>
          <w:rFonts w:ascii="Times New Roman" w:cs="Times New Roman" w:eastAsia="Times New Roman" w:hAnsi="Times New Roman"/>
          <w:sz w:val="20"/>
          <w:szCs w:val="20"/>
          <w:color w:val="auto"/>
        </w:rPr>
        <w:t xml:space="preserve">. As soon as available and in any event within five (5) Business Days after the date on which such financial statements are required to be filed with the SEC (after giving effect to any permitted extensions) (but in any event on or before the date that is ninety (90) days after the end of each such fiscal year), the audited consolidated balance sheets of the Borrower and its Subsidiaries and, if different, the Borrower and the Restricted Subsidiaries, in each case as at the end of such fiscal year, and the related consolidated statements of operations, shareholders’ equity and cash flows (or, in lieu of such audited financial statements of the Borrower and the Restricted Subsidiaries, a reconciliation, reflecting such financial information for the Borrower and the Restricted Subsidiaries, on the one hand, and the Borrower and the Subsidiaries, on the other hand, reflecting adjustments necessary to eliminate the accounts of Unrestricted Subsidiaries (if any) from such consolidated financial statements (for the avoidance of doubt, the Borrower shall be deemed to have satisfied the reconciliation requirement if the financial statements provide in one or more footnotes the financial information for the Unrestricted Subsidiaries, the Restricted Subsidiaries and the Borrower and its Subsidiaries on a consolidated basis)) all in reasonable detail and prepared in accordance with GAAP, and, except with respect to such reconciliation, certified by independent certified public accountants of recognized national standing whose opinion shall not be materially qualified with a scope of audit or “going concern” explanatory paragraph or like qualification or exception (other than an emphasis of matter paragraph) (other than with respect to, or resulting from, (x) the occurrence of an upcoming maturity date of any Indebtedness or (y) any prospective or actual default in the Financial Performance Covenants). Notwithstanding the foregoing, the obligations in this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may be satisfied with respect to financial information of the Borrower and its consolidated Subsidiaries by furnishing the Borrower’s Form 10-K filed with the SEC;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financial information required to be provided under the first sentence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394"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is included in the notes to the financial statements, such financial statements are accompanied by an opinion of independent</w:t>
      </w:r>
    </w:p>
    <w:p>
      <w:pPr>
        <w:spacing w:after="0" w:line="204" w:lineRule="auto"/>
        <w:rPr>
          <w:sz w:val="20"/>
          <w:szCs w:val="20"/>
          <w:color w:val="auto"/>
        </w:rPr>
      </w:pPr>
      <w:r>
        <w:rPr>
          <w:rFonts w:ascii="Times New Roman" w:cs="Times New Roman" w:eastAsia="Times New Roman" w:hAnsi="Times New Roman"/>
          <w:sz w:val="20"/>
          <w:szCs w:val="20"/>
          <w:color w:val="auto"/>
        </w:rPr>
        <w:t>certified public accountants whose opinion shall not be materially qualified with a scope of audit or “going concern” explanatory paragraph or like qualification or exception (other than an emphasis of matter paragraph) (other than with respect to, or resulting from, (x)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occurrence of an upcoming maturity date of any Indebtedness or (y) any prospective or actual default in the Financial Performance Covenants).</w:t>
      </w:r>
    </w:p>
    <w:p>
      <w:pPr>
        <w:spacing w:after="0" w:line="149" w:lineRule="exact"/>
        <w:rPr>
          <w:sz w:val="20"/>
          <w:szCs w:val="20"/>
          <w:color w:val="auto"/>
        </w:rPr>
      </w:pPr>
    </w:p>
    <w:p>
      <w:pPr>
        <w:jc w:val="both"/>
        <w:ind w:firstLine="656"/>
        <w:spacing w:after="0" w:line="210" w:lineRule="auto"/>
        <w:tabs>
          <w:tab w:leader="none" w:pos="128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xml:space="preserve">. As soon as available and in any event within five (5) Business Days after the date on which such financial statements are required to be filed with the SEC (after giving effect to any permitted extensions) with respect to each of the first three quarterly accounting periods in each fiscal year of the Borrower (but in any event on or before the date that is sixty (60) days after the end of each such quarterly accounting period), the consolidated balance sheets of the Borrower and the Subsidiaries and, if different, the Borrower and the Restricted Subsidiaries, in each case as at the end of such quarterly period and the related consolidated statements of operations, shareholders’ equity and cash flows, and setting forth (other than after implementation of fresh start accounting) comparative consolidated figures for the related periods in the prior fiscal year or, in the case of such consolidated balance sheet, for the last day of such periods in the prior fiscal year (or, in lieu of such unaudited financial statements of the Borrower and the Restricted Subsidiaries, a reconciliation reflecting such financial information for the Borrower and the Restricted Subsidiaries, on the one hand, and the Borrower and the Subsidiaries, on the other hand, reflecting adjustments necessary to eliminate the accounts of Unrestricted Subsidiaries (if any) from such consolidated financial statements (for the avoidance of doubt, the Borrower shall be deemed to have satisfied the reconciliation requirement if the financial statements provide in one or more footnotes the financial information for the Unrestricted Subsidiaries, the Restricted Subsidiaries and the Borrower and its Subsidiaries on a consolidated basis)), all of which shall be certified by a Financial Officer of the Borrower as fairly presenting in all material respects the financial condition, results of operations, shareholders’ equity and cash flows, of the Borrower and its consolidated Subsidiaries in accordance with GAAP, subject to changes resulting from audit and normal year-end audit adjustments and the absence of footnotes, together with, if not otherwise required to be filed with the SEC, a customary management discussion and analysis describing the financial condition and results of operations of the Borrower and its Restricted Subsidiaries. Notwithstanding the foregoing, the obligations in this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may be satisfied by furnishing the Borrower’s Form 10-Q filed with the SEC;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financial information required to be provided under the first sentence of this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is included in the notes to the financial statements.</w:t>
      </w:r>
    </w:p>
    <w:p>
      <w:pPr>
        <w:spacing w:after="0" w:line="146"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6"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Certificates</w:t>
      </w:r>
      <w:r>
        <w:rPr>
          <w:rFonts w:ascii="Times New Roman" w:cs="Times New Roman" w:eastAsia="Times New Roman" w:hAnsi="Times New Roman"/>
          <w:sz w:val="20"/>
          <w:szCs w:val="20"/>
          <w:color w:val="auto"/>
        </w:rPr>
        <w:t xml:space="preserve">. At the time of the delivery of the financial statements provided for in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9.1(b)</w:t>
      </w:r>
      <w:r>
        <w:rPr>
          <w:rFonts w:ascii="Times New Roman" w:cs="Times New Roman" w:eastAsia="Times New Roman" w:hAnsi="Times New Roman"/>
          <w:sz w:val="20"/>
          <w:szCs w:val="20"/>
          <w:color w:val="auto"/>
        </w:rPr>
        <w:t xml:space="preserve">, a certificate of a Financial Officer of the Borrower to the effect that no Default or Event of Default exists or, if any Default or Event of Default does exist, specifying the nature and extent thereof, which certificate shall set forth (i) the calculations required to establish whether the Borrower and its Restricted Subsidiaries were in compliance with the Financial Performance Covenants as at the end of such fiscal year or period, as the case may be, (ii) any formation of or change in the identity of the Restricted Subsidiaries, Material Subsidiaries, Excluded Subsidiaries, Guarantors, Grantors and Unrestricted Subsidiaries as at the end of such fiscal year or period, as the case may be, from the Restricted Subsidiaries, Guarantors, Grantors and Unrestricted Subsidiaries, respectively, provided to the Lenders on the Closing Date or the most recent fiscal year or period, as the case may be, (iii) a calculation of Distributable Free Cash Flow for the applicable Test Period, including the components thereof in reasonable detail acceptable to the Administrative Agent, (iv) certification as to the compliance by the Borrower and its Restricted Subsidiaries with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and (v) if applicable, a copy of each other material report or opinion submitted to the Borrower or any of its Subsidiaries by independent accountants in connection with any annual, interim or special audit made by them of the books of the Borrower or any such Subsidiary, and a copy of any response by the Borrower or any such Subsidiary, or the Board of Directors of the Borrower or any such Subsidiary, to such material report or opinion.</w:t>
      </w:r>
    </w:p>
    <w:p>
      <w:pPr>
        <w:spacing w:after="0" w:line="166"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Promptly after an Authorized Officer of the Borrower or any of the Restricted Subsidiaries obtains actual knowledge thereof, notice of (i) the occurrence of any Default or Event of Default, which notice shall specify the nature thereof and what action the Borrower proposes to take with respect thereto, (ii) any litigation or governmental proceeding pending or threatened in writing against the Borrower or any of the Subsidiaries that would reasonably be expected to result in a Material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394" w:right="339" w:bottom="1440" w:gutter="0" w:footer="0" w:header="0"/>
        </w:sectPr>
      </w:pPr>
    </w:p>
    <w:bookmarkStart w:id="137" w:name="page138"/>
    <w:bookmarkEnd w:id="137"/>
    <w:p>
      <w:pPr>
        <w:ind w:right="20"/>
        <w:spacing w:after="0"/>
        <w:rPr>
          <w:sz w:val="20"/>
          <w:szCs w:val="20"/>
          <w:color w:val="auto"/>
        </w:rPr>
      </w:pPr>
      <w:r>
        <w:rPr>
          <w:rFonts w:ascii="Times New Roman" w:cs="Times New Roman" w:eastAsia="Times New Roman" w:hAnsi="Times New Roman"/>
          <w:sz w:val="20"/>
          <w:szCs w:val="20"/>
          <w:color w:val="auto"/>
        </w:rPr>
        <w:t>Effect and (iii) the occurrence of any ERISA Event or similar event with respect to a Foreign Plan, in each case, that would reasonably be expected to have a Material Adverse Effect.</w:t>
      </w:r>
    </w:p>
    <w:p>
      <w:pPr>
        <w:spacing w:after="0" w:line="148" w:lineRule="exact"/>
        <w:rPr>
          <w:sz w:val="20"/>
          <w:szCs w:val="20"/>
          <w:color w:val="auto"/>
        </w:rPr>
      </w:pPr>
    </w:p>
    <w:p>
      <w:pPr>
        <w:jc w:val="both"/>
        <w:ind w:firstLine="656"/>
        <w:spacing w:after="0" w:line="230" w:lineRule="auto"/>
        <w:tabs>
          <w:tab w:leader="none" w:pos="1286"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Environmental Matters</w:t>
      </w:r>
      <w:r>
        <w:rPr>
          <w:rFonts w:ascii="Times New Roman" w:cs="Times New Roman" w:eastAsia="Times New Roman" w:hAnsi="Times New Roman"/>
          <w:sz w:val="20"/>
          <w:szCs w:val="20"/>
          <w:color w:val="auto"/>
        </w:rPr>
        <w:t>. Promptly after obtaining actual knowledge of any one or more of the following environmental matters, unless such environmental matters would not, individually, or when aggregated with all other such matters, be reasonably expected to result in a Material Adverse Effect, notice of:</w:t>
      </w:r>
    </w:p>
    <w:p>
      <w:pPr>
        <w:spacing w:after="0" w:line="148" w:lineRule="exact"/>
        <w:rPr>
          <w:rFonts w:ascii="Times New Roman" w:cs="Times New Roman" w:eastAsia="Times New Roman" w:hAnsi="Times New Roman"/>
          <w:sz w:val="20"/>
          <w:szCs w:val="20"/>
          <w:color w:val="auto"/>
        </w:rPr>
      </w:pPr>
    </w:p>
    <w:p>
      <w:pPr>
        <w:ind w:left="660" w:right="20" w:firstLine="644"/>
        <w:spacing w:after="0"/>
        <w:tabs>
          <w:tab w:leader="none" w:pos="1954"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Environmental Claim brought, filed or threatened in writing against or impacting any Credit Party or any Subsidiary thereof and any ruling, decisions or determinations arising out of any such Environmental Claim;</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 or occurrence on any Oil and Gas Properties that (A) would reasonably be expected to result in noncompliance by any Credit Party or any Subsidiary thereof with any applicable Environmental Law or (B) would reasonably be anticipated to form the basis of an Environmental Claim against any Credit Party or any Subsidiary thereof or any Oil and Gas Properties;</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56"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allegation that any Credit Party or any Subsidiary thereof is a potentially responsible party in connection with any Release of Hazardous Material, or any actual or threatened investigation of any Credit Party or any Subsidiary thereof or Oil and Gas Property by any Governmental Authority pursuant to any Environmental Law;</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new or modified Environmental Law impacting any Oil and Gas Property;</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 or occurrence on any Oil and Gas Properties that would reasonably be anticipated to cause such Oil and Gas Properties to be subject to any restrictions on the ownership, occupancy, use or transferability of such Oil and Gas Properties under any Environmental Law; and</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945"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actual Release or threatened Release of any Hazardous Material on, at, under or from any facility owned or leased by a Credit Party or any Subsidiary thereof in violation of Environmental Laws or as would reasonably be expected to result in liability under Environmental Laws or the conduct of any investigation, or any removal, remedial or other corrective action under Environmental Laws in response to the actual or alleged presence, Release or threatened Release of any Hazardous Material on, at, under or from any facility owned or leased by a Credit Party or any Subsidiary thereof.</w:t>
      </w:r>
    </w:p>
    <w:p>
      <w:pPr>
        <w:spacing w:after="0" w:line="162" w:lineRule="exact"/>
        <w:rPr>
          <w:sz w:val="20"/>
          <w:szCs w:val="20"/>
          <w:color w:val="auto"/>
        </w:rPr>
      </w:pPr>
    </w:p>
    <w:p>
      <w:pPr>
        <w:ind w:right="280" w:firstLine="324"/>
        <w:spacing w:after="0"/>
        <w:rPr>
          <w:sz w:val="20"/>
          <w:szCs w:val="20"/>
          <w:color w:val="auto"/>
        </w:rPr>
      </w:pPr>
      <w:r>
        <w:rPr>
          <w:rFonts w:ascii="Times New Roman" w:cs="Times New Roman" w:eastAsia="Times New Roman" w:hAnsi="Times New Roman"/>
          <w:sz w:val="20"/>
          <w:szCs w:val="20"/>
          <w:color w:val="auto"/>
        </w:rPr>
        <w:t>All such notices shall describe in reasonable detail the nature of the claim, investigation, condition, occurrence or removal or remedial action.</w:t>
      </w:r>
    </w:p>
    <w:p>
      <w:pPr>
        <w:spacing w:after="0" w:line="175" w:lineRule="exact"/>
        <w:rPr>
          <w:sz w:val="20"/>
          <w:szCs w:val="20"/>
          <w:color w:val="auto"/>
        </w:rPr>
      </w:pPr>
    </w:p>
    <w:p>
      <w:pPr>
        <w:jc w:val="both"/>
        <w:ind w:firstLine="656"/>
        <w:spacing w:after="0" w:line="222" w:lineRule="auto"/>
        <w:tabs>
          <w:tab w:leader="none" w:pos="1291"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xml:space="preserve">. With reasonable promptness, but subject to the limitations set forth in the last sentences of </w:t>
      </w:r>
      <w:r>
        <w:rPr>
          <w:rFonts w:ascii="Times New Roman" w:cs="Times New Roman" w:eastAsia="Times New Roman" w:hAnsi="Times New Roman"/>
          <w:sz w:val="20"/>
          <w:szCs w:val="20"/>
          <w:u w:val="single" w:color="auto"/>
          <w:color w:val="auto"/>
        </w:rPr>
        <w:t>Section 9.2(a)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such other information regarding the operations, business affairs and the financial condition of the Borrower or the Restricted Subsidiaries as the Administrative Agent on its own behalf or on behalf of any Lender (acting through the Administrative Agent) may reasonably request in writing from time to time.</w:t>
      </w:r>
    </w:p>
    <w:p>
      <w:pPr>
        <w:spacing w:after="0" w:line="161"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 of Authorized Officer – Hedge Agreements</w:t>
      </w:r>
      <w:r>
        <w:rPr>
          <w:rFonts w:ascii="Times New Roman" w:cs="Times New Roman" w:eastAsia="Times New Roman" w:hAnsi="Times New Roman"/>
          <w:sz w:val="20"/>
          <w:szCs w:val="20"/>
          <w:color w:val="auto"/>
        </w:rPr>
        <w:t xml:space="preserve">. On the date of delivery of (x) the financial statements provided for in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and (y) each Reserve Report delivered in connection with an Interim Redetermination, a certificate of an Authorized Officer of the Borrower (a “Hedging Compliance Certificate”), setting forth (i) the calculations required to establish whether the Borrower and its Restricted Subsidiaries were in compliance with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 xml:space="preserve"> as of such date and (ii) a true and complete list of all commodity Hedge Agreements of the Borrower and each Credit Party, the material terms thereof (in respect of the type, term, effective date, termination date and notional amounts or volumes), any credit support agreements relating thereto not listed on </w:t>
      </w:r>
      <w:r>
        <w:rPr>
          <w:rFonts w:ascii="Times New Roman" w:cs="Times New Roman" w:eastAsia="Times New Roman" w:hAnsi="Times New Roman"/>
          <w:sz w:val="20"/>
          <w:szCs w:val="20"/>
          <w:u w:val="single" w:color="auto"/>
          <w:color w:val="auto"/>
        </w:rPr>
        <w:t>Schedule 8.21</w:t>
      </w:r>
      <w:r>
        <w:rPr>
          <w:rFonts w:ascii="Times New Roman" w:cs="Times New Roman" w:eastAsia="Times New Roman" w:hAnsi="Times New Roman"/>
          <w:sz w:val="20"/>
          <w:szCs w:val="20"/>
          <w:color w:val="auto"/>
        </w:rPr>
        <w:t xml:space="preserve"> or on any previously delivered Hedging Compliance Certificate and any margin required or supplied under any credit support document;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that the Borrower and its Restricted Subsidiaries are not in compliance with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 xml:space="preserve"> on the date on which delivery of any Hedging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39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color w:val="auto"/>
        </w:rPr>
        <w:t xml:space="preserve">Compliance Certificate would otherwise be required pursuant to this </w:t>
      </w:r>
      <w:r>
        <w:rPr>
          <w:rFonts w:ascii="Times New Roman" w:cs="Times New Roman" w:eastAsia="Times New Roman" w:hAnsi="Times New Roman"/>
          <w:sz w:val="20"/>
          <w:szCs w:val="20"/>
          <w:u w:val="single" w:color="auto"/>
          <w:color w:val="auto"/>
        </w:rPr>
        <w:t>Section 9.1(g)</w:t>
      </w:r>
      <w:r>
        <w:rPr>
          <w:rFonts w:ascii="Times New Roman" w:cs="Times New Roman" w:eastAsia="Times New Roman" w:hAnsi="Times New Roman"/>
          <w:sz w:val="20"/>
          <w:szCs w:val="20"/>
          <w:color w:val="auto"/>
        </w:rPr>
        <w:t>, (A) such non-compliance shall not constitute a Default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and (B) the Borrower shall furnish to the Administrative Agent such Hedging Compliance Certificate demonstrating compliance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9.17</w:t>
      </w:r>
      <w:r>
        <w:rPr>
          <w:rFonts w:ascii="Times New Roman" w:cs="Times New Roman" w:eastAsia="Times New Roman" w:hAnsi="Times New Roman"/>
          <w:sz w:val="19"/>
          <w:szCs w:val="19"/>
          <w:color w:val="auto"/>
        </w:rPr>
        <w:t xml:space="preserve"> within thirty (30) days following such date. Notwithstanding anything contained in this </w:t>
      </w:r>
      <w:r>
        <w:rPr>
          <w:rFonts w:ascii="Times New Roman" w:cs="Times New Roman" w:eastAsia="Times New Roman" w:hAnsi="Times New Roman"/>
          <w:sz w:val="19"/>
          <w:szCs w:val="19"/>
          <w:u w:val="single" w:color="auto"/>
          <w:color w:val="auto"/>
        </w:rPr>
        <w:t>Section 9.1(g)</w:t>
      </w:r>
      <w:r>
        <w:rPr>
          <w:rFonts w:ascii="Times New Roman" w:cs="Times New Roman" w:eastAsia="Times New Roman" w:hAnsi="Times New Roman"/>
          <w:sz w:val="19"/>
          <w:szCs w:val="19"/>
          <w:color w:val="auto"/>
        </w:rPr>
        <w:t xml:space="preserve"> to the contrary, the foregoing</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requirements set forth in this </w:t>
      </w:r>
      <w:r>
        <w:rPr>
          <w:rFonts w:ascii="Times New Roman" w:cs="Times New Roman" w:eastAsia="Times New Roman" w:hAnsi="Times New Roman"/>
          <w:sz w:val="20"/>
          <w:szCs w:val="20"/>
          <w:u w:val="single" w:color="auto"/>
          <w:color w:val="auto"/>
        </w:rPr>
        <w:t>Section 9.1(g)</w:t>
      </w:r>
      <w:r>
        <w:rPr>
          <w:rFonts w:ascii="Times New Roman" w:cs="Times New Roman" w:eastAsia="Times New Roman" w:hAnsi="Times New Roman"/>
          <w:sz w:val="20"/>
          <w:szCs w:val="20"/>
          <w:color w:val="auto"/>
        </w:rPr>
        <w:t xml:space="preserve"> shall not apply at any time that the Consolidated Total Net Leverage Ratio as of the last day of</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the most recently ended Test Period for which financial statements have been delivered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is less than or equal to 1.50 to 1.00.</w:t>
      </w:r>
    </w:p>
    <w:p>
      <w:pPr>
        <w:spacing w:after="0" w:line="162" w:lineRule="exact"/>
        <w:rPr>
          <w:sz w:val="20"/>
          <w:szCs w:val="20"/>
          <w:color w:val="auto"/>
        </w:rPr>
      </w:pPr>
    </w:p>
    <w:p>
      <w:pPr>
        <w:jc w:val="both"/>
        <w:ind w:firstLine="656"/>
        <w:spacing w:after="0" w:line="226" w:lineRule="auto"/>
        <w:tabs>
          <w:tab w:leader="none" w:pos="128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 and Other Filings; Reports to Shareholders</w:t>
      </w:r>
      <w:r>
        <w:rPr>
          <w:rFonts w:ascii="Times New Roman" w:cs="Times New Roman" w:eastAsia="Times New Roman" w:hAnsi="Times New Roman"/>
          <w:sz w:val="20"/>
          <w:szCs w:val="20"/>
          <w:color w:val="auto"/>
        </w:rPr>
        <w:t>. Promptly after the same become publicly available, copies of all periodic and other reports, proxy statements and other materials filed by the Borrower or any Subsidiary with the SEC, or with any national securities exchange and distributed by the Borrower to its shareholders.</w:t>
      </w:r>
    </w:p>
    <w:p>
      <w:pPr>
        <w:spacing w:after="0" w:line="160" w:lineRule="exact"/>
        <w:rPr>
          <w:rFonts w:ascii="Times New Roman" w:cs="Times New Roman" w:eastAsia="Times New Roman" w:hAnsi="Times New Roman"/>
          <w:sz w:val="20"/>
          <w:szCs w:val="20"/>
          <w:color w:val="auto"/>
        </w:rPr>
      </w:pPr>
    </w:p>
    <w:p>
      <w:pPr>
        <w:jc w:val="both"/>
        <w:ind w:firstLine="656"/>
        <w:spacing w:after="0" w:line="237" w:lineRule="auto"/>
        <w:tabs>
          <w:tab w:leader="none" w:pos="1294"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Under Material Instruments</w:t>
      </w:r>
      <w:r>
        <w:rPr>
          <w:rFonts w:ascii="Times New Roman" w:cs="Times New Roman" w:eastAsia="Times New Roman" w:hAnsi="Times New Roman"/>
          <w:sz w:val="19"/>
          <w:szCs w:val="19"/>
          <w:color w:val="auto"/>
        </w:rPr>
        <w:t xml:space="preserve">. Promptly after the furnishing thereof, copies of any financial statement, report or notice furnished to or by any Person pursuant to the terms of any preferred stock designation or agreement governing Material Indebtedness, other than this Agreement and not otherwise required to be furnished to the Lenders pursuant to any other provision of this </w:t>
      </w:r>
      <w:r>
        <w:rPr>
          <w:rFonts w:ascii="Times New Roman" w:cs="Times New Roman" w:eastAsia="Times New Roman" w:hAnsi="Times New Roman"/>
          <w:sz w:val="19"/>
          <w:szCs w:val="19"/>
          <w:u w:val="single" w:color="auto"/>
          <w:color w:val="auto"/>
        </w:rPr>
        <w:t>Section 9.1</w:t>
      </w:r>
      <w:r>
        <w:rPr>
          <w:rFonts w:ascii="Times New Roman" w:cs="Times New Roman" w:eastAsia="Times New Roman" w:hAnsi="Times New Roman"/>
          <w:sz w:val="19"/>
          <w:szCs w:val="19"/>
          <w:color w:val="auto"/>
        </w:rPr>
        <w:t>.</w:t>
      </w:r>
    </w:p>
    <w:p>
      <w:pPr>
        <w:spacing w:after="0" w:line="162" w:lineRule="exact"/>
        <w:rPr>
          <w:rFonts w:ascii="Times New Roman" w:cs="Times New Roman" w:eastAsia="Times New Roman" w:hAnsi="Times New Roman"/>
          <w:sz w:val="19"/>
          <w:szCs w:val="19"/>
          <w:color w:val="auto"/>
        </w:rPr>
      </w:pPr>
    </w:p>
    <w:p>
      <w:pPr>
        <w:jc w:val="both"/>
        <w:ind w:firstLine="656"/>
        <w:spacing w:after="0" w:line="222" w:lineRule="auto"/>
        <w:tabs>
          <w:tab w:leader="none" w:pos="129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List of Purchasers</w:t>
      </w:r>
      <w:r>
        <w:rPr>
          <w:rFonts w:ascii="Times New Roman" w:cs="Times New Roman" w:eastAsia="Times New Roman" w:hAnsi="Times New Roman"/>
          <w:sz w:val="20"/>
          <w:szCs w:val="20"/>
          <w:color w:val="auto"/>
        </w:rPr>
        <w:t>. If reasonably requested by the Administrative Agent, a certificate of an Authorized Officer of the Borrower setting forth a list of Persons purchasing Hydrocarbons from the Borrower or any other Credit Party which collectively account for at least ninety percent (90%) of the revenues resulting from the sale of all Hydrocarbons from the Borrower and such other Credit Parties during the most recently ended fiscal year.</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Sales and Dispositions and Hedge Unwinds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54"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Borrower or any Restricted Subsidiary intends to Dispose of any Borrowing Base Properties, or Equity Interests in any Person owning Borrowing Base Properties, in each case, with a PV-9 in excess of five percent (5.0%) of the then-effective Borrowing Base in a single transaction or in multiple transactions since the later of (A) the last Scheduled Redetermination Date and (B) the last adjustment of the Borrowing Base made pursuant to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when combined with the Swap PV of any Hedge Agreements terminated, unwound, offset or otherwise Disposed of by the Borrower or any Restricted Subsidiary during such time period (for the avoidance of doubt, excluding any novation of any Hedge Agreements with respect to which the Borrower or applicable Restricted Subsidiary remains a party), three (3) Business Days (or such shorter time period agreed by the Administrative Agent) prior written notice (which, for the avoidance of doubt, may be delivered by email) of such Disposition, the Borrowing Base Properties that are the subject of such Disposition, the price thereof and the anticipated date of closing and any other details thereof reasonably requested by the Administrative Agent.</w:t>
      </w:r>
    </w:p>
    <w:p>
      <w:pPr>
        <w:spacing w:after="0" w:line="169"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55"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the Borrower or any Restricted Subsidiary intends to terminate, unwind, create offsetting positions or otherwise Dispose of Hedge Agreements with respect to which the Borrower reasonably believes the Swap PV of which (after taking into account the economic effect (including with respect to tenor) of any other Hedge Agreement executed contemporaneously with the taking of such actions and including any anticipated decline in the mark-to market value thereof) is in excess of five percent (5.0%) of the then-effective Borrowing Base in a single transaction or in multiple transactions since the later of (A) the last Scheduled Redetermination Date and (B) the last adjustment of the Borrowing Base made pursuant to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when combined with the Borrowing Base Value of any Disposition of any Borrowing Base Properties, or Equity Interests in any Person owning Borrowing Base Properties made during such time period, prior or same day written notice (which, for the avoidance of doubt, may be delivered by email) of the foregoing, the anticipated decline in the mark-to-market value thereof or net cash proceeds therefrom and any other details thereof reasonably requested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394" w:right="339" w:bottom="1440" w:gutter="0" w:footer="0" w:header="0"/>
        </w:sectPr>
      </w:pPr>
    </w:p>
    <w:bookmarkStart w:id="139" w:name="page140"/>
    <w:bookmarkEnd w:id="139"/>
    <w:p>
      <w:pPr>
        <w:jc w:val="both"/>
        <w:ind w:firstLine="656"/>
        <w:spacing w:after="0" w:line="226" w:lineRule="auto"/>
        <w:tabs>
          <w:tab w:leader="none" w:pos="129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Casualty Events</w:t>
      </w:r>
      <w:r>
        <w:rPr>
          <w:rFonts w:ascii="Times New Roman" w:cs="Times New Roman" w:eastAsia="Times New Roman" w:hAnsi="Times New Roman"/>
          <w:sz w:val="20"/>
          <w:szCs w:val="20"/>
          <w:color w:val="auto"/>
        </w:rPr>
        <w:t>. Prompt written notice after an Authorized Officer of the Borrower obtains actual knowledge of the occurrence of any Casualty Event or the commencement of any action or proceeding that could reasonably be expected to result in a Casualty Event having a fair market value in excess of $75,000,000.</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Regarding the Borrower and Subsidiaries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4"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Promptly upon request, all documentation and other information required by regulatory authorities under applicable “know your customer” and anti-money laundering rules and regulations, including the Patriot Act and Beneficial Ownership Regulation.</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w:t>
      </w:r>
      <w:r>
        <w:rPr>
          <w:rFonts w:ascii="Times New Roman" w:cs="Times New Roman" w:eastAsia="Times New Roman" w:hAnsi="Times New Roman"/>
          <w:sz w:val="20"/>
          <w:szCs w:val="20"/>
          <w:color w:val="auto"/>
        </w:rPr>
        <w:t>. Prompt written notice (but in any event, within thirty (30) days following such change) of any change (A) in a Credit Party’s corporate name, (B) in the location of a Credit Party’s chief executive office or principal place of business, (C) in a Credit Party’s form of organization, (D) in a Credit Party’s jurisdiction of organization and (E) in a Credit Party’s federal taxpayer identification number.</w:t>
      </w:r>
    </w:p>
    <w:p>
      <w:pPr>
        <w:spacing w:after="0" w:line="148" w:lineRule="exact"/>
        <w:rPr>
          <w:rFonts w:ascii="Times New Roman" w:cs="Times New Roman" w:eastAsia="Times New Roman" w:hAnsi="Times New Roman"/>
          <w:sz w:val="20"/>
          <w:szCs w:val="20"/>
          <w:color w:val="auto"/>
        </w:rPr>
      </w:pPr>
    </w:p>
    <w:p>
      <w:pPr>
        <w:ind w:left="660" w:firstLine="644"/>
        <w:spacing w:after="0"/>
        <w:tabs>
          <w:tab w:leader="none" w:pos="1956"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Restricted Subsidiaries</w:t>
      </w:r>
      <w:r>
        <w:rPr>
          <w:rFonts w:ascii="Times New Roman" w:cs="Times New Roman" w:eastAsia="Times New Roman" w:hAnsi="Times New Roman"/>
          <w:sz w:val="20"/>
          <w:szCs w:val="20"/>
          <w:color w:val="auto"/>
        </w:rPr>
        <w:t>. Prompt written notice of the formation of any Restricted Subsidiary of the Borrower, notice thereof and copies of the Organization Documents of such Subsidiary.</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33" w:lineRule="auto"/>
        <w:tabs>
          <w:tab w:leader="none" w:pos="1945"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Promptly after the execution thereof, copies of any amendment, modification or supplement to the Organization Documents of the Borrower or any Restricted Subsidiary.</w:t>
      </w:r>
    </w:p>
    <w:p>
      <w:pPr>
        <w:spacing w:after="0" w:line="160" w:lineRule="exact"/>
        <w:rPr>
          <w:rFonts w:ascii="Times New Roman" w:cs="Times New Roman" w:eastAsia="Times New Roman" w:hAnsi="Times New Roman"/>
          <w:sz w:val="20"/>
          <w:szCs w:val="20"/>
          <w:color w:val="auto"/>
        </w:rPr>
      </w:pPr>
    </w:p>
    <w:p>
      <w:pPr>
        <w:ind w:left="660" w:right="20" w:firstLine="644"/>
        <w:spacing w:after="0" w:line="266" w:lineRule="auto"/>
        <w:tabs>
          <w:tab w:leader="none" w:pos="1944"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Beneficial Ownership</w:t>
      </w:r>
      <w:r>
        <w:rPr>
          <w:rFonts w:ascii="Times New Roman" w:cs="Times New Roman" w:eastAsia="Times New Roman" w:hAnsi="Times New Roman"/>
          <w:sz w:val="19"/>
          <w:szCs w:val="19"/>
          <w:color w:val="auto"/>
        </w:rPr>
        <w:t>. Prompt written notice of any change in the information provided in the Beneficial Ownership Certification delivered to any Lender that would result in a change to the list of beneficial owners identified in such certification.</w:t>
      </w:r>
    </w:p>
    <w:p>
      <w:pPr>
        <w:spacing w:after="0" w:line="123" w:lineRule="exact"/>
        <w:rPr>
          <w:rFonts w:ascii="Times New Roman" w:cs="Times New Roman" w:eastAsia="Times New Roman" w:hAnsi="Times New Roman"/>
          <w:sz w:val="19"/>
          <w:szCs w:val="19"/>
          <w:color w:val="auto"/>
        </w:rPr>
      </w:pPr>
    </w:p>
    <w:p>
      <w:pPr>
        <w:jc w:val="both"/>
        <w:ind w:firstLine="656"/>
        <w:spacing w:after="0" w:line="215" w:lineRule="auto"/>
        <w:tabs>
          <w:tab w:leader="none" w:pos="128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 of Authorized Officer – Production Report and Lease Operating Statement</w:t>
      </w:r>
      <w:r>
        <w:rPr>
          <w:rFonts w:ascii="Times New Roman" w:cs="Times New Roman" w:eastAsia="Times New Roman" w:hAnsi="Times New Roman"/>
          <w:sz w:val="20"/>
          <w:szCs w:val="20"/>
          <w:color w:val="auto"/>
        </w:rPr>
        <w:t xml:space="preserve">. Concurrently with any delivery of each Reserve Report in connection with a Scheduled Redetermination, a certificate of an Authorized Officer of the Borrower, setting forth, for each calendar month during the then current fiscal year to date, the volume of production of Hydrocarbons and sales attributable to production of Hydrocarbons (and the prices at which such sales were made and the revenues derived from such sales) for each such calendar month from the Borrowing Base Properties, and setting forth the related ad valorem, severance and production taxes and lease operating expenses attributable thereto for each such calendar month;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certificate shall be required solely to the extent the foregoing information and its certification is not otherwise included in the applicable Reserve Report Certificate delivered in connection with such Reserve Report.</w:t>
      </w:r>
    </w:p>
    <w:p>
      <w:pPr>
        <w:spacing w:after="0" w:line="14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and Incurrences of Indebtedness</w:t>
      </w:r>
      <w:r>
        <w:rPr>
          <w:rFonts w:ascii="Times New Roman" w:cs="Times New Roman" w:eastAsia="Times New Roman" w:hAnsi="Times New Roman"/>
          <w:sz w:val="20"/>
          <w:szCs w:val="20"/>
          <w:color w:val="auto"/>
        </w:rPr>
        <w:t>. Five (5) Business Days (or such shorter time period agreed by the Administrative Agent) prior written notice (which, for the avoidance of doubt, may be delivered by email) of the incurrence by the Borrower or any Restricted Subsidiary of any Indebtedness for borrowed money in excess of $75,000,000 as well as the amount thereof, the anticipated closing date and definitive documentation for the foregoing and any other related information reasonably requested.</w:t>
      </w:r>
    </w:p>
    <w:p>
      <w:pPr>
        <w:spacing w:after="0" w:line="161"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Budget</w:t>
      </w:r>
      <w:r>
        <w:rPr>
          <w:rFonts w:ascii="Times New Roman" w:cs="Times New Roman" w:eastAsia="Times New Roman" w:hAnsi="Times New Roman"/>
          <w:sz w:val="20"/>
          <w:szCs w:val="20"/>
          <w:color w:val="auto"/>
        </w:rPr>
        <w:t xml:space="preserve">. Concurrently with any delivery of financial statements under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and delivery of any Reserve Report as of June 30 pursuant to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a reasonably detailed consolidated budget for the following fiscal year as customarily prepared by management of the Borrower (including a projected consolidated balance sheet of the Borrower and its Subsidiaries as of the end of the following fiscal year, the related consolidated statements of projected cash flow and projected income and a summary of the material underlying assumptions applicable thereto) (collectively, the “</w:t>
      </w:r>
      <w:r>
        <w:rPr>
          <w:rFonts w:ascii="Times New Roman" w:cs="Times New Roman" w:eastAsia="Times New Roman" w:hAnsi="Times New Roman"/>
          <w:sz w:val="20"/>
          <w:szCs w:val="20"/>
          <w:u w:val="single" w:color="auto"/>
          <w:color w:val="auto"/>
        </w:rPr>
        <w:t>Budget</w:t>
      </w:r>
      <w:r>
        <w:rPr>
          <w:rFonts w:ascii="Times New Roman" w:cs="Times New Roman" w:eastAsia="Times New Roman" w:hAnsi="Times New Roman"/>
          <w:sz w:val="20"/>
          <w:szCs w:val="20"/>
          <w:color w:val="auto"/>
        </w:rPr>
        <w:t>”), which Budget shall in each case be accompanied by a certificate of an Authorized Officer stating that such Budget has been prepared in good faith on the basis of the assumptions stated therein, which assumptions were believed to be reasonable at the time of preparation of such Budget, it being understood that actual results may vary from such Budget and that such variations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399" w:right="339" w:bottom="1440" w:gutter="0" w:footer="0" w:header="0"/>
        </w:sectPr>
      </w:pPr>
    </w:p>
    <w:bookmarkStart w:id="140" w:name="page141"/>
    <w:bookmarkEnd w:id="140"/>
    <w:p>
      <w:pPr>
        <w:ind w:left="660"/>
        <w:spacing w:after="0"/>
        <w:rPr>
          <w:sz w:val="20"/>
          <w:szCs w:val="20"/>
          <w:color w:val="auto"/>
        </w:rPr>
      </w:pPr>
      <w:r>
        <w:rPr>
          <w:rFonts w:ascii="Times New Roman" w:cs="Times New Roman" w:eastAsia="Times New Roman" w:hAnsi="Times New Roman"/>
          <w:sz w:val="19"/>
          <w:szCs w:val="19"/>
          <w:color w:val="auto"/>
        </w:rPr>
        <w:t xml:space="preserve">It is understood that documents required to be delivered pursuant to </w:t>
      </w:r>
      <w:r>
        <w:rPr>
          <w:rFonts w:ascii="Times New Roman" w:cs="Times New Roman" w:eastAsia="Times New Roman" w:hAnsi="Times New Roman"/>
          <w:sz w:val="19"/>
          <w:szCs w:val="19"/>
          <w:u w:val="single" w:color="auto"/>
          <w:color w:val="auto"/>
        </w:rPr>
        <w:t>Sections 9.1(a)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(o)</w:t>
      </w:r>
      <w:r>
        <w:rPr>
          <w:rFonts w:ascii="Times New Roman" w:cs="Times New Roman" w:eastAsia="Times New Roman" w:hAnsi="Times New Roman"/>
          <w:sz w:val="19"/>
          <w:szCs w:val="19"/>
          <w:color w:val="auto"/>
        </w:rPr>
        <w:t xml:space="preserve"> may be delivered electronically and if</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20"/>
          <w:szCs w:val="20"/>
          <w:u w:val="single" w:color="auto"/>
          <w:color w:val="auto"/>
        </w:rPr>
        <w:t>Schedule 13.2</w:t>
      </w:r>
      <w:r>
        <w:rPr>
          <w:rFonts w:ascii="Times New Roman" w:cs="Times New Roman" w:eastAsia="Times New Roman" w:hAnsi="Times New Roman"/>
          <w:sz w:val="20"/>
          <w:szCs w:val="20"/>
          <w:color w:val="auto"/>
        </w:rPr>
        <w:t>, (ii) on which such documents are posted on the</w:t>
      </w:r>
    </w:p>
    <w:p>
      <w:pPr>
        <w:spacing w:after="0" w:line="211" w:lineRule="auto"/>
        <w:rPr>
          <w:sz w:val="20"/>
          <w:szCs w:val="20"/>
          <w:color w:val="auto"/>
        </w:rPr>
      </w:pPr>
      <w:r>
        <w:rPr>
          <w:rFonts w:ascii="Times New Roman" w:cs="Times New Roman" w:eastAsia="Times New Roman" w:hAnsi="Times New Roman"/>
          <w:sz w:val="20"/>
          <w:szCs w:val="20"/>
          <w:color w:val="auto"/>
        </w:rPr>
        <w:t>Borrower’s behalf on IntraLinks, DebtDomain or another relevant website, if any, to which each Lender and the Administrative Agent have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access (whether a commercial, third-party website or whether sponsored by the Administrative Agent), (iii) on which such documents are filed on record with the SEC or (iv) on which such documents are transmitted by electronic mail to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 w:lineRule="exact"/>
        <w:rPr>
          <w:sz w:val="20"/>
          <w:szCs w:val="20"/>
          <w:color w:val="auto"/>
        </w:rPr>
      </w:pPr>
    </w:p>
    <w:p>
      <w:pPr>
        <w:jc w:val="both"/>
        <w:ind w:firstLine="8"/>
        <w:spacing w:after="0" w:line="212" w:lineRule="auto"/>
        <w:tabs>
          <w:tab w:leader="none" w:pos="35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written request by the Administrative Agent, the Borrower shall deliver paper copies of such documents delivered pursuant to </w:t>
      </w:r>
      <w:r>
        <w:rPr>
          <w:rFonts w:ascii="Times New Roman" w:cs="Times New Roman" w:eastAsia="Times New Roman" w:hAnsi="Times New Roman"/>
          <w:sz w:val="20"/>
          <w:szCs w:val="20"/>
          <w:u w:val="single" w:color="auto"/>
          <w:color w:val="auto"/>
        </w:rPr>
        <w:t>Sections 9.1(a)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9.1(f)</w:t>
      </w:r>
      <w:r>
        <w:rPr>
          <w:rFonts w:ascii="Times New Roman" w:cs="Times New Roman" w:eastAsia="Times New Roman" w:hAnsi="Times New Roman"/>
          <w:sz w:val="20"/>
          <w:szCs w:val="20"/>
          <w:color w:val="auto"/>
        </w:rPr>
        <w:t xml:space="preserve"> to the Administrative Agent for further distribution to each Lender until a written request to cease delivering paper copies is given by the Administrative Agent and (B) the Borrower shall notify (which may be by facsimile or electronic mail) the Administrative Agent of the posting of any such documents and provide to the Administrative Agent by electronic mail electronic versions (i.e., soft copies) of such documents (except that no such notice shall be required to the extent such documents are filed on record with the SEC). Each Lender shall be solely responsible for timely accessing posted documents or requesting delivery of paper copies of such documents from the Administrative Agent and maintaining its copies of such documents.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Books, Records and Inspections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firstLine="656"/>
        <w:spacing w:after="0"/>
        <w:tabs>
          <w:tab w:leader="none" w:pos="128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and will cause each Restricted Subsidiary to, maintain books of record and account that permit the preparation of financial statements in accordance with GAAP.</w:t>
      </w:r>
    </w:p>
    <w:p>
      <w:pPr>
        <w:spacing w:after="0" w:line="161" w:lineRule="exact"/>
        <w:rPr>
          <w:rFonts w:ascii="Times New Roman" w:cs="Times New Roman" w:eastAsia="Times New Roman" w:hAnsi="Times New Roman"/>
          <w:sz w:val="20"/>
          <w:szCs w:val="20"/>
          <w:color w:val="auto"/>
        </w:rPr>
      </w:pPr>
    </w:p>
    <w:p>
      <w:pPr>
        <w:jc w:val="both"/>
        <w:ind w:firstLine="656"/>
        <w:spacing w:after="0" w:line="209" w:lineRule="auto"/>
        <w:tabs>
          <w:tab w:leader="none" w:pos="128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will, and will cause each of the Restricted Subsidiaries to, permit designated representatives of the Administrative Agent and designated representatives of the Majority Lenders (as accompanied by the Administrative Agent) to visit and inspect any of its properties, to examine its financial and operating records, and to discuss its affairs, finances and accounts with its officers, and independent public accountants (subject to such accountants’ customary policies and procedures), all at the reasonable expense of the Borrower and at such reasonable times during normal business hours and as often as may be reasonably desired, upon reasonable advance notice to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excluding any such visits and inspections during the continuation of an Event of Default, only the Administrative Agent on behalf of the Majority Lenders may exercise rights of the Administrative Agent and the Lenders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9.2(b)</w:t>
      </w:r>
      <w:r>
        <w:rPr>
          <w:rFonts w:ascii="Times New Roman" w:cs="Times New Roman" w:eastAsia="Times New Roman" w:hAnsi="Times New Roman"/>
          <w:sz w:val="20"/>
          <w:szCs w:val="20"/>
          <w:color w:val="auto"/>
        </w:rPr>
        <w:t xml:space="preserve"> and the Administrative Agent shall not exercise such rights more often than two (2) times during any calendar year and only one (1) such time per calendar year shall be at the Borrower’s expense;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when an Event of Default exists, the Administrative Agent or any representative of the Majority Lenders (or any of their respective representatives or independent contractors) may do any of the foregoing at the expense of the Borrower at any time during normal business hours and upon reasonable advance notice. The Administrative Agent and the Majority Lenders shall give the Borrower the opportunity to participate in any discussions with the Borrower’s independent public accountants. Notwithstanding anything to the contrary in this </w:t>
      </w:r>
      <w:r>
        <w:rPr>
          <w:rFonts w:ascii="Times New Roman" w:cs="Times New Roman" w:eastAsia="Times New Roman" w:hAnsi="Times New Roman"/>
          <w:sz w:val="20"/>
          <w:szCs w:val="20"/>
          <w:u w:val="single" w:color="auto"/>
          <w:color w:val="auto"/>
        </w:rPr>
        <w:t>Section 9.2(b)</w:t>
      </w:r>
      <w:r>
        <w:rPr>
          <w:rFonts w:ascii="Times New Roman" w:cs="Times New Roman" w:eastAsia="Times New Roman" w:hAnsi="Times New Roman"/>
          <w:sz w:val="20"/>
          <w:szCs w:val="20"/>
          <w:color w:val="auto"/>
        </w:rPr>
        <w:t xml:space="preserve">, none of the Borrower nor any Restricted Subsidiary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any Requirement of Law or any binding agreement or (iii) is subject to attorney-client or similar privilege or constitutes attorney work-product;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notify the Administrative Agent and the Majority Lenders if it is not providing any information pursuant to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Maintenance of Insurance</w:t>
      </w:r>
      <w:r>
        <w:rPr>
          <w:rFonts w:ascii="Times New Roman" w:cs="Times New Roman" w:eastAsia="Times New Roman" w:hAnsi="Times New Roman"/>
          <w:sz w:val="19"/>
          <w:szCs w:val="19"/>
          <w:color w:val="auto"/>
        </w:rPr>
        <w:t>. The Borrower will, and will cause each Restricted Subsidiary to, at all times maintain in full force</w:t>
      </w:r>
    </w:p>
    <w:p>
      <w:pPr>
        <w:spacing w:after="0" w:line="215" w:lineRule="auto"/>
        <w:rPr>
          <w:sz w:val="20"/>
          <w:szCs w:val="20"/>
          <w:color w:val="auto"/>
        </w:rPr>
      </w:pPr>
      <w:r>
        <w:rPr>
          <w:rFonts w:ascii="Times New Roman" w:cs="Times New Roman" w:eastAsia="Times New Roman" w:hAnsi="Times New Roman"/>
          <w:sz w:val="19"/>
          <w:szCs w:val="19"/>
          <w:color w:val="auto"/>
        </w:rPr>
        <w:t>and effect, pursuant to self-insurance arrangements or with insurance companies that the Borrower believes (in the good faith judgment of the management of the Borrower) are financially sound and reputable at the time the relevant coverage is placed or renewed, insurance in at least</w:t>
      </w:r>
    </w:p>
    <w:p>
      <w:pPr>
        <w:spacing w:after="0" w:line="211" w:lineRule="auto"/>
        <w:rPr>
          <w:sz w:val="20"/>
          <w:szCs w:val="20"/>
          <w:color w:val="auto"/>
        </w:rPr>
      </w:pPr>
      <w:r>
        <w:rPr>
          <w:rFonts w:ascii="Times New Roman" w:cs="Times New Roman" w:eastAsia="Times New Roman" w:hAnsi="Times New Roman"/>
          <w:sz w:val="20"/>
          <w:szCs w:val="20"/>
          <w:color w:val="auto"/>
        </w:rPr>
        <w:t>such amounts (after giving effect to any self-insurance which the Borrower believes (in the good faith judgment of management of the</w:t>
      </w:r>
    </w:p>
    <w:p>
      <w:pPr>
        <w:spacing w:after="0" w:line="204" w:lineRule="auto"/>
        <w:rPr>
          <w:sz w:val="20"/>
          <w:szCs w:val="20"/>
          <w:color w:val="auto"/>
        </w:rPr>
      </w:pPr>
      <w:r>
        <w:rPr>
          <w:rFonts w:ascii="Times New Roman" w:cs="Times New Roman" w:eastAsia="Times New Roman" w:hAnsi="Times New Roman"/>
          <w:sz w:val="20"/>
          <w:szCs w:val="20"/>
          <w:color w:val="auto"/>
        </w:rPr>
        <w:t>Borrower) is reasonable and prudent in light of the size and nature of its business) and against at least such risks (and with such risk retentions) as the Borrower believes (in the good faith judgment of management of the Borrower) is reasonable and prudent in light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39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color w:val="auto"/>
        </w:rPr>
        <w:t>and nature of its business; and will furnish to the Administrative Agent, upon written request from the Administrative Agent, information</w:t>
      </w:r>
    </w:p>
    <w:p>
      <w:pPr>
        <w:spacing w:after="0" w:line="204" w:lineRule="auto"/>
        <w:rPr>
          <w:sz w:val="20"/>
          <w:szCs w:val="20"/>
          <w:color w:val="auto"/>
        </w:rPr>
      </w:pPr>
      <w:r>
        <w:rPr>
          <w:rFonts w:ascii="Times New Roman" w:cs="Times New Roman" w:eastAsia="Times New Roman" w:hAnsi="Times New Roman"/>
          <w:sz w:val="20"/>
          <w:szCs w:val="20"/>
          <w:color w:val="auto"/>
        </w:rPr>
        <w:t>presented in reasonable detail as to the insurance so carried. The Secured Parties shall be the additional insureds on any such liability insurance as their interests may appear and, if property insurance is obtained, the Collateral Agent shall be the lender loss payee under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such property insurance;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so long as no Event of Default has occurred and is then continuing, the Secured Parties will provide any proceeds of such property insurance to the Borrower.</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Payment of Obligations; Performance of Obligations under Credit Documents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6" w:lineRule="auto"/>
        <w:tabs>
          <w:tab w:leader="none" w:pos="128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and shall cause each Restricted Subsidiary to, pay, discharge or otherwise satisfy its obligations, including in respect of all Tax liabilities, assessments and governmental charges, before the same shall become delinquent or in default, except where (i) the amount or validity thereof is being contested in good faith by appropriate proceedings and the Borrower or a Subsidiary thereof has set aside on its books adequate reserves therefor in accordance with GAAP (or in the case of a Foreign Subsidiary, the comparable accounting principles in the relevant jurisdiction) or (ii) the failure to make payment could not reasonably be expected, individually or in the aggregate, to result in a Material Adverse Effect.</w:t>
      </w:r>
    </w:p>
    <w:p>
      <w:pPr>
        <w:spacing w:after="0" w:line="162"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pay the Loans according to the reading, tenor and effect thereof, and the Borrower will, and will cause each Restricted Subsidiary to, do and perform every act and discharge all of the obligations to be performed and discharged by them under the Credit Documents, including, without limitation, this Agreement, at the time or times and in the manner specified.</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20"/>
          <w:szCs w:val="20"/>
          <w:u w:val="single" w:color="auto"/>
          <w:color w:val="auto"/>
        </w:rPr>
        <w:t>Preservation of Existence, Compliance, Etc</w:t>
      </w:r>
      <w:r>
        <w:rPr>
          <w:rFonts w:ascii="Times New Roman" w:cs="Times New Roman" w:eastAsia="Times New Roman" w:hAnsi="Times New Roman"/>
          <w:sz w:val="20"/>
          <w:szCs w:val="20"/>
          <w:color w:val="auto"/>
        </w:rPr>
        <w:t>. Except as otherwise permitted by this Agreement, the Borrower will, and will</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cause each Restricted Subsidiary to (a) do, or cause to be done, all things necessary to preserve and keep in full force and effect its (i) legal existence and (ii) corporate rights and authority, except in the case of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to the extent that the failure to do so would not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reasonably be expected to have a Material Adverse Effect;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Borrower and its Restricted Subsidiaries may consummate any transaction permitted under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(b) comply with all Contractual Requirements except to the extent</w:t>
      </w:r>
    </w:p>
    <w:p>
      <w:pPr>
        <w:spacing w:after="0" w:line="211" w:lineRule="auto"/>
        <w:rPr>
          <w:sz w:val="20"/>
          <w:szCs w:val="20"/>
          <w:color w:val="auto"/>
        </w:rPr>
      </w:pPr>
      <w:r>
        <w:rPr>
          <w:rFonts w:ascii="Times New Roman" w:cs="Times New Roman" w:eastAsia="Times New Roman" w:hAnsi="Times New Roman"/>
          <w:sz w:val="20"/>
          <w:szCs w:val="20"/>
          <w:color w:val="auto"/>
        </w:rPr>
        <w:t>that the failure to so comply would not reasonably be expected to have a Material Adverse Effect; and (c) maintain in effect and enforce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policies and procedures designed to ensure compliance by the Borrower, its Subsidiaries and their respective directors, officers, employees and agents with (i) the Trading with the Enemy Act, as amended, the International Emergency Economic Powers Act, as amended, Sanctions</w:t>
      </w:r>
    </w:p>
    <w:p>
      <w:pPr>
        <w:spacing w:after="0"/>
        <w:rPr>
          <w:sz w:val="20"/>
          <w:szCs w:val="20"/>
          <w:color w:val="auto"/>
        </w:rPr>
      </w:pPr>
      <w:r>
        <w:rPr>
          <w:rFonts w:ascii="Times New Roman" w:cs="Times New Roman" w:eastAsia="Times New Roman" w:hAnsi="Times New Roman"/>
          <w:sz w:val="20"/>
          <w:szCs w:val="20"/>
          <w:color w:val="auto"/>
        </w:rPr>
        <w:t>Laws, the United States Foreign Corrupt Practices Act of 1977, as amended and other anti-corruption laws, and (ii) the Patriot Act.</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1.6 </w:t>
      </w:r>
      <w:r>
        <w:rPr>
          <w:rFonts w:ascii="Times New Roman" w:cs="Times New Roman" w:eastAsia="Times New Roman" w:hAnsi="Times New Roman"/>
          <w:sz w:val="19"/>
          <w:szCs w:val="19"/>
          <w:u w:val="single" w:color="auto"/>
          <w:color w:val="auto"/>
        </w:rPr>
        <w:t>Compliance with Requirements of Law</w:t>
      </w:r>
      <w:r>
        <w:rPr>
          <w:rFonts w:ascii="Times New Roman" w:cs="Times New Roman" w:eastAsia="Times New Roman" w:hAnsi="Times New Roman"/>
          <w:sz w:val="19"/>
          <w:szCs w:val="19"/>
          <w:color w:val="auto"/>
        </w:rPr>
        <w:t>. The Borrower will, and will cause each Restricted Subsidiary to, comply with all Requirements of Law applicable to it or its property, including all governmental approvals or authorizations required to conduct its business,</w:t>
      </w:r>
    </w:p>
    <w:p>
      <w:pPr>
        <w:spacing w:after="0" w:line="228" w:lineRule="auto"/>
        <w:rPr>
          <w:sz w:val="20"/>
          <w:szCs w:val="20"/>
          <w:color w:val="auto"/>
        </w:rPr>
      </w:pPr>
      <w:r>
        <w:rPr>
          <w:rFonts w:ascii="Times New Roman" w:cs="Times New Roman" w:eastAsia="Times New Roman" w:hAnsi="Times New Roman"/>
          <w:sz w:val="20"/>
          <w:szCs w:val="20"/>
          <w:color w:val="auto"/>
        </w:rPr>
        <w:t>and to maintain all such governmental approvals or authorizations in full force and effect, except if the failure to comply therewith could not reasonably be expected to have, individually or in the aggregate, a Material Adverse Effect.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2" w:lineRule="auto"/>
        <w:tabs>
          <w:tab w:leader="none" w:pos="128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Borrower or any ERISA Affiliate knows or has reason to know of the occurrence of any of the following events that, individually or in the aggregate (including in the aggregate such events previously disclosed or exempt from disclosure hereunder, to the extent the liability therefor remains outstanding), would be reasonably likely to have a Material Adverse Effect or a Lien on the assets of any Credit Party, the Borrower will deliver to the Administrative Agent a certificate of an Authorized Officer or any other senior officer of the Borrower setting forth details as to such occurrence and the action, if any, that the Borrower or such ERISA Affiliate is required or proposes to take, together with any notices (required, proposed or otherwise) given to or filed with or by the Borrower, such ERISA Affiliate, the PBGC, a Plan participant (other than notices relating to an individual participant’s benefits) or the Plan administrator with respect thereto: (i) that an ERISA Event has occurred or is likely to occur; (ii) that a Pension Plan has an Unfunded Current Liability that has or will result in a Lien under ERISA or the Code; that proceedings will be or have been instituted to terminate a Pension Plan having an Unfunded Current Liability (including the giving of written notice thereof); (iii) that a proceeding has been instituted against any Credit Party or an ERISA Affiliate pursuant to Section 515 of ERISA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39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color w:val="auto"/>
        </w:rPr>
        <w:t>collect a delinquent contribution to a Multiemployer Plan; (iv) or that any Credit Party or any ERISA Affiliate has incurred or will incur (or</w:t>
      </w:r>
    </w:p>
    <w:p>
      <w:pPr>
        <w:spacing w:after="0" w:line="221" w:lineRule="auto"/>
        <w:rPr>
          <w:sz w:val="20"/>
          <w:szCs w:val="20"/>
          <w:color w:val="auto"/>
        </w:rPr>
      </w:pPr>
      <w:r>
        <w:rPr>
          <w:rFonts w:ascii="Times New Roman" w:cs="Times New Roman" w:eastAsia="Times New Roman" w:hAnsi="Times New Roman"/>
          <w:sz w:val="20"/>
          <w:szCs w:val="20"/>
          <w:color w:val="auto"/>
        </w:rPr>
        <w:t>has been notified in writing that it will incur) any liability (including any contingent or secondary liability) pursuant to Section 409, 502(i), 502(l), 515, 4062, 4063, 4064, 4069, 4201 or 4204 of ERISA or Section 4971 or 4975 of the Code.</w:t>
      </w:r>
    </w:p>
    <w:p>
      <w:pPr>
        <w:spacing w:after="0" w:line="162" w:lineRule="exact"/>
        <w:rPr>
          <w:sz w:val="20"/>
          <w:szCs w:val="20"/>
          <w:color w:val="auto"/>
        </w:rPr>
      </w:pPr>
    </w:p>
    <w:p>
      <w:pPr>
        <w:jc w:val="both"/>
        <w:ind w:firstLine="656"/>
        <w:spacing w:after="0" w:line="215" w:lineRule="auto"/>
        <w:tabs>
          <w:tab w:leader="none" w:pos="128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following any request therefor, the Borrower will deliver to the Administrative Agent copies of (i) any documents described in Section 101(k) of ERISA that the Borrower and any of its Subsidiaries or any ERISA Affiliate may request with respect to any Multiemployer Plan and (ii) any notices described in Section 101(l) of ERISA that the Borrower and any of its Subsidiaries or any ERISA Affiliate may request with respect to any Multiemployer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any of its Subsidiaries or any ERISA Affiliate has not requested such documents or notices from the administrator or sponsor of the applicable Multiemployer Plan, the Borrower, the applicable Subsidiaries or the ERISA Affiliates shall promptly, following a request from the Administrative Agent, make a request for such documents or notices from such administrator or sponsor and shall provide copies of such documents and notices promptly after receipt thereof.</w:t>
      </w:r>
    </w:p>
    <w:p>
      <w:pPr>
        <w:spacing w:after="0" w:line="147"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1.8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xml:space="preserve">. The Borrower will, and will cause each of the Restricted Subsidiaries to, except in each case, where the failure to so comply would not reasonably be expected to result in a Material Adverse Effect (it being understood that this </w:t>
      </w:r>
      <w:r>
        <w:rPr>
          <w:rFonts w:ascii="Times New Roman" w:cs="Times New Roman" w:eastAsia="Times New Roman" w:hAnsi="Times New Roman"/>
          <w:sz w:val="20"/>
          <w:szCs w:val="20"/>
          <w:u w:val="single" w:color="auto"/>
          <w:color w:val="auto"/>
        </w:rPr>
        <w:t>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9.8</w:t>
      </w:r>
      <w:r>
        <w:rPr>
          <w:rFonts w:ascii="Times New Roman" w:cs="Times New Roman" w:eastAsia="Times New Roman" w:hAnsi="Times New Roman"/>
          <w:sz w:val="20"/>
          <w:szCs w:val="20"/>
          <w:color w:val="auto"/>
        </w:rPr>
        <w:t xml:space="preserve"> shall not restrict any transaction otherwise permitted by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656"/>
        <w:spacing w:after="0" w:line="216" w:lineRule="auto"/>
        <w:tabs>
          <w:tab w:leader="none" w:pos="128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operate its Oil and Gas Properties and other material properties or cause such Oil and Gas Properties and other material properties to be operated in a careful and efficient manner in accordance with the practices of the industry and in compliance with all applicable Contractual Requirements and all applicable Requirements of Law, including applicable proration requirements and Environmental Laws, and all applicable Requirements of Law of every other Governmental Authority from time to time constituted to regulate the development and operation of its Oil and Gas Properties and the production and sale of Hydrocarbons and other minerals therefrom;</w:t>
      </w:r>
    </w:p>
    <w:p>
      <w:pPr>
        <w:spacing w:after="0" w:line="162"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keep and maintain all property material to the conduct of its business in good working order and condition, ordinary wear and tear excepted, and preserve, maintain and keep in good repair, working order and efficiency (ordinary wear and tear excepted) all of its material Oil and Gas Properties and other material properties, including all equipment, machinery and facilities; and</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Credit Party is not the operator of any property, the Borrower shall use commercially reasonable efforts to cause the operator to operate such property in accordance with customary industry practices.</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u w:val="single" w:color="auto"/>
          <w:color w:val="auto"/>
        </w:rPr>
        <w:t>Compliance with Environmental Laws</w:t>
      </w:r>
      <w:r>
        <w:rPr>
          <w:rFonts w:ascii="Times New Roman" w:cs="Times New Roman" w:eastAsia="Times New Roman" w:hAnsi="Times New Roman"/>
          <w:sz w:val="20"/>
          <w:szCs w:val="20"/>
          <w:color w:val="auto"/>
        </w:rPr>
        <w:t>. The Borrower will, and will cause each of the Restricted Subsidiaries to, except, in each case, to the extent that the failure to do so could not reasonably be expected to have, individually or in the aggregate, a Material Adverse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Effect, (a) comply, and take all commercially reasonable actions to cause all lessees and other Persons operating or occupying its properties to comply, with all applicable Environmental Laws and Environmental Permits; (b) obtain, maintain and renew all Environmental Permits</w:t>
      </w:r>
    </w:p>
    <w:p>
      <w:pPr>
        <w:spacing w:after="0" w:line="223" w:lineRule="auto"/>
        <w:rPr>
          <w:sz w:val="20"/>
          <w:szCs w:val="20"/>
          <w:color w:val="auto"/>
        </w:rPr>
      </w:pPr>
      <w:r>
        <w:rPr>
          <w:rFonts w:ascii="Times New Roman" w:cs="Times New Roman" w:eastAsia="Times New Roman" w:hAnsi="Times New Roman"/>
          <w:sz w:val="19"/>
          <w:szCs w:val="19"/>
          <w:color w:val="auto"/>
        </w:rPr>
        <w:t>necessary for its operations and properties; and (c) in each case to the extent the Credit Parties or Subsidiaries are required by Environmental</w:t>
      </w:r>
    </w:p>
    <w:p>
      <w:pPr>
        <w:spacing w:after="0" w:line="221" w:lineRule="auto"/>
        <w:rPr>
          <w:sz w:val="20"/>
          <w:szCs w:val="20"/>
          <w:color w:val="auto"/>
        </w:rPr>
      </w:pPr>
      <w:r>
        <w:rPr>
          <w:rFonts w:ascii="Times New Roman" w:cs="Times New Roman" w:eastAsia="Times New Roman" w:hAnsi="Times New Roman"/>
          <w:sz w:val="20"/>
          <w:szCs w:val="20"/>
          <w:color w:val="auto"/>
        </w:rPr>
        <w:t>Laws, conduct any investigation, remedial, reclamation, closure, plugging and abandonment, or other corrective action necessary to address Hazardous Materials, idle wells, or other conditions at any property or facility in accordance with applicable Environmental Laws.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u w:val="single" w:color="auto"/>
          <w:color w:val="auto"/>
        </w:rPr>
        <w:t>Additional Guarantors, Grantors and Collateral</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6" w:lineRule="auto"/>
        <w:tabs>
          <w:tab w:leader="none" w:pos="128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any applicable limitations set forth in the Guarantee or the Security Documents, the Borrower will cause (i) any direct or indirect Restricted Subsidiary (other than (1) any Excluded Subsidiary and (2) solely with respect to </w:t>
      </w:r>
      <w:r>
        <w:rPr>
          <w:rFonts w:ascii="Times New Roman" w:cs="Times New Roman" w:eastAsia="Times New Roman" w:hAnsi="Times New Roman"/>
          <w:sz w:val="20"/>
          <w:szCs w:val="20"/>
          <w:u w:val="single" w:color="auto"/>
          <w:color w:val="auto"/>
        </w:rPr>
        <w:t>clause (A)(x)</w:t>
      </w:r>
      <w:r>
        <w:rPr>
          <w:rFonts w:ascii="Times New Roman" w:cs="Times New Roman" w:eastAsia="Times New Roman" w:hAnsi="Times New Roman"/>
          <w:sz w:val="20"/>
          <w:szCs w:val="20"/>
          <w:color w:val="auto"/>
        </w:rPr>
        <w:t xml:space="preserve"> below, any Production Sharing Entity for so long as such Subsidiary is party to a Production Sharing Contract) formed or otherwise purchased or acquired after the Closing Date (including pursuant to a Permitted Acquisition) formed or otherwise purchased or acquired after the Closing Date (including pursuant to a Permitted Acquisition) and (ii) any Restricted Subsidiary of the Borrower that ceases to be an Excluded Subsidiary (or, solely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39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u w:val="single" w:color="auto"/>
          <w:color w:val="auto"/>
        </w:rPr>
        <w:t>clause (A)(x)</w:t>
      </w:r>
      <w:r>
        <w:rPr>
          <w:rFonts w:ascii="Times New Roman" w:cs="Times New Roman" w:eastAsia="Times New Roman" w:hAnsi="Times New Roman"/>
          <w:sz w:val="20"/>
          <w:szCs w:val="20"/>
          <w:color w:val="auto"/>
        </w:rPr>
        <w:t xml:space="preserve"> below, in the case of Production Sharing Entities, ceases to be a party to a Production Sharing Contract), in each case within</w:t>
      </w:r>
    </w:p>
    <w:p>
      <w:pPr>
        <w:spacing w:after="0" w:line="204" w:lineRule="auto"/>
        <w:rPr>
          <w:sz w:val="20"/>
          <w:szCs w:val="20"/>
          <w:color w:val="auto"/>
        </w:rPr>
      </w:pPr>
      <w:r>
        <w:rPr>
          <w:rFonts w:ascii="Times New Roman" w:cs="Times New Roman" w:eastAsia="Times New Roman" w:hAnsi="Times New Roman"/>
          <w:sz w:val="20"/>
          <w:szCs w:val="20"/>
          <w:color w:val="auto"/>
        </w:rPr>
        <w:t>thirty (30) days from the date of such formation, acquisition or cessation, as applicable (or such longer period as the Administrative Agent may agree in its reasonable discretion) to (A) execute (x) a supplement to the Guarantee, substantially in the form of Annex A thereto, in</w:t>
      </w:r>
    </w:p>
    <w:p>
      <w:pPr>
        <w:spacing w:after="0" w:line="211" w:lineRule="auto"/>
        <w:rPr>
          <w:sz w:val="20"/>
          <w:szCs w:val="20"/>
          <w:color w:val="auto"/>
        </w:rPr>
      </w:pPr>
      <w:r>
        <w:rPr>
          <w:rFonts w:ascii="Times New Roman" w:cs="Times New Roman" w:eastAsia="Times New Roman" w:hAnsi="Times New Roman"/>
          <w:sz w:val="20"/>
          <w:szCs w:val="20"/>
          <w:color w:val="auto"/>
        </w:rPr>
        <w:t>order to become a Guarantor; provided that the guarantee of any Foreign Subsidiary shall be limited as the Borrower may reasonably deem</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necessary to comply with applicable laws, rules or regulations (including general statutory limitations, financial assistance, corporate benefit, fraudulent preference, “thin capitalization” and “capital maintenance” rules), the fiduciary duties of the directors of such subsidiary or to</w:t>
      </w:r>
    </w:p>
    <w:p>
      <w:pPr>
        <w:spacing w:after="0" w:line="211" w:lineRule="auto"/>
        <w:rPr>
          <w:sz w:val="20"/>
          <w:szCs w:val="20"/>
          <w:color w:val="auto"/>
        </w:rPr>
      </w:pPr>
      <w:r>
        <w:rPr>
          <w:rFonts w:ascii="Times New Roman" w:cs="Times New Roman" w:eastAsia="Times New Roman" w:hAnsi="Times New Roman"/>
          <w:sz w:val="20"/>
          <w:szCs w:val="20"/>
          <w:color w:val="auto"/>
        </w:rPr>
        <w:t>avoid the risk of personal civil or criminal liability for any director or officer of such subsidiary, (y) a supplement to the Collateral</w:t>
      </w:r>
    </w:p>
    <w:p>
      <w:pPr>
        <w:ind w:right="20"/>
        <w:spacing w:after="0" w:line="204" w:lineRule="auto"/>
        <w:rPr>
          <w:sz w:val="20"/>
          <w:szCs w:val="20"/>
          <w:color w:val="auto"/>
        </w:rPr>
      </w:pPr>
      <w:r>
        <w:rPr>
          <w:rFonts w:ascii="Times New Roman" w:cs="Times New Roman" w:eastAsia="Times New Roman" w:hAnsi="Times New Roman"/>
          <w:sz w:val="20"/>
          <w:szCs w:val="20"/>
          <w:color w:val="auto"/>
        </w:rPr>
        <w:t>Agreement, substantially in the form of Exhibit A thereto, in order to become a grantor and a pledgor thereunder and (z) a counterpart to the Intercompany Note, (B) if reasonably requested by the Administrative Agent or the Collateral Agent, within thirty (30) days after such</w:t>
      </w:r>
    </w:p>
    <w:p>
      <w:pPr>
        <w:spacing w:after="0" w:line="211" w:lineRule="auto"/>
        <w:rPr>
          <w:sz w:val="20"/>
          <w:szCs w:val="20"/>
          <w:color w:val="auto"/>
        </w:rPr>
      </w:pPr>
      <w:r>
        <w:rPr>
          <w:rFonts w:ascii="Times New Roman" w:cs="Times New Roman" w:eastAsia="Times New Roman" w:hAnsi="Times New Roman"/>
          <w:sz w:val="20"/>
          <w:szCs w:val="20"/>
          <w:color w:val="auto"/>
        </w:rPr>
        <w:t>request (or such longer period as the Administrative Agent may agree in writing in its discretion), deliver to the Administrative Agent 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signed copy of an opinion, addressed to the Administrative Agent, the Collateral Agent and the Lenders, of counsel for the Credit Parties reasonably acceptable to the Administrative Agent as to such matters set forth in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as the Administrative Agent or the</w:t>
      </w:r>
    </w:p>
    <w:p>
      <w:pPr>
        <w:spacing w:after="0" w:line="211" w:lineRule="auto"/>
        <w:rPr>
          <w:sz w:val="20"/>
          <w:szCs w:val="20"/>
          <w:color w:val="auto"/>
        </w:rPr>
      </w:pPr>
      <w:r>
        <w:rPr>
          <w:rFonts w:ascii="Times New Roman" w:cs="Times New Roman" w:eastAsia="Times New Roman" w:hAnsi="Times New Roman"/>
          <w:sz w:val="20"/>
          <w:szCs w:val="20"/>
          <w:color w:val="auto"/>
        </w:rPr>
        <w:t>Collateral Agent may reasonably request, and (C) as promptly as practicable after the request therefor by the Administrative Agent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Collateral Agent, deliver to the Collateral Agent with respect to each Mortgaged Property of such Subsidiary, (i) any existing title reports or policies, (ii) abstracts, (iii) environmental assessment reports or (iv) surveys, to the extent available and in the possession or control of the</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Credit Parties or their respective Subsidiaries;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there shall be no obligation to deliver to the Administrative Agent any</w:t>
      </w:r>
    </w:p>
    <w:p>
      <w:pPr>
        <w:spacing w:after="0" w:line="204" w:lineRule="auto"/>
        <w:rPr>
          <w:sz w:val="20"/>
          <w:szCs w:val="20"/>
          <w:color w:val="auto"/>
        </w:rPr>
      </w:pPr>
      <w:r>
        <w:rPr>
          <w:rFonts w:ascii="Times New Roman" w:cs="Times New Roman" w:eastAsia="Times New Roman" w:hAnsi="Times New Roman"/>
          <w:sz w:val="20"/>
          <w:szCs w:val="20"/>
          <w:color w:val="auto"/>
        </w:rPr>
        <w:t>existing environmental assessment report whose disclosure to the Administrative Agent would require the consent of a Person other than the Credit Parties or one of their respective Subsidiaries, where, despite the commercially reasonable efforts of the Credit Parties or their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respective Subsidiaries to obtain such consent, such consent cannot be obtained.</w:t>
      </w:r>
    </w:p>
    <w:p>
      <w:pPr>
        <w:spacing w:after="0" w:line="153" w:lineRule="exact"/>
        <w:rPr>
          <w:sz w:val="20"/>
          <w:szCs w:val="20"/>
          <w:color w:val="auto"/>
        </w:rPr>
      </w:pPr>
    </w:p>
    <w:p>
      <w:pPr>
        <w:jc w:val="both"/>
        <w:ind w:firstLine="656"/>
        <w:spacing w:after="0" w:line="215" w:lineRule="auto"/>
        <w:tabs>
          <w:tab w:leader="none" w:pos="12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any applicable limitations set forth in the Collateral Agreement, the Borrower will pledge, and, if applicable, will cause each Subsidiary Grantor (or Person required to become a Subsidiary Grantor pursuant to </w:t>
      </w:r>
      <w:r>
        <w:rPr>
          <w:rFonts w:ascii="Times New Roman" w:cs="Times New Roman" w:eastAsia="Times New Roman" w:hAnsi="Times New Roman"/>
          <w:sz w:val="20"/>
          <w:szCs w:val="20"/>
          <w:u w:val="single" w:color="auto"/>
          <w:color w:val="auto"/>
        </w:rPr>
        <w:t>Section 9.10(a)</w:t>
      </w:r>
      <w:r>
        <w:rPr>
          <w:rFonts w:ascii="Times New Roman" w:cs="Times New Roman" w:eastAsia="Times New Roman" w:hAnsi="Times New Roman"/>
          <w:sz w:val="20"/>
          <w:szCs w:val="20"/>
          <w:color w:val="auto"/>
        </w:rPr>
        <w:t xml:space="preserve">) to pledge, to the Collateral Agent, for the benefit of the Secured Parties, (i) all of the Equity Interests (other than any Excluded Equity Interests) directly owned by the Borrower or any Credit Party (or Person required to become a Guarantor pursuant to </w:t>
      </w:r>
      <w:r>
        <w:rPr>
          <w:rFonts w:ascii="Times New Roman" w:cs="Times New Roman" w:eastAsia="Times New Roman" w:hAnsi="Times New Roman"/>
          <w:sz w:val="20"/>
          <w:szCs w:val="20"/>
          <w:u w:val="single" w:color="auto"/>
          <w:color w:val="auto"/>
        </w:rPr>
        <w:t>Section 9.10(a)</w:t>
      </w:r>
      <w:r>
        <w:rPr>
          <w:rFonts w:ascii="Times New Roman" w:cs="Times New Roman" w:eastAsia="Times New Roman" w:hAnsi="Times New Roman"/>
          <w:sz w:val="20"/>
          <w:szCs w:val="20"/>
          <w:color w:val="auto"/>
        </w:rPr>
        <w:t xml:space="preserve">), in each case, formed or otherwise purchased or acquired after the Closing Date, pursuant to supplements to the Collateral Agreement substantially in the form of Annex A, thereto and (ii) except with respect to intercompany Indebtedness, all evidences of Indebtedness for borrowed money in a principal amount in excess of $2,500,000 (individually) that is owing to the Borrower or any Guarantor (or Person required to become a Guarantor pursuant to </w:t>
      </w:r>
      <w:r>
        <w:rPr>
          <w:rFonts w:ascii="Times New Roman" w:cs="Times New Roman" w:eastAsia="Times New Roman" w:hAnsi="Times New Roman"/>
          <w:sz w:val="20"/>
          <w:szCs w:val="20"/>
          <w:u w:val="single" w:color="auto"/>
          <w:color w:val="auto"/>
        </w:rPr>
        <w:t>Section 9.10(a)</w:t>
      </w:r>
      <w:r>
        <w:rPr>
          <w:rFonts w:ascii="Times New Roman" w:cs="Times New Roman" w:eastAsia="Times New Roman" w:hAnsi="Times New Roman"/>
          <w:sz w:val="20"/>
          <w:szCs w:val="20"/>
          <w:color w:val="auto"/>
        </w:rPr>
        <w:t>), in each case pursuant to supplements to the Collateral Agreement substantially in the form of Exhibit A thereto.</w:t>
      </w:r>
    </w:p>
    <w:p>
      <w:pPr>
        <w:spacing w:after="0" w:line="160"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each redetermination (but not any adjustment) of the Borrowing Base, and from time to time upon the request of the Administrative Agent, the Borrower shall review the applicable Reserve Report, if any, and the list of current Mortgaged Properties (as described in </w:t>
      </w:r>
      <w:r>
        <w:rPr>
          <w:rFonts w:ascii="Times New Roman" w:cs="Times New Roman" w:eastAsia="Times New Roman" w:hAnsi="Times New Roman"/>
          <w:sz w:val="20"/>
          <w:szCs w:val="20"/>
          <w:u w:val="single" w:color="auto"/>
          <w:color w:val="auto"/>
        </w:rPr>
        <w:t>Section 9.13(c)</w:t>
      </w:r>
      <w:r>
        <w:rPr>
          <w:rFonts w:ascii="Times New Roman" w:cs="Times New Roman" w:eastAsia="Times New Roman" w:hAnsi="Times New Roman"/>
          <w:sz w:val="20"/>
          <w:szCs w:val="20"/>
          <w:color w:val="auto"/>
        </w:rPr>
        <w:t xml:space="preserve">), to ascertain whether the PV-9 of the Mortgaged Properties (calculated at the time of redetermination) meets the Collateral Coverage Minimum after giving effect to exploration and production activities, acquisitions, Dispositions and production. In the event that the PV-9 of the Mortgaged Properties (calculated at the time of redetermination) does not meet the Collateral Coverage Minimum, then the Borrower shall, and shall cause the Credit Parties to, grant, within thirty (30) days of delivery of the certificate required under </w:t>
      </w:r>
      <w:r>
        <w:rPr>
          <w:rFonts w:ascii="Times New Roman" w:cs="Times New Roman" w:eastAsia="Times New Roman" w:hAnsi="Times New Roman"/>
          <w:sz w:val="20"/>
          <w:szCs w:val="20"/>
          <w:u w:val="single" w:color="auto"/>
          <w:color w:val="auto"/>
        </w:rPr>
        <w:t>Section 9.13(c)</w:t>
      </w:r>
      <w:r>
        <w:rPr>
          <w:rFonts w:ascii="Times New Roman" w:cs="Times New Roman" w:eastAsia="Times New Roman" w:hAnsi="Times New Roman"/>
          <w:sz w:val="20"/>
          <w:szCs w:val="20"/>
          <w:color w:val="auto"/>
        </w:rPr>
        <w:t xml:space="preserve"> (or such longer period as the Administrative Agent may agree in its reasonable discretion), to the Collateral Agent as security for the Obligations an Acceptable Security Interest on additional Oil and Gas Properties not already subject to a Lien of the Security Documents such that, after giving effect thereto, the PV-9 of the Mortgaged Properties (calculated at the time of redetermination) meets the Collateral Coverage Minimum. All such Acceptable Security Interests will be created and perfected by and in accordance with the provisions of the Security Documents, including, if applicable, any additional Mortgages. In order to comply with the foregoing, if any Restricted Subsidiary (other than a Production Sharing Entity) places a Lien on its property and such Restricted Subsidiary is not a Guarantor, then it shall become a Guarantor and comply with the provisions of </w:t>
      </w:r>
      <w:r>
        <w:rPr>
          <w:rFonts w:ascii="Times New Roman" w:cs="Times New Roman" w:eastAsia="Times New Roman" w:hAnsi="Times New Roman"/>
          <w:sz w:val="20"/>
          <w:szCs w:val="20"/>
          <w:u w:val="single" w:color="auto"/>
          <w:color w:val="auto"/>
        </w:rPr>
        <w:t>Sections 9.10(a)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394" w:right="339" w:bottom="1440" w:gutter="0" w:footer="0" w:header="0"/>
        </w:sectPr>
      </w:pPr>
    </w:p>
    <w:bookmarkStart w:id="144" w:name="page145"/>
    <w:bookmarkEnd w:id="144"/>
    <w:p>
      <w:pPr>
        <w:jc w:val="both"/>
        <w:ind w:firstLine="656"/>
        <w:spacing w:after="0" w:line="215" w:lineRule="auto"/>
        <w:tabs>
          <w:tab w:leader="none" w:pos="12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limitation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substantially simultaneously and prior to the delivery of any mortgage or deed of trust on any Oil and Gas Property or any other real property interest for the benefit of any other secured party and securing Indebtedness that is subject to any Junior Lien Intercreditor Agreement, the Borrower shall, or shall cause the relevant Credit Party to, grant to the Collateral Agent as security for the Obligations an Acceptable Security Interest on such Oil and Gas Property or other real property interest. All such Liens will be created and perfected by and in accordance with the provisions of the Security Documents, including, if applicable, any additional Mortgages. In order to comply with the foregoing, if any Restricted Subsidiary (other than an Excluded Subsidiary or any Production Sharing Entity) places a Lien on its property and such Subsidiary is not a Guarantor, then it shall become a Guarantor and comply with the provisions of </w:t>
      </w:r>
      <w:r>
        <w:rPr>
          <w:rFonts w:ascii="Times New Roman" w:cs="Times New Roman" w:eastAsia="Times New Roman" w:hAnsi="Times New Roman"/>
          <w:sz w:val="20"/>
          <w:szCs w:val="20"/>
          <w:u w:val="single" w:color="auto"/>
          <w:color w:val="auto"/>
        </w:rPr>
        <w:t>Sections 9.10(a)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in this Agreement or any other Loan Document to the contrary, in no event is any Building (as defined in the applicable Flood Insurance Regulation) or Manufactured (Mobile) Home (as defined in the applicable Flood Insurance Regulation) included in the definition of “Mortgaged Properties” and no Building or Manufactured (Mobile) Home is hereby encumbered by this Agreement or any other Loan Document.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Borrower will use the proceeds of the Loans and Letters of Credit made (a) to refinance amounts</w:t>
      </w:r>
    </w:p>
    <w:p>
      <w:pPr>
        <w:spacing w:after="0" w:line="215" w:lineRule="auto"/>
        <w:rPr>
          <w:sz w:val="20"/>
          <w:szCs w:val="20"/>
          <w:color w:val="auto"/>
        </w:rPr>
      </w:pPr>
      <w:r>
        <w:rPr>
          <w:rFonts w:ascii="Times New Roman" w:cs="Times New Roman" w:eastAsia="Times New Roman" w:hAnsi="Times New Roman"/>
          <w:sz w:val="19"/>
          <w:szCs w:val="19"/>
          <w:color w:val="auto"/>
        </w:rPr>
        <w:t>outstanding under the Existing Credit Agreement, (b) for the acquisition, development and exploration of oil and gas properties, (c) for development, expansion and acquisitions related to the Energy Business, (d) to provide for the working capital needs of the Borrower and its</w:t>
      </w:r>
    </w:p>
    <w:p>
      <w:pPr>
        <w:spacing w:after="0" w:line="211" w:lineRule="auto"/>
        <w:rPr>
          <w:sz w:val="20"/>
          <w:szCs w:val="20"/>
          <w:color w:val="auto"/>
        </w:rPr>
      </w:pPr>
      <w:r>
        <w:rPr>
          <w:rFonts w:ascii="Times New Roman" w:cs="Times New Roman" w:eastAsia="Times New Roman" w:hAnsi="Times New Roman"/>
          <w:sz w:val="20"/>
          <w:szCs w:val="20"/>
          <w:color w:val="auto"/>
        </w:rPr>
        <w:t>Subsidiaries, (e) for other general corporate purposes and (f) for fees and expenses related to the transactions contemplated hereby (in each</w:t>
      </w:r>
    </w:p>
    <w:p>
      <w:pPr>
        <w:spacing w:after="0" w:line="204" w:lineRule="auto"/>
        <w:rPr>
          <w:sz w:val="20"/>
          <w:szCs w:val="20"/>
          <w:color w:val="auto"/>
        </w:rPr>
      </w:pPr>
      <w:r>
        <w:rPr>
          <w:rFonts w:ascii="Times New Roman" w:cs="Times New Roman" w:eastAsia="Times New Roman" w:hAnsi="Times New Roman"/>
          <w:sz w:val="20"/>
          <w:szCs w:val="20"/>
          <w:color w:val="auto"/>
        </w:rPr>
        <w:t>case, as permitted by the Credit Documents). The Borrower shall not use, and shall procure that its Subsidiaries and its or their respective directors, officers, employees and agents shall not use, the proceeds of the Loans (A) in furtherance of an offer, payment, promise to pay,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authorization of the payment or giving of money, or anything else of value, to any Person in violation of the United States Foreign Corrupt Practices Act of 1977, as amended, and other applicable anti-corruption laws, (B) for the purpose of funding, financing or facilitating any</w:t>
      </w:r>
    </w:p>
    <w:p>
      <w:pPr>
        <w:spacing w:after="0" w:line="223" w:lineRule="auto"/>
        <w:rPr>
          <w:sz w:val="20"/>
          <w:szCs w:val="20"/>
          <w:color w:val="auto"/>
        </w:rPr>
      </w:pPr>
      <w:r>
        <w:rPr>
          <w:rFonts w:ascii="Times New Roman" w:cs="Times New Roman" w:eastAsia="Times New Roman" w:hAnsi="Times New Roman"/>
          <w:sz w:val="19"/>
          <w:szCs w:val="19"/>
          <w:color w:val="auto"/>
        </w:rPr>
        <w:t>activities, business or transaction of or with any Person that is, or is owned or controlled by a Person that is, at the time of such financing, the</w:t>
      </w:r>
    </w:p>
    <w:p>
      <w:pPr>
        <w:spacing w:after="0" w:line="215" w:lineRule="auto"/>
        <w:rPr>
          <w:sz w:val="20"/>
          <w:szCs w:val="20"/>
          <w:color w:val="auto"/>
        </w:rPr>
      </w:pPr>
      <w:r>
        <w:rPr>
          <w:rFonts w:ascii="Times New Roman" w:cs="Times New Roman" w:eastAsia="Times New Roman" w:hAnsi="Times New Roman"/>
          <w:sz w:val="19"/>
          <w:szCs w:val="19"/>
          <w:color w:val="auto"/>
        </w:rPr>
        <w:t>subject or target of any Sanctions, or in any country or territory that is the subject of comprehensive Sanctions, (C) in any manner that would result in the violation of any Sanctions Laws applicable to any party hereto or (D) in violation of the provisions of Regulation T, Regulation</w:t>
      </w:r>
    </w:p>
    <w:p>
      <w:pPr>
        <w:spacing w:after="0"/>
        <w:rPr>
          <w:sz w:val="20"/>
          <w:szCs w:val="20"/>
          <w:color w:val="auto"/>
        </w:rPr>
      </w:pPr>
      <w:r>
        <w:rPr>
          <w:rFonts w:ascii="Times New Roman" w:cs="Times New Roman" w:eastAsia="Times New Roman" w:hAnsi="Times New Roman"/>
          <w:sz w:val="20"/>
          <w:szCs w:val="20"/>
          <w:color w:val="auto"/>
        </w:rPr>
        <w:t>U or Regulation X of the Board.</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8" w:lineRule="auto"/>
        <w:tabs>
          <w:tab w:leader="none" w:pos="128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applicable limitations set forth in the Security Documents, the Borrower will, and will cause each other Credit Party to, execute and/or deliver any and all further documents, financing statements, agreements and instruments, and take all such further actions (including the filing and recording of financing statements, fixture filings, assignments of as-extracted collateral arising from the Borrowing Base Properties, mortgages, deeds of trust and other documents) that the Collateral Agent or the Required Lenders may reasonably request, in order to grant, preserve, protect and perfect the validity and priority of the security interests created or intended to be created by the applicable Security Documents, all at the expense of the Borrower and the Restricted Subsidiaries.</w:t>
      </w:r>
    </w:p>
    <w:p>
      <w:pPr>
        <w:spacing w:after="0" w:line="150"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the Collateral Agreement, or any other Credit Document, the Administrative Agent may grant extensions of time for or waivers of the requirements of the creation or perfection of security interests in or the obtaining of title opinions or other title information, title insurance policies, legal opinions, appraisals and surveys with respect to particular assets (including extensions beyond the Closing Date for the perfection of security interests in the assets of the Credit Parties on such date) where it reasonably determines, in consultation with the Borrower, that perfection or obtaining of such items is not required by law or cannot be accomplished without undue effort or expense by the time or times at which it would otherwise be required by this Agreement or the other Credit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399" w:right="339" w:bottom="1440" w:gutter="0" w:footer="0" w:header="0"/>
        </w:sectPr>
      </w:pPr>
    </w:p>
    <w:bookmarkStart w:id="145" w:name="page146"/>
    <w:bookmarkEnd w:id="145"/>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u w:val="single" w:color="auto"/>
          <w:color w:val="auto"/>
        </w:rPr>
        <w:t>Reserve Reports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2" w:lineRule="auto"/>
        <w:tabs>
          <w:tab w:leader="none" w:pos="128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or before each March 1 and September 1 of each year, the Borrower shall furnish to the Administrative Agent, to the extent applicable, a Budget pursuant to </w:t>
      </w:r>
      <w:r>
        <w:rPr>
          <w:rFonts w:ascii="Times New Roman" w:cs="Times New Roman" w:eastAsia="Times New Roman" w:hAnsi="Times New Roman"/>
          <w:sz w:val="20"/>
          <w:szCs w:val="20"/>
          <w:u w:val="single" w:color="auto"/>
          <w:color w:val="auto"/>
        </w:rPr>
        <w:t>Section 9.1(p)</w:t>
      </w:r>
      <w:r>
        <w:rPr>
          <w:rFonts w:ascii="Times New Roman" w:cs="Times New Roman" w:eastAsia="Times New Roman" w:hAnsi="Times New Roman"/>
          <w:sz w:val="20"/>
          <w:szCs w:val="20"/>
          <w:color w:val="auto"/>
        </w:rPr>
        <w:t>, and a Reserve Report evaluating, as of the immediately preceding December 31 and June 30, the Proved Reserves and other applicable Oil and Gas Properties of the Borrower and the Credit Parties located within the geographic boundaries, and the territorial waters, of the United States of America that the Borrower desires to have included in any calculation of the Borrowing Base. Each Reserve Report as of (i) December 31 shall, at the sole election of the Borrower, (a) be prepared by one or more Approved Petroleum Engineers or (b) be prepared by or under the supervision of the chief of reserves of the Borrower and be audited by one or more Approved Petroleum Engineers and (ii) June 30 shall, at the sole election of the Borrower, (y) be prepared by one or more Approved Petroleum Engineers or (z) be prepared by or under the supervision of the chief of reserves of the Borrower in accordance with the procedures used in the immediately preceding December 31 Reserve Report or the Initial Reserve Report, if no December 31 Reserve Report has been delivered.</w:t>
      </w:r>
    </w:p>
    <w:p>
      <w:pPr>
        <w:spacing w:after="0" w:line="155"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an Interim Redetermination, the Borrower shall furnish to the Administrative Agent a Reserve Report prepared by one or more Approved Petroleum Engineers or prepared under the supervision of the chief of reserves of the Borrower or a Restricted Subsidiary. For any Interim Redetermination pursuant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the Borrower shall provide such Reserve Report with an “as of” date as required by the Administrative Agent, as soon as possible, but in any event no later than forty-five (45) days, in the case of any Interim Redetermination requested by the Borrower, or sixty (60) days, in the case of any Interim Redetermination requested by the Administrative Agent or the Lenders, following the receipt of such request.</w:t>
      </w:r>
    </w:p>
    <w:p>
      <w:pPr>
        <w:spacing w:after="0" w:line="150" w:lineRule="exact"/>
        <w:rPr>
          <w:rFonts w:ascii="Times New Roman" w:cs="Times New Roman" w:eastAsia="Times New Roman" w:hAnsi="Times New Roman"/>
          <w:sz w:val="20"/>
          <w:szCs w:val="20"/>
          <w:color w:val="auto"/>
        </w:rPr>
      </w:pPr>
    </w:p>
    <w:p>
      <w:pPr>
        <w:ind w:right="20" w:firstLine="656"/>
        <w:spacing w:after="0"/>
        <w:tabs>
          <w:tab w:leader="none" w:pos="128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delivery of each Reserve Report, the Borrower shall provide to the Administrative Agent a Reserve Report Certificate from an Authorized Officer of the Borrower certifying that in all material respects:</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4"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June 30 Reserve Reports prepared by or under the supervision of the chief of reserves of the Borrower or a Restricted Subsidiary, such Reserve Report has been prepared, except as otherwise specified therein, in accordance with the procedures used in the immediately preceding December 31 Reserve Report or the Initial Reserve Report, if no December 31 Reserve Report has been delivered;</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calendar month during the then current fiscal year to date, the volume of production of Hydrocarbons and sales attributable to production of Hydrocarbons (and the prices at which such sales were made and the revenues derived from such sales) for each such calendar month from the Borrowing Base Properties, and setting forth the related ad valorem, severance and production taxes and lease operating expenses attributable thereto for each such calendar month;</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56"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Reserve Report and any other information delivered in connection therewith is true and correct in all material respects;</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945"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assuming that all applicable Governmental Authorities have granted approvals, made recordations and taken such other actions as are necessary in connection with the Transactions and any assignments made in connection therewith, except as set forth in an exhibit to such certificate, the Borrower or another Credit Party has good and defensible title to the material Borrowing Base Properties evaluated in such Reserve Report (other than those (w) to be acquired in connection with an acquisition,</w:t>
      </w:r>
    </w:p>
    <w:p>
      <w:pPr>
        <w:spacing w:after="0" w:line="2" w:lineRule="exact"/>
        <w:rPr>
          <w:rFonts w:ascii="Times New Roman" w:cs="Times New Roman" w:eastAsia="Times New Roman" w:hAnsi="Times New Roman"/>
          <w:sz w:val="20"/>
          <w:szCs w:val="20"/>
          <w:color w:val="auto"/>
        </w:rPr>
      </w:pPr>
    </w:p>
    <w:p>
      <w:pPr>
        <w:jc w:val="both"/>
        <w:ind w:left="660" w:hanging="4"/>
        <w:spacing w:after="0" w:line="216" w:lineRule="auto"/>
        <w:tabs>
          <w:tab w:leader="none" w:pos="946"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Disposed of since delivery of such Reserve Report as permitted in accordance with the terms hereof, (y) leases that have expired in accordance with their terms and (z) with title defects disclosed in writing to the Administrative Agent) and such material Borrowing Base Properties are free (or will be at the time of the acquisition thereof) of all Liens except for Liens permitted by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149"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an exhibit to such certificate, on a net basis there are no gas imbalances, take or pay or other prepayments in excess of the volume specified in </w:t>
      </w:r>
      <w:r>
        <w:rPr>
          <w:rFonts w:ascii="Times New Roman" w:cs="Times New Roman" w:eastAsia="Times New Roman" w:hAnsi="Times New Roman"/>
          <w:sz w:val="20"/>
          <w:szCs w:val="20"/>
          <w:u w:val="single" w:color="auto"/>
          <w:color w:val="auto"/>
        </w:rPr>
        <w:t>Section 8.17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399"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20"/>
          <w:szCs w:val="20"/>
          <w:color w:val="auto"/>
        </w:rPr>
        <w:t>with respect to the Credit Parties’ Oil and Gas Property evaluated in such Reserve Report that in each case would require the</w:t>
      </w: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Borrower or any other Credit Party to deliver Hydrocarbons either generally or produced from such Oil and Gas Properties at some future time without then or thereafter receiving full payment therefor;</w:t>
      </w:r>
    </w:p>
    <w:p>
      <w:pPr>
        <w:spacing w:after="0" w:line="162" w:lineRule="exact"/>
        <w:rPr>
          <w:sz w:val="20"/>
          <w:szCs w:val="20"/>
          <w:color w:val="auto"/>
        </w:rPr>
      </w:pPr>
    </w:p>
    <w:p>
      <w:pPr>
        <w:ind w:left="660" w:firstLine="644"/>
        <w:spacing w:after="0"/>
        <w:tabs>
          <w:tab w:leader="none" w:pos="1945"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Borrowing Base Properties have been Disposed of since the date of the last Borrowing Base determination except those Borrowing Base Properties listed on such certificate as having been Disposed of; and</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5"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certificate shall also attach, as schedules thereto, a list of (1) all material marketing agreements (which are not cancellable on sixty (60) days’ notice or less without penalty or detriment) entered into subsequent to the later of the Closing Date and the most recently delivered Reserve Report for the sale of production of the Credit Parties’ Hydrocarbons at a fixed non-index price (including calls on, or other parties rights to purchase, production, whether or not the same are currently being exercised) that represent in respect of such agreements two and a half percent (2.5%) or more of the Credit Parties’ average monthly production of Hydrocarbon volumes and that have a maturity date or expiry date of longer than six (6) months from the last day of such fiscal year or period, as applicable and (2) all Borrowing Base Properties evaluated by such Reserve Report that are Collateral and demonstrating compliance with (calculated at the time of delivery of such Reserve Report) the Collateral Coverage Minimum.</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19"/>
          <w:szCs w:val="19"/>
          <w:u w:val="single" w:color="auto"/>
          <w:color w:val="auto"/>
        </w:rPr>
        <w:t>Title Information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300" w:hanging="644"/>
        <w:spacing w:after="0"/>
        <w:tabs>
          <w:tab w:leader="none" w:pos="130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5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Date, the Borrower will deliver title information (in form and substance reasonably satisfactory to the Administrative Agent) with respect to the Borrowing Base Properties consistent with usual and customary standards for the geographic regions in which the Borrowing Base Properties are located, taking into account the size, scope and number of leases and wells of the Borrower and its Restricted Subsidiaries as is required to demonstrate satisfactory title on eighty-five percent (85%) of the PV-9 value (excluding the PV-9 of any Production Sharing Contracts) of the Borrowing Base Properties (excluding any Oil and Gas Properties subject to Production Sharing Contracts) evaluated by the Initial Reserve Report; and</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14" w:lineRule="auto"/>
        <w:tabs>
          <w:tab w:leader="none" w:pos="1955"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date of delivery to the Administrative Agent of each Reserve Report required by </w:t>
      </w:r>
      <w:r>
        <w:rPr>
          <w:rFonts w:ascii="Times New Roman" w:cs="Times New Roman" w:eastAsia="Times New Roman" w:hAnsi="Times New Roman"/>
          <w:sz w:val="20"/>
          <w:szCs w:val="20"/>
          <w:u w:val="single" w:color="auto"/>
          <w:color w:val="auto"/>
        </w:rPr>
        <w:t>Section 9.13(a)</w:t>
      </w:r>
      <w:r>
        <w:rPr>
          <w:rFonts w:ascii="Times New Roman" w:cs="Times New Roman" w:eastAsia="Times New Roman" w:hAnsi="Times New Roman"/>
          <w:sz w:val="20"/>
          <w:szCs w:val="20"/>
          <w:color w:val="auto"/>
        </w:rPr>
        <w:t xml:space="preserve"> following the Closing Date, the Borrower will deliver title information (in form and substance reasonably satisfactory to the Administrative Agent) with respect to the Borrowing Base Properties consistent with usual and customary standards for the geographic regions in which the Borrowing Base Properties are located, taking into account the size, scope and number of leases and wells of the Borrower and its Restricted Subsidiaries as is required to demonstrate satisfactory title on eighty-five percent (85%) of the PV-9 value (excluding the PV-9 of any Production Sharing Contracts) of the Borrowing Base Properties (excluding any Oil and Gas Properties subject to Production Sharing Contracts) evaluated by such Reserve Report;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any Oil and Gas Properties for which title information reasonably acceptable to the Administrative Agent was provided prior to the date of the current request by the Administrative Agent, the Borrower shall be under no obligation to provide additional title information.</w:t>
      </w:r>
    </w:p>
    <w:p>
      <w:pPr>
        <w:spacing w:after="0" w:line="152"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title information has been provided under </w:t>
      </w:r>
      <w:r>
        <w:rPr>
          <w:rFonts w:ascii="Times New Roman" w:cs="Times New Roman" w:eastAsia="Times New Roman" w:hAnsi="Times New Roman"/>
          <w:sz w:val="20"/>
          <w:szCs w:val="20"/>
          <w:u w:val="single" w:color="auto"/>
          <w:color w:val="auto"/>
        </w:rPr>
        <w:t>Section 9.15(a)</w:t>
      </w:r>
      <w:r>
        <w:rPr>
          <w:rFonts w:ascii="Times New Roman" w:cs="Times New Roman" w:eastAsia="Times New Roman" w:hAnsi="Times New Roman"/>
          <w:sz w:val="20"/>
          <w:szCs w:val="20"/>
          <w:color w:val="auto"/>
        </w:rPr>
        <w:t xml:space="preserve"> and the Administrative Agent provides written notice to the Borrower that title defects or exceptions exist with respect to such properties, then the Borrower shall, within sixty (60) days of its receipt of such notice (or such longer period as the Administrative Agent may agree in its reasonable discretion) (i) cure any such title defects or exceptions (including defects or exceptions as to priority of the Collateral Agent’s Liens that are not permitted by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raised by such information, (ii) substitute acceptable Mortgaged Properties having an equivalent value with no title defects or exceptions except for Liens permitted by </w:t>
      </w:r>
      <w:r>
        <w:rPr>
          <w:rFonts w:ascii="Times New Roman" w:cs="Times New Roman" w:eastAsia="Times New Roman" w:hAnsi="Times New Roman"/>
          <w:sz w:val="20"/>
          <w:szCs w:val="20"/>
          <w:u w:val="single" w:color="auto"/>
          <w:color w:val="auto"/>
        </w:rPr>
        <w:t>Section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394"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color w:val="auto"/>
        </w:rPr>
        <w:t>and/or (iii) deliver title information (in form and substance reasonably satisfactory to the Administrative Agent) so that the Administrative</w:t>
      </w:r>
    </w:p>
    <w:p>
      <w:pPr>
        <w:spacing w:after="0" w:line="233" w:lineRule="auto"/>
        <w:rPr>
          <w:sz w:val="20"/>
          <w:szCs w:val="20"/>
          <w:color w:val="auto"/>
        </w:rPr>
      </w:pPr>
      <w:r>
        <w:rPr>
          <w:rFonts w:ascii="Times New Roman" w:cs="Times New Roman" w:eastAsia="Times New Roman" w:hAnsi="Times New Roman"/>
          <w:sz w:val="19"/>
          <w:szCs w:val="19"/>
          <w:color w:val="auto"/>
        </w:rPr>
        <w:t>Agent shall have received, (including title information previously made available to the Administrative Agent) reasonably satisfactory title information on at least eighty percent (80%) of the PV-9 of the Credit Parties’ Borrowing Base Properties evaluated by such Reserve Report.</w:t>
      </w:r>
    </w:p>
    <w:p>
      <w:pPr>
        <w:spacing w:after="0" w:line="161" w:lineRule="exact"/>
        <w:rPr>
          <w:sz w:val="20"/>
          <w:szCs w:val="20"/>
          <w:color w:val="auto"/>
        </w:rPr>
      </w:pPr>
    </w:p>
    <w:p>
      <w:pPr>
        <w:jc w:val="both"/>
        <w:ind w:firstLine="656"/>
        <w:spacing w:after="0" w:line="220" w:lineRule="auto"/>
        <w:tabs>
          <w:tab w:leader="none" w:pos="1286"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title defect or exception requested by the Administrative Agent to be cured cannot be cured or if the Borrower is unable to provide reasonably acceptable title information on at least eighty percent (80%) of the PV-9 of the Credit Parties’ Borrowing Base Properties evaluated by such Reserve Report, in each case, within such sixty (60)-day period (or longer period as the Administrative Agent may agree in its reasonable discretion), such default shall not be a Default or Event of Default, but instead the Administrative Agent and Required Lenders shall have the right to adjust the Borrowing Base as contemplated by </w:t>
      </w:r>
      <w:r>
        <w:rPr>
          <w:rFonts w:ascii="Times New Roman" w:cs="Times New Roman" w:eastAsia="Times New Roman" w:hAnsi="Times New Roman"/>
          <w:sz w:val="20"/>
          <w:szCs w:val="20"/>
          <w:u w:val="single" w:color="auto"/>
          <w:color w:val="auto"/>
        </w:rPr>
        <w:t>Section 2.14(g)</w:t>
      </w:r>
      <w:r>
        <w:rPr>
          <w:rFonts w:ascii="Times New Roman" w:cs="Times New Roman" w:eastAsia="Times New Roman" w:hAnsi="Times New Roman"/>
          <w:sz w:val="20"/>
          <w:szCs w:val="20"/>
          <w:color w:val="auto"/>
        </w:rPr>
        <w:t>.</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9"/>
          <w:szCs w:val="19"/>
          <w:u w:val="single" w:color="auto"/>
          <w:color w:val="auto"/>
        </w:rPr>
        <w:t>Deposit Account, Securities Account and Commodity Account Control Agreements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08" w:lineRule="auto"/>
        <w:tabs>
          <w:tab w:leader="none" w:pos="128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and will cause each Grantor and Restricted Subsidiary to, in connection with any Deposit Account, Securities Account or Commodity Account (in each case, other than any Excluded Account for so long as it is an Excluded Account) (i) held or maintained on the Closing Date by the Borrower or any such Grantor, promptly but in any event within thirty (30) days of the Closing Date (or such later date as the Collateral Agent may agree in its sole discretion), enter into and deliver to the Collateral Agent a deposit account control agreement (a “</w:t>
      </w:r>
      <w:r>
        <w:rPr>
          <w:rFonts w:ascii="Times New Roman" w:cs="Times New Roman" w:eastAsia="Times New Roman" w:hAnsi="Times New Roman"/>
          <w:sz w:val="20"/>
          <w:szCs w:val="20"/>
          <w:u w:val="single" w:color="auto"/>
          <w:color w:val="auto"/>
        </w:rPr>
        <w:t>Deposit Account Control Agreement</w:t>
      </w:r>
      <w:r>
        <w:rPr>
          <w:rFonts w:ascii="Times New Roman" w:cs="Times New Roman" w:eastAsia="Times New Roman" w:hAnsi="Times New Roman"/>
          <w:sz w:val="20"/>
          <w:szCs w:val="20"/>
          <w:color w:val="auto"/>
        </w:rPr>
        <w:t>”), securities account control agreement (a “</w:t>
      </w:r>
      <w:r>
        <w:rPr>
          <w:rFonts w:ascii="Times New Roman" w:cs="Times New Roman" w:eastAsia="Times New Roman" w:hAnsi="Times New Roman"/>
          <w:sz w:val="20"/>
          <w:szCs w:val="20"/>
          <w:u w:val="single" w:color="auto"/>
          <w:color w:val="auto"/>
        </w:rPr>
        <w:t>Securities Account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or commodity account control agreement (a “</w:t>
      </w:r>
      <w:r>
        <w:rPr>
          <w:rFonts w:ascii="Times New Roman" w:cs="Times New Roman" w:eastAsia="Times New Roman" w:hAnsi="Times New Roman"/>
          <w:sz w:val="20"/>
          <w:szCs w:val="20"/>
          <w:u w:val="single" w:color="auto"/>
          <w:color w:val="auto"/>
        </w:rPr>
        <w:t>Commodity Account Control Agreement</w:t>
      </w:r>
      <w:r>
        <w:rPr>
          <w:rFonts w:ascii="Times New Roman" w:cs="Times New Roman" w:eastAsia="Times New Roman" w:hAnsi="Times New Roman"/>
          <w:sz w:val="20"/>
          <w:szCs w:val="20"/>
          <w:color w:val="auto"/>
        </w:rPr>
        <w:t xml:space="preserve">”), as applicable, in form and substance reasonably satisfactory to the Collateral Agent and the account bank, securities intermediary or commodity intermediary, as applicable, for any such Deposit Account, Securities Account or Commodity Account and (ii) established or ceasing to be an Excluded Account on or after the Closing Date by the Borrower, any such Grantor or any such Restricted Subsidiary substantially concurrently with the establishment of such Deposit Account, Securities Account or Commodity Account or with the date an Excluded Account ceases to be an Excluded Account, as applicable (or, in each case, such later date as the Collateral Agent may agree in its sole discretion) enter into and deliver to the Collateral Agent a Deposit Account Control Agreement, Securities Account Control Agreement or Commodity Account Control Agreement, as applicable, in form and substance reasonably satisfactory to the Collateral Agent and the account bank, securities intermediary or commodity intermediary, as applicable, for any such Deposit Account, Securities Account or Commodity Account (and with respect to any Restricted Subsidiary that is not a Grantor, enter into and deliver to the Collateral Agent such agreements or instruments pledging any such Deposit Account, Securities Account or Commodity Account as Collateral in form and substance reasonably satisfactory to the Collateral Agent);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Borrower or such Grantor or other Restricted Subsidiary shall be deemed to have satisfied the requirements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9.16(a)(ii)</w:t>
      </w:r>
      <w:r>
        <w:rPr>
          <w:rFonts w:ascii="Times New Roman" w:cs="Times New Roman" w:eastAsia="Times New Roman" w:hAnsi="Times New Roman"/>
          <w:sz w:val="20"/>
          <w:szCs w:val="20"/>
          <w:color w:val="auto"/>
        </w:rPr>
        <w:t xml:space="preserve"> with respect to any Deposit Account, Securities Account or Commodity Account that is acquired by the Borrower or such Grantor or other Restricted Subsidiary as a result of a Permitted Acquisition, so long as, within thirty (30) days after the date of such Permitted Acquisition (or such later date as the Collateral Agent may agree in its sole discretion), the Borrower or such Grantor or other Restricted Subsidiary (A) causes such account to be subject to a Deposit Account Control Agreement, Securities Account Control Agreement or Commodity Account Control Agreement, as applicable, that satisfies the requirements of this </w:t>
      </w:r>
      <w:r>
        <w:rPr>
          <w:rFonts w:ascii="Times New Roman" w:cs="Times New Roman" w:eastAsia="Times New Roman" w:hAnsi="Times New Roman"/>
          <w:sz w:val="20"/>
          <w:szCs w:val="20"/>
          <w:u w:val="single" w:color="auto"/>
          <w:color w:val="auto"/>
        </w:rPr>
        <w:t>Section 9.16(a)(ii)</w:t>
      </w:r>
      <w:r>
        <w:rPr>
          <w:rFonts w:ascii="Times New Roman" w:cs="Times New Roman" w:eastAsia="Times New Roman" w:hAnsi="Times New Roman"/>
          <w:sz w:val="20"/>
          <w:szCs w:val="20"/>
          <w:color w:val="auto"/>
        </w:rPr>
        <w:t xml:space="preserve"> or (B) closes such account and transfers any funds therein to an account that satisfies the requirements of this </w:t>
      </w:r>
      <w:r>
        <w:rPr>
          <w:rFonts w:ascii="Times New Roman" w:cs="Times New Roman" w:eastAsia="Times New Roman" w:hAnsi="Times New Roman"/>
          <w:sz w:val="20"/>
          <w:szCs w:val="20"/>
          <w:u w:val="single" w:color="auto"/>
          <w:color w:val="auto"/>
        </w:rPr>
        <w:t>Section 9.16(a)(ii)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Borrower or the applicable Grantors or other Restricted Subsidiaries, or any of their respective Affiliates, do not direct or redirect any funds into any such accounts or during such thirty (30) day period, unless a Deposit Account Control Agreement, Securities Account Control Agreement or Commodity Account Control Agreement, as applicable, has been established with respect to the applicable account in accordance with this </w:t>
      </w:r>
      <w:r>
        <w:rPr>
          <w:rFonts w:ascii="Times New Roman" w:cs="Times New Roman" w:eastAsia="Times New Roman" w:hAnsi="Times New Roman"/>
          <w:sz w:val="20"/>
          <w:szCs w:val="20"/>
          <w:u w:val="single" w:color="auto"/>
          <w:color w:val="auto"/>
        </w:rPr>
        <w:t>Section 9.16(a)</w:t>
      </w:r>
      <w:r>
        <w:rPr>
          <w:rFonts w:ascii="Times New Roman" w:cs="Times New Roman" w:eastAsia="Times New Roman" w:hAnsi="Times New Roman"/>
          <w:sz w:val="20"/>
          <w:szCs w:val="20"/>
          <w:color w:val="auto"/>
        </w:rPr>
        <w:t>. After the occurrence and during the continuance of an Event of Default, the Collateral Agent may give instructions directing the disposition of funds credited to any Controlled Account and/or withhold any withdrawal rights from the Borrower or any Grantor or other Restricted Subsidiary with respect to funds credited to any Controlled Account.</w:t>
      </w:r>
    </w:p>
    <w:p>
      <w:pPr>
        <w:spacing w:after="0" w:line="173"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will, and will cause each of the Grantors and Restricted Subsidiaries, on and after the date referred to in </w:t>
      </w:r>
      <w:r>
        <w:rPr>
          <w:rFonts w:ascii="Times New Roman" w:cs="Times New Roman" w:eastAsia="Times New Roman" w:hAnsi="Times New Roman"/>
          <w:sz w:val="20"/>
          <w:szCs w:val="20"/>
          <w:u w:val="single" w:color="auto"/>
          <w:color w:val="auto"/>
        </w:rPr>
        <w:t>Section 9.16(a)(i)</w:t>
      </w:r>
      <w:r>
        <w:rPr>
          <w:rFonts w:ascii="Times New Roman" w:cs="Times New Roman" w:eastAsia="Times New Roman" w:hAnsi="Times New Roman"/>
          <w:sz w:val="20"/>
          <w:szCs w:val="20"/>
          <w:color w:val="auto"/>
        </w:rPr>
        <w:t>, to maintain the proceeds of the Loans in a Controlled Account until such proceeds are transferred to a third party in a transaction not prohibited by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39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color w:val="auto"/>
        </w:rPr>
        <w:t>Documents or a Deposit Account which is not required to be a Controlled Account for a purpose that is permitted by the Credit Documents.</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1.17 </w:t>
      </w:r>
      <w:r>
        <w:rPr>
          <w:rFonts w:ascii="Times New Roman" w:cs="Times New Roman" w:eastAsia="Times New Roman" w:hAnsi="Times New Roman"/>
          <w:sz w:val="20"/>
          <w:szCs w:val="20"/>
          <w:u w:val="single" w:color="auto"/>
          <w:color w:val="auto"/>
        </w:rPr>
        <w:t>Minimum Hedged Volumes</w:t>
      </w:r>
      <w:r>
        <w:rPr>
          <w:rFonts w:ascii="Times New Roman" w:cs="Times New Roman" w:eastAsia="Times New Roman" w:hAnsi="Times New Roman"/>
          <w:sz w:val="20"/>
          <w:szCs w:val="20"/>
          <w:color w:val="auto"/>
        </w:rPr>
        <w:t>. The Borrower and/or other Guarantors shall have in effect, as of the date on which each Hedging Compliance Certificate is required to be delivered, and thereafter maintain Acceptable Commodity Hedge Agreements, the notional</w:t>
      </w:r>
    </w:p>
    <w:p>
      <w:pPr>
        <w:spacing w:after="0" w:line="212" w:lineRule="auto"/>
        <w:rPr>
          <w:sz w:val="20"/>
          <w:szCs w:val="20"/>
          <w:color w:val="auto"/>
        </w:rPr>
      </w:pPr>
      <w:r>
        <w:rPr>
          <w:rFonts w:ascii="Times New Roman" w:cs="Times New Roman" w:eastAsia="Times New Roman" w:hAnsi="Times New Roman"/>
          <w:sz w:val="20"/>
          <w:szCs w:val="20"/>
          <w:color w:val="auto"/>
        </w:rPr>
        <w:t>volumes for which are no less than, for the period ending on the earlier of (x) twelve (12) months following such required date of delivery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and (y) the Maturity Date: (i) if the Consolidated Total Net Leverage Ratio as of the last day of the most recently ended Test Period for which financial statements have been delivered pursuant to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9.1</w:t>
      </w:r>
      <w:r>
        <w:rPr>
          <w:rFonts w:ascii="Times New Roman" w:cs="Times New Roman" w:eastAsia="Times New Roman" w:hAnsi="Times New Roman"/>
          <w:sz w:val="19"/>
          <w:szCs w:val="19"/>
          <w:color w:val="auto"/>
        </w:rPr>
        <w:t xml:space="preserve"> is greater than 2.00 to 1.00, fifty percent (50%) of the</w:t>
      </w:r>
    </w:p>
    <w:p>
      <w:pPr>
        <w:spacing w:after="0" w:line="222" w:lineRule="auto"/>
        <w:rPr>
          <w:sz w:val="20"/>
          <w:szCs w:val="20"/>
          <w:color w:val="auto"/>
        </w:rPr>
      </w:pPr>
      <w:r>
        <w:rPr>
          <w:rFonts w:ascii="Times New Roman" w:cs="Times New Roman" w:eastAsia="Times New Roman" w:hAnsi="Times New Roman"/>
          <w:sz w:val="19"/>
          <w:szCs w:val="19"/>
          <w:color w:val="auto"/>
        </w:rPr>
        <w:t>reasonably anticipated Hydrocarbon production for each fiscal quarter in respect of crude oil from the Credit Parties’ total Proved Developed</w:t>
      </w:r>
    </w:p>
    <w:p>
      <w:pPr>
        <w:spacing w:after="0" w:line="204" w:lineRule="auto"/>
        <w:rPr>
          <w:sz w:val="20"/>
          <w:szCs w:val="20"/>
          <w:color w:val="auto"/>
        </w:rPr>
      </w:pPr>
      <w:r>
        <w:rPr>
          <w:rFonts w:ascii="Times New Roman" w:cs="Times New Roman" w:eastAsia="Times New Roman" w:hAnsi="Times New Roman"/>
          <w:sz w:val="20"/>
          <w:szCs w:val="20"/>
          <w:color w:val="auto"/>
        </w:rPr>
        <w:t>Producing Reserves (as forecast based upon the Reserve Report delivered concurrently with such Hedging Compliance Certificate), calculated based on daily volumes on an annual basis, or (ii) if the Consolidated Total Net Leverage Ratio as of the last day of the most</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recently ended Test Period for which financial statements have been delivered pursuant to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9.1</w:t>
      </w:r>
      <w:r>
        <w:rPr>
          <w:rFonts w:ascii="Times New Roman" w:cs="Times New Roman" w:eastAsia="Times New Roman" w:hAnsi="Times New Roman"/>
          <w:sz w:val="19"/>
          <w:szCs w:val="19"/>
          <w:color w:val="auto"/>
        </w:rPr>
        <w:t xml:space="preserve"> is less than or equal</w:t>
      </w:r>
    </w:p>
    <w:p>
      <w:pPr>
        <w:spacing w:after="0" w:line="215" w:lineRule="auto"/>
        <w:rPr>
          <w:sz w:val="20"/>
          <w:szCs w:val="20"/>
          <w:color w:val="auto"/>
        </w:rPr>
      </w:pPr>
      <w:r>
        <w:rPr>
          <w:rFonts w:ascii="Times New Roman" w:cs="Times New Roman" w:eastAsia="Times New Roman" w:hAnsi="Times New Roman"/>
          <w:sz w:val="19"/>
          <w:szCs w:val="19"/>
          <w:color w:val="auto"/>
        </w:rPr>
        <w:t>to 2.00 to 1.00 and greater than 1.50 to 1.00, thirty-three percent (33%) of the reasonably anticipated Hydrocarbon production for each fiscal quarter in respect of crude oil from the Credit Parties’ total Proved Developed Producing Reserves (as forecast based upon the Reserve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Report delivered concurrently with such Hedging Compliance Certificate), calculated based on daily volumes on an annual basis; </w:t>
      </w:r>
      <w:r>
        <w:rPr>
          <w:rFonts w:ascii="Times New Roman" w:cs="Times New Roman" w:eastAsia="Times New Roman" w:hAnsi="Times New Roman"/>
          <w:sz w:val="20"/>
          <w:szCs w:val="20"/>
          <w:i w:val="1"/>
          <w:iCs w:val="1"/>
          <w:color w:val="auto"/>
        </w:rPr>
        <w:t>provided</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that (x) the foregoing requirements set forth in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shall not apply at any time that the Consolidated Total Net Leverage Ratio as of the last day of the most recently ended Test Period for which financial statements have been delivered pursuant to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is less than or equal to 1.50 to 1.00 and (y) the foregoing requirements set forth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shall be subject to the proviso at the end of </w:t>
      </w:r>
      <w:r>
        <w:rPr>
          <w:rFonts w:ascii="Times New Roman" w:cs="Times New Roman" w:eastAsia="Times New Roman" w:hAnsi="Times New Roman"/>
          <w:sz w:val="20"/>
          <w:szCs w:val="20"/>
          <w:u w:val="single" w:color="auto"/>
          <w:color w:val="auto"/>
        </w:rPr>
        <w:t>Section 9.1(g)</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1.18</w:t>
      </w:r>
      <w:r>
        <w:rPr>
          <w:sz w:val="20"/>
          <w:szCs w:val="20"/>
          <w:color w:val="auto"/>
        </w:rPr>
        <w:tab/>
      </w:r>
      <w:r>
        <w:rPr>
          <w:rFonts w:ascii="Times New Roman" w:cs="Times New Roman" w:eastAsia="Times New Roman" w:hAnsi="Times New Roman"/>
          <w:sz w:val="19"/>
          <w:szCs w:val="19"/>
          <w:u w:val="single" w:color="auto"/>
          <w:color w:val="auto"/>
        </w:rPr>
        <w:t>Unrestricted Subsidiaries</w:t>
      </w:r>
      <w:r>
        <w:rPr>
          <w:rFonts w:ascii="Times New Roman" w:cs="Times New Roman" w:eastAsia="Times New Roman" w:hAnsi="Times New Roman"/>
          <w:sz w:val="19"/>
          <w:szCs w:val="19"/>
          <w:color w:val="auto"/>
        </w:rPr>
        <w:t>. The Borrower:</w:t>
      </w:r>
    </w:p>
    <w:p>
      <w:pPr>
        <w:spacing w:after="0" w:line="189" w:lineRule="exact"/>
        <w:rPr>
          <w:sz w:val="20"/>
          <w:szCs w:val="20"/>
          <w:color w:val="auto"/>
        </w:rPr>
      </w:pPr>
    </w:p>
    <w:p>
      <w:pPr>
        <w:jc w:val="both"/>
        <w:ind w:firstLine="656"/>
        <w:spacing w:after="0" w:line="217" w:lineRule="auto"/>
        <w:tabs>
          <w:tab w:leader="none" w:pos="128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cause the management, business and affairs of each of the Borrower and its Restricted Subsidiaries to be conducted in such a manner (including, without limitation, by keeping separate books of account, furnishing separate financial statements of Unrestricted Subsidiaries to creditors and potential creditors thereof and by not permitting properties of the Borrower and its respective Restricted Subsidiaries to be commingled) so that each Unrestricted Subsidiary that is a corporation will be treated as a corporate entity separate and distinct from the Borrower and the Restricted Subsidiaries.</w:t>
      </w:r>
    </w:p>
    <w:p>
      <w:pPr>
        <w:spacing w:after="0" w:line="161" w:lineRule="exact"/>
        <w:rPr>
          <w:rFonts w:ascii="Times New Roman" w:cs="Times New Roman" w:eastAsia="Times New Roman" w:hAnsi="Times New Roman"/>
          <w:sz w:val="20"/>
          <w:szCs w:val="20"/>
          <w:color w:val="auto"/>
        </w:rPr>
      </w:pPr>
    </w:p>
    <w:p>
      <w:pPr>
        <w:ind w:right="20" w:firstLine="656"/>
        <w:spacing w:after="0"/>
        <w:tabs>
          <w:tab w:leader="none" w:pos="128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will not, and will not permit any of the Restricted Subsidiaries to, incur, assume, guarantee or be or become liable for any Indebtedness of any of the Unrestricted Subsidiaries other than as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not permit any Unrestricted Subsidiary to hold any Equity Interest in, or any Indebtedness of, the Borrower or any Restricted Subsidiary.</w:t>
      </w:r>
    </w:p>
    <w:p>
      <w:pPr>
        <w:spacing w:after="0" w:line="161"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Notwithstanding anything to the contrary herein, nothing in </w:t>
      </w:r>
      <w:r>
        <w:rPr>
          <w:rFonts w:ascii="Times New Roman" w:cs="Times New Roman" w:eastAsia="Times New Roman" w:hAnsi="Times New Roman"/>
          <w:sz w:val="20"/>
          <w:szCs w:val="20"/>
          <w:u w:val="single" w:color="auto"/>
          <w:color w:val="auto"/>
        </w:rPr>
        <w:t>Section 9.18(a)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9.18(b)</w:t>
      </w:r>
      <w:r>
        <w:rPr>
          <w:rFonts w:ascii="Times New Roman" w:cs="Times New Roman" w:eastAsia="Times New Roman" w:hAnsi="Times New Roman"/>
          <w:sz w:val="20"/>
          <w:szCs w:val="20"/>
          <w:color w:val="auto"/>
        </w:rPr>
        <w:t xml:space="preserve"> shall limit the ability of the Borrower or any of its Subsidiaries to engage in Permitted Intercompany Activities.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19"/>
          <w:szCs w:val="19"/>
          <w:u w:val="single" w:color="auto"/>
          <w:color w:val="auto"/>
        </w:rPr>
        <w:t>Marketing Activities</w:t>
      </w:r>
      <w:r>
        <w:rPr>
          <w:rFonts w:ascii="Times New Roman" w:cs="Times New Roman" w:eastAsia="Times New Roman" w:hAnsi="Times New Roman"/>
          <w:sz w:val="19"/>
          <w:szCs w:val="19"/>
          <w:color w:val="auto"/>
        </w:rPr>
        <w:t>. The Borrower will not, and will not permit any of its Restricted Subsidiaries to, enter into contracts for</w:t>
      </w:r>
    </w:p>
    <w:p>
      <w:pPr>
        <w:spacing w:after="0" w:line="204" w:lineRule="auto"/>
        <w:rPr>
          <w:sz w:val="20"/>
          <w:szCs w:val="20"/>
          <w:color w:val="auto"/>
        </w:rPr>
      </w:pPr>
      <w:r>
        <w:rPr>
          <w:rFonts w:ascii="Times New Roman" w:cs="Times New Roman" w:eastAsia="Times New Roman" w:hAnsi="Times New Roman"/>
          <w:sz w:val="20"/>
          <w:szCs w:val="20"/>
          <w:color w:val="auto"/>
        </w:rPr>
        <w:t>the purchase and sale of Hydrocarbons (or Hedge Agreements for the purchase and sale of Hydrocarbons) other than (a) except with respect to fixed-price physical delivery contracts of natural gas or natural gas liquids with a tenor greater than ninety (90) days, (i) contracts for the</w:t>
      </w:r>
    </w:p>
    <w:p>
      <w:pPr>
        <w:spacing w:after="0" w:line="211" w:lineRule="auto"/>
        <w:rPr>
          <w:sz w:val="20"/>
          <w:szCs w:val="20"/>
          <w:color w:val="auto"/>
        </w:rPr>
      </w:pPr>
      <w:r>
        <w:rPr>
          <w:rFonts w:ascii="Times New Roman" w:cs="Times New Roman" w:eastAsia="Times New Roman" w:hAnsi="Times New Roman"/>
          <w:sz w:val="20"/>
          <w:szCs w:val="20"/>
          <w:color w:val="auto"/>
        </w:rPr>
        <w:t>sale of Hydrocarbons scheduled or reasonably estimated to be produced from their Proved Reserves during the period of such contract, (ii)</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contracts for the sale of Hydrocarbons scheduled or reasonably estimated to be produced from Proved Reserves of third parties during the period of such contract associated with the Oil and Gas Properties of the Borrower and its Restricted Subsidiaries that the Borrower or one of</w:t>
      </w:r>
    </w:p>
    <w:p>
      <w:pPr>
        <w:spacing w:after="0" w:line="211" w:lineRule="auto"/>
        <w:rPr>
          <w:sz w:val="20"/>
          <w:szCs w:val="20"/>
          <w:color w:val="auto"/>
        </w:rPr>
      </w:pPr>
      <w:r>
        <w:rPr>
          <w:rFonts w:ascii="Times New Roman" w:cs="Times New Roman" w:eastAsia="Times New Roman" w:hAnsi="Times New Roman"/>
          <w:sz w:val="20"/>
          <w:szCs w:val="20"/>
          <w:color w:val="auto"/>
        </w:rPr>
        <w:t>its Restricted Subsidiaries has the right to market pursuant to joint operating agreements, unitization agreements or other similar contracts</w:t>
      </w:r>
    </w:p>
    <w:p>
      <w:pPr>
        <w:spacing w:after="0" w:line="204" w:lineRule="auto"/>
        <w:rPr>
          <w:sz w:val="20"/>
          <w:szCs w:val="20"/>
          <w:color w:val="auto"/>
        </w:rPr>
      </w:pPr>
      <w:r>
        <w:rPr>
          <w:rFonts w:ascii="Times New Roman" w:cs="Times New Roman" w:eastAsia="Times New Roman" w:hAnsi="Times New Roman"/>
          <w:sz w:val="20"/>
          <w:szCs w:val="20"/>
          <w:color w:val="auto"/>
        </w:rPr>
        <w:t>that are usual and customary in the Energy Business and (iii) other contracts for the purchase and/or sale of Hydrocarbons of third parties (A) which have generally offsetting provisions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corresponding pricing mechanics, delivery dates and points and volumes) such that no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“position” is taken and (B) for which appropriate credit support has been taken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399"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color w:val="auto"/>
        </w:rPr>
        <w:t>the extent the Borrower determines such credit support to be reasonably necessary to alleviate the material credit risks of the counterparty</w:t>
      </w:r>
    </w:p>
    <w:p>
      <w:pPr>
        <w:spacing w:after="0" w:line="215" w:lineRule="auto"/>
        <w:rPr>
          <w:sz w:val="20"/>
          <w:szCs w:val="20"/>
          <w:color w:val="auto"/>
        </w:rPr>
      </w:pPr>
      <w:r>
        <w:rPr>
          <w:rFonts w:ascii="Times New Roman" w:cs="Times New Roman" w:eastAsia="Times New Roman" w:hAnsi="Times New Roman"/>
          <w:sz w:val="19"/>
          <w:szCs w:val="19"/>
          <w:color w:val="auto"/>
        </w:rPr>
        <w:t>thereto and (b) with respect to fixed-price physical delivery contracts of natural gas or natural gas liquids with a tenor greater than ninety (90) days, fixed-price physical delivery contracts of natural gas or natural gas liquids with a tenor not extending over thirty (30) months from the</w:t>
      </w:r>
    </w:p>
    <w:p>
      <w:pPr>
        <w:spacing w:after="0" w:line="211" w:lineRule="auto"/>
        <w:rPr>
          <w:sz w:val="20"/>
          <w:szCs w:val="20"/>
          <w:color w:val="auto"/>
        </w:rPr>
      </w:pPr>
      <w:r>
        <w:rPr>
          <w:rFonts w:ascii="Times New Roman" w:cs="Times New Roman" w:eastAsia="Times New Roman" w:hAnsi="Times New Roman"/>
          <w:sz w:val="20"/>
          <w:szCs w:val="20"/>
          <w:color w:val="auto"/>
        </w:rPr>
        <w:t>date of execution (i) covering aggregate volumes of natural gas and natural gas liquids (x) not to exceed fifty percent (50%) of reasonably</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anticipated projected production from Proved Developed Producing Reserves for each quarterly period set forth in the most recently delivered Reserve Report and (y) that would not exceed the maximum volumes set forth in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 xml:space="preserve"> if such fixed-price physical delivery</w:t>
      </w:r>
    </w:p>
    <w:p>
      <w:pPr>
        <w:spacing w:after="0" w:line="211" w:lineRule="auto"/>
        <w:rPr>
          <w:sz w:val="20"/>
          <w:szCs w:val="20"/>
          <w:color w:val="auto"/>
        </w:rPr>
      </w:pPr>
      <w:r>
        <w:rPr>
          <w:rFonts w:ascii="Times New Roman" w:cs="Times New Roman" w:eastAsia="Times New Roman" w:hAnsi="Times New Roman"/>
          <w:sz w:val="20"/>
          <w:szCs w:val="20"/>
          <w:color w:val="auto"/>
        </w:rPr>
        <w:t>contracts were deemed to be Hedge Agreements; and (ii) that are either unsecured and contain no adequate assurance provisions, or are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secured by Letters of Credit or Permitted Liens and/or contain adequate assurance provisions that, in each case, are consistent with prior practice in the ordinary course of business. Notwithstanding anything to the contrary herein, this </w:t>
      </w:r>
      <w:r>
        <w:rPr>
          <w:rFonts w:ascii="Times New Roman" w:cs="Times New Roman" w:eastAsia="Times New Roman" w:hAnsi="Times New Roman"/>
          <w:sz w:val="19"/>
          <w:szCs w:val="19"/>
          <w:u w:val="single" w:color="auto"/>
          <w:color w:val="auto"/>
        </w:rPr>
        <w:t>Section 9.19</w:t>
      </w:r>
      <w:r>
        <w:rPr>
          <w:rFonts w:ascii="Times New Roman" w:cs="Times New Roman" w:eastAsia="Times New Roman" w:hAnsi="Times New Roman"/>
          <w:sz w:val="19"/>
          <w:szCs w:val="19"/>
          <w:color w:val="auto"/>
        </w:rPr>
        <w:t xml:space="preserve"> shall not limit the ability of the</w:t>
      </w:r>
    </w:p>
    <w:p>
      <w:pPr>
        <w:spacing w:after="0" w:line="228" w:lineRule="auto"/>
        <w:rPr>
          <w:sz w:val="20"/>
          <w:szCs w:val="20"/>
          <w:color w:val="auto"/>
        </w:rPr>
      </w:pPr>
      <w:r>
        <w:rPr>
          <w:rFonts w:ascii="Times New Roman" w:cs="Times New Roman" w:eastAsia="Times New Roman" w:hAnsi="Times New Roman"/>
          <w:sz w:val="20"/>
          <w:szCs w:val="20"/>
          <w:color w:val="auto"/>
        </w:rPr>
        <w:t>Borrower or any other Credit Party to purchase Hydrocarbons from third parties to the extent such Hydrocarbons are intended to be consumed by the Borrower or any other Credit Party in their respective operations or used in connection with the Energy Business.</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1.20 </w:t>
      </w:r>
      <w:r>
        <w:rPr>
          <w:rFonts w:ascii="Times New Roman" w:cs="Times New Roman" w:eastAsia="Times New Roman" w:hAnsi="Times New Roman"/>
          <w:sz w:val="20"/>
          <w:szCs w:val="20"/>
          <w:u w:val="single" w:color="auto"/>
          <w:color w:val="auto"/>
        </w:rPr>
        <w:t>Keepwell</w:t>
      </w:r>
      <w:r>
        <w:rPr>
          <w:rFonts w:ascii="Times New Roman" w:cs="Times New Roman" w:eastAsia="Times New Roman" w:hAnsi="Times New Roman"/>
          <w:sz w:val="20"/>
          <w:szCs w:val="20"/>
          <w:color w:val="auto"/>
        </w:rPr>
        <w:t>. The Borrower will, and will cause each Guarantor to, provide such funds or other support as may be needed from time to time by the Borrower or any Guarantor, as applicable, to honor all of its obligations under this Agreement and any other Credit</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Document in respect of Swap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each Qualified ECP Guarantor shall only be liable under this </w:t>
      </w:r>
      <w:r>
        <w:rPr>
          <w:rFonts w:ascii="Times New Roman" w:cs="Times New Roman" w:eastAsia="Times New Roman" w:hAnsi="Times New Roman"/>
          <w:sz w:val="19"/>
          <w:szCs w:val="19"/>
          <w:u w:val="single" w:color="auto"/>
          <w:color w:val="auto"/>
        </w:rPr>
        <w:t>Section 9.20</w:t>
      </w:r>
      <w:r>
        <w:rPr>
          <w:rFonts w:ascii="Times New Roman" w:cs="Times New Roman" w:eastAsia="Times New Roman" w:hAnsi="Times New Roman"/>
          <w:sz w:val="19"/>
          <w:szCs w:val="19"/>
          <w:color w:val="auto"/>
        </w:rPr>
        <w:t xml:space="preserve"> for the maximum amount of such liability that can be hereby incurred without rendering its obligations under this </w:t>
      </w:r>
      <w:r>
        <w:rPr>
          <w:rFonts w:ascii="Times New Roman" w:cs="Times New Roman" w:eastAsia="Times New Roman" w:hAnsi="Times New Roman"/>
          <w:sz w:val="19"/>
          <w:szCs w:val="19"/>
          <w:u w:val="single" w:color="auto"/>
          <w:color w:val="auto"/>
        </w:rPr>
        <w:t>Section 9.20</w:t>
      </w:r>
      <w:r>
        <w:rPr>
          <w:rFonts w:ascii="Times New Roman" w:cs="Times New Roman" w:eastAsia="Times New Roman" w:hAnsi="Times New Roman"/>
          <w:sz w:val="19"/>
          <w:szCs w:val="19"/>
          <w:color w:val="auto"/>
        </w:rPr>
        <w:t>, or otherwise</w:t>
      </w:r>
    </w:p>
    <w:p>
      <w:pPr>
        <w:spacing w:after="0" w:line="222" w:lineRule="auto"/>
        <w:rPr>
          <w:sz w:val="20"/>
          <w:szCs w:val="20"/>
          <w:color w:val="auto"/>
        </w:rPr>
      </w:pPr>
      <w:r>
        <w:rPr>
          <w:rFonts w:ascii="Times New Roman" w:cs="Times New Roman" w:eastAsia="Times New Roman" w:hAnsi="Times New Roman"/>
          <w:sz w:val="19"/>
          <w:szCs w:val="19"/>
          <w:color w:val="auto"/>
        </w:rPr>
        <w:t>under this Agreement or any other Credit Document, as it relates to the Borrower, any Restricted Subsidiary or any Guarantor, as applicable,</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voidable under applicable law relating to fraudulent conveyance or fraudulent transfer, and not for any greater amount). The obligations of each Guarantor under this </w:t>
      </w:r>
      <w:r>
        <w:rPr>
          <w:rFonts w:ascii="Times New Roman" w:cs="Times New Roman" w:eastAsia="Times New Roman" w:hAnsi="Times New Roman"/>
          <w:sz w:val="19"/>
          <w:szCs w:val="19"/>
          <w:u w:val="single" w:color="auto"/>
          <w:color w:val="auto"/>
        </w:rPr>
        <w:t>Section 9.20</w:t>
      </w:r>
      <w:r>
        <w:rPr>
          <w:rFonts w:ascii="Times New Roman" w:cs="Times New Roman" w:eastAsia="Times New Roman" w:hAnsi="Times New Roman"/>
          <w:sz w:val="19"/>
          <w:szCs w:val="19"/>
          <w:color w:val="auto"/>
        </w:rPr>
        <w:t xml:space="preserve"> shall remain in full force and effect until Payment in Full. The Borrower intends that this </w:t>
      </w:r>
      <w:r>
        <w:rPr>
          <w:rFonts w:ascii="Times New Roman" w:cs="Times New Roman" w:eastAsia="Times New Roman" w:hAnsi="Times New Roman"/>
          <w:sz w:val="19"/>
          <w:szCs w:val="19"/>
          <w:u w:val="single" w:color="auto"/>
          <w:color w:val="auto"/>
        </w:rPr>
        <w:t>Section 9.20</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constitute, and this </w:t>
      </w:r>
      <w:r>
        <w:rPr>
          <w:rFonts w:ascii="Times New Roman" w:cs="Times New Roman" w:eastAsia="Times New Roman" w:hAnsi="Times New Roman"/>
          <w:sz w:val="20"/>
          <w:szCs w:val="20"/>
          <w:u w:val="single" w:color="auto"/>
          <w:color w:val="auto"/>
        </w:rPr>
        <w:t>Section 9.20</w:t>
      </w:r>
      <w:r>
        <w:rPr>
          <w:rFonts w:ascii="Times New Roman" w:cs="Times New Roman" w:eastAsia="Times New Roman" w:hAnsi="Times New Roman"/>
          <w:sz w:val="20"/>
          <w:szCs w:val="20"/>
          <w:color w:val="auto"/>
        </w:rPr>
        <w:t xml:space="preserve"> shall be deemed to constitute, a “keepwell, support, or other agreement” for the benefit the Borrower and any Guarantor, as applicable, for all purposes of Section 1a(18)(A)(v)(II) of the Commodity Exchange Act.</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color w:val="auto"/>
        </w:rPr>
        <w:t>NEGATIVE COVENANTS.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Borrower hereby covenants and agrees that on the Closing Date and thereafter, until Payment in Full has occurred:</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Limitation on Indebtedness</w:t>
      </w:r>
      <w:r>
        <w:rPr>
          <w:rFonts w:ascii="Times New Roman" w:cs="Times New Roman" w:eastAsia="Times New Roman" w:hAnsi="Times New Roman"/>
          <w:sz w:val="20"/>
          <w:szCs w:val="20"/>
          <w:color w:val="auto"/>
        </w:rPr>
        <w:t>. The Borrower will not, and will not permit any of the Restricted Subsidiaries to, create, incur, assume or suffer to exist any Indebtedness other than the following:</w:t>
      </w:r>
    </w:p>
    <w:p>
      <w:pPr>
        <w:spacing w:after="0" w:line="161" w:lineRule="exact"/>
        <w:rPr>
          <w:sz w:val="20"/>
          <w:szCs w:val="20"/>
          <w:color w:val="auto"/>
        </w:rPr>
      </w:pPr>
    </w:p>
    <w:p>
      <w:pPr>
        <w:ind w:left="1300" w:hanging="644"/>
        <w:spacing w:after="0"/>
        <w:tabs>
          <w:tab w:leader="none" w:pos="13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under the Credit Documents (including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arising under the Senior Notes or any Permitted Refinancing Indebtedness issued or incurred to Refinance such Indebtedness so long as no Person shall guarantee such Indebtedness or Permitted Refinancing Indebtedness thereof unless such Person has guaranteed or contemporaneously guarantees the Obligations;</w:t>
      </w:r>
    </w:p>
    <w:p>
      <w:pPr>
        <w:spacing w:after="0" w:line="144"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(i) the Borrower or any Guarantor owing to the Borrower or any Grantor;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Indebtedness owing by a Guarantor to a Subsidiary that is not a Guarantor shall be subordinated to the Obligations pursuant to the Intercompany Note, (ii) any Subsidiary that is not a Grantor owing to any other Subsidiary that is not a Grantor and (iii) to the extent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any Subsidiary that is not a Grantor owing to the Borrower or any Guarantor;</w:t>
      </w:r>
    </w:p>
    <w:p>
      <w:pPr>
        <w:spacing w:after="0" w:line="161"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any bankers’ acceptances, bank guarantees, letters of credit, warehouse receipts or similar instruments entered into in the ordinary course of business or consistent with past practice or industry practice (including in respect of workers compensation claims, health, disability or other employee benefits or property, casualty or liability insurance or self-insurance or other Indebtedness with respect to reimbursement-type obligations regarding workers compensation claims);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reimbursement obligations in respect thereof are reimbursed within thirty (30) days following the incurrence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394" w:right="339" w:bottom="1440" w:gutter="0" w:footer="0" w:header="0"/>
        </w:sectPr>
      </w:pPr>
    </w:p>
    <w:bookmarkStart w:id="150" w:name="page151"/>
    <w:bookmarkEnd w:id="150"/>
    <w:p>
      <w:pPr>
        <w:jc w:val="both"/>
        <w:ind w:firstLine="656"/>
        <w:spacing w:after="0" w:line="212" w:lineRule="auto"/>
        <w:tabs>
          <w:tab w:leader="none" w:pos="128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compliance with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Guarantee Obligations incurred by (i) Restricted Subsidiaries in respect of Indebtedness or other obligations of the Borrower or other Restricted Subsidiaries that is permitted to be incurred under this Agreement (except that a Restricted Subsidiary that is not a Guarantor may not, by virtue of this </w:t>
      </w:r>
      <w:r>
        <w:rPr>
          <w:rFonts w:ascii="Times New Roman" w:cs="Times New Roman" w:eastAsia="Times New Roman" w:hAnsi="Times New Roman"/>
          <w:sz w:val="20"/>
          <w:szCs w:val="20"/>
          <w:u w:val="single" w:color="auto"/>
          <w:color w:val="auto"/>
        </w:rPr>
        <w:t>Section 10.1(e)</w:t>
      </w:r>
      <w:r>
        <w:rPr>
          <w:rFonts w:ascii="Times New Roman" w:cs="Times New Roman" w:eastAsia="Times New Roman" w:hAnsi="Times New Roman"/>
          <w:sz w:val="20"/>
          <w:szCs w:val="20"/>
          <w:color w:val="auto"/>
        </w:rPr>
        <w:t xml:space="preserve">, guarantee Indebtedness that such Restricted Subsidiary could not otherwise itself incur or is expressly prohibited from guaranteeing under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and (ii) the Borrower in respect of Indebtedness of Restricted Subsidiaries that is permitted to be incurred under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if the Indebtedness being guaranteed under this </w:t>
      </w:r>
      <w:r>
        <w:rPr>
          <w:rFonts w:ascii="Times New Roman" w:cs="Times New Roman" w:eastAsia="Times New Roman" w:hAnsi="Times New Roman"/>
          <w:sz w:val="20"/>
          <w:szCs w:val="20"/>
          <w:u w:val="single" w:color="auto"/>
          <w:color w:val="auto"/>
        </w:rPr>
        <w:t>Section 10.1(e)</w:t>
      </w:r>
      <w:r>
        <w:rPr>
          <w:rFonts w:ascii="Times New Roman" w:cs="Times New Roman" w:eastAsia="Times New Roman" w:hAnsi="Times New Roman"/>
          <w:sz w:val="20"/>
          <w:szCs w:val="20"/>
          <w:color w:val="auto"/>
        </w:rPr>
        <w:t xml:space="preserve"> is subordinated to the Obligations, such Guarantee Obligations shall be subordinated to the Guarantee of the Obligations pursuant to a Subordination Agreement on terms at least as favorable to the Lenders as those contained in the subordination of such Indebtedness and (B) no guarantee by any Restricted Subsidiary of any Indebtedness under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Other Debt shall be permitted unless such Restricted Subsidiary shall have also provided a guarantee of the Obligations substantially on the terms set forth in the Guarantee;</w:t>
      </w:r>
    </w:p>
    <w:p>
      <w:pPr>
        <w:spacing w:after="0" w:line="169"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1"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 Obligations (i) incurred in the ordinary course of business in respect of obligations of (or to) suppliers, customers, franchisees, lessors, licensees or sublicensees or (ii) subject to </w:t>
      </w:r>
      <w:r>
        <w:rPr>
          <w:rFonts w:ascii="Times New Roman" w:cs="Times New Roman" w:eastAsia="Times New Roman" w:hAnsi="Times New Roman"/>
          <w:sz w:val="20"/>
          <w:szCs w:val="20"/>
          <w:u w:val="single" w:color="auto"/>
          <w:color w:val="auto"/>
        </w:rPr>
        <w:t>clauses (e)(A)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otherwise constituting Investments permitted by </w:t>
      </w:r>
      <w:r>
        <w:rPr>
          <w:rFonts w:ascii="Times New Roman" w:cs="Times New Roman" w:eastAsia="Times New Roman" w:hAnsi="Times New Roman"/>
          <w:sz w:val="20"/>
          <w:szCs w:val="20"/>
          <w:u w:val="single" w:color="auto"/>
          <w:color w:val="auto"/>
        </w:rPr>
        <w:t>Sections 10.5(d)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656"/>
        <w:spacing w:after="0" w:line="224" w:lineRule="auto"/>
        <w:tabs>
          <w:tab w:leader="none" w:pos="1284"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Indebtedness (including Indebtedness arising under Capitalized Leases) incurred prior to or within three hundred sixty-five (365) days following the acquisition, construction, lease, repair, replacement, expansion or improvement of assets (real or personal, and whether through the direct purchase of property or the Equity Interests of a Person owning such property) to finance the acquisition, construction, lease, repair, replacement, expansion, or improvement of such assets (for the avoidance of doubt, the purchase date for any asset shall be the later of the date of completion of installation and the beginning of the full productive use of such asset), (ii) Indebtedness arising under Capitalized Leases, other than (A) Capitalized Leases in effect on the Closing Date and (B) Capitalized Leases entered into pursuant to </w:t>
      </w:r>
      <w:r>
        <w:rPr>
          <w:rFonts w:ascii="Times New Roman" w:cs="Times New Roman" w:eastAsia="Times New Roman" w:hAnsi="Times New Roman"/>
          <w:sz w:val="19"/>
          <w:szCs w:val="19"/>
          <w:u w:val="single" w:color="auto"/>
          <w:color w:val="auto"/>
        </w:rPr>
        <w:t>subclause (i)</w:t>
      </w:r>
      <w:r>
        <w:rPr>
          <w:rFonts w:ascii="Times New Roman" w:cs="Times New Roman" w:eastAsia="Times New Roman" w:hAnsi="Times New Roman"/>
          <w:sz w:val="19"/>
          <w:szCs w:val="19"/>
          <w:color w:val="auto"/>
        </w:rPr>
        <w:t xml:space="preserve"> above; and (iii) any Permitted Refinancing Indebtedness issued or incurred to Refinance any such Indebtedness under this </w:t>
      </w:r>
      <w:r>
        <w:rPr>
          <w:rFonts w:ascii="Times New Roman" w:cs="Times New Roman" w:eastAsia="Times New Roman" w:hAnsi="Times New Roman"/>
          <w:sz w:val="19"/>
          <w:szCs w:val="19"/>
          <w:u w:val="single" w:color="auto"/>
          <w:color w:val="auto"/>
        </w:rPr>
        <w:t>Section 10.1(g)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aggregate principal amount of Indebtedness permitted by </w:t>
      </w:r>
      <w:r>
        <w:rPr>
          <w:rFonts w:ascii="Times New Roman" w:cs="Times New Roman" w:eastAsia="Times New Roman" w:hAnsi="Times New Roman"/>
          <w:sz w:val="19"/>
          <w:szCs w:val="19"/>
          <w:u w:val="single" w:color="auto"/>
          <w:color w:val="auto"/>
        </w:rPr>
        <w:t>subclauses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10.1(g)</w:t>
      </w:r>
      <w:r>
        <w:rPr>
          <w:rFonts w:ascii="Times New Roman" w:cs="Times New Roman" w:eastAsia="Times New Roman" w:hAnsi="Times New Roman"/>
          <w:sz w:val="19"/>
          <w:szCs w:val="19"/>
          <w:color w:val="auto"/>
        </w:rPr>
        <w:t xml:space="preserve"> shall not exceed the greater of $50,000,000 and three and one half percent (3.5%) of the Borrowing Base at the time of incurrence;</w:t>
      </w:r>
    </w:p>
    <w:p>
      <w:pPr>
        <w:spacing w:after="0" w:line="149" w:lineRule="exact"/>
        <w:rPr>
          <w:rFonts w:ascii="Times New Roman" w:cs="Times New Roman" w:eastAsia="Times New Roman" w:hAnsi="Times New Roman"/>
          <w:sz w:val="19"/>
          <w:szCs w:val="19"/>
          <w:color w:val="auto"/>
        </w:rPr>
      </w:pPr>
    </w:p>
    <w:p>
      <w:pPr>
        <w:ind w:firstLine="656"/>
        <w:spacing w:after="0"/>
        <w:tabs>
          <w:tab w:leader="none" w:pos="128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date hereof and set forth on </w:t>
      </w:r>
      <w:r>
        <w:rPr>
          <w:rFonts w:ascii="Times New Roman" w:cs="Times New Roman" w:eastAsia="Times New Roman" w:hAnsi="Times New Roman"/>
          <w:sz w:val="20"/>
          <w:szCs w:val="20"/>
          <w:u w:val="single" w:color="auto"/>
          <w:color w:val="auto"/>
        </w:rPr>
        <w:t>Schedule 10.1</w:t>
      </w:r>
      <w:r>
        <w:rPr>
          <w:rFonts w:ascii="Times New Roman" w:cs="Times New Roman" w:eastAsia="Times New Roman" w:hAnsi="Times New Roman"/>
          <w:sz w:val="20"/>
          <w:szCs w:val="20"/>
          <w:color w:val="auto"/>
        </w:rPr>
        <w:t xml:space="preserve"> and any Permitted Refinancing Indebtedness issued or incurred to Refinance such Indebtedness;</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Hedge Agreements, subject to the limitations set forth in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56"/>
        <w:spacing w:after="0" w:line="211" w:lineRule="auto"/>
        <w:tabs>
          <w:tab w:leader="none" w:pos="129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(including, for the avoidance of doubt, with respect to any Permitted Refinancing Indebtedness issued or incurred to Refinance such Indebtedness) incurred in connection or assumed with any Permitted Acquisition or similar Investment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in an aggregate principal amount of Indebtedness outstanding at any time (i) not to exceed five percent (5.0%) of the Borrowing Base then in effect, so long as immediately after giving pro forma effect to such Permitted Acquisition or similar Investment and the incurrence or assumption of such Indebtedness, the Borrower shall be in compliance with the Financial Performance Covenants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and no Event of Default shall have occurred and be continuing or (ii) not to exceed an amount that would cause the Consolidated Total Net Leverage Ratio to exceed 2.50 to 1.00 at the time of incurrence of such Indebtedness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so long as immediately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such Permitted Acquisition or similar Investment and the incurrence or assumption of such Indebtedness, no Event of Default shall have occurred and be continuing;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case, the Equity Interests of the Person acquired in such Permitted Acquisition or similar Investment shall be pledged to the Collateral Agent and such Person (other than a Production Sharing Entity) shall become a Guarantor in accordance with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the case of any such Indebtedness secured by a Lien that is junior to the Lien securing the Obligations, the Borrowing Base shall be adjusted to the extent required by </w:t>
      </w:r>
      <w:r>
        <w:rPr>
          <w:rFonts w:ascii="Times New Roman" w:cs="Times New Roman" w:eastAsia="Times New Roman" w:hAnsi="Times New Roman"/>
          <w:sz w:val="20"/>
          <w:szCs w:val="20"/>
          <w:u w:val="single" w:color="auto"/>
          <w:color w:val="auto"/>
        </w:rPr>
        <w:t>Section 2.14(e)</w:t>
      </w:r>
      <w:r>
        <w:rPr>
          <w:rFonts w:ascii="Times New Roman" w:cs="Times New Roman" w:eastAsia="Times New Roman" w:hAnsi="Times New Roman"/>
          <w:sz w:val="20"/>
          <w:szCs w:val="20"/>
          <w:color w:val="auto"/>
        </w:rPr>
        <w:t xml:space="preserve">, and in the case of any such secured Indebtedness incurred or assumed pursuant to this </w:t>
      </w:r>
      <w:r>
        <w:rPr>
          <w:rFonts w:ascii="Times New Roman" w:cs="Times New Roman" w:eastAsia="Times New Roman" w:hAnsi="Times New Roman"/>
          <w:sz w:val="20"/>
          <w:szCs w:val="20"/>
          <w:u w:val="single" w:color="auto"/>
          <w:color w:val="auto"/>
        </w:rPr>
        <w:t>Section 10.1(j)</w:t>
      </w:r>
      <w:r>
        <w:rPr>
          <w:rFonts w:ascii="Times New Roman" w:cs="Times New Roman" w:eastAsia="Times New Roman" w:hAnsi="Times New Roman"/>
          <w:sz w:val="20"/>
          <w:szCs w:val="20"/>
          <w:color w:val="auto"/>
        </w:rPr>
        <w:t>, the holders of such Indebtedness have no recourse to property other than the property so acquired and the property so acquired shall not constitute Borrowing Base Properties; provided,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399"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color w:val="auto"/>
        </w:rPr>
        <w:t xml:space="preserve">that in the case of Indebtedness incurred or assumed pursuant to this </w:t>
      </w:r>
      <w:r>
        <w:rPr>
          <w:rFonts w:ascii="Times New Roman" w:cs="Times New Roman" w:eastAsia="Times New Roman" w:hAnsi="Times New Roman"/>
          <w:sz w:val="20"/>
          <w:szCs w:val="20"/>
          <w:u w:val="single" w:color="auto"/>
          <w:color w:val="auto"/>
        </w:rPr>
        <w:t>Section 10.1(j)</w:t>
      </w:r>
      <w:r>
        <w:rPr>
          <w:rFonts w:ascii="Times New Roman" w:cs="Times New Roman" w:eastAsia="Times New Roman" w:hAnsi="Times New Roman"/>
          <w:sz w:val="20"/>
          <w:szCs w:val="20"/>
          <w:color w:val="auto"/>
        </w:rPr>
        <w:t xml:space="preserve"> or any applicable Permitted Refinancing Indebtedness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thereof, any such Indebtedness shall have a maturity date that is after the Maturity Date and have a Weighted Average Life to Maturity not shorter than the longest remaining Weighted Average Life to Maturity of the Facility;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requirements of this </w:t>
      </w:r>
      <w:r>
        <w:rPr>
          <w:rFonts w:ascii="Times New Roman" w:cs="Times New Roman" w:eastAsia="Times New Roman" w:hAnsi="Times New Roman"/>
          <w:sz w:val="20"/>
          <w:szCs w:val="20"/>
          <w:u w:val="single" w:color="auto"/>
          <w:color w:val="auto"/>
        </w:rPr>
        <w:t>Section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10.1(j)</w:t>
      </w:r>
      <w:r>
        <w:rPr>
          <w:rFonts w:ascii="Times New Roman" w:cs="Times New Roman" w:eastAsia="Times New Roman" w:hAnsi="Times New Roman"/>
          <w:sz w:val="20"/>
          <w:szCs w:val="20"/>
          <w:color w:val="auto"/>
        </w:rPr>
        <w:t xml:space="preserve"> shall not apply to any Indebtedness of the type that could have been incurred under </w:t>
      </w:r>
      <w:r>
        <w:rPr>
          <w:rFonts w:ascii="Times New Roman" w:cs="Times New Roman" w:eastAsia="Times New Roman" w:hAnsi="Times New Roman"/>
          <w:sz w:val="20"/>
          <w:szCs w:val="20"/>
          <w:u w:val="single" w:color="auto"/>
          <w:color w:val="auto"/>
        </w:rPr>
        <w:t>Section 10.1(g)</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1300" w:hanging="644"/>
        <w:spacing w:after="0"/>
        <w:tabs>
          <w:tab w:leader="none" w:pos="130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from Permitted Intercompany Activities to the extent constituting an Investment permitted by </w:t>
      </w:r>
      <w:r>
        <w:rPr>
          <w:rFonts w:ascii="Times New Roman" w:cs="Times New Roman" w:eastAsia="Times New Roman" w:hAnsi="Times New Roman"/>
          <w:sz w:val="20"/>
          <w:szCs w:val="20"/>
          <w:u w:val="single" w:color="auto"/>
          <w:color w:val="auto"/>
        </w:rPr>
        <w:t>Section</w:t>
      </w:r>
    </w:p>
    <w:p>
      <w:pPr>
        <w:spacing w:after="0"/>
        <w:rPr>
          <w:sz w:val="20"/>
          <w:szCs w:val="20"/>
          <w:color w:val="auto"/>
        </w:rPr>
      </w:pP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ind w:firstLine="656"/>
        <w:spacing w:after="0" w:line="222" w:lineRule="auto"/>
        <w:tabs>
          <w:tab w:leader="none" w:pos="1294"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performance bonds, bid bonds, appeal bonds, surety bonds and completion guarantees and similar obligations, and obligations in respect of letters of credit, bank guaranties or instruments related thereto, in each case provided in the ordinary course of business or consistent with past practice or industry practice, including those incurred to secure health, safety and environmental obligations in the ordinary course of business or consistent with past practice or industry practice;</w:t>
      </w:r>
    </w:p>
    <w:p>
      <w:pPr>
        <w:spacing w:after="0" w:line="157" w:lineRule="exact"/>
        <w:rPr>
          <w:rFonts w:ascii="Times New Roman" w:cs="Times New Roman" w:eastAsia="Times New Roman" w:hAnsi="Times New Roman"/>
          <w:sz w:val="20"/>
          <w:szCs w:val="20"/>
          <w:color w:val="auto"/>
        </w:rPr>
      </w:pPr>
    </w:p>
    <w:p>
      <w:pPr>
        <w:jc w:val="both"/>
        <w:ind w:firstLine="656"/>
        <w:spacing w:after="0" w:line="227" w:lineRule="auto"/>
        <w:tabs>
          <w:tab w:leader="none" w:pos="1285" w:val="left"/>
        </w:tabs>
        <w:numPr>
          <w:ilvl w:val="1"/>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other additional Indebtedness,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the aggregate principal amount of Indebtedness outstanding at any time pursuant to this </w:t>
      </w:r>
      <w:r>
        <w:rPr>
          <w:rFonts w:ascii="Times New Roman" w:cs="Times New Roman" w:eastAsia="Times New Roman" w:hAnsi="Times New Roman"/>
          <w:sz w:val="19"/>
          <w:szCs w:val="19"/>
          <w:u w:val="single" w:color="auto"/>
          <w:color w:val="auto"/>
        </w:rPr>
        <w:t>Section 10.1(m)</w:t>
      </w:r>
      <w:r>
        <w:rPr>
          <w:rFonts w:ascii="Times New Roman" w:cs="Times New Roman" w:eastAsia="Times New Roman" w:hAnsi="Times New Roman"/>
          <w:sz w:val="19"/>
          <w:szCs w:val="19"/>
          <w:color w:val="auto"/>
        </w:rPr>
        <w:t xml:space="preserve"> shall not at the time of incurrence thereof and immediately after giving effect thereto and the use of proceeds thereof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exceed the greater of $75,000,000 and five percent (5.0%) of the Borrowing Base at the time of incurrence and</w:t>
      </w:r>
    </w:p>
    <w:p>
      <w:pPr>
        <w:jc w:val="both"/>
        <w:ind w:firstLine="8"/>
        <w:spacing w:after="0" w:line="218" w:lineRule="auto"/>
        <w:tabs>
          <w:tab w:leader="none" w:pos="315"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to the incurrence or issuance thereof and the use of proceeds therefrom, (I) no Event of Default shall have occurred and be continuing and (II) no Borrowing Base Deficiency shall result therefrom and (ii) any Permitted Refinancing Indebtedness issued or incurred to Refinance such Indebtedness;</w:t>
      </w:r>
    </w:p>
    <w:p>
      <w:pPr>
        <w:spacing w:after="0" w:line="157"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4"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(i) Permitted Additional Debt;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(x) immediately after giving effect to the incurrence or issuance thereof and the use of proceeds therefrom, (A) the Borrower shall be in compliance with the Financial Performance Covenants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(B) no Event of Default shall have occurred and be continuing and (C) no Borrowing Base Deficiency shall result therefrom, (y) the Borrowing Base shall be adjusted to the extent required by </w:t>
      </w:r>
      <w:r>
        <w:rPr>
          <w:rFonts w:ascii="Times New Roman" w:cs="Times New Roman" w:eastAsia="Times New Roman" w:hAnsi="Times New Roman"/>
          <w:sz w:val="20"/>
          <w:szCs w:val="20"/>
          <w:u w:val="single" w:color="auto"/>
          <w:color w:val="auto"/>
        </w:rPr>
        <w:t>Section 2.14(e)</w:t>
      </w:r>
      <w:r>
        <w:rPr>
          <w:rFonts w:ascii="Times New Roman" w:cs="Times New Roman" w:eastAsia="Times New Roman" w:hAnsi="Times New Roman"/>
          <w:sz w:val="20"/>
          <w:szCs w:val="20"/>
          <w:color w:val="auto"/>
        </w:rPr>
        <w:t>, and (z) to the extent such Indebtedness is expressly subordinated in right of payment to the Obligations, such Indebtedness shall be subject to a Subordination Agreement and (ii) any Permitted Refinancing Indebtedness issued or incurred to Refinance such Indebtedness;</w:t>
      </w:r>
    </w:p>
    <w:p>
      <w:pPr>
        <w:spacing w:after="0" w:line="146" w:lineRule="exact"/>
        <w:rPr>
          <w:rFonts w:ascii="Times New Roman" w:cs="Times New Roman" w:eastAsia="Times New Roman" w:hAnsi="Times New Roman"/>
          <w:sz w:val="20"/>
          <w:szCs w:val="20"/>
          <w:color w:val="auto"/>
        </w:rPr>
      </w:pPr>
    </w:p>
    <w:p>
      <w:pPr>
        <w:ind w:firstLine="656"/>
        <w:spacing w:after="0"/>
        <w:tabs>
          <w:tab w:leader="none" w:pos="1284"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Management Obligations, Cash Management Services and other Indebtedness in respect of netting services, automatic clearing house arrangements, employees’ credit or purchase cards, overdraft protections and similar arrangements;</w:t>
      </w:r>
    </w:p>
    <w:p>
      <w:pPr>
        <w:spacing w:after="0" w:line="161" w:lineRule="exact"/>
        <w:rPr>
          <w:rFonts w:ascii="Times New Roman" w:cs="Times New Roman" w:eastAsia="Times New Roman" w:hAnsi="Times New Roman"/>
          <w:sz w:val="20"/>
          <w:szCs w:val="20"/>
          <w:color w:val="auto"/>
        </w:rPr>
      </w:pPr>
    </w:p>
    <w:p>
      <w:pPr>
        <w:ind w:right="20" w:firstLine="656"/>
        <w:spacing w:after="0" w:line="233" w:lineRule="auto"/>
        <w:tabs>
          <w:tab w:leader="none" w:pos="1284"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the ordinary course of business in respect of obligations of the Borrower or any Restricted Subsidiary to pay the deferred purchase price of goods or services or progress payments in connection with such goods and services;</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from agreements of the Borrower or any Restricted Subsidiary providing for indemnification, adjustment of purchase price or similar obligations (including earn-outs), in each case assumed or entered into in connection with the Transactions or other Investments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and the Disposition of any business, assets or Equity Interests not prohibited hereunder;</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Restricted Subsidiary consisting of obligations to pay insurance premiums;</w:t>
      </w:r>
    </w:p>
    <w:p>
      <w:pPr>
        <w:spacing w:after="0" w:line="175"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9"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to employees, consultants or independent contractors of the Borrower or, to the extent attributable to the ownership or operation of the Borrower and its Subsidiaries and the Restricted Subsidiaries incurred in the ordinary course of business or consistent with past practice or industry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394" w:right="339" w:bottom="1440" w:gutter="0" w:footer="0" w:header="0"/>
        </w:sectPr>
      </w:pPr>
    </w:p>
    <w:bookmarkStart w:id="152" w:name="page153"/>
    <w:bookmarkEnd w:id="152"/>
    <w:p>
      <w:pPr>
        <w:ind w:firstLine="656"/>
        <w:spacing w:after="0"/>
        <w:tabs>
          <w:tab w:leader="none" w:pos="129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obligations of the Borrower and the Restricted Subsidiaries under deferred compensation or other similar arrangements incurred by such Person in connection with the Transactions or any other Investment permitted hereunder;</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associated with bonds or surety obligations required by Requirements of Law or by Governmental Authorities in connection with the operation of Oil and Gas Properties in the ordinary course of business;</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supported by a Letter of Credit, in a principal amount not to exceed the face amount of such Letter of Credit;</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obligations in respect of Service Agreement Undertakings; and</w:t>
      </w:r>
    </w:p>
    <w:p>
      <w:pPr>
        <w:spacing w:after="0" w:line="188"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premiums (if any), interest (including post-petition interest), fees, expenses, charges, and additional or contingent interest on obligations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above.</w:t>
      </w:r>
    </w:p>
    <w:p>
      <w:pPr>
        <w:spacing w:after="0" w:line="148"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20"/>
          <w:szCs w:val="20"/>
          <w:color w:val="auto"/>
        </w:rPr>
        <w:t xml:space="preserve">For the purposes of determining compliance with, and the outstanding principal amount of Indebtedness incurred pursuant to and in compliance with,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in the event that Indebtedness meets the criteria of more than one of the types of Indebtedness described</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in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the Borrower, in its sole discretion, shall classify, and may from time to time reclassify, such item of Indebtedness and only be required to include the amount and type of such Indebtedness in one of the clauses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Limitation on Liens</w:t>
      </w:r>
      <w:r>
        <w:rPr>
          <w:rFonts w:ascii="Times New Roman" w:cs="Times New Roman" w:eastAsia="Times New Roman" w:hAnsi="Times New Roman"/>
          <w:sz w:val="19"/>
          <w:szCs w:val="19"/>
          <w:color w:val="auto"/>
        </w:rPr>
        <w:t>. The Borrower will not, and will not permit any of the Restricted Subsidiaries to, create, incur, assume or</w:t>
      </w:r>
    </w:p>
    <w:p>
      <w:pPr>
        <w:ind w:right="20"/>
        <w:spacing w:after="0" w:line="221" w:lineRule="auto"/>
        <w:rPr>
          <w:sz w:val="20"/>
          <w:szCs w:val="20"/>
          <w:color w:val="auto"/>
        </w:rPr>
      </w:pPr>
      <w:r>
        <w:rPr>
          <w:rFonts w:ascii="Times New Roman" w:cs="Times New Roman" w:eastAsia="Times New Roman" w:hAnsi="Times New Roman"/>
          <w:sz w:val="20"/>
          <w:szCs w:val="20"/>
          <w:color w:val="auto"/>
        </w:rPr>
        <w:t>suffer to exist any Lien upon any property or assets of any kind (real or personal, tangible or intangible) of the Borrower or any Restricted Subsidiary, whether now owned or hereafter acquired, except:</w:t>
      </w:r>
    </w:p>
    <w:p>
      <w:pPr>
        <w:spacing w:after="0" w:line="162" w:lineRule="exact"/>
        <w:rPr>
          <w:sz w:val="20"/>
          <w:szCs w:val="20"/>
          <w:color w:val="auto"/>
        </w:rPr>
      </w:pPr>
    </w:p>
    <w:p>
      <w:pPr>
        <w:jc w:val="both"/>
        <w:ind w:firstLine="656"/>
        <w:spacing w:after="0" w:line="226" w:lineRule="auto"/>
        <w:tabs>
          <w:tab w:leader="none" w:pos="1286"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under the Credit Documents to secure the Obligations (including Liens in respect of any Letter of Credit or Letter of Credit Application or Liens contemplated by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or permitted in respect of any Mortgaged Property by the terms of the applicable Mortgage;</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Liens;</w:t>
      </w:r>
    </w:p>
    <w:p>
      <w:pPr>
        <w:spacing w:after="0" w:line="175"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(including liens arising under Capitalized Leases to secure obligations under any Capitalized Lease) securing Indebtedness permitted pursuant to </w:t>
      </w:r>
      <w:r>
        <w:rPr>
          <w:rFonts w:ascii="Times New Roman" w:cs="Times New Roman" w:eastAsia="Times New Roman" w:hAnsi="Times New Roman"/>
          <w:sz w:val="20"/>
          <w:szCs w:val="20"/>
          <w:u w:val="single" w:color="auto"/>
          <w:color w:val="auto"/>
        </w:rPr>
        <w:t>Section 10.1(g)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Liens attach concurrently with or within three hundred sixty-five</w:t>
      </w:r>
    </w:p>
    <w:p>
      <w:pPr>
        <w:spacing w:after="0" w:line="1" w:lineRule="exact"/>
        <w:rPr>
          <w:rFonts w:ascii="Times New Roman" w:cs="Times New Roman" w:eastAsia="Times New Roman" w:hAnsi="Times New Roman"/>
          <w:sz w:val="20"/>
          <w:szCs w:val="20"/>
          <w:color w:val="auto"/>
        </w:rPr>
      </w:pPr>
    </w:p>
    <w:p>
      <w:pPr>
        <w:jc w:val="both"/>
        <w:ind w:firstLine="8"/>
        <w:spacing w:after="0" w:line="212" w:lineRule="auto"/>
        <w:tabs>
          <w:tab w:leader="none" w:pos="528"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after the acquisition, lease, repair, replacement, construction, expansion or improvement (as applicable) financed thereby, (ii) other than the property financed by such Indebtedness, such Liens do not at any time encumber any property, except for replacements thereof and accessions and additions to such property and the proceeds and the products thereof and customary security deposits and (iii) with respect to Capitalized Leases, such Liens do not at any time extend to or cover any assets (except for accessions and additions to such assets, replacements and products thereof and customary security deposits) other than the assets subject to, or acquired, constructed, repaired, replaced or improved with the proceeds of, such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case individual financings provided by one lender may be cross collateralized to other financings provided by such lender (and its Affiliates);</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date hereof that are listed on </w:t>
      </w:r>
      <w:r>
        <w:rPr>
          <w:rFonts w:ascii="Times New Roman" w:cs="Times New Roman" w:eastAsia="Times New Roman" w:hAnsi="Times New Roman"/>
          <w:sz w:val="20"/>
          <w:szCs w:val="20"/>
          <w:u w:val="single" w:color="auto"/>
          <w:color w:val="auto"/>
        </w:rPr>
        <w:t>Schedule 10.2(d)</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6"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to secure any refinancing, refunding, extension, renewal or replacement (or successive refinancings, refundings, extensions, renewals or replacements) as a whole, or in part, of any Indebtedness secured by any Lien permitted by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(x) such new Lien shall be limited to all or part of the same type of property that secured the original Indebtedness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improvements on and accessions to such property) (or upon or in after-acquired property (i) that is affixed or incorporated into the property covered by such Lien or (ii) if the terms of such Indebtedness require or include a pledge of after-acquired property (it being understood that such requirement shall not be permitted to apply to any property to which such requirement would not have applied but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399"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color w:val="auto"/>
        </w:rPr>
        <w:t>acquisition)), (y) the Indebtedness secured by such Lien at such time is not increased to any amount greater than the sum of (A)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outstanding principal amount or, if greater, committed amount of the applicable Indebtedness at the time the original Lien became a Lien permitted hereunder, and (B) an amount necessary to pay any fees and expenses, including premiums, related to such refinancing, refunding,</w:t>
      </w:r>
    </w:p>
    <w:p>
      <w:pPr>
        <w:spacing w:after="0" w:line="211" w:lineRule="auto"/>
        <w:rPr>
          <w:sz w:val="20"/>
          <w:szCs w:val="20"/>
          <w:color w:val="auto"/>
        </w:rPr>
      </w:pPr>
      <w:r>
        <w:rPr>
          <w:rFonts w:ascii="Times New Roman" w:cs="Times New Roman" w:eastAsia="Times New Roman" w:hAnsi="Times New Roman"/>
          <w:sz w:val="20"/>
          <w:szCs w:val="20"/>
          <w:color w:val="auto"/>
        </w:rPr>
        <w:t>extension, renewal or replacement and (z) on the date of the incurrence of the Indebtedness secured by such Liens, the grantors of any such</w:t>
      </w:r>
    </w:p>
    <w:p>
      <w:pPr>
        <w:spacing w:after="0" w:line="221" w:lineRule="auto"/>
        <w:rPr>
          <w:sz w:val="20"/>
          <w:szCs w:val="20"/>
          <w:color w:val="auto"/>
        </w:rPr>
      </w:pPr>
      <w:r>
        <w:rPr>
          <w:rFonts w:ascii="Times New Roman" w:cs="Times New Roman" w:eastAsia="Times New Roman" w:hAnsi="Times New Roman"/>
          <w:sz w:val="20"/>
          <w:szCs w:val="20"/>
          <w:color w:val="auto"/>
        </w:rPr>
        <w:t>Liens shall comprise only the same Persons or a subset of such Persons that were the grantors of the Liens securing the debt being refinanced, refunded, extended, renewed or replaced;</w:t>
      </w:r>
    </w:p>
    <w:p>
      <w:pPr>
        <w:spacing w:after="0" w:line="162" w:lineRule="exact"/>
        <w:rPr>
          <w:sz w:val="20"/>
          <w:szCs w:val="20"/>
          <w:color w:val="auto"/>
        </w:rPr>
      </w:pPr>
    </w:p>
    <w:p>
      <w:pPr>
        <w:jc w:val="both"/>
        <w:ind w:firstLine="656"/>
        <w:spacing w:after="0" w:line="212" w:lineRule="auto"/>
        <w:tabs>
          <w:tab w:leader="none" w:pos="1291"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assets of any Person that becomes a Subsidiary, or existing on assets acquired (other than Liens on the Equity Interests of any Person that becomes a Restricted Subsidiary), pursuant to a Permitted Acquisition or other Investment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(1) if the Liens on such assets secure Indebtedness, such Indebtedness is permitted under </w:t>
      </w:r>
      <w:r>
        <w:rPr>
          <w:rFonts w:ascii="Times New Roman" w:cs="Times New Roman" w:eastAsia="Times New Roman" w:hAnsi="Times New Roman"/>
          <w:sz w:val="20"/>
          <w:szCs w:val="20"/>
          <w:u w:val="single" w:color="auto"/>
          <w:color w:val="auto"/>
        </w:rPr>
        <w:t>Section 10.1(j)</w:t>
      </w:r>
      <w:r>
        <w:rPr>
          <w:rFonts w:ascii="Times New Roman" w:cs="Times New Roman" w:eastAsia="Times New Roman" w:hAnsi="Times New Roman"/>
          <w:sz w:val="20"/>
          <w:szCs w:val="20"/>
          <w:color w:val="auto"/>
        </w:rPr>
        <w:t xml:space="preserve"> and (2) such Liens attach at all times only to the same assets (or upon or in after-acquired property that is (i) affixed or incorporated into the property covered by such Lien, (ii) after-acquired property subject to a Lien securing Indebtedness permitted under </w:t>
      </w:r>
      <w:r>
        <w:rPr>
          <w:rFonts w:ascii="Times New Roman" w:cs="Times New Roman" w:eastAsia="Times New Roman" w:hAnsi="Times New Roman"/>
          <w:sz w:val="20"/>
          <w:szCs w:val="20"/>
          <w:u w:val="single" w:color="auto"/>
          <w:color w:val="auto"/>
        </w:rPr>
        <w:t>Section 10.1(j)</w:t>
      </w:r>
      <w:r>
        <w:rPr>
          <w:rFonts w:ascii="Times New Roman" w:cs="Times New Roman" w:eastAsia="Times New Roman" w:hAnsi="Times New Roman"/>
          <w:sz w:val="20"/>
          <w:szCs w:val="20"/>
          <w:color w:val="auto"/>
        </w:rPr>
        <w:t>, the terms of which Indebtedness require or include a pledge of after-acquired property (it being understood that such requirement shall not be permitted to apply to any property to which such requirement would not have applied but for such acquisition) and (iii) the proceeds (and products thereof) that such Liens attached to, and to the extent such Liens secure Indebtedness, secure only the same Indebtedness (or any Permitted Refinancing Indebtedness incurred to Refinance such Indebtedness) that such Liens secured, immediately prior to such Permitted Acquisition or other Investment;</w:t>
      </w:r>
    </w:p>
    <w:p>
      <w:pPr>
        <w:spacing w:after="0" w:line="15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Indebtedness or other obligations (i) of the Borrower or a Restricted Subsidiary in favor of a Guarantor and</w:t>
      </w:r>
    </w:p>
    <w:p>
      <w:pPr>
        <w:ind w:left="300" w:hanging="292"/>
        <w:spacing w:after="0"/>
        <w:tabs>
          <w:tab w:leader="none" w:pos="3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Restricted Subsidiary that is not a Guarantor in favor of any Restricted Subsidiary that is not a Guarantor;</w:t>
      </w:r>
    </w:p>
    <w:p>
      <w:pPr>
        <w:spacing w:after="0" w:line="166"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4"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of a collecting bank arising under Section 4-210 of the UCC on items in the course of collection, (ii) attaching to commodity trading accounts or other commodity brokerage accounts incurred in the ordinary course of business and (iii) in favor of a banking institution arising as a matter of law encumbering deposits (including the right of set-off)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4"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 on cash advances in favor of the seller of any property to be acquired in an Investment permitted pursuant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to be applied against the purchase price for such Investment and (ii) consisting of an agreement to Dispose of any property in a transaction permitted under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in each case, solely to the extent such Investment or Disposition, as the case may be, would have been permitted on the date of the creation of such Lien;</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94"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sale or purchase of goods entered into by the Borrower or any of the Restricted Subsidiaries in the ordinary course of business permitted by this Agreement;</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deemed to exist in connection with Investments in repurchase agreements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656"/>
        <w:spacing w:after="0" w:line="233" w:lineRule="auto"/>
        <w:tabs>
          <w:tab w:leader="none" w:pos="1294"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encumbering reasonable customary initial deposits and margin deposits and similar Liens attaching to brokerage accounts incurred in the ordinary course of business and not for speculative purposes;</w:t>
      </w:r>
    </w:p>
    <w:p>
      <w:pPr>
        <w:spacing w:after="0" w:line="160"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5"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(i) relating to the establishment of depository relations with banks not given in connection with the issuance or incurrence of Indebtedness, (ii) relating to pooled deposit or sweep accounts of the Borrower or any Restricted Subsidiary to permit satisfaction of overdraft or similar obligations incurred in the ordinary course of business of the Borrower and the Restricted Subsidiaries or (iii) relating to purchase orders and other agreements entered into with customers of the Borrower or any Restricted Subsidiary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394" w:right="339" w:bottom="1440" w:gutter="0" w:footer="0" w:header="0"/>
        </w:sectPr>
      </w:pPr>
    </w:p>
    <w:bookmarkStart w:id="154" w:name="page155"/>
    <w:bookmarkEnd w:id="154"/>
    <w:p>
      <w:pPr>
        <w:ind w:firstLine="656"/>
        <w:spacing w:after="0"/>
        <w:tabs>
          <w:tab w:leader="none" w:pos="1284"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solely on any cash earnest money deposits made by the Borrower or any of the Restricted Subsidiaries in connection with any letter of intent or purchase agreement in connection with an investment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policies and the proceeds thereof securing the financing of the premiums with respect thereto;</w:t>
      </w:r>
    </w:p>
    <w:p>
      <w:pPr>
        <w:spacing w:after="0" w:line="18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prior right of consignees and their lenders under consignment arrangements entered into in the ordinary course of</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153"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agreements to subordinate any interest of the Borrower or any Restricted Subsidiary in any accounts receivable or other proceeds arising from inventory consigned by the Borrower or any Restricted Subsidiary pursuant to an agreement entered into in the ordinary course of business;</w:t>
      </w:r>
    </w:p>
    <w:p>
      <w:pPr>
        <w:spacing w:after="0" w:line="144" w:lineRule="exact"/>
        <w:rPr>
          <w:rFonts w:ascii="Times New Roman" w:cs="Times New Roman" w:eastAsia="Times New Roman" w:hAnsi="Times New Roman"/>
          <w:sz w:val="20"/>
          <w:szCs w:val="20"/>
          <w:color w:val="auto"/>
        </w:rPr>
      </w:pPr>
    </w:p>
    <w:p>
      <w:pPr>
        <w:jc w:val="both"/>
        <w:ind w:firstLine="656"/>
        <w:spacing w:after="0" w:line="219" w:lineRule="auto"/>
        <w:tabs>
          <w:tab w:leader="none" w:pos="1291"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Junior Liens securing Permitted Refinancing Indebtedness pursuant to </w:t>
      </w:r>
      <w:r>
        <w:rPr>
          <w:rFonts w:ascii="Times New Roman" w:cs="Times New Roman" w:eastAsia="Times New Roman" w:hAnsi="Times New Roman"/>
          <w:sz w:val="20"/>
          <w:szCs w:val="20"/>
          <w:u w:val="single" w:color="auto"/>
          <w:color w:val="auto"/>
        </w:rPr>
        <w:t>Sections 10.1(b)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Liens are subject to a Junior Lien Intercreditor Agreement and any such Indebtedness secured by Junior Liens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with all other Indebtedness secured by Junior Liens, all such Indebtedness secured by a Junior Lien under this </w:t>
      </w:r>
      <w:r>
        <w:rPr>
          <w:rFonts w:ascii="Times New Roman" w:cs="Times New Roman" w:eastAsia="Times New Roman" w:hAnsi="Times New Roman"/>
          <w:sz w:val="20"/>
          <w:szCs w:val="20"/>
          <w:u w:val="single" w:color="auto"/>
          <w:color w:val="auto"/>
        </w:rPr>
        <w:t>Section 10.2(r)</w:t>
      </w:r>
      <w:r>
        <w:rPr>
          <w:rFonts w:ascii="Times New Roman" w:cs="Times New Roman" w:eastAsia="Times New Roman" w:hAnsi="Times New Roman"/>
          <w:sz w:val="20"/>
          <w:szCs w:val="20"/>
          <w:color w:val="auto"/>
        </w:rPr>
        <w:t xml:space="preserve"> shall not exceed a maximum aggregate principal amount of $200,000,000 at any one time for all such Permitted Refinancing Indebtedness that constitutes Junior Lien Indebtedness and the collateral securing such Junior Lien Indebtedness shall not include any Building (as defined in the applicable Flood Insurance Regulation) or Manufactured (Mobile) Home (as defined in the applicable Flood Insurance Regulation);</w:t>
      </w:r>
    </w:p>
    <w:p>
      <w:pPr>
        <w:spacing w:after="0" w:line="148"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9"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any Indebtedness permitted by </w:t>
      </w:r>
      <w:r>
        <w:rPr>
          <w:rFonts w:ascii="Times New Roman" w:cs="Times New Roman" w:eastAsia="Times New Roman" w:hAnsi="Times New Roman"/>
          <w:sz w:val="20"/>
          <w:szCs w:val="20"/>
          <w:u w:val="single" w:color="auto"/>
          <w:color w:val="auto"/>
        </w:rPr>
        <w:t>Section 10.1(e)</w:t>
      </w:r>
      <w:r>
        <w:rPr>
          <w:rFonts w:ascii="Times New Roman" w:cs="Times New Roman" w:eastAsia="Times New Roman" w:hAnsi="Times New Roman"/>
          <w:sz w:val="20"/>
          <w:szCs w:val="20"/>
          <w:color w:val="auto"/>
        </w:rPr>
        <w:t xml:space="preserve"> (solely and to the same extent that the Indebtedness guaranteed by such Guarantee Obligations is permitted to be subject to a Lien hereunder), </w:t>
      </w:r>
      <w:r>
        <w:rPr>
          <w:rFonts w:ascii="Times New Roman" w:cs="Times New Roman" w:eastAsia="Times New Roman" w:hAnsi="Times New Roman"/>
          <w:sz w:val="20"/>
          <w:szCs w:val="20"/>
          <w:u w:val="single" w:color="auto"/>
          <w:color w:val="auto"/>
        </w:rPr>
        <w:t>Section 10.1(l)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10.1(o)</w:t>
      </w:r>
      <w:r>
        <w:rPr>
          <w:rFonts w:ascii="Times New Roman" w:cs="Times New Roman" w:eastAsia="Times New Roman" w:hAnsi="Times New Roman"/>
          <w:sz w:val="20"/>
          <w:szCs w:val="20"/>
          <w:color w:val="auto"/>
        </w:rPr>
        <w:t xml:space="preserve"> (as long as such Liens attach only to cash and securities and securities held by the relevant Cash Management Bank) and </w:t>
      </w:r>
      <w:r>
        <w:rPr>
          <w:rFonts w:ascii="Times New Roman" w:cs="Times New Roman" w:eastAsia="Times New Roman" w:hAnsi="Times New Roman"/>
          <w:sz w:val="20"/>
          <w:szCs w:val="20"/>
          <w:u w:val="single" w:color="auto"/>
          <w:color w:val="auto"/>
        </w:rPr>
        <w:t>Section 10.1(u)</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4"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pursuant to Section 107(l) of the Comprehensive Environmental Response, Compensation and Liability Act, 42 U.S.C. § 9607(l), or other Environmental Law, unless such Lien (i) by action of the lienholder, or by operation of law, takes priority over any Liens arising under the Credit Documents on the property upon which it is a Lien, or (ii) materially impairs the use of the property covered by such Lien for the purposes for which such property is held;</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or Permitted Investments held by a trustee under any indenture or other debt agreement issued in escrow pursuant to customary escrow arrangements pending the release thereof, or under any indenture or other debt agreement pursuant to customary discharge, redemption or defeasance provisions, in each case solely to the extent the relevant release, discharge, redemption or defeasance would be permitted hereunder;</w:t>
      </w:r>
    </w:p>
    <w:p>
      <w:pPr>
        <w:spacing w:after="0" w:line="1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Liens on property not constituting Borrowing Base Properties securing obligations not in excess of the greater of</w:t>
      </w:r>
    </w:p>
    <w:p>
      <w:pPr>
        <w:ind w:left="240" w:hanging="232"/>
        <w:spacing w:after="0"/>
        <w:tabs>
          <w:tab w:leader="none" w:pos="24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$75,000,000 and (ii) five percent (5.0%) of the then-effective Borrowing Base outstanding at any time;</w:t>
      </w:r>
    </w:p>
    <w:p>
      <w:pPr>
        <w:spacing w:after="0" w:line="166" w:lineRule="exact"/>
        <w:rPr>
          <w:rFonts w:ascii="Times New Roman" w:cs="Times New Roman" w:eastAsia="Times New Roman" w:hAnsi="Times New Roman"/>
          <w:sz w:val="20"/>
          <w:szCs w:val="20"/>
          <w:color w:val="auto"/>
        </w:rPr>
      </w:pPr>
    </w:p>
    <w:p>
      <w:pPr>
        <w:ind w:firstLine="656"/>
        <w:spacing w:after="0" w:line="233" w:lineRule="auto"/>
        <w:tabs>
          <w:tab w:leader="none" w:pos="1287"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Equity Interests in (i) a joint venture that does not constitute a Subsidiary securing obligations of such joint venture so long as the assets of such joint venture do not constitute Collateral and (ii) Unrestricted Subsidiaries; and</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from judgments or decrees in circumstances not constituting an Event of Default under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(i) a Lien need not be incurred solely by reference to one category of Liens permitted under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but may be incurred under any combination of such categories (including in part under one such</w:t>
      </w:r>
    </w:p>
    <w:p>
      <w:pPr>
        <w:spacing w:after="0" w:line="212" w:lineRule="auto"/>
        <w:rPr>
          <w:sz w:val="20"/>
          <w:szCs w:val="20"/>
          <w:color w:val="auto"/>
        </w:rPr>
      </w:pPr>
      <w:r>
        <w:rPr>
          <w:rFonts w:ascii="Times New Roman" w:cs="Times New Roman" w:eastAsia="Times New Roman" w:hAnsi="Times New Roman"/>
          <w:sz w:val="20"/>
          <w:szCs w:val="20"/>
          <w:color w:val="auto"/>
        </w:rPr>
        <w:t>category and in part under any other such category) and (ii) in the event that a Lien (or any portion thereof) meets the criteria of one or more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of such categories of Liens permitted under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the Borrower shall, in its sole discretion, classify or reclassify such Lien (or any portion thereof) in any manner that complies with this </w:t>
      </w:r>
      <w:r>
        <w:rPr>
          <w:rFonts w:ascii="Times New Roman" w:cs="Times New Roman" w:eastAsia="Times New Roman" w:hAnsi="Times New Roman"/>
          <w:sz w:val="20"/>
          <w:szCs w:val="20"/>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399"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9"/>
          <w:szCs w:val="19"/>
          <w:u w:val="single" w:color="auto"/>
          <w:color w:val="auto"/>
        </w:rPr>
        <w:t>10.2</w:t>
      </w:r>
      <w:r>
        <w:rPr>
          <w:rFonts w:ascii="Times New Roman" w:cs="Times New Roman" w:eastAsia="Times New Roman" w:hAnsi="Times New Roman"/>
          <w:sz w:val="19"/>
          <w:szCs w:val="19"/>
          <w:color w:val="auto"/>
        </w:rPr>
        <w:t>. In addition, with respect to any Lien securing Indebtedness that was permitted to secure such Indebtedness at the time of the incurrence</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of such Indebtedness, such Lien shall also be permitted to secure any and all premiums, interest (including post-petition interest), fees, expenses, charges, and additional or contingent interest on obligations of such Indebtedness.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 intention to subordinate the first priority Lien granted in favor of the Secured Parties is to be hereby implied or expressed by the</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permitted existence of the Liens permitted under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the use of the phrase “subject to” when used in connection with Permitted Liens, Liens permitted by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otherwise.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20"/>
          <w:szCs w:val="20"/>
          <w:u w:val="single" w:color="auto"/>
          <w:color w:val="auto"/>
        </w:rPr>
        <w:t>Limitation on Fundamental Changes</w:t>
      </w:r>
      <w:r>
        <w:rPr>
          <w:rFonts w:ascii="Times New Roman" w:cs="Times New Roman" w:eastAsia="Times New Roman" w:hAnsi="Times New Roman"/>
          <w:sz w:val="20"/>
          <w:szCs w:val="20"/>
          <w:color w:val="auto"/>
        </w:rPr>
        <w:t>. The Borrower will not, and will not permit any of the Restricted Subsidiaries to,</w:t>
      </w:r>
    </w:p>
    <w:p>
      <w:pPr>
        <w:spacing w:after="0" w:line="221" w:lineRule="auto"/>
        <w:rPr>
          <w:sz w:val="20"/>
          <w:szCs w:val="20"/>
          <w:color w:val="auto"/>
        </w:rPr>
      </w:pPr>
      <w:r>
        <w:rPr>
          <w:rFonts w:ascii="Times New Roman" w:cs="Times New Roman" w:eastAsia="Times New Roman" w:hAnsi="Times New Roman"/>
          <w:sz w:val="20"/>
          <w:szCs w:val="20"/>
          <w:color w:val="auto"/>
        </w:rPr>
        <w:t>consummate any merger, division, consolidation or amalgamation, or liquidate, wind up or dissolve itself (or suffer any liquidation or dissolution), or Dispose of, all or substantially all its business units, assets or other properties, except that:</w:t>
      </w:r>
    </w:p>
    <w:p>
      <w:pPr>
        <w:spacing w:after="0" w:line="162" w:lineRule="exact"/>
        <w:rPr>
          <w:sz w:val="20"/>
          <w:szCs w:val="20"/>
          <w:color w:val="auto"/>
        </w:rPr>
      </w:pPr>
    </w:p>
    <w:p>
      <w:pPr>
        <w:jc w:val="both"/>
        <w:ind w:firstLine="656"/>
        <w:spacing w:after="0" w:line="218" w:lineRule="auto"/>
        <w:tabs>
          <w:tab w:leader="none" w:pos="1286"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Subsidiary of the Borrower or any other Person may be merged, amalgamated or consolidated with or into the Borrower;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 the Borrower shall be the continuing or surviving Person (and the Borrower shall remain an entity organized or existing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the laws of the United States, any state thereof or the District of Columbia) or, in the case of a merger, amalgamation or consolidation with or into the Borrower, the Person formed by or surviving any such merger, amalgamation or consolidation shall be an entity organized or existing under the laws of the United States, any state thereof or the District of Columbia (the Borrower or such Person, as the case may be, being herein referred to as the “</w:t>
      </w:r>
      <w:r>
        <w:rPr>
          <w:rFonts w:ascii="Times New Roman" w:cs="Times New Roman" w:eastAsia="Times New Roman" w:hAnsi="Times New Roman"/>
          <w:sz w:val="19"/>
          <w:szCs w:val="19"/>
          <w:u w:val="single" w:color="auto"/>
          <w:color w:val="auto"/>
        </w:rPr>
        <w:t>Successor Borrower</w:t>
      </w:r>
      <w:r>
        <w:rPr>
          <w:rFonts w:ascii="Times New Roman" w:cs="Times New Roman" w:eastAsia="Times New Roman" w:hAnsi="Times New Roman"/>
          <w:sz w:val="19"/>
          <w:szCs w:val="19"/>
          <w:color w:val="auto"/>
        </w:rPr>
        <w:t xml:space="preserve">”), (ii) the Successor Borrower (if other than the Borrower) shall expressly assume all the obligations of the Borrower under this Agreement and the other Credit Documents pursuant to a supplement hereto or thereto in form reasonably satisfactory to the Administrative Agent, (iii) no Event of Default or Borrowing Base Deficiency has occurred and is continuing at the date of such merger, amalgamation or consolidation or would result from such consummation of such merger, amalgamation or consolidation, (iv) the Borrower’s Consolidated Secured Net Leverage Ratio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shall not exceed that of the Borrower immediately prior to the consummation of such merger, amalgamation or consolidation, (v) such merger, amalgamation or consolidation does not adversely affect the Collateral, taken as a whole, in any material respect, (vi) if such merger, amalgamation or consolidation involves the Borrower and a Person that, prior to the consummation of such merger, amalgamation or consolidation, is not a Subsidiary of the Borrower</w:t>
      </w:r>
    </w:p>
    <w:p>
      <w:pPr>
        <w:spacing w:after="0" w:line="7" w:lineRule="exact"/>
        <w:rPr>
          <w:rFonts w:ascii="Times New Roman" w:cs="Times New Roman" w:eastAsia="Times New Roman" w:hAnsi="Times New Roman"/>
          <w:sz w:val="19"/>
          <w:szCs w:val="19"/>
          <w:color w:val="auto"/>
        </w:rPr>
      </w:pPr>
    </w:p>
    <w:p>
      <w:pPr>
        <w:ind w:left="360" w:hanging="352"/>
        <w:spacing w:after="0" w:line="211" w:lineRule="auto"/>
        <w:tabs>
          <w:tab w:leader="none" w:pos="3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unless it is the other party to such merger, amalgamation or consolidation or unless the Successor Borrower is the</w:t>
      </w:r>
    </w:p>
    <w:p>
      <w:pPr>
        <w:spacing w:after="0" w:line="211" w:lineRule="auto"/>
        <w:rPr>
          <w:sz w:val="20"/>
          <w:szCs w:val="20"/>
          <w:color w:val="auto"/>
        </w:rPr>
      </w:pPr>
      <w:r>
        <w:rPr>
          <w:rFonts w:ascii="Times New Roman" w:cs="Times New Roman" w:eastAsia="Times New Roman" w:hAnsi="Times New Roman"/>
          <w:sz w:val="20"/>
          <w:szCs w:val="20"/>
          <w:color w:val="auto"/>
        </w:rPr>
        <w:t>Borrower, shall have by a supplement to the Guarantee confirmed that its Guarantee shall apply to the Successor Borrower’s obligations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under this Agreement, (B) each Subsidiary grantor and each Subsidiary pledgor, unless it is the other party to such merger, amalgamation or consolidation or unless the Successor Borrower is the Borrower, shall have by a supplement to the Credit Documents confirmed that its</w:t>
      </w:r>
    </w:p>
    <w:p>
      <w:pPr>
        <w:spacing w:after="0" w:line="211" w:lineRule="auto"/>
        <w:tabs>
          <w:tab w:leader="none" w:pos="8580" w:val="left"/>
        </w:tabs>
        <w:rPr>
          <w:sz w:val="20"/>
          <w:szCs w:val="20"/>
          <w:color w:val="auto"/>
        </w:rPr>
      </w:pPr>
      <w:r>
        <w:rPr>
          <w:rFonts w:ascii="Times New Roman" w:cs="Times New Roman" w:eastAsia="Times New Roman" w:hAnsi="Times New Roman"/>
          <w:sz w:val="20"/>
          <w:szCs w:val="20"/>
          <w:color w:val="auto"/>
        </w:rPr>
        <w:t>obligations thereunder shall apply to the Successor Borrower’s obligations under this Agreement, (C)</w:t>
        <w:tab/>
        <w:t>each mortgagor of a Mortgaged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Property, unless it is the other party to such merger, amalgamation or consolidation or unless the Successor Borrower is the Borrower, shall have by an amendment to or restatement of the applicable Mortgage confirmed that its obligations thereunder shall apply to the Successor</w:t>
      </w:r>
    </w:p>
    <w:p>
      <w:pPr>
        <w:spacing w:after="0" w:line="211" w:lineRule="auto"/>
        <w:rPr>
          <w:sz w:val="20"/>
          <w:szCs w:val="20"/>
          <w:color w:val="auto"/>
        </w:rPr>
      </w:pPr>
      <w:r>
        <w:rPr>
          <w:rFonts w:ascii="Times New Roman" w:cs="Times New Roman" w:eastAsia="Times New Roman" w:hAnsi="Times New Roman"/>
          <w:sz w:val="20"/>
          <w:szCs w:val="20"/>
          <w:color w:val="auto"/>
        </w:rPr>
        <w:t>Borrower’s obligations under this Agreement, (D) the Borrower shall have delivered to the Administrative Agent an officer’s certificate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stating that such merger, amalgamation or consolidation and any supplements to the Credit Documents preserve the enforceability of the Guarantee and the perfection and priority of the Liens under the Security Documents and as to the matters of the nature referred to in </w:t>
      </w:r>
      <w:r>
        <w:rPr>
          <w:rFonts w:ascii="Times New Roman" w:cs="Times New Roman" w:eastAsia="Times New Roman" w:hAnsi="Times New Roman"/>
          <w:sz w:val="19"/>
          <w:szCs w:val="19"/>
          <w:u w:val="single" w:color="auto"/>
          <w:color w:val="auto"/>
        </w:rPr>
        <w:t>Section</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6(c)</w:t>
      </w:r>
      <w:r>
        <w:rPr>
          <w:rFonts w:ascii="Times New Roman" w:cs="Times New Roman" w:eastAsia="Times New Roman" w:hAnsi="Times New Roman"/>
          <w:sz w:val="20"/>
          <w:szCs w:val="20"/>
          <w:color w:val="auto"/>
        </w:rPr>
        <w:t>, (E) if reasonably requested by the Administrative Agent, an opinion of counsel shall be required to be provided to the effect that such</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merger, amalgamation or consolidation does not violate this Agreement or any other Credit Document and as to such other matters regarding the Successor Borrower and the Credit Documents as the Administrative Agent or its counsel may reasonably request;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w:t>
      </w:r>
    </w:p>
    <w:p>
      <w:pPr>
        <w:spacing w:after="0" w:line="222" w:lineRule="auto"/>
        <w:rPr>
          <w:sz w:val="20"/>
          <w:szCs w:val="20"/>
          <w:color w:val="auto"/>
        </w:rPr>
      </w:pPr>
      <w:r>
        <w:rPr>
          <w:rFonts w:ascii="Times New Roman" w:cs="Times New Roman" w:eastAsia="Times New Roman" w:hAnsi="Times New Roman"/>
          <w:sz w:val="19"/>
          <w:szCs w:val="19"/>
          <w:color w:val="auto"/>
        </w:rPr>
        <w:t>if the foregoing are satisfied, the Successor Borrower (if other than the Borrower) will succeed to, and be substituted for, the Borrower under</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this Agreement and (F) such merger, amalgamation or consolidation shall comply with all the conditions set forth in the definition of the term “Permitted Acquisition” or is otherwise permitted under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 (vii) the Administrative Agent shall have received at least five (5) days</w:t>
      </w:r>
    </w:p>
    <w:p>
      <w:pPr>
        <w:ind w:right="20"/>
        <w:spacing w:after="0" w:line="228" w:lineRule="auto"/>
        <w:rPr>
          <w:sz w:val="20"/>
          <w:szCs w:val="20"/>
          <w:color w:val="auto"/>
        </w:rPr>
      </w:pPr>
      <w:r>
        <w:rPr>
          <w:rFonts w:ascii="Times New Roman" w:cs="Times New Roman" w:eastAsia="Times New Roman" w:hAnsi="Times New Roman"/>
          <w:sz w:val="20"/>
          <w:szCs w:val="20"/>
          <w:color w:val="auto"/>
        </w:rPr>
        <w:t>prior to the date of such merger, amalgamation or consolidation all documentation and other information about such Successor Borrower, Subsidiary or other Person required under applicable “know your customer” and anti-money laundering rules and regulations,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399" w:right="339" w:bottom="1440" w:gutter="0" w:footer="0" w:header="0"/>
        </w:sectPr>
      </w:pPr>
    </w:p>
    <w:bookmarkStart w:id="156" w:name="page157"/>
    <w:bookmarkEnd w:id="156"/>
    <w:p>
      <w:pPr>
        <w:ind w:right="20"/>
        <w:spacing w:after="0"/>
        <w:rPr>
          <w:sz w:val="20"/>
          <w:szCs w:val="20"/>
          <w:color w:val="auto"/>
        </w:rPr>
      </w:pPr>
      <w:r>
        <w:rPr>
          <w:rFonts w:ascii="Times New Roman" w:cs="Times New Roman" w:eastAsia="Times New Roman" w:hAnsi="Times New Roman"/>
          <w:sz w:val="20"/>
          <w:szCs w:val="20"/>
          <w:color w:val="auto"/>
        </w:rPr>
        <w:t>Patriot Act that has been requested by the Administrative Agent; and (viii) such Subsidiary or other Person shall have executed a customary joinder to any then-existing Junior Lien Intercreditor Agreement;</w:t>
      </w:r>
    </w:p>
    <w:p>
      <w:pPr>
        <w:spacing w:after="0" w:line="148" w:lineRule="exact"/>
        <w:rPr>
          <w:sz w:val="20"/>
          <w:szCs w:val="20"/>
          <w:color w:val="auto"/>
        </w:rPr>
      </w:pPr>
    </w:p>
    <w:p>
      <w:pPr>
        <w:jc w:val="both"/>
        <w:ind w:firstLine="656"/>
        <w:spacing w:after="0" w:line="209" w:lineRule="auto"/>
        <w:tabs>
          <w:tab w:leader="none" w:pos="1284"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of the Borrower or any other Person (other than the Borrower) may be merged, amalgamated or consolidated with or into any one or more Subsidiaries of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in the case of any merger, amalgamation or consolidation involving one or more Restricted Subsidiaries, (A) a Restricted Subsidiary shall be the continuing or surviving Person or (B) the Borrower shall take all steps necessary to cause the Person formed by or surviving any such merger, amalgamation or consolidation (if other than a Restricted Subsidiary) to become a Restricted Subsidiary, (ii) in the case of any merger, amalgamation or consolidation involving one or more Guarantors, unless otherwise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a Guarantor shall be the continuing or surviving Person or the Person formed by or surviving any such merger, amalgamation or consolidation (if other than a Guarantor) shall execute a supplement to the Guarantee, the Collateral Agreement and any applicable Mortgage, and a joinder to the Intercompany Note and any then-existing Junior Lien Intercreditor Agreement, in form and substance reasonably satisfactory to the Collateral Agent in order for the surviving Person to become a Guarantor, and pledgor, mortgagor and grantor of Collateral for the benefit of the Secured Parties and to acknowledge and agree to the terms of the Intercompany Note and any then-existing Junior Lien Intercreditor Agreement, (iii) no Default, Event of Default or Borrowing Base Deficiency has occurred and is continuing on the date of such merger, amalgamation or consolidation or would result from the consummation of such merger, amalgamation or consolidation, (iv) if such merger, amalgamation or consolidation involves a Subsidiary and a Person that, prior to the consummation of such merger, amalgamation or consolidation, is not a Restricted Subsidiary of the Borrower, (A) the Borrower’s Consolidated Secured Net Leverage Ratio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shall not exceed that of the Borrower immediately prior to the consummation of such merger, amalgamation or consolidation, (B) the Borrower shall have delivered to the Administrative Agent an officer’s certificate stating that such merger, amalgamation or consolidation and such supplements to any Credit Document preserve the enforceability of the Guarantee and the perfection and priority of the Liens under the Collateral Agreement and (C) such merger, amalgamation or consolidation shall comply with all the conditions set forth in the definition of the term “Permitted Acquisition” or is otherwise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and (v) the Administrative Agent shall have received at least five (5) days prior to the date of such merger, amalgamation or consolidation all documentation and other information about such Subsidiary or other Person required under applicable “know your customer” and anti-money laundering rules and regulations, including the Patriot Act that has been requested by the Administrative Agent or any Lender;</w:t>
      </w:r>
    </w:p>
    <w:p>
      <w:pPr>
        <w:spacing w:after="0" w:line="159"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6"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Subsidiary that is not a Grantor may (i) merge, amalgamate or consolidate with or into any other Restricted Subsidiary that is not a Grantor and (ii) Dispose of any or all of its assets (upon voluntary liquidation or otherwise) to the Borrower, a Guarantor or any other Restricted Subsidiary of the Borrower (other than to the Production Sharing Entities);</w:t>
      </w:r>
    </w:p>
    <w:p>
      <w:pPr>
        <w:spacing w:after="0" w:line="14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Guarantor may (i) merge, amalgamate or consolidate with or into any other Subsidiary Guarantor and</w:t>
      </w:r>
    </w:p>
    <w:p>
      <w:pPr>
        <w:ind w:left="340" w:hanging="332"/>
        <w:spacing w:after="0"/>
        <w:tabs>
          <w:tab w:leader="none" w:pos="34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Dispose of any or all of its assets (upon voluntary liquidation or otherwise) to the Borrower or any other Guarantor;</w:t>
      </w:r>
    </w:p>
    <w:p>
      <w:pPr>
        <w:spacing w:after="0" w:line="166"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6"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may liquidate or dissolve if (i) the Borrower determines in good faith that such liquidation or dissolution is in the best interests of the Borrower and is not materially disadvantageous to the Lenders and (ii) to the extent such Restricted Subsidiary is a Credit Party, any assets or business of such Restricted Subsidiary not otherwise Disposed of or transferred in accordance with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in the case of any such business, discontinued, shall be transferred to, or otherwise owned or conducted by, a Guarantor after giving effect to such liquidation or dissolution;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Production Sharing Contract shall be Disposed of or transferred to the Borrower or a Guarantor;</w:t>
      </w:r>
    </w:p>
    <w:p>
      <w:pPr>
        <w:spacing w:after="0" w:line="16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Restricted Subsidiaries may consummate the Transactions;</w:t>
      </w:r>
    </w:p>
    <w:p>
      <w:pPr>
        <w:spacing w:after="0" w:line="175"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the Restricted Subsidiaries may consummate a merger, dissolution, liquidation, amalgamation, consolidation or Disposition, the purpose of which is to effect a Disposition permitted pursuant to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or an Investment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399" w:right="339" w:bottom="1440" w:gutter="0" w:footer="0" w:header="0"/>
        </w:sectPr>
      </w:pPr>
    </w:p>
    <w:bookmarkStart w:id="157" w:name="page158"/>
    <w:bookmarkEnd w:id="157"/>
    <w:p>
      <w:pPr>
        <w:jc w:val="both"/>
        <w:ind w:firstLine="656"/>
        <w:spacing w:after="0" w:line="222" w:lineRule="auto"/>
        <w:tabs>
          <w:tab w:leader="none" w:pos="128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Credit Party may consummate any merger the sole purpose of which is to reincorporate or reorganize such Credit Party in another jurisdiction in the United States as long as such merger does not adversely affect the value of the Collateral in any material respect and the surviving entity assumes all Obligations of the applicable Credit Party under the Credit Documents by delivering the information required by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and delivers any applicable information required by </w:t>
      </w:r>
      <w:r>
        <w:rPr>
          <w:rFonts w:ascii="Times New Roman" w:cs="Times New Roman" w:eastAsia="Times New Roman" w:hAnsi="Times New Roman"/>
          <w:sz w:val="20"/>
          <w:szCs w:val="20"/>
          <w:u w:val="single" w:color="auto"/>
          <w:color w:val="auto"/>
        </w:rPr>
        <w:t>Section 9.1(m)</w:t>
      </w:r>
      <w:r>
        <w:rPr>
          <w:rFonts w:ascii="Times New Roman" w:cs="Times New Roman" w:eastAsia="Times New Roman" w:hAnsi="Times New Roman"/>
          <w:sz w:val="20"/>
          <w:szCs w:val="20"/>
          <w:color w:val="auto"/>
        </w:rPr>
        <w:t>; and</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29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Production Sharing Entity may (i) merge, amalgamate or consolidate with or into any other Production Sharing Entity and (ii) Dispose of any or all of its assets (upon voluntary liquidation or otherwise) to any other Production Sharing Entity.</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20"/>
          <w:szCs w:val="20"/>
          <w:u w:val="single" w:color="auto"/>
          <w:color w:val="auto"/>
        </w:rPr>
        <w:t>Limitation on Sale of Assets</w:t>
      </w:r>
      <w:r>
        <w:rPr>
          <w:rFonts w:ascii="Times New Roman" w:cs="Times New Roman" w:eastAsia="Times New Roman" w:hAnsi="Times New Roman"/>
          <w:sz w:val="20"/>
          <w:szCs w:val="20"/>
          <w:color w:val="auto"/>
        </w:rPr>
        <w:t>. The Borrower will not, and will not permit any of the Restricted Subsidiaries to, (x) convey,</w:t>
      </w:r>
    </w:p>
    <w:p>
      <w:pPr>
        <w:spacing w:after="0" w:line="215" w:lineRule="auto"/>
        <w:rPr>
          <w:sz w:val="20"/>
          <w:szCs w:val="20"/>
          <w:color w:val="auto"/>
        </w:rPr>
      </w:pPr>
      <w:r>
        <w:rPr>
          <w:rFonts w:ascii="Times New Roman" w:cs="Times New Roman" w:eastAsia="Times New Roman" w:hAnsi="Times New Roman"/>
          <w:sz w:val="19"/>
          <w:szCs w:val="19"/>
          <w:color w:val="auto"/>
        </w:rPr>
        <w:t>sell, lease, sell and leaseback, assign, transfer (including any Production Payments and Reserve Sales) or otherwise dispose of any of its property, business or assets (including receivables and leasehold interests), whether now owned or hereafter acquired or (y) sell to any Person</w:t>
      </w:r>
    </w:p>
    <w:p>
      <w:pPr>
        <w:spacing w:after="0" w:line="228" w:lineRule="auto"/>
        <w:rPr>
          <w:sz w:val="20"/>
          <w:szCs w:val="20"/>
          <w:color w:val="auto"/>
        </w:rPr>
      </w:pPr>
      <w:r>
        <w:rPr>
          <w:rFonts w:ascii="Times New Roman" w:cs="Times New Roman" w:eastAsia="Times New Roman" w:hAnsi="Times New Roman"/>
          <w:sz w:val="20"/>
          <w:szCs w:val="20"/>
          <w:color w:val="auto"/>
        </w:rPr>
        <w:t>(other than the Borrower or a Guarantor) any shares owned by it of any Restricted Subsidiary’s Equity Interests (each of the foregoing a “</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except that:</w:t>
      </w:r>
    </w:p>
    <w:p>
      <w:pPr>
        <w:spacing w:after="0" w:line="149" w:lineRule="exact"/>
        <w:rPr>
          <w:sz w:val="20"/>
          <w:szCs w:val="20"/>
          <w:color w:val="auto"/>
        </w:rPr>
      </w:pPr>
    </w:p>
    <w:p>
      <w:pPr>
        <w:jc w:val="both"/>
        <w:ind w:firstLine="656"/>
        <w:spacing w:after="0" w:line="218" w:lineRule="auto"/>
        <w:tabs>
          <w:tab w:leader="none" w:pos="1286"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the Restricted Subsidiaries may Dispose of (i) inventory and other goods held for sale, including Hydrocarbons, obsolete, worn out, used or surplus equipment, vehicles and other assets (other than accounts receivable) in the ordinary course of business, (ii) Permitted Investments and (iii) assets for the purposes of community and public outreach, including, without limitation, charitable contributions and similar gifts, funding of or participation in trade, business and technical associations, and political contributions made in accordance with applicable Requirement of Law, to the extent such assets are not material to the ability of the Borrower and its Subsidiaries, taken as a whole, to conduct its business in the ordinary course;</w:t>
      </w:r>
    </w:p>
    <w:p>
      <w:pPr>
        <w:spacing w:after="0" w:line="150" w:lineRule="exact"/>
        <w:rPr>
          <w:rFonts w:ascii="Times New Roman" w:cs="Times New Roman" w:eastAsia="Times New Roman" w:hAnsi="Times New Roman"/>
          <w:sz w:val="20"/>
          <w:szCs w:val="20"/>
          <w:color w:val="auto"/>
        </w:rPr>
      </w:pPr>
    </w:p>
    <w:p>
      <w:pPr>
        <w:jc w:val="both"/>
        <w:ind w:firstLine="656"/>
        <w:spacing w:after="0" w:line="210" w:lineRule="auto"/>
        <w:tabs>
          <w:tab w:leader="none" w:pos="1284"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the Restricted Subsidiaries may Dispose of any Borrowing Base Properties (or of any Subsidiary owning Borrowing Base Properties), including, without limitation, Dispositions in respect of Production Payments and Reserve Sales and in connection with operating agreements, Farm-In Agreements, Farm-Out Agreements, joint exploration and development agreements and other agreements customary in the oil and gas industry for the purpose of developing such Oil and Gas Properties, so long as (i) such Disposition is for Fair Market Value, (ii) at least seventy-five percent (75%) of the consideration for such Disposition is cash received by the Borrower or Restricted Subsidiary making such Disposition and (iii) no Event of Default or Borrowing Base Deficiency exists or would result therefrom (unless, in the case of a Borrowing Base Deficiency, the Net Cash Proceeds of such Disposition are sufficient, together with Unrestricted Cash, to eliminate any Borrowing Base Deficiency that would result therefrom);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sum of (x) the Borrowing Base Value of terminated, unwound and/or off-setting positions in respect of commodity hedge positions (whether evidenced by a floor, put or Hedge Agreement) (after taking into account any other similar Hedge Agreements acceptable to the Required Lenders executed contemporaneously with the taking of such actions)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(y) the aggregate Borrowing Base Value of all such Borrowing Base Properties Disposed of (after giving effect to any concurrent acquisitions of and other investments in Oil and Gas Properties by the Borrower and its Restricted Subsidiaries with respect to which the Borrower has delivered an acceptable Reserve Report to the Required Lenders in accordance with </w:t>
      </w:r>
      <w:r>
        <w:rPr>
          <w:rFonts w:ascii="Times New Roman" w:cs="Times New Roman" w:eastAsia="Times New Roman" w:hAnsi="Times New Roman"/>
          <w:sz w:val="20"/>
          <w:szCs w:val="20"/>
          <w:u w:val="single" w:color="auto"/>
          <w:color w:val="auto"/>
        </w:rPr>
        <w:t>Section 9.13(b)</w:t>
      </w:r>
      <w:r>
        <w:rPr>
          <w:rFonts w:ascii="Times New Roman" w:cs="Times New Roman" w:eastAsia="Times New Roman" w:hAnsi="Times New Roman"/>
          <w:sz w:val="20"/>
          <w:szCs w:val="20"/>
          <w:color w:val="auto"/>
        </w:rPr>
        <w:t xml:space="preserve">), in each case, since the later of (A) the most recent Scheduled Redetermination Date and (B) the last adjustment of the Borrowing Base made pursuant to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exceeds five percent (5.0%) of the then-effective Borrowing Base, then the Borrower shall provide notice to the Administrative Agent of such Disposition pursuant to </w:t>
      </w:r>
      <w:r>
        <w:rPr>
          <w:rFonts w:ascii="Times New Roman" w:cs="Times New Roman" w:eastAsia="Times New Roman" w:hAnsi="Times New Roman"/>
          <w:sz w:val="20"/>
          <w:szCs w:val="20"/>
          <w:u w:val="single" w:color="auto"/>
          <w:color w:val="auto"/>
        </w:rPr>
        <w:t>Section 9.1(k)</w:t>
      </w:r>
      <w:r>
        <w:rPr>
          <w:rFonts w:ascii="Times New Roman" w:cs="Times New Roman" w:eastAsia="Times New Roman" w:hAnsi="Times New Roman"/>
          <w:sz w:val="20"/>
          <w:szCs w:val="20"/>
          <w:color w:val="auto"/>
        </w:rPr>
        <w:t xml:space="preserve"> and the Borrowing Base Properties so Disposed and the Borrowing Base may be adjusted in accordance with the provisions of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w:t>
      </w:r>
    </w:p>
    <w:p>
      <w:pPr>
        <w:spacing w:after="0" w:line="156" w:lineRule="exact"/>
        <w:rPr>
          <w:rFonts w:ascii="Times New Roman" w:cs="Times New Roman" w:eastAsia="Times New Roman" w:hAnsi="Times New Roman"/>
          <w:sz w:val="20"/>
          <w:szCs w:val="20"/>
          <w:color w:val="auto"/>
        </w:rPr>
      </w:pPr>
    </w:p>
    <w:p>
      <w:pPr>
        <w:jc w:val="both"/>
        <w:ind w:firstLine="656"/>
        <w:spacing w:after="0" w:line="225" w:lineRule="auto"/>
        <w:tabs>
          <w:tab w:leader="none" w:pos="1286" w:val="left"/>
        </w:tabs>
        <w:numPr>
          <w:ilvl w:val="1"/>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Borrower and the other Guarantors may Dispose of property or assets to any other Guarantor, (ii) any Restricted Subsidiary may Dispose of property or assets (other than a Production Sharing Contract) to the Borrower or to a Guarantor, (iii) any Restricted Subsidiary that is not a Guarantor may Dispose of property or assets to any other Restricted Subsidiary that is not a Guarantor and</w:t>
      </w:r>
    </w:p>
    <w:p>
      <w:pPr>
        <w:spacing w:after="0" w:line="1"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Production Sharing Entities may Dispose of Production Sharing Contracts to any other Production Sharing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399" w:right="339" w:bottom="1440" w:gutter="0" w:footer="0" w:header="0"/>
        </w:sectPr>
      </w:pPr>
    </w:p>
    <w:bookmarkStart w:id="158" w:name="page159"/>
    <w:bookmarkEnd w:id="158"/>
    <w:p>
      <w:pPr>
        <w:jc w:val="both"/>
        <w:ind w:firstLine="656"/>
        <w:spacing w:after="0" w:line="212" w:lineRule="auto"/>
        <w:tabs>
          <w:tab w:leader="none" w:pos="128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such transaction constitutes a Disposition, the Borrower and any Restricted Subsidiary may effect any transaction permitted by </w:t>
      </w:r>
      <w:r>
        <w:rPr>
          <w:rFonts w:ascii="Times New Roman" w:cs="Times New Roman" w:eastAsia="Times New Roman" w:hAnsi="Times New Roman"/>
          <w:sz w:val="20"/>
          <w:szCs w:val="20"/>
          <w:u w:val="single" w:color="auto"/>
          <w:color w:val="auto"/>
        </w:rPr>
        <w:t>Sections 10.2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10.2(s)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10.3(g)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10.5(t)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(other than in the case of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to the extent any such Restricted Payment by the Borrower consists of Oil and Gas Properties);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aggregate Borrowing Base Value of all Borrowing Base Properties Disposed of pursuant to a transaction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(after giving effect to any concurrent acquisitions of and other investments in Oil and Gas Properties by the Borrower and its Restricted Subsidiaries with respect to which the Borrower has delivered an acceptable Reserve Report to the Required Lenders in accordance with </w:t>
      </w:r>
      <w:r>
        <w:rPr>
          <w:rFonts w:ascii="Times New Roman" w:cs="Times New Roman" w:eastAsia="Times New Roman" w:hAnsi="Times New Roman"/>
          <w:sz w:val="20"/>
          <w:szCs w:val="20"/>
          <w:u w:val="single" w:color="auto"/>
          <w:color w:val="auto"/>
        </w:rPr>
        <w:t>Section 9.13(b)</w:t>
      </w:r>
      <w:r>
        <w:rPr>
          <w:rFonts w:ascii="Times New Roman" w:cs="Times New Roman" w:eastAsia="Times New Roman" w:hAnsi="Times New Roman"/>
          <w:sz w:val="20"/>
          <w:szCs w:val="20"/>
          <w:color w:val="auto"/>
        </w:rPr>
        <w:t xml:space="preserve">), in each case, since the later of (A) the most recent Scheduled Redetermination Date and (B) the last adjustment of the Borrowing Base made pursuant to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exceeds five percent (5.0%) of the then-effective Borrowing Base, then the Borrower shall provide notice to the Administrative Agent of such Disposition pursuant to </w:t>
      </w:r>
      <w:r>
        <w:rPr>
          <w:rFonts w:ascii="Times New Roman" w:cs="Times New Roman" w:eastAsia="Times New Roman" w:hAnsi="Times New Roman"/>
          <w:sz w:val="20"/>
          <w:szCs w:val="20"/>
          <w:u w:val="single" w:color="auto"/>
          <w:color w:val="auto"/>
        </w:rPr>
        <w:t>Section 9.1(k)</w:t>
      </w:r>
      <w:r>
        <w:rPr>
          <w:rFonts w:ascii="Times New Roman" w:cs="Times New Roman" w:eastAsia="Times New Roman" w:hAnsi="Times New Roman"/>
          <w:sz w:val="20"/>
          <w:szCs w:val="20"/>
          <w:color w:val="auto"/>
        </w:rPr>
        <w:t xml:space="preserve"> and the Borrowing Base Properties so Disposed and the Borrowing Base may be adjusted in accordance with the provisions of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the Restricted Subsidiaries may lease, sublease, license or sublicense real property (other than Oil and Gas Properties, except to the extent such Oil and Gas Properties represent fee owned real property leased to a Guarantor), personal property or intellectual property in the ordinary course of business;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intellectual property, the Borrower or any of its Restricted Subsidiaries receives (or retains) a license or other ownership rights to use such intellectual property;</w:t>
      </w:r>
    </w:p>
    <w:p>
      <w:pPr>
        <w:spacing w:after="0" w:line="148" w:lineRule="exact"/>
        <w:rPr>
          <w:rFonts w:ascii="Times New Roman" w:cs="Times New Roman" w:eastAsia="Times New Roman" w:hAnsi="Times New Roman"/>
          <w:sz w:val="20"/>
          <w:szCs w:val="20"/>
          <w:color w:val="auto"/>
        </w:rPr>
      </w:pPr>
    </w:p>
    <w:p>
      <w:pPr>
        <w:jc w:val="both"/>
        <w:ind w:firstLine="656"/>
        <w:spacing w:after="0" w:line="215" w:lineRule="auto"/>
        <w:tabs>
          <w:tab w:leader="none" w:pos="1291"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(including like-kind exchanges and reverse like-kind exchanges) of property to the extent that (i) such property is exchanged for credit against the purchase price of similar replacement property or (ii) the proceeds of such Disposition are applied to the purchase price of such replacement property;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if Borrowing Base Properties are Disposed of pursuant to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after giving effect to such Disposition, the difference between (x) the Borrowing Base in effect immediately prior to such Disposition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(y) the PV-9 (calculated at the time of such Disposition) of the Borrowing Base Properties Disposed of since the later of (i) the last Scheduled Redetermination Date and (ii) the last adjustment of the Borrowing Base made pursuant to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exceeds the Aggregate Elected Commitment Amount in effect immediately prior to such Disposition;</w:t>
      </w:r>
    </w:p>
    <w:p>
      <w:pPr>
        <w:spacing w:after="0" w:line="164"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Dispositions of, or Farm-Out Agreements with respect to, undeveloped acreage to which no Proved Reserves are attributable and assignments in connection with such Dispositions or Farm-Out Agreements and (ii) Dispositions of surface interests or properties that are not Borrowing Base Properties;</w:t>
      </w:r>
    </w:p>
    <w:p>
      <w:pPr>
        <w:spacing w:after="0" w:line="160" w:lineRule="exact"/>
        <w:rPr>
          <w:rFonts w:ascii="Times New Roman" w:cs="Times New Roman" w:eastAsia="Times New Roman" w:hAnsi="Times New Roman"/>
          <w:sz w:val="20"/>
          <w:szCs w:val="20"/>
          <w:color w:val="auto"/>
        </w:rPr>
      </w:pPr>
    </w:p>
    <w:p>
      <w:pPr>
        <w:jc w:val="both"/>
        <w:ind w:right="20" w:firstLine="656"/>
        <w:spacing w:after="0" w:line="226" w:lineRule="auto"/>
        <w:tabs>
          <w:tab w:leader="none" w:pos="128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Investments in joint ventures (regardless of the form of legal entity) to the extent required by, or made pursuant to, customary buy/sell arrangements between the joint venture parties set forth in joint venture arrangements and similar binding arrangements;</w:t>
      </w:r>
    </w:p>
    <w:p>
      <w:pPr>
        <w:spacing w:after="0" w:line="14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property subject to a Casualty Event or in connection with any condemnation proceeding with respect to</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w:t>
      </w:r>
    </w:p>
    <w:p>
      <w:pPr>
        <w:spacing w:after="0" w:line="16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unwinding or termination of any Hedge Agreement (subject to the terms of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10.4(b)</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or Farm-Out Agreements with respect to, Oil and Gas Properties or any interest therein, or the Equity Interests of any Restricted Subsidiary or of any Minority Investment owning Oil and Gas Properties, in each case that are not Borrowing Base Properties and other assets not included in the Borrowing Base, in each case subject to the mandatory prepayment of the Loans pursuant to </w:t>
      </w:r>
      <w:r>
        <w:rPr>
          <w:rFonts w:ascii="Times New Roman" w:cs="Times New Roman" w:eastAsia="Times New Roman" w:hAnsi="Times New Roman"/>
          <w:sz w:val="20"/>
          <w:szCs w:val="20"/>
          <w:u w:val="single" w:color="auto"/>
          <w:color w:val="auto"/>
        </w:rPr>
        <w:t>Section 5.2(b)(ii)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 such Disposition shall be for Fair Market Value and (ii) no Event of Default shall have occurred and be continuing;</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conveyance, issuance or sale of Equity Interests in, or sale of Indebtedness or other securities of, an Unrestricted Subsidiary (or a Restricted Subsidiary which owns an Unrestricted Subsidiary so long as such Restricted Subsidiary owns no assets other than the Equity Interests of such Unrestricted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399" w:right="339" w:bottom="1440" w:gutter="0" w:footer="0" w:header="0"/>
        </w:sectPr>
      </w:pPr>
    </w:p>
    <w:bookmarkStart w:id="159" w:name="page160"/>
    <w:bookmarkEnd w:id="159"/>
    <w:p>
      <w:pPr>
        <w:jc w:val="both"/>
        <w:ind w:firstLine="656"/>
        <w:spacing w:after="0" w:line="237" w:lineRule="auto"/>
        <w:tabs>
          <w:tab w:leader="none" w:pos="1285"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adjustment of the Borrowing Base as set forth in </w:t>
      </w:r>
      <w:r>
        <w:rPr>
          <w:rFonts w:ascii="Times New Roman" w:cs="Times New Roman" w:eastAsia="Times New Roman" w:hAnsi="Times New Roman"/>
          <w:sz w:val="19"/>
          <w:szCs w:val="19"/>
          <w:u w:val="single" w:color="auto"/>
          <w:color w:val="auto"/>
        </w:rPr>
        <w:t>Section 2.14(f)</w:t>
      </w:r>
      <w:r>
        <w:rPr>
          <w:rFonts w:ascii="Times New Roman" w:cs="Times New Roman" w:eastAsia="Times New Roman" w:hAnsi="Times New Roman"/>
          <w:sz w:val="19"/>
          <w:szCs w:val="19"/>
          <w:color w:val="auto"/>
        </w:rPr>
        <w:t xml:space="preserve"> to the extent applicable, any swap of assets (other than cash equivalents) in exchange for services or assets of the same type in the ordinary course of business of comparable or greater value or usefulness to the business of the Borrower and its Subsidiaries as a whole, as determined in good faith by the management of the Borrower;</w:t>
      </w:r>
    </w:p>
    <w:p>
      <w:pPr>
        <w:spacing w:after="0" w:line="162"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listed on </w:t>
      </w:r>
      <w:r>
        <w:rPr>
          <w:rFonts w:ascii="Times New Roman" w:cs="Times New Roman" w:eastAsia="Times New Roman" w:hAnsi="Times New Roman"/>
          <w:sz w:val="20"/>
          <w:szCs w:val="20"/>
          <w:u w:val="single" w:color="auto"/>
          <w:color w:val="auto"/>
        </w:rPr>
        <w:t>Schedule 10.4(n)</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 of any asset between or among the Borrower and/or its Subsidiaries as a substantially concurrent interim Disposition in connection with a transaction permitted by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or in connection with an Investment otherwise permitted pursuant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or a Disposition otherwise permitted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above, so long as any such Disposition to a non-Guarantor shall be subject to adjustment of the Borrowing Base as set forth in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to the extent applicable;</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lapse or abandonment in the ordinary course of business of any registrations or applications for registration of any immaterial intellectual property rights;</w:t>
      </w:r>
    </w:p>
    <w:p>
      <w:pPr>
        <w:spacing w:after="0" w:line="161"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for Fair Market Value of assets up to an aggregate value for all such Dispositions of $20,000,000 in any fiscal year;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aggregate Borrowing Base Value of all such Borrowing Base Properties Disposed of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10.4(q)</w:t>
      </w:r>
      <w:r>
        <w:rPr>
          <w:rFonts w:ascii="Times New Roman" w:cs="Times New Roman" w:eastAsia="Times New Roman" w:hAnsi="Times New Roman"/>
          <w:sz w:val="20"/>
          <w:szCs w:val="20"/>
          <w:color w:val="auto"/>
        </w:rPr>
        <w:t xml:space="preserve"> (after giving effect to any concurrent acquisitions of and other investments in Oil and Gas Properties by the Borrower and its Restricted Subsidiaries with respect to which the Borrower has delivered an acceptable Reserve Report to the Required Lenders in accordance with </w:t>
      </w:r>
      <w:r>
        <w:rPr>
          <w:rFonts w:ascii="Times New Roman" w:cs="Times New Roman" w:eastAsia="Times New Roman" w:hAnsi="Times New Roman"/>
          <w:sz w:val="20"/>
          <w:szCs w:val="20"/>
          <w:u w:val="single" w:color="auto"/>
          <w:color w:val="auto"/>
        </w:rPr>
        <w:t>Section 9.13(b)</w:t>
      </w:r>
      <w:r>
        <w:rPr>
          <w:rFonts w:ascii="Times New Roman" w:cs="Times New Roman" w:eastAsia="Times New Roman" w:hAnsi="Times New Roman"/>
          <w:sz w:val="20"/>
          <w:szCs w:val="20"/>
          <w:color w:val="auto"/>
        </w:rPr>
        <w:t xml:space="preserve">), in each case, since the later of (A) the most recent Scheduled Redetermination Date and (B) the last adjustment of the Borrowing Base made pursuant to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exceeds five percent (5.0%) of the then-effective Borrowing Base, then the Borrower shall provide notice to the Administrative Agent of such Disposition pursuant to </w:t>
      </w:r>
      <w:r>
        <w:rPr>
          <w:rFonts w:ascii="Times New Roman" w:cs="Times New Roman" w:eastAsia="Times New Roman" w:hAnsi="Times New Roman"/>
          <w:sz w:val="20"/>
          <w:szCs w:val="20"/>
          <w:u w:val="single" w:color="auto"/>
          <w:color w:val="auto"/>
        </w:rPr>
        <w:t>Section 9.1(k)</w:t>
      </w:r>
      <w:r>
        <w:rPr>
          <w:rFonts w:ascii="Times New Roman" w:cs="Times New Roman" w:eastAsia="Times New Roman" w:hAnsi="Times New Roman"/>
          <w:sz w:val="20"/>
          <w:szCs w:val="20"/>
          <w:color w:val="auto"/>
        </w:rPr>
        <w:t xml:space="preserve"> and the Borrowing Base Properties so Disposed and the Borrowing Base may be adjusted in accordance with the provisions of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1"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 of any easement on any surface rights to any Governmental Authority to satisfy the requirements of any “conservation easements” or similar programs established by any Governmental Authority;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Disposition does not materially impair the exploitation and development of the affected Oil and Gas Properties; and</w:t>
      </w:r>
    </w:p>
    <w:p>
      <w:pPr>
        <w:spacing w:after="0" w:line="160"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9"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issuance or sale of any Permitted Convertible Debt by the Borrower, (ii) the sale of any Permitted Warrant Transaction by the Borrower, (ii) the purchase of any Permitted Bond Hedge Transaction by the Borrower, (iv) the performance by the Borrower of its obligations under any Permitted Convertible Debt, any Permitted Warrant Transaction or any Permitted Bond Hedge Transaction, in each case as permitted by this Agreement or (v) the early unwind or termination of any Permitted Bond Hedge Transactions or any Permitted Warrant Transactions.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To the extent any Collateral is Disposed of as expressly permitted by this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to any Person other than a Credit Party, such</w:t>
      </w:r>
    </w:p>
    <w:p>
      <w:pPr>
        <w:spacing w:after="0" w:line="204" w:lineRule="auto"/>
        <w:rPr>
          <w:sz w:val="20"/>
          <w:szCs w:val="20"/>
          <w:color w:val="auto"/>
        </w:rPr>
      </w:pPr>
      <w:r>
        <w:rPr>
          <w:rFonts w:ascii="Times New Roman" w:cs="Times New Roman" w:eastAsia="Times New Roman" w:hAnsi="Times New Roman"/>
          <w:sz w:val="20"/>
          <w:szCs w:val="20"/>
          <w:color w:val="auto"/>
        </w:rPr>
        <w:t>Collateral shall be sold free and clear of the Liens created by the Credit Documents, and, if requested by the Administrative Agent, upon the certification by the Borrower that such Disposition is permitted by this Agreement, the Administrative Agent shall be authorized to take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actions deemed appropriate in order to effect the foregoing at Borrower’s sole cost and expense.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Limitation on Investments</w:t>
      </w:r>
      <w:r>
        <w:rPr>
          <w:rFonts w:ascii="Times New Roman" w:cs="Times New Roman" w:eastAsia="Times New Roman" w:hAnsi="Times New Roman"/>
          <w:sz w:val="20"/>
          <w:szCs w:val="20"/>
          <w:color w:val="auto"/>
        </w:rPr>
        <w:t>. The Borrower will not, and will not permit any of the Restricted Subsidiaries, to (i) purchase or acquire (including pursuant to any merger, consolidation or amalgamation with a person that is not a Wholly owned Subsidiary immediately</w:t>
      </w:r>
    </w:p>
    <w:p>
      <w:pPr>
        <w:spacing w:after="0" w:line="224" w:lineRule="auto"/>
        <w:rPr>
          <w:sz w:val="20"/>
          <w:szCs w:val="20"/>
          <w:color w:val="auto"/>
        </w:rPr>
      </w:pPr>
      <w:r>
        <w:rPr>
          <w:rFonts w:ascii="Times New Roman" w:cs="Times New Roman" w:eastAsia="Times New Roman" w:hAnsi="Times New Roman"/>
          <w:sz w:val="19"/>
          <w:szCs w:val="19"/>
          <w:color w:val="auto"/>
        </w:rPr>
        <w:t>prior to such merger, consolidation or amalgamation) any Equity Interests, evidences of Indebtedness or other securities of any other Person,</w:t>
      </w:r>
    </w:p>
    <w:p>
      <w:pPr>
        <w:jc w:val="both"/>
        <w:ind w:firstLine="8"/>
        <w:spacing w:after="0" w:line="218" w:lineRule="auto"/>
        <w:tabs>
          <w:tab w:leader="none" w:pos="317"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loans or advances to or guarantees of the Indebtedness of any other Person, or (iii) purchase or otherwise acquire (in one transaction or a series of related transactions) (x) all or substantially all of the property and assets or business of another Person or (y) assets constituting a business unit, line of business or division of such Person (each, an “</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399" w:right="339" w:bottom="1440" w:gutter="0" w:footer="0" w:header="0"/>
        </w:sectPr>
      </w:pPr>
    </w:p>
    <w:bookmarkStart w:id="160" w:name="page161"/>
    <w:bookmarkEnd w:id="160"/>
    <w:p>
      <w:pPr>
        <w:ind w:firstLine="656"/>
        <w:spacing w:after="0"/>
        <w:tabs>
          <w:tab w:leader="none" w:pos="1286"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extensions of trade credit and purchases of assets and services (including purchases of inventory, supplies and materials) in the ordinary course of business;</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assets that constituted Permitted Investments at the time such Investments were made;</w:t>
      </w:r>
    </w:p>
    <w:p>
      <w:pPr>
        <w:spacing w:after="0" w:line="18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officers, directors, employees and consultants of the Borrower or any of its Restricted Subsidiaries</w:t>
      </w:r>
    </w:p>
    <w:p>
      <w:pPr>
        <w:jc w:val="both"/>
        <w:ind w:firstLine="8"/>
        <w:spacing w:after="0" w:line="212" w:lineRule="auto"/>
        <w:tabs>
          <w:tab w:leader="none" w:pos="273"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reasonable and customary business-related travel, entertainment, relocation and analogous ordinary business purposes (including employee payroll advances) and (ii) in connection with such Person’s purchase of Equity Interests of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(x) to the extent such loans and advances are made in cash, the amount of such loans and advances used to acquire such Equity Interests shall be contributed to the Borrower in cash and (y) the aggregate principal amount outstanding pursuant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shall not exceed $5,000,000;</w:t>
      </w:r>
    </w:p>
    <w:p>
      <w:pPr>
        <w:spacing w:after="0" w:line="163"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existing on, or made pursuant to commitments in existence on, the Closing Date as set forth on </w:t>
      </w:r>
      <w:r>
        <w:rPr>
          <w:rFonts w:ascii="Times New Roman" w:cs="Times New Roman" w:eastAsia="Times New Roman" w:hAnsi="Times New Roman"/>
          <w:sz w:val="20"/>
          <w:szCs w:val="20"/>
          <w:u w:val="single" w:color="auto"/>
          <w:color w:val="auto"/>
        </w:rPr>
        <w:t>Schedule 10.5(d)</w:t>
      </w:r>
      <w:r>
        <w:rPr>
          <w:rFonts w:ascii="Times New Roman" w:cs="Times New Roman" w:eastAsia="Times New Roman" w:hAnsi="Times New Roman"/>
          <w:sz w:val="20"/>
          <w:szCs w:val="20"/>
          <w:color w:val="auto"/>
        </w:rPr>
        <w:t xml:space="preserve">, (ii) Investments existing on the Closing Date of the Borrower or any Subsidiary in any other Subsidiary and (iii) any extensions, modifications, replacements, renewals or reinvestments thereof, so long as the amount of any Investment made pursuant to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is not increased at any time above the amount of such Investment as of the Closing Date (other than (a) pursuant to an increase as required by the terms of any such Investment as in existence on the Closing Date or (b) as otherwise permitted under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6"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acquired by the Borrower or any of its Restricted Subsidiaries: (i) in exchange for any other Investment, accounts receivable or endorsements for collection or deposit held by the Borrower or any such Restricted Subsidiary in each case in connection with or as a result of a bankruptcy, workout, reorganization or recapitalization of, or settlement of delinquent accounts and disputes with or judgments against, the issuer of such other Investment or accounts receivable (including any trade creditor or customer), (ii) in satisfaction of judgments against other Persons, (iii) as a result of a foreclosure by the Borrower or any of its Restricted Subsidiaries with respect to any secured Investment or other transfer of title with respect to any secured Investment in default or (iv) as a result of the settlement, compromise or resolution of litigation, arbitration or other disputes with Persons who are not Affiliates;</w:t>
      </w:r>
    </w:p>
    <w:p>
      <w:pPr>
        <w:spacing w:after="0" w:line="16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to the extent that payment for such Investments is made with Qualified Equity Interests of the Borrower;</w:t>
      </w:r>
    </w:p>
    <w:p>
      <w:pPr>
        <w:spacing w:after="0" w:line="175" w:lineRule="exact"/>
        <w:rPr>
          <w:rFonts w:ascii="Times New Roman" w:cs="Times New Roman" w:eastAsia="Times New Roman" w:hAnsi="Times New Roman"/>
          <w:sz w:val="20"/>
          <w:szCs w:val="20"/>
          <w:color w:val="auto"/>
        </w:rPr>
      </w:pPr>
    </w:p>
    <w:p>
      <w:pPr>
        <w:jc w:val="both"/>
        <w:ind w:right="20" w:firstLine="656"/>
        <w:spacing w:after="0" w:line="230" w:lineRule="auto"/>
        <w:tabs>
          <w:tab w:leader="none" w:pos="1284"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 by the Borrower in any Guarantor or by any Guarantor in the Borrower, and (ii) by any Grantor in the Borrower or any other Grantor;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Investments by any Grantor in the Borrower or any Guarantor shall be subordinated in right of payment to the Loans;</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constituting Permitted Acquisitions;</w:t>
      </w:r>
    </w:p>
    <w:p>
      <w:pPr>
        <w:spacing w:after="0" w:line="188" w:lineRule="exact"/>
        <w:rPr>
          <w:rFonts w:ascii="Times New Roman" w:cs="Times New Roman" w:eastAsia="Times New Roman" w:hAnsi="Times New Roman"/>
          <w:sz w:val="20"/>
          <w:szCs w:val="20"/>
          <w:color w:val="auto"/>
        </w:rPr>
      </w:pPr>
    </w:p>
    <w:p>
      <w:pPr>
        <w:ind w:firstLine="656"/>
        <w:spacing w:after="0"/>
        <w:tabs>
          <w:tab w:leader="none" w:pos="1294"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at any such time during which, immediately after giving effect to the making of any such Investment on a </w:t>
      </w:r>
      <w:r>
        <w:rPr>
          <w:rFonts w:ascii="Times New Roman" w:cs="Times New Roman" w:eastAsia="Times New Roman" w:hAnsi="Times New Roman"/>
          <w:sz w:val="20"/>
          <w:szCs w:val="20"/>
          <w:i w:val="1"/>
          <w:iCs w:val="1"/>
          <w:color w:val="auto"/>
        </w:rPr>
        <w:t xml:space="preserve">pro forma </w:t>
      </w:r>
      <w:r>
        <w:rPr>
          <w:rFonts w:ascii="Times New Roman" w:cs="Times New Roman" w:eastAsia="Times New Roman" w:hAnsi="Times New Roman"/>
          <w:sz w:val="20"/>
          <w:szCs w:val="20"/>
          <w:color w:val="auto"/>
        </w:rPr>
        <w:t>basis, the Restricted Payment Conditions are satisfied;</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94"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constituting promissory notes and other non-cash proceeds of Dispositions of assets to the extent permitted by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or any other disposition of assets not constituting a Disposition;</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Restricted Payments permitted under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right="20" w:firstLine="656"/>
        <w:spacing w:after="0" w:line="230" w:lineRule="auto"/>
        <w:tabs>
          <w:tab w:leader="none" w:pos="1294"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399" w:right="339" w:bottom="1440" w:gutter="0" w:footer="0" w:header="0"/>
        </w:sectPr>
      </w:pPr>
    </w:p>
    <w:bookmarkStart w:id="161" w:name="page162"/>
    <w:bookmarkEnd w:id="161"/>
    <w:p>
      <w:pPr>
        <w:ind w:firstLine="656"/>
        <w:spacing w:after="0"/>
        <w:tabs>
          <w:tab w:leader="none" w:pos="1285"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endorsements for collection or deposit and customary trade arrangements with customers consistent with past practices or industry practice;</w:t>
      </w:r>
    </w:p>
    <w:p>
      <w:pPr>
        <w:spacing w:after="0" w:line="147"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of payroll payments to employees, consultants or independent contractors or other advances of salaries or compensation to employees, consultants or independent contractors, in each case of the Borrower or any Restricted Subsidiary and in the ordinary course of business;</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84"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of the Borrower or any Restricted Subsidiary of leases (other than Capitalized Leases) or of other obligations that do not constitute Indebtedness, in each case entered into in the ordinary course of business;</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held by a Person acquired (including by way of merger, amalgamation or consolidation) after the Closing Date otherwise in accordance with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to the extent that such Investments were not made in contemplation of or in connection with such acquisition, merger, amalgamation or consolidation and were in existence on the date of such acquisition, merger, amalgamation or consolidation;</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Industry Investments;</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Investments, the Transactions;</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Hedge Agreements permitted by each of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consisting of fundamental changes and Dispositions permitted under </w:t>
      </w:r>
      <w:r>
        <w:rPr>
          <w:rFonts w:ascii="Times New Roman" w:cs="Times New Roman" w:eastAsia="Times New Roman" w:hAnsi="Times New Roman"/>
          <w:sz w:val="19"/>
          <w:szCs w:val="19"/>
          <w:u w:val="single" w:color="auto"/>
          <w:color w:val="auto"/>
        </w:rPr>
        <w:t>Sections 10.3</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Sections 10.3(a)</w:t>
      </w:r>
      <w:r>
        <w:rPr>
          <w:rFonts w:ascii="Times New Roman" w:cs="Times New Roman" w:eastAsia="Times New Roman" w:hAnsi="Times New Roman"/>
          <w:sz w:val="19"/>
          <w:szCs w:val="19"/>
          <w:color w:val="auto"/>
        </w:rPr>
        <w:t>,</w:t>
      </w:r>
    </w:p>
    <w:p>
      <w:pPr>
        <w:spacing w:after="0" w:line="6"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17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10.4(d)</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u w:val="single" w:color="auto"/>
          <w:color w:val="auto"/>
        </w:rPr>
      </w:pPr>
    </w:p>
    <w:p>
      <w:pPr>
        <w:jc w:val="both"/>
        <w:ind w:firstLine="656"/>
        <w:spacing w:after="0" w:line="208" w:lineRule="auto"/>
        <w:tabs>
          <w:tab w:leader="none" w:pos="1284"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the Borrower and the Grantors, Investments consisting of intercompany Indebtedness having a term not exceeding three hundred sixty-four (364) days (inclusive of any roll over or extension of terms) and made in the ordinary course of business;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the case of any such Indebtedness owing by the Borrower or a Grantor to a Grantor that is not a Guarantor,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Indebtedness shall be subordinated to the Obligations pursuant to the Intercompany Note;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in the case of any such Indebtedness owing by a Grantor that is not a Guarantor to the Borrower or a Guarantor, (i) such Indebtedness shall be evidenced by the Intercompany Note pledged in favor of the Collateral Agent for the benefit of the Secured Parties pursuant to the Collateral Agreement and</w:t>
      </w:r>
    </w:p>
    <w:p>
      <w:pPr>
        <w:jc w:val="both"/>
        <w:ind w:firstLine="8"/>
        <w:spacing w:after="0" w:line="223" w:lineRule="auto"/>
        <w:tabs>
          <w:tab w:leader="none" w:pos="295"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all such Indebtedness owing by a Grantor that is not a Guarantor to the Borrower or a Guarantor pursuant to this </w:t>
      </w:r>
      <w:r>
        <w:rPr>
          <w:rFonts w:ascii="Times New Roman" w:cs="Times New Roman" w:eastAsia="Times New Roman" w:hAnsi="Times New Roman"/>
          <w:sz w:val="20"/>
          <w:szCs w:val="20"/>
          <w:u w:val="single" w:color="auto"/>
          <w:color w:val="auto"/>
        </w:rPr>
        <w:t>Section 10.5(u)</w:t>
      </w:r>
      <w:r>
        <w:rPr>
          <w:rFonts w:ascii="Times New Roman" w:cs="Times New Roman" w:eastAsia="Times New Roman" w:hAnsi="Times New Roman"/>
          <w:sz w:val="20"/>
          <w:szCs w:val="20"/>
          <w:color w:val="auto"/>
        </w:rPr>
        <w:t xml:space="preserve"> shall not to exceed the greater of (A) $10,000,000 and (B) two percent (2.0%) of the Borrowing Base at the time such Indebtedness is incurred;</w:t>
      </w:r>
    </w:p>
    <w:p>
      <w:pPr>
        <w:spacing w:after="0" w:line="14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resulting from pledges and deposits under </w:t>
      </w:r>
      <w:r>
        <w:rPr>
          <w:rFonts w:ascii="Times New Roman" w:cs="Times New Roman" w:eastAsia="Times New Roman" w:hAnsi="Times New Roman"/>
          <w:sz w:val="20"/>
          <w:szCs w:val="20"/>
          <w:u w:val="single" w:color="auto"/>
          <w:color w:val="auto"/>
        </w:rPr>
        <w:t>clauses (d)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the definition of “Permitted Liens” and </w:t>
      </w:r>
      <w:r>
        <w:rPr>
          <w:rFonts w:ascii="Times New Roman" w:cs="Times New Roman" w:eastAsia="Times New Roman" w:hAnsi="Times New Roman"/>
          <w:sz w:val="20"/>
          <w:szCs w:val="20"/>
          <w:u w:val="single" w:color="auto"/>
          <w:color w:val="auto"/>
        </w:rPr>
        <w:t>clauses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ind w:firstLine="656"/>
        <w:spacing w:after="0" w:line="233" w:lineRule="auto"/>
        <w:tabs>
          <w:tab w:leader="none" w:pos="1287"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in the form of a prepayment of expenses, so long as such expenses are being paid in accordance with customary trade terms of the Borrower or the relevant Restricted Subsidiary;</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84"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licensing of intellectual property pursuant to joint marketing arrangements with other Persons in the ordinary course of business;</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84"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the ordinary course of business in connection with obtaining, maintaining or renewing client contacts and loans or advances made to distributors in the ordinary course of business;</w:t>
      </w:r>
    </w:p>
    <w:p>
      <w:pPr>
        <w:spacing w:after="0" w:line="161" w:lineRule="exact"/>
        <w:rPr>
          <w:rFonts w:ascii="Times New Roman" w:cs="Times New Roman" w:eastAsia="Times New Roman" w:hAnsi="Times New Roman"/>
          <w:sz w:val="20"/>
          <w:szCs w:val="20"/>
          <w:color w:val="auto"/>
        </w:rPr>
      </w:pPr>
    </w:p>
    <w:p>
      <w:pPr>
        <w:jc w:val="both"/>
        <w:ind w:firstLine="656"/>
        <w:spacing w:after="0" w:line="214" w:lineRule="auto"/>
        <w:tabs>
          <w:tab w:leader="none" w:pos="1286"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Excluded Subsidiaries having an aggregate fair market value, taken together with all other Investments made pursuant to this </w:t>
      </w:r>
      <w:r>
        <w:rPr>
          <w:rFonts w:ascii="Times New Roman" w:cs="Times New Roman" w:eastAsia="Times New Roman" w:hAnsi="Times New Roman"/>
          <w:sz w:val="20"/>
          <w:szCs w:val="20"/>
          <w:u w:val="single" w:color="auto"/>
          <w:color w:val="auto"/>
        </w:rPr>
        <w:t>Section 10.5(z)</w:t>
      </w:r>
      <w:r>
        <w:rPr>
          <w:rFonts w:ascii="Times New Roman" w:cs="Times New Roman" w:eastAsia="Times New Roman" w:hAnsi="Times New Roman"/>
          <w:sz w:val="20"/>
          <w:szCs w:val="20"/>
          <w:color w:val="auto"/>
        </w:rPr>
        <w:t xml:space="preserve"> that are at the time outstanding, without giving effect to the sale of an Excluded Subsidiary to the extent the proceeds of such sale do not consist of marketable securities (until such proceeds are converted to cash equivalents) not to exceed</w:t>
      </w:r>
    </w:p>
    <w:p>
      <w:pPr>
        <w:ind w:left="240" w:hanging="232"/>
        <w:spacing w:after="0"/>
        <w:tabs>
          <w:tab w:leader="none" w:pos="24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$50,000,000, so long as immediately after giving effect to the making of any such Investment on a </w:t>
      </w:r>
      <w:r>
        <w:rPr>
          <w:rFonts w:ascii="Times New Roman" w:cs="Times New Roman" w:eastAsia="Times New Roman" w:hAnsi="Times New Roman"/>
          <w:sz w:val="20"/>
          <w:szCs w:val="20"/>
          <w:i w:val="1"/>
          <w:iCs w:val="1"/>
          <w:color w:val="auto"/>
        </w:rPr>
        <w:t>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399"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i w:val="1"/>
          <w:iCs w:val="1"/>
          <w:color w:val="auto"/>
        </w:rPr>
        <w:t xml:space="preserve">forma </w:t>
      </w:r>
      <w:r>
        <w:rPr>
          <w:rFonts w:ascii="Times New Roman" w:cs="Times New Roman" w:eastAsia="Times New Roman" w:hAnsi="Times New Roman"/>
          <w:sz w:val="20"/>
          <w:szCs w:val="20"/>
          <w:color w:val="auto"/>
        </w:rPr>
        <w:t>basis, no Default, Event of Default or Borrowing Base Deficiency shall have occurred and be continuing, or (ii) $10,000,000, so long</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as immediately after giving effect to the making of any such Investment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no Event of Default or Borrowing Base Deficiency shall have occurred and be continuing;</w:t>
      </w:r>
    </w:p>
    <w:p>
      <w:pPr>
        <w:spacing w:after="0" w:line="162" w:lineRule="exact"/>
        <w:rPr>
          <w:sz w:val="20"/>
          <w:szCs w:val="20"/>
          <w:color w:val="auto"/>
        </w:rPr>
      </w:pPr>
    </w:p>
    <w:p>
      <w:pPr>
        <w:jc w:val="both"/>
        <w:ind w:firstLine="656"/>
        <w:spacing w:after="0" w:line="220" w:lineRule="auto"/>
        <w:tabs>
          <w:tab w:leader="none" w:pos="1293"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Unrestricted Subsidiaries consisting of (i) undeveloped acreage to which no Proved Reserves are attributable or (ii) assets that are not Borrowing Base Properties and other assets not included in the Borrowing Base, in each case, in relation to Farm-In Agreements, Farm-Out Agreements, joint operating, joint venture, joint development activities or other similar oil and gas exploration and production business arrangement;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immediately after giving effect to the making of any such Investment made in cash on a </w:t>
      </w:r>
      <w:r>
        <w:rPr>
          <w:rFonts w:ascii="Times New Roman" w:cs="Times New Roman" w:eastAsia="Times New Roman" w:hAnsi="Times New Roman"/>
          <w:sz w:val="20"/>
          <w:szCs w:val="20"/>
          <w:i w:val="1"/>
          <w:iCs w:val="1"/>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forma </w:t>
      </w:r>
      <w:r>
        <w:rPr>
          <w:rFonts w:ascii="Times New Roman" w:cs="Times New Roman" w:eastAsia="Times New Roman" w:hAnsi="Times New Roman"/>
          <w:sz w:val="20"/>
          <w:szCs w:val="20"/>
          <w:color w:val="auto"/>
        </w:rPr>
        <w:t>basis, the Restricted Payment Conditions are satisfied;</w:t>
      </w:r>
    </w:p>
    <w:p>
      <w:pPr>
        <w:spacing w:after="0" w:line="147"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(ab) any Investment constituting a Disposition or transfer of any asset between or among the Borrower and/or its Restricted Subsidiaries as a substantially concurrent interim Disposition or transfer in connection with an Investment otherwise permitted pursuant to</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(aa)</w:t>
      </w:r>
      <w:r>
        <w:rPr>
          <w:rFonts w:ascii="Times New Roman" w:cs="Times New Roman" w:eastAsia="Times New Roman" w:hAnsi="Times New Roman"/>
          <w:sz w:val="20"/>
          <w:szCs w:val="20"/>
          <w:color w:val="auto"/>
        </w:rPr>
        <w:t xml:space="preserve"> above or in connection with a transaction permitted by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or in connection with a Disposition permitted pursuant to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and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9"/>
          <w:szCs w:val="19"/>
          <w:color w:val="auto"/>
        </w:rPr>
        <w:t>(ac)</w:t>
      </w:r>
      <w:r>
        <w:rPr>
          <w:sz w:val="20"/>
          <w:szCs w:val="20"/>
          <w:color w:val="auto"/>
        </w:rPr>
        <w:tab/>
      </w:r>
      <w:r>
        <w:rPr>
          <w:rFonts w:ascii="Times New Roman" w:cs="Times New Roman" w:eastAsia="Times New Roman" w:hAnsi="Times New Roman"/>
          <w:sz w:val="19"/>
          <w:szCs w:val="19"/>
          <w:color w:val="auto"/>
        </w:rPr>
        <w:t>the designation of the EHP Entities as “Unrestricted Subsidiaries” on the EHP Designation Date; provided that, the aggregate</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amount of the Investment deemed incurred on the EHP Designation Date in reliance on this </w:t>
      </w:r>
      <w:r>
        <w:rPr>
          <w:rFonts w:ascii="Times New Roman" w:cs="Times New Roman" w:eastAsia="Times New Roman" w:hAnsi="Times New Roman"/>
          <w:sz w:val="20"/>
          <w:szCs w:val="20"/>
          <w:u w:val="single" w:color="auto"/>
          <w:color w:val="auto"/>
        </w:rPr>
        <w:t>Section 10.5(cc)</w:t>
      </w:r>
      <w:r>
        <w:rPr>
          <w:rFonts w:ascii="Times New Roman" w:cs="Times New Roman" w:eastAsia="Times New Roman" w:hAnsi="Times New Roman"/>
          <w:sz w:val="20"/>
          <w:szCs w:val="20"/>
          <w:color w:val="auto"/>
        </w:rPr>
        <w:t xml:space="preserve"> shall not exceed the sum of (i) the value of the assets and property owned by the EHP Entities on the Closing Date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the value of any assets or properties contributed</w:t>
      </w:r>
    </w:p>
    <w:p>
      <w:pPr>
        <w:spacing w:after="0" w:line="211" w:lineRule="auto"/>
        <w:rPr>
          <w:sz w:val="20"/>
          <w:szCs w:val="20"/>
          <w:color w:val="auto"/>
        </w:rPr>
      </w:pPr>
      <w:r>
        <w:rPr>
          <w:rFonts w:ascii="Times New Roman" w:cs="Times New Roman" w:eastAsia="Times New Roman" w:hAnsi="Times New Roman"/>
          <w:sz w:val="20"/>
          <w:szCs w:val="20"/>
          <w:color w:val="auto"/>
        </w:rPr>
        <w:t>to or otherwise invested in the EHP Entities by another Credit Party that is not an EHP Entity from and after the Closing Date to the extent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that such Credit Party would have been permitted to make such Investment in an Excluded Subsidiary or Unrestricted Subsidiary on the date of such contribution or Investment; provided that such contribution or Investment made pursuant to this </w:t>
      </w:r>
      <w:r>
        <w:rPr>
          <w:rFonts w:ascii="Times New Roman" w:cs="Times New Roman" w:eastAsia="Times New Roman" w:hAnsi="Times New Roman"/>
          <w:sz w:val="19"/>
          <w:szCs w:val="19"/>
          <w:u w:val="single" w:color="auto"/>
          <w:color w:val="auto"/>
        </w:rPr>
        <w:t>clause (cc)(ii)</w:t>
      </w:r>
      <w:r>
        <w:rPr>
          <w:rFonts w:ascii="Times New Roman" w:cs="Times New Roman" w:eastAsia="Times New Roman" w:hAnsi="Times New Roman"/>
          <w:sz w:val="19"/>
          <w:szCs w:val="19"/>
          <w:color w:val="auto"/>
        </w:rPr>
        <w:t xml:space="preserve"> shall be deemed to</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have been made in reliance on the applicable clause of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(other than this </w:t>
      </w:r>
      <w:r>
        <w:rPr>
          <w:rFonts w:ascii="Times New Roman" w:cs="Times New Roman" w:eastAsia="Times New Roman" w:hAnsi="Times New Roman"/>
          <w:sz w:val="20"/>
          <w:szCs w:val="20"/>
          <w:u w:val="single" w:color="auto"/>
          <w:color w:val="auto"/>
        </w:rPr>
        <w:t>clause (cc)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for purposes of remaining investment capacity.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anything to the contrary herein, in no event shall any Permitted Bond Hedge Transactions or any Permitted Warrant</w:t>
      </w:r>
    </w:p>
    <w:p>
      <w:pPr>
        <w:spacing w:after="0" w:line="221" w:lineRule="auto"/>
        <w:rPr>
          <w:sz w:val="20"/>
          <w:szCs w:val="20"/>
          <w:color w:val="auto"/>
        </w:rPr>
      </w:pPr>
      <w:r>
        <w:rPr>
          <w:rFonts w:ascii="Times New Roman" w:cs="Times New Roman" w:eastAsia="Times New Roman" w:hAnsi="Times New Roman"/>
          <w:sz w:val="20"/>
          <w:szCs w:val="20"/>
          <w:color w:val="auto"/>
        </w:rPr>
        <w:t>Transactions (or any performance of obligations under any Permitted Bond Hedge Transactions and/or any Permitted Warrant Transactions, as permitted by this Agreement) be considered an “Investment” for purposes of this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the foregoing, Borrower may repurchase, exchange or induce the conversion of Permitted Convertible Debt by delivery of</w:t>
      </w:r>
    </w:p>
    <w:p>
      <w:pPr>
        <w:spacing w:after="0" w:line="215" w:lineRule="auto"/>
        <w:rPr>
          <w:sz w:val="20"/>
          <w:szCs w:val="20"/>
          <w:color w:val="auto"/>
        </w:rPr>
      </w:pPr>
      <w:r>
        <w:rPr>
          <w:rFonts w:ascii="Times New Roman" w:cs="Times New Roman" w:eastAsia="Times New Roman" w:hAnsi="Times New Roman"/>
          <w:sz w:val="19"/>
          <w:szCs w:val="19"/>
          <w:color w:val="auto"/>
        </w:rPr>
        <w:t>shares of Borrower’s common stock and/or a different series of Permitted Convertible Debt and/or by payment of cash (in an amount that does not exceed the proceeds received by Borrower from the substantially concurrent issuance of shares of Borrower’s common stock and/or</w:t>
      </w:r>
    </w:p>
    <w:p>
      <w:pPr>
        <w:spacing w:after="0" w:line="211" w:lineRule="auto"/>
        <w:rPr>
          <w:sz w:val="20"/>
          <w:szCs w:val="20"/>
          <w:color w:val="auto"/>
        </w:rPr>
      </w:pPr>
      <w:r>
        <w:rPr>
          <w:rFonts w:ascii="Times New Roman" w:cs="Times New Roman" w:eastAsia="Times New Roman" w:hAnsi="Times New Roman"/>
          <w:sz w:val="20"/>
          <w:szCs w:val="20"/>
          <w:color w:val="auto"/>
        </w:rPr>
        <w:t>such different series of Permitted Convertible Debt minus the net cost of any Permitted Bond Hedge Transaction and any related Permitted</w:t>
      </w:r>
    </w:p>
    <w:p>
      <w:pPr>
        <w:jc w:val="both"/>
        <w:spacing w:after="0" w:line="204" w:lineRule="auto"/>
        <w:rPr>
          <w:sz w:val="20"/>
          <w:szCs w:val="20"/>
          <w:color w:val="auto"/>
        </w:rPr>
      </w:pPr>
      <w:r>
        <w:rPr>
          <w:rFonts w:ascii="Times New Roman" w:cs="Times New Roman" w:eastAsia="Times New Roman" w:hAnsi="Times New Roman"/>
          <w:sz w:val="20"/>
          <w:szCs w:val="20"/>
          <w:color w:val="auto"/>
        </w:rPr>
        <w:t>Warrant Transaction entered into in connection therewith plus the net cash proceeds, if any, received by Borrower pursuant to the related exercise or early unwind or termination of the related Permitted Bond Hedge Transactions and Permitted Warrant Transactions, if any,</w:t>
      </w:r>
    </w:p>
    <w:p>
      <w:pPr>
        <w:spacing w:after="0" w:line="223" w:lineRule="auto"/>
        <w:rPr>
          <w:sz w:val="20"/>
          <w:szCs w:val="20"/>
          <w:color w:val="auto"/>
        </w:rPr>
      </w:pPr>
      <w:r>
        <w:rPr>
          <w:rFonts w:ascii="Times New Roman" w:cs="Times New Roman" w:eastAsia="Times New Roman" w:hAnsi="Times New Roman"/>
          <w:sz w:val="19"/>
          <w:szCs w:val="19"/>
          <w:color w:val="auto"/>
        </w:rPr>
        <w:t>pursuant to the immediately following proviso); provided that, for the avoidance of doubt, substantially concurrently with, or a commercially</w:t>
      </w:r>
    </w:p>
    <w:p>
      <w:pPr>
        <w:spacing w:after="0" w:line="204" w:lineRule="auto"/>
        <w:rPr>
          <w:sz w:val="20"/>
          <w:szCs w:val="20"/>
          <w:color w:val="auto"/>
        </w:rPr>
      </w:pPr>
      <w:r>
        <w:rPr>
          <w:rFonts w:ascii="Times New Roman" w:cs="Times New Roman" w:eastAsia="Times New Roman" w:hAnsi="Times New Roman"/>
          <w:sz w:val="20"/>
          <w:szCs w:val="20"/>
          <w:color w:val="auto"/>
        </w:rPr>
        <w:t>reasonable period of time before or after, the related settlement date for the Permitted Convertible Debt that are so repurchased, exchanged or converted, Borrower may exercise or unwind or terminate early (whether in cash, shares or any combination thereof) the portion of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Permitted Bond Hedge Transactions and Permitted Warrant Transactions, if any, corresponding to such Permitted Convertible Debt that are so repurchased, exchanged or converted.</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Limitation on Restricted Payments</w:t>
      </w:r>
      <w:r>
        <w:rPr>
          <w:rFonts w:ascii="Times New Roman" w:cs="Times New Roman" w:eastAsia="Times New Roman" w:hAnsi="Times New Roman"/>
          <w:sz w:val="20"/>
          <w:szCs w:val="20"/>
          <w:color w:val="auto"/>
        </w:rPr>
        <w:t>. The Borrower will not directly or indirectly pay any dividend or make any other distribution (by reduction of capital or otherwise), whether in cash, property, securities or a combination thereof, with respect to any of its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Equity Interests (other than dividends and distributions on Equity Interests payable solely by the issuance of additional Qualified Equity Interests) or redeem, purchase, retire or otherwise acquire for value any of its Equity Interests (other than through the issuance of additional</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Qualified Equity Interests), or permit any Restricted Subsidiary to purchase or otherwise acquire for consideration (except in connection with an Investment permitted under </w:t>
      </w:r>
      <w:r>
        <w:rPr>
          <w:rFonts w:ascii="Times New Roman" w:cs="Times New Roman" w:eastAsia="Times New Roman" w:hAnsi="Times New Roman"/>
          <w:sz w:val="20"/>
          <w:szCs w:val="20"/>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394"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any Equity Interests of the Borrower, now or hereafter outstanding (all of the foregoing,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except that:</w:t>
      </w:r>
    </w:p>
    <w:p>
      <w:pPr>
        <w:spacing w:after="0" w:line="189" w:lineRule="exact"/>
        <w:rPr>
          <w:sz w:val="20"/>
          <w:szCs w:val="20"/>
          <w:color w:val="auto"/>
        </w:rPr>
      </w:pPr>
    </w:p>
    <w:p>
      <w:pPr>
        <w:jc w:val="both"/>
        <w:ind w:firstLine="656"/>
        <w:spacing w:after="0" w:line="210" w:lineRule="auto"/>
        <w:tabs>
          <w:tab w:leader="none" w:pos="1286"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Borrower may redeem in whole or in part any of its Equity Interests in exchange for another class of its Equity Interests or with proceeds from substantially concurrent equity contributions or issuances of new Equity Interests;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new Equity Interests contain terms and provisions at least as advantageous to the Lenders in all material respects to their interests as those contained in the Equity Interests redeemed thereby, (ii) the Borrower may pay premium in respect of, and otherwise perform its obligations under (including the unwinding of), any Permitted Bond Hedge Transaction(s) permitted or required in accordance with terms thereof, and</w:t>
      </w:r>
    </w:p>
    <w:p>
      <w:pPr>
        <w:spacing w:after="0" w:line="1" w:lineRule="exact"/>
        <w:rPr>
          <w:rFonts w:ascii="Times New Roman" w:cs="Times New Roman" w:eastAsia="Times New Roman" w:hAnsi="Times New Roman"/>
          <w:sz w:val="20"/>
          <w:szCs w:val="20"/>
          <w:color w:val="auto"/>
        </w:rPr>
      </w:pPr>
    </w:p>
    <w:p>
      <w:pPr>
        <w:jc w:val="both"/>
        <w:ind w:firstLine="8"/>
        <w:spacing w:after="0" w:line="218" w:lineRule="auto"/>
        <w:tabs>
          <w:tab w:leader="none" w:pos="36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settle any related Permitted Warrant Transaction(s) (I) by delivery of shares of the Borrower’s common stock upon settlement thereof or (II) by (A) set-off against the related Permitted Bond Hedge Transaction or (B) payment of an early termination amount thereof in common stock upon any early termination thereof;</w:t>
      </w:r>
    </w:p>
    <w:p>
      <w:pPr>
        <w:spacing w:after="0" w:line="161" w:lineRule="exact"/>
        <w:rPr>
          <w:rFonts w:ascii="Times New Roman" w:cs="Times New Roman" w:eastAsia="Times New Roman" w:hAnsi="Times New Roman"/>
          <w:sz w:val="20"/>
          <w:szCs w:val="20"/>
          <w:color w:val="auto"/>
        </w:rPr>
      </w:pPr>
    </w:p>
    <w:p>
      <w:pPr>
        <w:jc w:val="both"/>
        <w:ind w:firstLine="656"/>
        <w:spacing w:after="0" w:line="209" w:lineRule="auto"/>
        <w:tabs>
          <w:tab w:leader="none" w:pos="1284"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redeem, acquire, retire or repurchase shares of its Equity Interests held by any present or former officer, manager, consultant, director or employee (or their respective Affiliates, estates, spouses, former spouses, successors, executors, administrators, heirs, legatees, distributees or immediate family members) of the Borrower and its Restricted Subsidiaries, in connection with the death, disability, retirement or termination of employment of any such Person or otherwise in accordance with any equity option or equity appreciation rights plan, any management, director and/or employee equity ownership, benefit or incentive plan or agreement, equity subscription plan, employment termination agreement or any other employment agreements or equity holders’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amount of Restricted Payments made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not exceed (A) $10,000,000 in any calendar year (with unused amounts in any calendar year being carried over to succeeding calendar years subject to a maximum of $20,000,000 in any calendar year), plus (B) all Net Cash Proceeds obtained by or contributed to the Borrower during such calendar year from the sales of Equity Interests to other present or former officers, consultants, employees, directors and managers in connection with any permitted compensation and incentive arrangements plus (C) all net cash proceeds obtained from any key-man life insurance policies received during such calendar year plus (D) the amount of any cash bonuses otherwise payable to members of management, directors or consultants of the Borrower or its Subsidiaries in connection with the Transactions that are foregone in return for the receipt of Equity Interests; notwithstanding the foregoing, the Borrower may elect to apply all or any portion of the aggregate increase contemplated by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in any calendar year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further, that cancellation of Indebtedness owing to the Borrower or any of its Restricted Subsidiaries from any future, present or former employees, directors, officers, members of management or consultants, of the Borrower, any Restricted Subsidiary, any direct or indirect parent company of the Borrower or any of the Borrower’s Restricted Subsidiaries in connection with a repurchase of Equity Interests of the Borrower or any of its direct or indirect parent companies will not be deemed to constitute a Restricted Payment for purposes of this covenant or any other provision of this Agreement;</w:t>
      </w:r>
    </w:p>
    <w:p>
      <w:pPr>
        <w:spacing w:after="0" w:line="163" w:lineRule="exact"/>
        <w:rPr>
          <w:rFonts w:ascii="Times New Roman" w:cs="Times New Roman" w:eastAsia="Times New Roman" w:hAnsi="Times New Roman"/>
          <w:sz w:val="20"/>
          <w:szCs w:val="20"/>
          <w:color w:val="auto"/>
        </w:rPr>
      </w:pPr>
    </w:p>
    <w:p>
      <w:pPr>
        <w:ind w:firstLine="656"/>
        <w:spacing w:after="0"/>
        <w:tabs>
          <w:tab w:leader="none" w:pos="1286"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Restricted Payments, the Borrower may make Investments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Sections 10.5(m)</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w:t>
      </w:r>
    </w:p>
    <w:p>
      <w:pPr>
        <w:spacing w:after="0" w:line="1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Restricted Payments, the Borrower may consummate transactions expressly permitted by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ind w:right="20" w:firstLine="656"/>
        <w:spacing w:after="0"/>
        <w:tabs>
          <w:tab w:leader="none" w:pos="1286"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repurchase Equity Interests of the Borrower upon exercise of stock options or warrants if such Equity Interests represents all or a portion of the exercise price of such options or warrants;</w:t>
      </w:r>
    </w:p>
    <w:p>
      <w:pPr>
        <w:spacing w:after="0" w:line="147" w:lineRule="exact"/>
        <w:rPr>
          <w:rFonts w:ascii="Times New Roman" w:cs="Times New Roman" w:eastAsia="Times New Roman" w:hAnsi="Times New Roman"/>
          <w:sz w:val="20"/>
          <w:szCs w:val="20"/>
          <w:color w:val="auto"/>
        </w:rPr>
      </w:pPr>
    </w:p>
    <w:p>
      <w:pPr>
        <w:ind w:right="20" w:firstLine="656"/>
        <w:spacing w:after="0"/>
        <w:tabs>
          <w:tab w:leader="none" w:pos="1291"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Restricted Payments in the form of Equity Interests of the Borrower (other than Disqualified Stock not otherwise permitted by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firstLine="656"/>
        <w:spacing w:after="0" w:line="251" w:lineRule="auto"/>
        <w:tabs>
          <w:tab w:leader="none" w:pos="1284" w:val="left"/>
        </w:tabs>
        <w:numPr>
          <w:ilvl w:val="1"/>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or any of the Restricted Subsidiaries may pay cash in lieu of fractional shares in connection with any dividend, split or combination thereof or other Investment permitted under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 xml:space="preserve"> or any redemption or conversion of any convertible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399" w:right="339" w:bottom="1440" w:gutter="0" w:footer="0" w:header="0"/>
        </w:sectPr>
      </w:pPr>
    </w:p>
    <w:bookmarkStart w:id="164" w:name="page165"/>
    <w:bookmarkEnd w:id="164"/>
    <w:p>
      <w:pPr>
        <w:ind w:firstLine="656"/>
        <w:spacing w:after="0"/>
        <w:tabs>
          <w:tab w:leader="none" w:pos="128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pay any dividends or distributions within sixty (60) days after the date of declaration thereof, if at the date of declaration such payment would have complied with the other clauses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656"/>
        <w:spacing w:after="0" w:line="220" w:lineRule="auto"/>
        <w:tabs>
          <w:tab w:leader="none" w:pos="129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Borrower may pay dividends in cash to the holders of its Equity Interests in an amount not to exceed $1,000,000 in any fiscal year so long as no Default, Event of Default or Borrowing Base Deficiency shall have occurred and be continuing at the time of, and immediately following such Restricted Payment and (ii) so long as, immediately after giving effect thereto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the Restricted Payment Conditions are satisfied, the Borrower may declare and pay additional Restricted Payments without limit in cash to the holders of its Equity Interests;</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9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consummate the Transactions (and pay fees and expenses in connection therewith on or following the Closing Date), and make payments described in </w:t>
      </w:r>
      <w:r>
        <w:rPr>
          <w:rFonts w:ascii="Times New Roman" w:cs="Times New Roman" w:eastAsia="Times New Roman" w:hAnsi="Times New Roman"/>
          <w:sz w:val="20"/>
          <w:szCs w:val="20"/>
          <w:u w:val="single" w:color="auto"/>
          <w:color w:val="auto"/>
        </w:rPr>
        <w:t>Section 10.14(a)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(subject to the conditions set out therein);</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made or expected to be made by the Borrower or any of the Restricted Subsidiaries in respect of required withholding or similar non-U.S. Taxes with respect to any future, present or former employee, director, manager or consultant and any repurchases of Equity Interests in consideration of such payments including deemed repurchases in connection with the exercise of stock options;</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and distributions to dissenting stockholders pursuant to applicable law, pursuant to or in connection with a consolidation, merger, amalgamation or transfer of all or substantially all of the assets of the Borrower and its Restricted Subsidiaries taken as a whole that complies with the terms of this Agreement; and</w:t>
      </w:r>
    </w:p>
    <w:p>
      <w:pPr>
        <w:spacing w:after="0" w:line="160"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5"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distribution, by dividend or otherwise, of Equity Interests of, or Indebtedness owed to the Borrower or a Restricted Subsidiary by, an Unrestricted Subsidiary (or a Restricted Subsidiary that owns an Unrestricted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Restricted Subsidiary owns no assets other than Equity Interests of an Unrestricted Subsidiary (other than Unrestricted Subsidiaries the primary assets of which are cash and/or Permitted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the avoidance of doubt,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shall not prohibit the conversion by holders of (including any cash payment upon conversion),</w:t>
      </w:r>
    </w:p>
    <w:p>
      <w:pPr>
        <w:jc w:val="both"/>
        <w:spacing w:after="0" w:line="215" w:lineRule="auto"/>
        <w:rPr>
          <w:sz w:val="20"/>
          <w:szCs w:val="20"/>
          <w:color w:val="auto"/>
        </w:rPr>
      </w:pPr>
      <w:r>
        <w:rPr>
          <w:rFonts w:ascii="Times New Roman" w:cs="Times New Roman" w:eastAsia="Times New Roman" w:hAnsi="Times New Roman"/>
          <w:sz w:val="19"/>
          <w:szCs w:val="19"/>
          <w:color w:val="auto"/>
        </w:rPr>
        <w:t>or required payment of any principal or premium on (including, for the avoidance of doubt, in respect of a required repurchase in connection with the redemption of Permitted Convertible Debt upon satisfaction of a condition related to the stock price of Borrower’s common stock)</w:t>
      </w:r>
    </w:p>
    <w:p>
      <w:pPr>
        <w:ind w:right="20"/>
        <w:spacing w:after="0" w:line="228" w:lineRule="auto"/>
        <w:rPr>
          <w:sz w:val="20"/>
          <w:szCs w:val="20"/>
          <w:color w:val="auto"/>
        </w:rPr>
      </w:pPr>
      <w:r>
        <w:rPr>
          <w:rFonts w:ascii="Times New Roman" w:cs="Times New Roman" w:eastAsia="Times New Roman" w:hAnsi="Times New Roman"/>
          <w:sz w:val="20"/>
          <w:szCs w:val="20"/>
          <w:color w:val="auto"/>
        </w:rPr>
        <w:t>or required payment of any interest with respect to, any Permitted Convertible Debt in each case, in accordance with the terms of the indenture governing such Permitted Convertible Debt.</w:t>
      </w:r>
    </w:p>
    <w:p>
      <w:pPr>
        <w:spacing w:after="0" w:line="14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Notwithstanding the foregoing, Borrower may repurchase, exchange or induce the conversion of Permitted Convertible Debt by delivery of shares of Borrower’s common stock and/or a different series of Permitted Convertible Debt and/or by payment of cash (in an amount that</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does not exceed the proceeds received by Borrower from the substantially concurrent issuance of shares of Borrower’s common stock and/or such different series of Permitted Convertible Debt minus the net cost of any Permitted Bond Hedge Transaction and related Permitted</w:t>
      </w:r>
    </w:p>
    <w:p>
      <w:pPr>
        <w:spacing w:after="0" w:line="211" w:lineRule="auto"/>
        <w:rPr>
          <w:sz w:val="20"/>
          <w:szCs w:val="20"/>
          <w:color w:val="auto"/>
        </w:rPr>
      </w:pPr>
      <w:r>
        <w:rPr>
          <w:rFonts w:ascii="Times New Roman" w:cs="Times New Roman" w:eastAsia="Times New Roman" w:hAnsi="Times New Roman"/>
          <w:sz w:val="20"/>
          <w:szCs w:val="20"/>
          <w:color w:val="auto"/>
        </w:rPr>
        <w:t>Warrant Transaction entered into in connection therewith plus the net cash proceeds, if any, received by Borrower pursuant to the related</w:t>
      </w:r>
    </w:p>
    <w:p>
      <w:pPr>
        <w:spacing w:after="0" w:line="215" w:lineRule="auto"/>
        <w:rPr>
          <w:sz w:val="20"/>
          <w:szCs w:val="20"/>
          <w:color w:val="auto"/>
        </w:rPr>
      </w:pPr>
      <w:r>
        <w:rPr>
          <w:rFonts w:ascii="Times New Roman" w:cs="Times New Roman" w:eastAsia="Times New Roman" w:hAnsi="Times New Roman"/>
          <w:sz w:val="19"/>
          <w:szCs w:val="19"/>
          <w:color w:val="auto"/>
        </w:rPr>
        <w:t>exercise or early unwind or termination of the related Permitted Bond Hedge Transactions and Permitted Warrant Transactions, if any, pursuant to the immediately following proviso); provided that, for the avoidance of doubt, substantially concurrently with, or a commercially</w:t>
      </w:r>
    </w:p>
    <w:p>
      <w:pPr>
        <w:spacing w:after="0" w:line="222" w:lineRule="auto"/>
        <w:rPr>
          <w:sz w:val="20"/>
          <w:szCs w:val="20"/>
          <w:color w:val="auto"/>
        </w:rPr>
      </w:pPr>
      <w:r>
        <w:rPr>
          <w:rFonts w:ascii="Times New Roman" w:cs="Times New Roman" w:eastAsia="Times New Roman" w:hAnsi="Times New Roman"/>
          <w:sz w:val="19"/>
          <w:szCs w:val="19"/>
          <w:color w:val="auto"/>
        </w:rPr>
        <w:t>reasonable period of time before or after, the related settlement date for the Permitted Convertible Debt that are so repurchased, exchanged or</w:t>
      </w:r>
    </w:p>
    <w:p>
      <w:pPr>
        <w:spacing w:after="0" w:line="204" w:lineRule="auto"/>
        <w:rPr>
          <w:sz w:val="20"/>
          <w:szCs w:val="20"/>
          <w:color w:val="auto"/>
        </w:rPr>
      </w:pPr>
      <w:r>
        <w:rPr>
          <w:rFonts w:ascii="Times New Roman" w:cs="Times New Roman" w:eastAsia="Times New Roman" w:hAnsi="Times New Roman"/>
          <w:sz w:val="20"/>
          <w:szCs w:val="20"/>
          <w:color w:val="auto"/>
        </w:rPr>
        <w:t>converted, Borrower may exercise or unwind or terminate early (whether in cash, shares or any combination thereof) the portion of the Permitted Bond Hedge Transactions and Permitted Warrant Transactions, if any, corresponding to such Permitted Convertible Debt that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 repurchased, exchanged or converted.</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u w:val="single" w:color="auto"/>
          <w:color w:val="auto"/>
        </w:rPr>
        <w:t>Limitations on Debt Payments and Amendments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right="20" w:firstLine="656"/>
        <w:spacing w:after="0"/>
        <w:tabs>
          <w:tab w:leader="none" w:pos="1286"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and will not permit any Restricted Subsidiary to, prepay, repurchase or redeem or otherwise defease prior to its scheduled maturity any Permitted Additional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399"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color w:val="auto"/>
        </w:rPr>
        <w:t>any Material Indebtedness or any other Indebtedness for borrowed money that is expressly subordinated in right of payment to or payment</w:t>
      </w:r>
    </w:p>
    <w:p>
      <w:pPr>
        <w:jc w:val="both"/>
        <w:spacing w:after="0" w:line="215" w:lineRule="auto"/>
        <w:rPr>
          <w:sz w:val="20"/>
          <w:szCs w:val="20"/>
          <w:color w:val="auto"/>
        </w:rPr>
      </w:pPr>
      <w:r>
        <w:rPr>
          <w:rFonts w:ascii="Times New Roman" w:cs="Times New Roman" w:eastAsia="Times New Roman" w:hAnsi="Times New Roman"/>
          <w:sz w:val="19"/>
          <w:szCs w:val="19"/>
          <w:color w:val="auto"/>
        </w:rPr>
        <w:t>priority or is secured by a Junior Lien (or any Permitted Refinancing Indebtedness in respect thereof to the extent constituting Other Debt) (such Permitted Additional Debt, Material Indebtedness or other Indebtedness or any Permitted Refinancing Indebtedness in respect thereof,</w:t>
      </w:r>
    </w:p>
    <w:p>
      <w:pPr>
        <w:spacing w:after="0" w:line="2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Debt</w:t>
      </w:r>
      <w:r>
        <w:rPr>
          <w:rFonts w:ascii="Times New Roman" w:cs="Times New Roman" w:eastAsia="Times New Roman" w:hAnsi="Times New Roman"/>
          <w:sz w:val="20"/>
          <w:szCs w:val="20"/>
          <w:color w:val="auto"/>
        </w:rPr>
        <w:t>”) (for the avoidance of doubt, it being understood that payments of regularly-scheduled cash interest in respect of Other Debt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and any AHYDO payments shall be permitted unless expressly prohibited by the terms of the documents governing any such subordination);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the Borrower or any Restricted Subsidiary may prepay, repurchase, redeem or defease prior to its scheduled maturity</w:t>
      </w:r>
    </w:p>
    <w:p>
      <w:pPr>
        <w:spacing w:after="0" w:line="211" w:lineRule="auto"/>
        <w:rPr>
          <w:sz w:val="20"/>
          <w:szCs w:val="20"/>
          <w:color w:val="auto"/>
        </w:rPr>
      </w:pPr>
      <w:r>
        <w:rPr>
          <w:rFonts w:ascii="Times New Roman" w:cs="Times New Roman" w:eastAsia="Times New Roman" w:hAnsi="Times New Roman"/>
          <w:sz w:val="20"/>
          <w:szCs w:val="20"/>
          <w:color w:val="auto"/>
        </w:rPr>
        <w:t>any Other Debt (i) in exchange for or with the proceeds of any Permitted Refinancing Indebtedness, (ii) by converting or exchanging any</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Other Debt to Qualified Equity Interests, (iii) so long as, immediately after giving effect thereto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the Restricted Payment Conditions are satisfied, (iv) in exchange for or with proceeds of any Qualified Equity Interests within thirty (30) days of receipt of such</w:t>
      </w:r>
    </w:p>
    <w:p>
      <w:pPr>
        <w:spacing w:after="0" w:line="211" w:lineRule="auto"/>
        <w:rPr>
          <w:sz w:val="20"/>
          <w:szCs w:val="20"/>
          <w:color w:val="auto"/>
        </w:rPr>
      </w:pPr>
      <w:r>
        <w:rPr>
          <w:rFonts w:ascii="Times New Roman" w:cs="Times New Roman" w:eastAsia="Times New Roman" w:hAnsi="Times New Roman"/>
          <w:sz w:val="20"/>
          <w:szCs w:val="20"/>
          <w:color w:val="auto"/>
        </w:rPr>
        <w:t>proceeds or (v) owed to the Borrower or any Restricted Subsidiary to the extent not prohibited by the subordination provisions contained in</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the Intercompany Note;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xml:space="preserve">, that, after giving effect to any adjustment of the Borrowing Base made pursuant to </w:t>
      </w:r>
      <w:r>
        <w:rPr>
          <w:rFonts w:ascii="Times New Roman" w:cs="Times New Roman" w:eastAsia="Times New Roman" w:hAnsi="Times New Roman"/>
          <w:sz w:val="19"/>
          <w:szCs w:val="19"/>
          <w:u w:val="single" w:color="auto"/>
          <w:color w:val="auto"/>
        </w:rPr>
        <w:t>Section 2.14(f)</w:t>
      </w:r>
      <w:r>
        <w:rPr>
          <w:rFonts w:ascii="Times New Roman" w:cs="Times New Roman" w:eastAsia="Times New Roman" w:hAnsi="Times New Roman"/>
          <w:sz w:val="19"/>
          <w:szCs w:val="19"/>
          <w:color w:val="auto"/>
        </w:rPr>
        <w:t xml:space="preserve"> and any repayment of the Loans required in connection therewith, so long as no Event of Default then exists, the Borrower or any Guarantor</w:t>
      </w:r>
    </w:p>
    <w:p>
      <w:pPr>
        <w:ind w:right="20"/>
        <w:spacing w:after="0" w:line="228" w:lineRule="auto"/>
        <w:rPr>
          <w:sz w:val="20"/>
          <w:szCs w:val="20"/>
          <w:color w:val="auto"/>
        </w:rPr>
      </w:pPr>
      <w:r>
        <w:rPr>
          <w:rFonts w:ascii="Times New Roman" w:cs="Times New Roman" w:eastAsia="Times New Roman" w:hAnsi="Times New Roman"/>
          <w:sz w:val="20"/>
          <w:szCs w:val="20"/>
          <w:color w:val="auto"/>
        </w:rPr>
        <w:t>may make mandatory prepayments in respect of any Other Debt with the proceeds of the disposition of any assets that have been pledged to secure such Other Debt;</w:t>
      </w:r>
    </w:p>
    <w:p>
      <w:pPr>
        <w:spacing w:after="0" w:line="149" w:lineRule="exact"/>
        <w:rPr>
          <w:sz w:val="20"/>
          <w:szCs w:val="20"/>
          <w:color w:val="auto"/>
        </w:rPr>
      </w:pPr>
    </w:p>
    <w:p>
      <w:pPr>
        <w:jc w:val="both"/>
        <w:ind w:firstLine="656"/>
        <w:spacing w:after="0" w:line="234" w:lineRule="auto"/>
        <w:tabs>
          <w:tab w:leader="none" w:pos="1284"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will not amend or modify the terms of any Other Debt, other than amendments or modifications that (i) would otherwise comply with the definition of “Permitted Refinancing Indebtedness” that may be incurred to Refinance any such Indebtedness,</w:t>
      </w:r>
    </w:p>
    <w:p>
      <w:pPr>
        <w:jc w:val="both"/>
        <w:ind w:firstLine="8"/>
        <w:spacing w:after="0" w:line="209" w:lineRule="auto"/>
        <w:tabs>
          <w:tab w:leader="none" w:pos="305"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have the effect of converting any Other Debt to Qualified Equity Interests or (iii) to the extent such amendment or modification would not have been prohibited under this Agreement at the time such Permitted Refinancing Indebtedness, Other Debt or documentation was first issued, incurred or entered into, as applicable (it being understood that in no event shall such amendment or modification (x) make earlier the final maturity date of such Indebtedness or reduce the Weighted Average Life to Maturity of such Indebtedness or (y) shall include any financial maintenance covenants that are more restrictive than the financial maintenance covenants under the Credit Documents or prohibit prior repayment or prepayment of the Loans and the covenants and events of default applicable to such Other Debt shall not be more restrictive to the Borrower and its Subsidiaries than the covenants and events of default under the Credit Documents, taken as a whole; in each case, as reasonably determined by the Borrower in good faith, unless such covenants or events of default are incorporated into this Agreement and, (z) with respect to any Permitted Additional Debt or Permitted Refinancing Indebtedness thereof, such analysis shall assume that the Agreement in effect at the time of such amendment or modification constituted the Agreement at the time when such Permitted Refinancing Indebtedness or Other Debt was first issued, incurred or entered into, as applicable); and</w:t>
      </w:r>
    </w:p>
    <w:p>
      <w:pPr>
        <w:spacing w:after="0" w:line="164"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6"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and for the avoidance of doubt, nothing in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shall prohibit (i) the repayment or prepayment of intercompany subordinated Indebtedness owed among the Borrower and/or the Restricted Subsidiaries, in either case, unless an Event of Default has occurred and is continuing and the Borrower has received a notice from the Collateral Agent instructing it not to make or permit the Borrower and/or the Restricted Subsidiaries to make any such repayment or prepayment, or (ii) substantially concurrent transfers of credit positions in connection with intercompany debt restructurings so long as such Indebtedness is permitted by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after giving effect to such transfer.</w:t>
      </w:r>
    </w:p>
    <w:p>
      <w:pPr>
        <w:spacing w:after="0" w:line="162"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1.8 </w:t>
      </w:r>
      <w:r>
        <w:rPr>
          <w:rFonts w:ascii="Times New Roman" w:cs="Times New Roman" w:eastAsia="Times New Roman" w:hAnsi="Times New Roman"/>
          <w:sz w:val="19"/>
          <w:szCs w:val="19"/>
          <w:u w:val="single" w:color="auto"/>
          <w:color w:val="auto"/>
        </w:rPr>
        <w:t>Negative Pledge Agreements</w:t>
      </w:r>
      <w:r>
        <w:rPr>
          <w:rFonts w:ascii="Times New Roman" w:cs="Times New Roman" w:eastAsia="Times New Roman" w:hAnsi="Times New Roman"/>
          <w:sz w:val="19"/>
          <w:szCs w:val="19"/>
          <w:color w:val="auto"/>
        </w:rPr>
        <w:t>. The Borrower will not, and will not permit any of the Restricted Subsidiaries to, enter into or permit to exist any Contractual Requirement (other than this Agreement or any other Credit Document) that limits the ability of the Borrower</w:t>
      </w:r>
    </w:p>
    <w:p>
      <w:pPr>
        <w:spacing w:after="0" w:line="222" w:lineRule="auto"/>
        <w:rPr>
          <w:sz w:val="20"/>
          <w:szCs w:val="20"/>
          <w:color w:val="auto"/>
        </w:rPr>
      </w:pPr>
      <w:r>
        <w:rPr>
          <w:rFonts w:ascii="Times New Roman" w:cs="Times New Roman" w:eastAsia="Times New Roman" w:hAnsi="Times New Roman"/>
          <w:sz w:val="19"/>
          <w:szCs w:val="19"/>
          <w:color w:val="auto"/>
        </w:rPr>
        <w:t>or any Restricted Subsidiary to create, incur, assume or suffer to exist Liens on property of such Person for the benefit of the Secured Parties</w:t>
      </w:r>
    </w:p>
    <w:p>
      <w:pPr>
        <w:spacing w:after="0" w:line="197" w:lineRule="auto"/>
        <w:rPr>
          <w:sz w:val="20"/>
          <w:szCs w:val="20"/>
          <w:color w:val="auto"/>
        </w:rPr>
      </w:pPr>
      <w:r>
        <w:rPr>
          <w:rFonts w:ascii="Times New Roman" w:cs="Times New Roman" w:eastAsia="Times New Roman" w:hAnsi="Times New Roman"/>
          <w:sz w:val="20"/>
          <w:szCs w:val="20"/>
          <w:color w:val="auto"/>
        </w:rPr>
        <w:t xml:space="preserve">with respect to the Obligations or under the Credit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apply to each of the following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Contractual Requirements that:</w:t>
      </w:r>
    </w:p>
    <w:p>
      <w:pPr>
        <w:spacing w:after="0" w:line="161" w:lineRule="exact"/>
        <w:rPr>
          <w:sz w:val="20"/>
          <w:szCs w:val="20"/>
          <w:color w:val="auto"/>
        </w:rPr>
      </w:pPr>
    </w:p>
    <w:p>
      <w:pPr>
        <w:ind w:left="1300" w:hanging="644"/>
        <w:spacing w:after="0"/>
        <w:tabs>
          <w:tab w:leader="none" w:pos="1300"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exist on the Closing Date and (to the extent not otherwise permitted by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are listed on </w:t>
      </w:r>
      <w:r>
        <w:rPr>
          <w:rFonts w:ascii="Times New Roman" w:cs="Times New Roman" w:eastAsia="Times New Roman" w:hAnsi="Times New Roman"/>
          <w:sz w:val="20"/>
          <w:szCs w:val="20"/>
          <w:u w:val="single" w:color="auto"/>
          <w:color w:val="auto"/>
        </w:rPr>
        <w:t>Schedule 10.8</w:t>
      </w:r>
      <w:r>
        <w:rPr>
          <w:rFonts w:ascii="Times New Roman" w:cs="Times New Roman" w:eastAsia="Times New Roman" w:hAnsi="Times New Roman"/>
          <w:sz w:val="20"/>
          <w:szCs w:val="20"/>
          <w:color w:val="auto"/>
        </w:rPr>
        <w:t xml:space="preserve"> and</w:t>
      </w:r>
    </w:p>
    <w:p>
      <w:pPr>
        <w:ind w:right="20" w:firstLine="8"/>
        <w:spacing w:after="0" w:line="221" w:lineRule="auto"/>
        <w:tabs>
          <w:tab w:leader="none" w:pos="33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Contractual Requirements permitted by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are set forth in an agreement evidencing Indebtedness or other obligations, are set forth in any agreement evidencing any Permitted Refinancing Indebtedness incurred to Refinance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394"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9"/>
          <w:szCs w:val="19"/>
          <w:color w:val="auto"/>
        </w:rPr>
        <w:t>Indebtedness or obligation so long as such Permitted Refinancing Indebtedness does not expand the scope of such Contractual Requirement;</w:t>
      </w:r>
    </w:p>
    <w:p>
      <w:pPr>
        <w:spacing w:after="0" w:line="200" w:lineRule="exact"/>
        <w:rPr>
          <w:sz w:val="20"/>
          <w:szCs w:val="20"/>
          <w:color w:val="auto"/>
        </w:rPr>
      </w:pPr>
    </w:p>
    <w:p>
      <w:pPr>
        <w:jc w:val="both"/>
        <w:ind w:firstLine="656"/>
        <w:spacing w:after="0" w:line="226" w:lineRule="auto"/>
        <w:tabs>
          <w:tab w:leader="none" w:pos="128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binding on a Restricted Subsidiary at the time such Restricted Subsidiary first becomes a Restricted Subsidiary of the Borrower, so long as such Contractual Requirements were not entered into solely in contemplation of such Person becoming a Restricted Subsidiary of the Borrower;</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86"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represent Indebtedness permitted under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a Restricted Subsidiary of the Borrower that is not a Grantor so long as such Contractual Requirement applies only to such Subsidiary and its Subsidiaries;</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arise pursuant to agreements entered into with respect to any sale, transfer, lease or other Disposition permitted by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and applicable solely to assets under such sale, transfer, lease or other Disposition;</w:t>
      </w:r>
    </w:p>
    <w:p>
      <w:pPr>
        <w:spacing w:after="0" w:line="147"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are customary provisions in joint venture agreements and other similar agreements permitted by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 xml:space="preserve"> and applicable to joint ventures or otherwise arise in (A) agreements which restrict the Disposition or distribution of assets or property subject to oil and gas leases, joint operating agreements, joint exploration and/or development agreements, participation agreements or (B) any Production Sharing Contracts or similar instrument on which a Lien cannot be granted without the consent of a third party (to the extent the Administrative Agent and the Lenders otherwise have an Acceptable Security Interest in the property covered by such contract or instrument pursuant to the definition thereof or the property covered thereby is not required to be pledged as Collateral pursuant to the Credit Documents) and, in each case other similar agreements entered into in the ordinary course of the oil and gas exploration and development business and customary provisions in any Agreement of the type described in the definition of “Industry Investments” entered into in the ordinary course of business;</w:t>
      </w:r>
    </w:p>
    <w:p>
      <w:pPr>
        <w:spacing w:after="0" w:line="163" w:lineRule="exact"/>
        <w:rPr>
          <w:rFonts w:ascii="Times New Roman" w:cs="Times New Roman" w:eastAsia="Times New Roman" w:hAnsi="Times New Roman"/>
          <w:sz w:val="19"/>
          <w:szCs w:val="19"/>
          <w:color w:val="auto"/>
        </w:rPr>
      </w:pPr>
    </w:p>
    <w:p>
      <w:pPr>
        <w:ind w:right="20" w:firstLine="656"/>
        <w:spacing w:after="0" w:line="233" w:lineRule="auto"/>
        <w:tabs>
          <w:tab w:leader="none" w:pos="1291"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customary restrictions on leases, subleases, licenses or asset sale agreements otherwise permitted hereby so long as such restrictions relate to the assets subject thereto;</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customary provisions restricting subletting or assignment of any lease governing a leasehold interest of the Borrower or any Restricted Subsidiary or in leases prohibiting Liens on retained property rights of the lessor in connection with operations of the lessee conducted on the leased property;</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customary provisions restricting assignment of any agreement entered into in the ordinary course of business;</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the use of cash or other deposits imposed by customers under contracts entered into in the ordinary course of</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166"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 under any documentation governing any Permitted Refinancing Indebtedness incurred to Refinance any Indebtedness but only to the extent such Contractual Requirement is not materially more restrictive, taken as a whole, than the Contractual Requirement in the Indebtedness being refinanced;</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customary net worth provisions contained in real property leases entered into by any Restricted Subsidiary of the Borrower, so long as the Borrower has determined in good faith that such net worth provisions would not reasonably be expected to impair the ability of the Borrower and the Restricted Subsidiaries to meet their ongoing obligation;</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included in any agreement relating to any Lien, so long as (i) such Lien is permitted under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and such restrictions or conditions relate only to the specific asset subject to such Lien and (ii) such restrictions and conditions are not created for the purpose of avoiding the restrictions imposed by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85"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restrictions imposed by any agreement relating to Indebtedness incurred pursuant to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Permitted Refinancing Indebtedness in respect thereof, to the extent such restrictions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1399"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0"/>
          <w:szCs w:val="20"/>
          <w:color w:val="auto"/>
        </w:rPr>
        <w:t>not materially more restrictive, taken as a whole, than the restrictions contained in the Credit Documents as determined by the Borrower in good faith;</w:t>
      </w:r>
    </w:p>
    <w:p>
      <w:pPr>
        <w:spacing w:after="0" w:line="148" w:lineRule="exact"/>
        <w:rPr>
          <w:sz w:val="20"/>
          <w:szCs w:val="20"/>
          <w:color w:val="auto"/>
        </w:rPr>
      </w:pPr>
    </w:p>
    <w:p>
      <w:pPr>
        <w:ind w:firstLine="656"/>
        <w:spacing w:after="0"/>
        <w:tabs>
          <w:tab w:leader="none" w:pos="128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restrictions regarding licenses or sublicenses by the Borrower and the Restricted Subsidiaries of intellectual property in the ordinary course of business (in which case such restriction shall relate only to such intellectual property);</w:t>
      </w:r>
    </w:p>
    <w:p>
      <w:pPr>
        <w:spacing w:after="0" w:line="1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arise in connection with cash or other deposits permitted under </w:t>
      </w:r>
      <w:r>
        <w:rPr>
          <w:rFonts w:ascii="Times New Roman" w:cs="Times New Roman" w:eastAsia="Times New Roman" w:hAnsi="Times New Roman"/>
          <w:sz w:val="20"/>
          <w:szCs w:val="20"/>
          <w:u w:val="single" w:color="auto"/>
          <w:color w:val="auto"/>
        </w:rPr>
        <w:t>Sections 10.2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and limited to such cash or deposit;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166"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encumbrances or restrictions imposed by any amendments, modifications, restatements, renewals, increases, supplements, refundings, replacements or refinancings of the contracts, instruments or obligations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amendments, modifications, restatements, renewals, increases, supplements, refundings, replacements or refinancings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19"/>
          <w:szCs w:val="19"/>
          <w:u w:val="single" w:color="auto"/>
          <w:color w:val="auto"/>
        </w:rPr>
        <w:t>Limitation on Subsidiary Distributions</w:t>
      </w:r>
      <w:r>
        <w:rPr>
          <w:rFonts w:ascii="Times New Roman" w:cs="Times New Roman" w:eastAsia="Times New Roman" w:hAnsi="Times New Roman"/>
          <w:sz w:val="19"/>
          <w:szCs w:val="19"/>
          <w:color w:val="auto"/>
        </w:rPr>
        <w:t>. The Borrower will not, and will not permit any of its Restricted Subsidiaries that are</w:t>
      </w:r>
    </w:p>
    <w:p>
      <w:pPr>
        <w:spacing w:after="0" w:line="204" w:lineRule="auto"/>
        <w:rPr>
          <w:sz w:val="20"/>
          <w:szCs w:val="20"/>
          <w:color w:val="auto"/>
        </w:rPr>
      </w:pPr>
      <w:r>
        <w:rPr>
          <w:rFonts w:ascii="Times New Roman" w:cs="Times New Roman" w:eastAsia="Times New Roman" w:hAnsi="Times New Roman"/>
          <w:sz w:val="20"/>
          <w:szCs w:val="20"/>
          <w:color w:val="auto"/>
        </w:rPr>
        <w:t>not Guarantors to, directly or indirectly, create or otherwise cause or suffer to exist or become effective any consensual encumbrance or consensual restriction on the ability of any such Restricted Subsidiary to pay dividends or make any other distributions to the Borrower or</w:t>
      </w:r>
    </w:p>
    <w:p>
      <w:pPr>
        <w:spacing w:after="0" w:line="223" w:lineRule="auto"/>
        <w:rPr>
          <w:sz w:val="20"/>
          <w:szCs w:val="20"/>
          <w:color w:val="auto"/>
        </w:rPr>
      </w:pPr>
      <w:r>
        <w:rPr>
          <w:rFonts w:ascii="Times New Roman" w:cs="Times New Roman" w:eastAsia="Times New Roman" w:hAnsi="Times New Roman"/>
          <w:sz w:val="19"/>
          <w:szCs w:val="19"/>
          <w:color w:val="auto"/>
        </w:rPr>
        <w:t>any Restricted Subsidiary on its Equity Interests or with respect to any other interest or participation in, or measured by, its profits or transfer</w:t>
      </w:r>
    </w:p>
    <w:p>
      <w:pPr>
        <w:spacing w:after="0" w:line="221" w:lineRule="auto"/>
        <w:rPr>
          <w:sz w:val="20"/>
          <w:szCs w:val="20"/>
          <w:color w:val="auto"/>
        </w:rPr>
      </w:pPr>
      <w:r>
        <w:rPr>
          <w:rFonts w:ascii="Times New Roman" w:cs="Times New Roman" w:eastAsia="Times New Roman" w:hAnsi="Times New Roman"/>
          <w:sz w:val="20"/>
          <w:szCs w:val="20"/>
          <w:color w:val="auto"/>
        </w:rPr>
        <w:t>any property to the Borrower or any Restricted Subsidiary except (in each case) for such encumbrances or restrictions existing under or by reason of:</w:t>
      </w:r>
    </w:p>
    <w:p>
      <w:pPr>
        <w:spacing w:after="0" w:line="162" w:lineRule="exact"/>
        <w:rPr>
          <w:sz w:val="20"/>
          <w:szCs w:val="20"/>
          <w:color w:val="auto"/>
        </w:rPr>
      </w:pPr>
    </w:p>
    <w:p>
      <w:pPr>
        <w:ind w:left="1300" w:hanging="644"/>
        <w:spacing w:after="0"/>
        <w:tabs>
          <w:tab w:leader="none" w:pos="130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encumbrances or restrictions in effect on the Closing Date, including pursuant to the Credit Documents;</w:t>
      </w:r>
    </w:p>
    <w:p>
      <w:pPr>
        <w:spacing w:after="0" w:line="175"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money obligations for property acquired in the ordinary course of business and obligations under any Capitalized Lease that impose restrictions on transferring the property so acquired;</w:t>
      </w:r>
    </w:p>
    <w:p>
      <w:pPr>
        <w:spacing w:after="0" w:line="161"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other instrument of a Person acquired by or merged or consolidated with or into the Borrower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spacing w:after="0" w:line="161"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secured Indebtedness otherwise permitted to be incurred pursuant to </w:t>
      </w:r>
      <w:r>
        <w:rPr>
          <w:rFonts w:ascii="Times New Roman" w:cs="Times New Roman" w:eastAsia="Times New Roman" w:hAnsi="Times New Roman"/>
          <w:sz w:val="20"/>
          <w:szCs w:val="20"/>
          <w:u w:val="single" w:color="auto"/>
          <w:color w:val="auto"/>
        </w:rPr>
        <w:t>Section 10.1(m)</w:t>
      </w:r>
      <w:r>
        <w:rPr>
          <w:rFonts w:ascii="Times New Roman" w:cs="Times New Roman" w:eastAsia="Times New Roman" w:hAnsi="Times New Roman"/>
          <w:sz w:val="20"/>
          <w:szCs w:val="20"/>
          <w:color w:val="auto"/>
        </w:rPr>
        <w:t xml:space="preserve"> as it relates to the right of the debtor to dispose of the assets securing such Indebtedness;</w:t>
      </w:r>
    </w:p>
    <w:p>
      <w:pPr>
        <w:spacing w:after="0" w:line="1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cash or other deposits or net worth imposed by customers under contracts entered into in the ordinary course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business;</w:t>
      </w:r>
    </w:p>
    <w:p>
      <w:pPr>
        <w:spacing w:after="0" w:line="166"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1"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Indebtedness of Borrower and its Restricted Subsidiaries permitted to be incurred subsequent to the Closing Date pursuant to </w:t>
      </w:r>
      <w:r>
        <w:rPr>
          <w:rFonts w:ascii="Times New Roman" w:cs="Times New Roman" w:eastAsia="Times New Roman" w:hAnsi="Times New Roman"/>
          <w:sz w:val="20"/>
          <w:szCs w:val="20"/>
          <w:u w:val="single" w:color="auto"/>
          <w:color w:val="auto"/>
        </w:rPr>
        <w:t>Sections 10.1(a)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 xml:space="preserve"> so long as the provisions relating to such encumbrance or restriction contained in such Indebtedness are no less favorable to the Borrower, taken as a whole, as determined by the board of directors of the Borrower in good faith, than the provisions contained in this Agreement as in effect on the Closing Date;</w:t>
      </w:r>
    </w:p>
    <w:p>
      <w:pPr>
        <w:spacing w:after="0" w:line="14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in joint venture agreements or agreements governing property held with a common owner and other similar agreements or arrangements relating solely to such joint venture or property or are otherwise customary encumbrances or restrictions imposed pursuant to any agreement of the type described in the definition of “Industry Investments” entered into in the ordinary course of business of the Energy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399" w:right="339" w:bottom="1440" w:gutter="0" w:footer="0" w:header="0"/>
        </w:sectPr>
      </w:pPr>
    </w:p>
    <w:bookmarkStart w:id="168" w:name="page169"/>
    <w:bookmarkEnd w:id="168"/>
    <w:p>
      <w:pPr>
        <w:ind w:right="20" w:firstLine="656"/>
        <w:spacing w:after="0"/>
        <w:tabs>
          <w:tab w:leader="none" w:pos="128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contained in leases, sub-leases, licenses, sub-licenses or similar agreements, in each case, entered into in the ordinary course of business;</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9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agreements entered into with respect to any sale, transfer, lease or other Disposition permitted by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and applicable solely to assets under such sale, transfer, lease or other Disposition;</w:t>
      </w:r>
    </w:p>
    <w:p>
      <w:pPr>
        <w:spacing w:after="0" w:line="161" w:lineRule="exact"/>
        <w:rPr>
          <w:rFonts w:ascii="Times New Roman" w:cs="Times New Roman" w:eastAsia="Times New Roman" w:hAnsi="Times New Roman"/>
          <w:sz w:val="20"/>
          <w:szCs w:val="20"/>
          <w:color w:val="auto"/>
        </w:rPr>
      </w:pPr>
    </w:p>
    <w:p>
      <w:pPr>
        <w:jc w:val="both"/>
        <w:ind w:firstLine="656"/>
        <w:spacing w:after="0" w:line="216" w:lineRule="auto"/>
        <w:tabs>
          <w:tab w:leader="none" w:pos="129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encumbrances or restrictions imposed by any amendments, modifications, restatements, renewals, increases, supplements, refundings, replacements or refinancings of the contracts, instruments or obligations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such amendments, modifications, restatements, renewals, increases, supplements, refundings, replacements or refinancings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 and</w:t>
      </w:r>
    </w:p>
    <w:p>
      <w:pPr>
        <w:spacing w:after="0" w:line="16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Senior Notes.</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1.10 </w:t>
      </w:r>
      <w:r>
        <w:rPr>
          <w:rFonts w:ascii="Times New Roman" w:cs="Times New Roman" w:eastAsia="Times New Roman" w:hAnsi="Times New Roman"/>
          <w:sz w:val="20"/>
          <w:szCs w:val="20"/>
          <w:u w:val="single" w:color="auto"/>
          <w:color w:val="auto"/>
        </w:rPr>
        <w:t>Hedge Agreements</w:t>
      </w:r>
      <w:r>
        <w:rPr>
          <w:rFonts w:ascii="Times New Roman" w:cs="Times New Roman" w:eastAsia="Times New Roman" w:hAnsi="Times New Roman"/>
          <w:sz w:val="20"/>
          <w:szCs w:val="20"/>
          <w:color w:val="auto"/>
        </w:rPr>
        <w:t>. The Borrower will not, and will not permit any Restricted Subsidiary to, enter into any Hedge Agreements with any Person other than:</w:t>
      </w:r>
    </w:p>
    <w:p>
      <w:pPr>
        <w:spacing w:after="0" w:line="161" w:lineRule="exact"/>
        <w:rPr>
          <w:sz w:val="20"/>
          <w:szCs w:val="20"/>
          <w:color w:val="auto"/>
        </w:rPr>
      </w:pPr>
    </w:p>
    <w:p>
      <w:pPr>
        <w:jc w:val="both"/>
        <w:ind w:firstLine="656"/>
        <w:spacing w:after="0" w:line="228" w:lineRule="auto"/>
        <w:tabs>
          <w:tab w:leader="none" w:pos="1286"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Hedge Agreements with Approved Counterparties in respect of Hydrocarbons entered into not for speculative purposes, the net notional volumes for which (when aggregated with other commodity Hedge Agreements then in effect, other than (i) puts, floors and basis differential swaps on volumes already hedged pursuant to other Hedge Agreements) do not exceed, as of the date the latest hedging transaction is entered into under a Hedge Agreement, eighty-five percent (85%) of the reasonably anticipated Hydrocarbon production of crude oil, natural gas and natural gas liquids, calculated separately, from the Credit Parties’ total Proved Reserves (as forecast based upon the Initial Reserve Report or the most recent Reserve Report delivered pursuant to </w:t>
      </w:r>
      <w:r>
        <w:rPr>
          <w:rFonts w:ascii="Times New Roman" w:cs="Times New Roman" w:eastAsia="Times New Roman" w:hAnsi="Times New Roman"/>
          <w:sz w:val="19"/>
          <w:szCs w:val="19"/>
          <w:u w:val="single" w:color="auto"/>
          <w:color w:val="auto"/>
        </w:rPr>
        <w:t>Section 9.13(a)</w:t>
      </w:r>
      <w:r>
        <w:rPr>
          <w:rFonts w:ascii="Times New Roman" w:cs="Times New Roman" w:eastAsia="Times New Roman" w:hAnsi="Times New Roman"/>
          <w:sz w:val="19"/>
          <w:szCs w:val="19"/>
          <w:color w:val="auto"/>
        </w:rPr>
        <w:t xml:space="preserve">, as applicable) for the sixty (60) month period from the date of creation of such hedging arrangement, based on daily volumes on an annual basis; provided, however, notwithstanding the foregoing volume limitation, the Borrower and/or the Restricted Subsidiaries may enter into Hedge Agreements in respect of purchased puts and floors not intended to be physically settled so long as the net notional volumes of all Hedge Agreements in respect of Hydrocarbons subject to this </w:t>
      </w:r>
      <w:r>
        <w:rPr>
          <w:rFonts w:ascii="Times New Roman" w:cs="Times New Roman" w:eastAsia="Times New Roman" w:hAnsi="Times New Roman"/>
          <w:sz w:val="19"/>
          <w:szCs w:val="19"/>
          <w:u w:val="single" w:color="auto"/>
          <w:color w:val="auto"/>
        </w:rPr>
        <w:t>Section 10.10(a)</w:t>
      </w:r>
      <w:r>
        <w:rPr>
          <w:rFonts w:ascii="Times New Roman" w:cs="Times New Roman" w:eastAsia="Times New Roman" w:hAnsi="Times New Roman"/>
          <w:sz w:val="19"/>
          <w:szCs w:val="19"/>
          <w:color w:val="auto"/>
        </w:rPr>
        <w:t xml:space="preserve"> do not exceed (when aggregated with other commodity Hedge Agreements then in effect, other than puts, floors and basis differential swaps on volumes already hedged pursuant to other Hedge Agreements), as of the date the latest hedging transaction is entered into under a Hedge Agreement, one hundred percent (100%) of the reasonably anticipated Hydrocarbon production of crude oil, natural gas and natural gas liquids, calculated separately, from the Credit Parties’ total Proved Reserves (as forecast based upon the Initial Reserve Report or the most recent Reserve Report delivered pursuant to </w:t>
      </w:r>
      <w:r>
        <w:rPr>
          <w:rFonts w:ascii="Times New Roman" w:cs="Times New Roman" w:eastAsia="Times New Roman" w:hAnsi="Times New Roman"/>
          <w:sz w:val="19"/>
          <w:szCs w:val="19"/>
          <w:u w:val="single" w:color="auto"/>
          <w:color w:val="auto"/>
        </w:rPr>
        <w:t>Section 9.13(a)</w:t>
      </w:r>
      <w:r>
        <w:rPr>
          <w:rFonts w:ascii="Times New Roman" w:cs="Times New Roman" w:eastAsia="Times New Roman" w:hAnsi="Times New Roman"/>
          <w:sz w:val="19"/>
          <w:szCs w:val="19"/>
          <w:color w:val="auto"/>
        </w:rPr>
        <w:t>, as applicable) for the sixty (60) month period from the date of creation of such hedging arrangement, based on daily volumes on an annual basis (the “</w:t>
      </w:r>
      <w:r>
        <w:rPr>
          <w:rFonts w:ascii="Times New Roman" w:cs="Times New Roman" w:eastAsia="Times New Roman" w:hAnsi="Times New Roman"/>
          <w:sz w:val="19"/>
          <w:szCs w:val="19"/>
          <w:u w:val="single" w:color="auto"/>
          <w:color w:val="auto"/>
        </w:rPr>
        <w:t>Ongoing Hedges</w:t>
      </w:r>
      <w:r>
        <w:rPr>
          <w:rFonts w:ascii="Times New Roman" w:cs="Times New Roman" w:eastAsia="Times New Roman" w:hAnsi="Times New Roman"/>
          <w:sz w:val="19"/>
          <w:szCs w:val="19"/>
          <w:color w:val="auto"/>
        </w:rPr>
        <w:t>”), (ii) any Permitted Bond Hedge Transaction(s), and (iii) any Permitted Warrant Transaction. In no event shall any Hedge Agreement entered into by the Credit Parties have a tenor longer than sixty (60) months. In addition to the Ongoing Hedges, in connection with a proposed or pending acquisition of Oil and Gas Properties (a “</w:t>
      </w:r>
      <w:r>
        <w:rPr>
          <w:rFonts w:ascii="Times New Roman" w:cs="Times New Roman" w:eastAsia="Times New Roman" w:hAnsi="Times New Roman"/>
          <w:sz w:val="19"/>
          <w:szCs w:val="19"/>
          <w:u w:val="single" w:color="auto"/>
          <w:color w:val="auto"/>
        </w:rPr>
        <w:t>Proposed Acquisition</w:t>
      </w:r>
      <w:r>
        <w:rPr>
          <w:rFonts w:ascii="Times New Roman" w:cs="Times New Roman" w:eastAsia="Times New Roman" w:hAnsi="Times New Roman"/>
          <w:sz w:val="19"/>
          <w:szCs w:val="19"/>
          <w:color w:val="auto"/>
        </w:rPr>
        <w:t>”), the Credit Parties may also enter into incremental hedging contracts with respect to the Credit Parties’ reasonably anticipated projected production from the total Proved Reserves of the Borrower and its Restricted Subsidiaries as forecast based upon the most recent Reserve Report having notional volumes not in excess of fifteen percent (15%) of the Credit Parties’ existing projected production prior to the consummation of such Proposed Acquisition (such that the aggregate shall not be more than one hundred percent (100%) of the reasonably anticipated projected production prior to the consummation of such Proposed Acquisition) for a period not exceeding thirty-six (36) months from the date such hedging arrangement is created during the period between</w:t>
      </w:r>
    </w:p>
    <w:p>
      <w:pPr>
        <w:spacing w:after="0" w:line="5" w:lineRule="exact"/>
        <w:rPr>
          <w:rFonts w:ascii="Times New Roman" w:cs="Times New Roman" w:eastAsia="Times New Roman" w:hAnsi="Times New Roman"/>
          <w:sz w:val="19"/>
          <w:szCs w:val="19"/>
          <w:color w:val="auto"/>
        </w:rPr>
      </w:pPr>
    </w:p>
    <w:p>
      <w:pPr>
        <w:jc w:val="both"/>
        <w:ind w:firstLine="8"/>
        <w:spacing w:after="0" w:line="212" w:lineRule="auto"/>
        <w:tabs>
          <w:tab w:leader="none" w:pos="245"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such Guarantor signs a definitive acquisition agreement in connection with a Proposed Acquisition and (ii) the earliest of (A) the date of consummation of such Proposed Acquisition, (B) the date of termination of such Proposed Acquisition and (C) thirty (30) days after the date of execution of such definitive acquisition agreement (or such longer period as the Administrative Agent may agree in its reasonable discretion). However, all such incremental hedging contracts entered into with respect to a Proposed Acquisition must be terminated or unwound within thirty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399" w:right="339" w:bottom="1440" w:gutter="0" w:footer="0" w:header="0"/>
        </w:sectPr>
      </w:pPr>
    </w:p>
    <w:bookmarkStart w:id="169" w:name="page170"/>
    <w:bookmarkEnd w:id="169"/>
    <w:p>
      <w:pPr>
        <w:jc w:val="both"/>
        <w:ind w:firstLine="8"/>
        <w:spacing w:after="0" w:line="222" w:lineRule="auto"/>
        <w:tabs>
          <w:tab w:leader="none" w:pos="39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following the date of termination of such Proposed Acquisition. It is understood that commodity Hedge Agreements which may, from time to time, “hedge” the same volumes of commodity risk but different elements of commodity risk thereof, including where one or more such Hedge Agreements partially offset one or more other such Hedge Agreements, shall not be aggregated together when calculating the foregoing limitations on notional volumes.</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Hedge Agreements (other than any Hedge Agreements in respect of Hydrocarbons or equity or equity index swaps or options, bond or bond price or bond index swaps or options or forward bond or forward bond price or forward bond index transactions) entered into not for speculative purposes.</w:t>
      </w:r>
    </w:p>
    <w:p>
      <w:pPr>
        <w:spacing w:after="0" w:line="160"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6"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is understood that for purposes of this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 the following Hedge Agreements shall be deemed not to be speculative or entered into for speculative purposes: (i) any commodity Hedge Agreement intended, at inception of execution, to hedge or manage any of the risks related to existing and or forecasted Hydrocarbon production of the Borrower or its Restricted Subsidiaries (whether or not contracted) and (ii) any Hedge Agreement intended, at inception of execution, (A) to hedge or manage the interest rate exposure associated with any debt securities, debt facilities or leases (existing or forecasted) of the Borrower or its Restricted Subsidiaries, (B) for foreign exchange or currency exchange management, (C) to manage commodity portfolio exposure associated with changes in interest rates or (D) to hedge any exposure that the Borrower or its Restricted Subsidiaries may have to counterparties under other Hedge Agreements such that the combination of such Hedge Agreements is not speculative taken as a whole.</w:t>
      </w:r>
    </w:p>
    <w:p>
      <w:pPr>
        <w:spacing w:after="0" w:line="162"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entering into or maintaining Ongoing Hedges under </w:t>
      </w:r>
      <w:r>
        <w:rPr>
          <w:rFonts w:ascii="Times New Roman" w:cs="Times New Roman" w:eastAsia="Times New Roman" w:hAnsi="Times New Roman"/>
          <w:sz w:val="20"/>
          <w:szCs w:val="20"/>
          <w:u w:val="single" w:color="auto"/>
          <w:color w:val="auto"/>
        </w:rPr>
        <w:t>Section 10.10(a)</w:t>
      </w:r>
      <w:r>
        <w:rPr>
          <w:rFonts w:ascii="Times New Roman" w:cs="Times New Roman" w:eastAsia="Times New Roman" w:hAnsi="Times New Roman"/>
          <w:sz w:val="20"/>
          <w:szCs w:val="20"/>
          <w:color w:val="auto"/>
        </w:rPr>
        <w:t xml:space="preserve">, forecasts of reasonably projected Hydrocarbon production volumes and reasonably anticipated Hydrocarbon production from the Credit Parties’ total Proved Reserves based upon the Initial Reserve Report or the most recent Reserve Report delivered pursuant to </w:t>
      </w:r>
      <w:r>
        <w:rPr>
          <w:rFonts w:ascii="Times New Roman" w:cs="Times New Roman" w:eastAsia="Times New Roman" w:hAnsi="Times New Roman"/>
          <w:sz w:val="20"/>
          <w:szCs w:val="20"/>
          <w:u w:val="single" w:color="auto"/>
          <w:color w:val="auto"/>
        </w:rPr>
        <w:t>Section 9.13(a)</w:t>
      </w:r>
      <w:r>
        <w:rPr>
          <w:rFonts w:ascii="Times New Roman" w:cs="Times New Roman" w:eastAsia="Times New Roman" w:hAnsi="Times New Roman"/>
          <w:sz w:val="20"/>
          <w:szCs w:val="20"/>
          <w:color w:val="auto"/>
        </w:rPr>
        <w:t>, as applicable, shall be revised to account for any increase or decrease therein anticipated because of information obtained by Borrower or any other Credit Party subsequent to the publication of such Reserve Report including the Borrower’s or any other Credit Party’s internal forecasts of production decline rates for existing wells and additions to or deletions from anticipated future production from new wells and acquisitions coming on stream or failing to come on stream.</w:t>
      </w:r>
    </w:p>
    <w:p>
      <w:pPr>
        <w:spacing w:after="0" w:line="150"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6"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the Borrower or any other Credit Party shall be permitted to enter into Hedge Agreements with respect to Hydrocarbons purchased from third parties to the extent such Hydrocarbons are intended to be consumed by the Borrower or any other Credit Party in their respective operations or used in connection with the Energy Business. In no event shall any Lien secure Hedge Agreements except pursuant to the Credit Documents, nor shall any Hedge Agreement contain any requirement, agreement or covenant for the Borrower and its Restricted Subsidiaries to post collateral, credit support (including in the form of letters of credit) or margin (other than, in each case, pursuant to the Credit Documents or to the extent required following Payment in Full) to secure their obligations under such Hedge Agreement or to cover market exposures, nor shall any Hedge Agreement be secured by any collateral other than Collateral pursuant to the Credit Documents.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right="20" w:firstLine="656"/>
        <w:spacing w:after="0" w:line="230" w:lineRule="auto"/>
        <w:tabs>
          <w:tab w:leader="none" w:pos="128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Total Net Leverage Ratio</w:t>
      </w:r>
      <w:r>
        <w:rPr>
          <w:rFonts w:ascii="Times New Roman" w:cs="Times New Roman" w:eastAsia="Times New Roman" w:hAnsi="Times New Roman"/>
          <w:sz w:val="20"/>
          <w:szCs w:val="20"/>
          <w:color w:val="auto"/>
        </w:rPr>
        <w:t>. The Borrower will not permit the Consolidated Total Net Leverage Ratio as of the last day of the Test Period ending on March 31, 2023 and as of the last day of any Test Period ending thereafter to be greater than 3.00 to 1.00.</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Current Ratio</w:t>
      </w:r>
      <w:r>
        <w:rPr>
          <w:rFonts w:ascii="Times New Roman" w:cs="Times New Roman" w:eastAsia="Times New Roman" w:hAnsi="Times New Roman"/>
          <w:sz w:val="20"/>
          <w:szCs w:val="20"/>
          <w:color w:val="auto"/>
        </w:rPr>
        <w:t>. The Borrower will not permit the Current Ratio as of the last day of the fiscal quarter ending on or after March 31, 2023 to be less than 1.00 to 1.00.</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Accounting Changes; Amendments to Organization Documents</w:t>
      </w:r>
      <w:r>
        <w:rPr>
          <w:rFonts w:ascii="Times New Roman" w:cs="Times New Roman" w:eastAsia="Times New Roman" w:hAnsi="Times New Roman"/>
          <w:sz w:val="20"/>
          <w:szCs w:val="20"/>
          <w:color w:val="auto"/>
        </w:rPr>
        <w:t>. The Borrower shall not and shall not permit any of its Restricted Subsidiaries to (a) have its fiscal year end on a date other than December 31 or have its fiscal quarters end on dates other than</w:t>
      </w:r>
    </w:p>
    <w:p>
      <w:pPr>
        <w:spacing w:after="0" w:line="212" w:lineRule="auto"/>
        <w:rPr>
          <w:sz w:val="20"/>
          <w:szCs w:val="20"/>
          <w:color w:val="auto"/>
        </w:rPr>
      </w:pPr>
      <w:r>
        <w:rPr>
          <w:rFonts w:ascii="Times New Roman" w:cs="Times New Roman" w:eastAsia="Times New Roman" w:hAnsi="Times New Roman"/>
          <w:sz w:val="20"/>
          <w:szCs w:val="20"/>
          <w:color w:val="auto"/>
        </w:rPr>
        <w:t>March 31, June 30 or September 30 or (b) amend, supplement or otherwise modify (or permit to be amended, supplemented or modified) its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Organization Document in a manner that is material and adverse to the interests of the Administrative Agent or the Lenders without the consent of the Majority Lenders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399" w:right="339" w:bottom="1440" w:gutter="0" w:footer="0" w:header="0"/>
        </w:sectPr>
      </w:pPr>
    </w:p>
    <w:bookmarkStart w:id="170" w:name="page171"/>
    <w:bookmarkEnd w:id="170"/>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20"/>
          <w:szCs w:val="20"/>
          <w:u w:val="single" w:color="auto"/>
          <w:color w:val="auto"/>
        </w:rPr>
        <w:t>Change in Business</w:t>
      </w:r>
      <w:r>
        <w:rPr>
          <w:rFonts w:ascii="Times New Roman" w:cs="Times New Roman" w:eastAsia="Times New Roman" w:hAnsi="Times New Roman"/>
          <w:sz w:val="20"/>
          <w:szCs w:val="20"/>
          <w:color w:val="auto"/>
        </w:rPr>
        <w:t>. The Borrower and its Restricted Subsidiaries, taken as a whole, will not fundamentally and</w:t>
      </w:r>
    </w:p>
    <w:p>
      <w:pPr>
        <w:spacing w:after="0" w:line="221" w:lineRule="auto"/>
        <w:rPr>
          <w:sz w:val="20"/>
          <w:szCs w:val="20"/>
          <w:color w:val="auto"/>
        </w:rPr>
      </w:pPr>
      <w:r>
        <w:rPr>
          <w:rFonts w:ascii="Times New Roman" w:cs="Times New Roman" w:eastAsia="Times New Roman" w:hAnsi="Times New Roman"/>
          <w:sz w:val="20"/>
          <w:szCs w:val="20"/>
          <w:color w:val="auto"/>
        </w:rPr>
        <w:t>substantively alter the character of their business, taken as a whole, from (i) the business conducted by them on the Closing Date or (ii) any other business reasonably related, complementary, incidental, synergistic or ancillary thereto or reasonable extensions thereof.</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The Borrower shall not conduct, and cause each of the Restricted Subsidiaries not to conduct,</w:t>
      </w:r>
    </w:p>
    <w:p>
      <w:pPr>
        <w:spacing w:after="0" w:line="215" w:lineRule="auto"/>
        <w:rPr>
          <w:sz w:val="20"/>
          <w:szCs w:val="20"/>
          <w:color w:val="auto"/>
        </w:rPr>
      </w:pPr>
      <w:r>
        <w:rPr>
          <w:rFonts w:ascii="Times New Roman" w:cs="Times New Roman" w:eastAsia="Times New Roman" w:hAnsi="Times New Roman"/>
          <w:sz w:val="19"/>
          <w:szCs w:val="19"/>
          <w:color w:val="auto"/>
        </w:rPr>
        <w:t>any transactions involving aggregate payments or consideration in excess of $25,000,000 with any of its Affiliates (other than the Borrower and the Restricted Subsidiaries or any entity that becomes a Restricted Subsidiary as a result of such transaction) unless such transactions are</w:t>
      </w:r>
    </w:p>
    <w:p>
      <w:pPr>
        <w:spacing w:after="0" w:line="211" w:lineRule="auto"/>
        <w:rPr>
          <w:sz w:val="20"/>
          <w:szCs w:val="20"/>
          <w:color w:val="auto"/>
        </w:rPr>
      </w:pPr>
      <w:r>
        <w:rPr>
          <w:rFonts w:ascii="Times New Roman" w:cs="Times New Roman" w:eastAsia="Times New Roman" w:hAnsi="Times New Roman"/>
          <w:sz w:val="20"/>
          <w:szCs w:val="20"/>
          <w:color w:val="auto"/>
        </w:rPr>
        <w:t>on terms that are substantially no less favorable to the Borrower or such Restricted Subsidiary as it would obtain at the time in a comparable</w:t>
      </w:r>
    </w:p>
    <w:p>
      <w:pPr>
        <w:spacing w:after="0" w:line="197" w:lineRule="auto"/>
        <w:rPr>
          <w:sz w:val="20"/>
          <w:szCs w:val="20"/>
          <w:color w:val="auto"/>
        </w:rPr>
      </w:pPr>
      <w:r>
        <w:rPr>
          <w:rFonts w:ascii="Times New Roman" w:cs="Times New Roman" w:eastAsia="Times New Roman" w:hAnsi="Times New Roman"/>
          <w:sz w:val="20"/>
          <w:szCs w:val="20"/>
          <w:color w:val="auto"/>
        </w:rPr>
        <w:t>arm’s-length transaction with a Person that is not an Affiliate, as determined by the board of directors or managers of the Borrower or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Restricted Subsidiary in good faith;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restrictions shall not apply to:</w:t>
      </w:r>
    </w:p>
    <w:p>
      <w:pPr>
        <w:spacing w:after="0" w:line="167" w:lineRule="exact"/>
        <w:rPr>
          <w:sz w:val="20"/>
          <w:szCs w:val="20"/>
          <w:color w:val="auto"/>
        </w:rPr>
      </w:pPr>
    </w:p>
    <w:p>
      <w:pPr>
        <w:ind w:left="1300" w:hanging="644"/>
        <w:spacing w:after="0"/>
        <w:tabs>
          <w:tab w:leader="none" w:pos="130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the Transactions, including the payment of Transaction Expenses;</w:t>
      </w:r>
    </w:p>
    <w:p>
      <w:pPr>
        <w:spacing w:after="0" w:line="188"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Equity Interests of the Borrower to any officer, director, employee or consultant of any of the Borrower or any of its Subsidiaries;</w:t>
      </w:r>
    </w:p>
    <w:p>
      <w:pPr>
        <w:spacing w:after="0" w:line="160" w:lineRule="exact"/>
        <w:rPr>
          <w:rFonts w:ascii="Times New Roman" w:cs="Times New Roman" w:eastAsia="Times New Roman" w:hAnsi="Times New Roman"/>
          <w:sz w:val="20"/>
          <w:szCs w:val="20"/>
          <w:color w:val="auto"/>
        </w:rPr>
      </w:pPr>
    </w:p>
    <w:p>
      <w:pPr>
        <w:ind w:right="20" w:firstLine="656"/>
        <w:spacing w:after="0"/>
        <w:tabs>
          <w:tab w:leader="none" w:pos="128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equity issuances, repurchases, retirements, redemptions or other acquisitions or retirements of Equity Interests by the Borrower permitted under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advances and other transactions between or among the Borrower, any Subsidiary or any joint venture (regardless of the form of legal entity) in which the Borrower or any Subsidiary has invested (and which Subsidiary or joint venture would not be an Affiliate of the Borrower or such Subsidiary, but for the Borrower’s or such Subsidiary’s ownership of Equity Interests in such joint venture or such Subsidiary) to the extent permitted under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 and severance arrangements and health, disability and similar insurance or benefit plans between the Borrower and the Subsidiaries and their respective future, current or former directors, officers, employees or consultants (including management and employee benefit plans or agreements, subscription agreements or similar agreements pertaining to the repurchase of Equity Interests pursuant to put/call rights or similar rights with future, current or former employees, officers, directors or consultants and equity option or incentive plans and other compensation arrangements) in the ordinary course of business or as otherwise approved by the board of directors or managers of the Borrower;</w:t>
      </w:r>
    </w:p>
    <w:p>
      <w:pPr>
        <w:spacing w:after="0" w:line="162" w:lineRule="exact"/>
        <w:rPr>
          <w:rFonts w:ascii="Times New Roman" w:cs="Times New Roman" w:eastAsia="Times New Roman" w:hAnsi="Times New Roman"/>
          <w:sz w:val="20"/>
          <w:szCs w:val="20"/>
          <w:color w:val="auto"/>
        </w:rPr>
      </w:pPr>
    </w:p>
    <w:p>
      <w:pPr>
        <w:jc w:val="both"/>
        <w:ind w:firstLine="656"/>
        <w:spacing w:after="0" w:line="226" w:lineRule="auto"/>
        <w:tabs>
          <w:tab w:leader="none" w:pos="1291"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pursuant to agreements in existence on the Closing Date and set forth on </w:t>
      </w:r>
      <w:r>
        <w:rPr>
          <w:rFonts w:ascii="Times New Roman" w:cs="Times New Roman" w:eastAsia="Times New Roman" w:hAnsi="Times New Roman"/>
          <w:sz w:val="20"/>
          <w:szCs w:val="20"/>
          <w:u w:val="single" w:color="auto"/>
          <w:color w:val="auto"/>
        </w:rPr>
        <w:t>Schedule 10.14</w:t>
      </w:r>
      <w:r>
        <w:rPr>
          <w:rFonts w:ascii="Times New Roman" w:cs="Times New Roman" w:eastAsia="Times New Roman" w:hAnsi="Times New Roman"/>
          <w:sz w:val="20"/>
          <w:szCs w:val="20"/>
          <w:color w:val="auto"/>
        </w:rPr>
        <w:t xml:space="preserve"> or any amendment thereto or arrangement similar thereto to the extent such amendment or arrangement is not adverse, taken as a whole, to the Lenders in any material respect (as determined by the Borrower in good faith);</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of Equity Interests or other payments, awards or grants in cash, securities, Equity Interests or otherwise pursuant to, or the funding of, employment arrangements, equity options and equity ownership plans approved by the board of directors or board of managers of the Borrower;</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28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or loans (or cancellation of loans) to officers, directors, employees or consultants which are approved by a majority of the Board of Directors of the Borrower in good faith;</w:t>
      </w:r>
    </w:p>
    <w:p>
      <w:pPr>
        <w:spacing w:after="0" w:line="160" w:lineRule="exact"/>
        <w:rPr>
          <w:rFonts w:ascii="Times New Roman" w:cs="Times New Roman" w:eastAsia="Times New Roman" w:hAnsi="Times New Roman"/>
          <w:sz w:val="20"/>
          <w:szCs w:val="20"/>
          <w:color w:val="auto"/>
        </w:rPr>
      </w:pPr>
    </w:p>
    <w:p>
      <w:pPr>
        <w:jc w:val="both"/>
        <w:ind w:firstLine="656"/>
        <w:spacing w:after="0" w:line="237" w:lineRule="auto"/>
        <w:tabs>
          <w:tab w:leader="none" w:pos="1294"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lease entered into between the Borrower or any Restricted Subsidiary, as lessee and any Affiliate of the Borrower, as lessor, which is approved by a majority of the disinterested members of the Board of Directors in good faith or, any lease entered into between the Borrower or any Restricted Subsidiary, as lessee, and any Affiliate of the Borrower, as lessor, in the ordinary course of business;</w:t>
      </w:r>
    </w:p>
    <w:p>
      <w:pPr>
        <w:spacing w:after="0" w:line="162"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Intercompany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240"/>
          </w:cols>
          <w:pgMar w:left="320" w:top="1394" w:right="339" w:bottom="1440" w:gutter="0" w:footer="0" w:header="0"/>
        </w:sectPr>
      </w:pPr>
    </w:p>
    <w:bookmarkStart w:id="171" w:name="page172"/>
    <w:bookmarkEnd w:id="171"/>
    <w:p>
      <w:pPr>
        <w:ind w:firstLine="656"/>
        <w:spacing w:after="0"/>
        <w:tabs>
          <w:tab w:leader="none" w:pos="128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formation and maintenance of any consolidated group or subgroup for tax, accounting or cash pooling or management purposes in the ordinary course of business;</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redemptions, repurchases and other actions permitted under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and</w:t>
      </w:r>
    </w:p>
    <w:p>
      <w:pPr>
        <w:spacing w:after="0" w:line="188" w:lineRule="exact"/>
        <w:rPr>
          <w:rFonts w:ascii="Times New Roman" w:cs="Times New Roman" w:eastAsia="Times New Roman" w:hAnsi="Times New Roman"/>
          <w:sz w:val="20"/>
          <w:szCs w:val="20"/>
          <w:color w:val="auto"/>
        </w:rPr>
      </w:pPr>
    </w:p>
    <w:p>
      <w:pPr>
        <w:jc w:val="both"/>
        <w:ind w:right="20" w:firstLine="656"/>
        <w:spacing w:after="0" w:line="222" w:lineRule="auto"/>
        <w:tabs>
          <w:tab w:leader="none" w:pos="128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with customers, clients, joint venture partners, suppliers or purchasers or sellers of goods or services, in each case in the ordinary course of business and otherwise in compliance with the terms of this Agreement that are fair to the Borrower and the Restricted Subsidiaries, in the reasonable determination of the Board of Directors or the senior management of the Borrower, or are on terms at least as favorable as might reasonably have been obtained at such time from an unaffiliated party; and</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u w:val="single" w:color="auto"/>
          <w:color w:val="auto"/>
        </w:rPr>
        <w:t>Sale or Discount of Receivables</w:t>
      </w:r>
      <w:r>
        <w:rPr>
          <w:rFonts w:ascii="Times New Roman" w:cs="Times New Roman" w:eastAsia="Times New Roman" w:hAnsi="Times New Roman"/>
          <w:sz w:val="20"/>
          <w:szCs w:val="20"/>
          <w:color w:val="auto"/>
        </w:rPr>
        <w:t>. Except for (a) receivables obtained by the Borrower or any Restricted Subsidiary out of the ordinary course of business, (b) the settlement of joint interest billing accounts in the ordinary course of business or discounts granted to</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settle collection of accounts receivable or the sale of defaulted accounts arising in the ordinary course of business in connection with the compromise or collection thereof and not in connection with any financing transaction or (c) a sale of receivables to the extent the proceeds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thereof are used to prepay any Loans then outstanding, neither the Borrower nor any Restricted Subsidiary will discount or sell (with or without recourse) any of its notes receivable or accounts receivable.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u w:val="single" w:color="auto"/>
          <w:color w:val="auto"/>
        </w:rPr>
        <w:t>Gas Imbalances</w:t>
      </w:r>
      <w:r>
        <w:rPr>
          <w:rFonts w:ascii="Times New Roman" w:cs="Times New Roman" w:eastAsia="Times New Roman" w:hAnsi="Times New Roman"/>
          <w:sz w:val="20"/>
          <w:szCs w:val="20"/>
          <w:color w:val="auto"/>
        </w:rPr>
        <w:t>. The Borrower shall not, and shall not permit its Restricted Subsidiaries to have, gas imbalances, take or pay or other prepayments (other than Service Agreement Undertakings) exceeding one half bcf of gas (stated on an mcf equivalent basis) listed</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on the most recent Reserve Report, that in each case would require any Credit Party to deliver Hydrocarbons either generally or produced from their Oil and Gas Properties at some future time without then or thereafter receiving full payment therefor.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9"/>
          <w:szCs w:val="19"/>
          <w:u w:val="single" w:color="auto"/>
          <w:color w:val="auto"/>
        </w:rPr>
        <w:t>ERISA Compliance</w:t>
      </w:r>
      <w:r>
        <w:rPr>
          <w:rFonts w:ascii="Times New Roman" w:cs="Times New Roman" w:eastAsia="Times New Roman" w:hAnsi="Times New Roman"/>
          <w:sz w:val="19"/>
          <w:szCs w:val="19"/>
          <w:color w:val="auto"/>
        </w:rPr>
        <w:t>. The Borrower will not, and will not permit any Subsidiary to, at any time:</w:t>
      </w:r>
    </w:p>
    <w:p>
      <w:pPr>
        <w:spacing w:after="0" w:line="175" w:lineRule="exact"/>
        <w:rPr>
          <w:sz w:val="20"/>
          <w:szCs w:val="20"/>
          <w:color w:val="auto"/>
        </w:rPr>
      </w:pPr>
    </w:p>
    <w:p>
      <w:pPr>
        <w:jc w:val="both"/>
        <w:ind w:firstLine="656"/>
        <w:spacing w:after="0" w:line="230" w:lineRule="auto"/>
        <w:tabs>
          <w:tab w:leader="none" w:pos="1286"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or permit any ERISA Affiliate to engage, in any transaction in connection with which the Borrower, a Subsidiary or any ERISA Affiliate could be subjected to either a civil penalty assessed pursuant to subsections (c), (i), (l) or (m) of Section 502 of ERISA or a tax imposed by Chapter 43 of Subtitle D of the Code, if either of which would have a Material Adverse Effect;</w:t>
      </w:r>
    </w:p>
    <w:p>
      <w:pPr>
        <w:spacing w:after="0" w:line="148"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make, or permit any ERISA Affiliate to fail to make, full payment when due of all amounts which, under the provisions of any such Plan, agreement relating thereto or applicable law, the Borrower, a Subsidiary or any ERISA Affiliate is required to pay as contributions thereto, if such failure could reasonably be expected to have a Material Adverse Effect; or</w:t>
      </w:r>
    </w:p>
    <w:p>
      <w:pPr>
        <w:spacing w:after="0" w:line="148" w:lineRule="exact"/>
        <w:rPr>
          <w:rFonts w:ascii="Times New Roman" w:cs="Times New Roman" w:eastAsia="Times New Roman" w:hAnsi="Times New Roman"/>
          <w:sz w:val="20"/>
          <w:szCs w:val="20"/>
          <w:color w:val="auto"/>
        </w:rPr>
      </w:pPr>
    </w:p>
    <w:p>
      <w:pPr>
        <w:jc w:val="both"/>
        <w:ind w:firstLine="656"/>
        <w:spacing w:after="0" w:line="218" w:lineRule="auto"/>
        <w:tabs>
          <w:tab w:leader="none" w:pos="1286"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10.17(c)</w:t>
      </w:r>
      <w:r>
        <w:rPr>
          <w:rFonts w:ascii="Times New Roman" w:cs="Times New Roman" w:eastAsia="Times New Roman" w:hAnsi="Times New Roman"/>
          <w:sz w:val="20"/>
          <w:szCs w:val="20"/>
          <w:color w:val="auto"/>
        </w:rPr>
        <w:t>, contribute to or assume an obligation to contribute to, or permit any ERISA Affiliate to contribute to or assume an obligation to contribute to (i) any employee welfare benefit plan, as defined in Section 3(1) of ERISA, including, without limitation, any such plan maintained to provide benefits to former employees of such entities, that may not be terminated by such entities in their sole discretion at any time without any material liability other than the payment of accrued benefits under such plan, or (ii) any employee pension benefit plan, as defined in Section 3(2) of ERISA, that is subject to Title IV of ERISA, Section 302 of ERISA or Section 412 of the Code if either would have a Material Adverse Effect.</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1.18</w:t>
      </w:r>
      <w:r>
        <w:rPr>
          <w:sz w:val="20"/>
          <w:szCs w:val="20"/>
          <w:color w:val="auto"/>
        </w:rPr>
        <w:tab/>
      </w:r>
      <w:r>
        <w:rPr>
          <w:rFonts w:ascii="Times New Roman" w:cs="Times New Roman" w:eastAsia="Times New Roman" w:hAnsi="Times New Roman"/>
          <w:sz w:val="19"/>
          <w:szCs w:val="19"/>
          <w:u w:val="single" w:color="auto"/>
          <w:color w:val="auto"/>
        </w:rPr>
        <w:t>Production Sharing Entities; Production Sharing Contracts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300" w:hanging="644"/>
        <w:spacing w:after="0"/>
        <w:tabs>
          <w:tab w:leader="none" w:pos="130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permit any Production Sharing Entity to:</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0" w:lineRule="exact"/>
        <w:rPr>
          <w:rFonts w:ascii="Times New Roman" w:cs="Times New Roman" w:eastAsia="Times New Roman" w:hAnsi="Times New Roman"/>
          <w:sz w:val="20"/>
          <w:szCs w:val="20"/>
          <w:color w:val="auto"/>
        </w:rPr>
      </w:pPr>
    </w:p>
    <w:p>
      <w:pPr>
        <w:ind w:left="54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240"/>
          </w:cols>
          <w:pgMar w:left="320" w:top="1399" w:right="339" w:bottom="1440" w:gutter="0" w:footer="0" w:header="0"/>
        </w:sectPr>
      </w:pPr>
    </w:p>
    <w:bookmarkStart w:id="172" w:name="page173"/>
    <w:bookmarkEnd w:id="172"/>
    <w:p>
      <w:pPr>
        <w:jc w:val="both"/>
        <w:ind w:left="660" w:firstLine="644"/>
        <w:spacing w:after="0" w:line="226" w:lineRule="auto"/>
        <w:tabs>
          <w:tab w:leader="none" w:pos="1954"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create, incur, assume or suffer to exist any Indebtedness other than Indebtedness permitted pursuant to </w:t>
      </w:r>
      <w:r>
        <w:rPr>
          <w:rFonts w:ascii="Times New Roman" w:cs="Times New Roman" w:eastAsia="Times New Roman" w:hAnsi="Times New Roman"/>
          <w:sz w:val="20"/>
          <w:szCs w:val="20"/>
          <w:u w:val="single" w:color="auto"/>
          <w:color w:val="auto"/>
        </w:rPr>
        <w:t>Section 10.1(p)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or other Indebtedness permitted under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not for borrowed money incurred in the ordinary course of business and consistent with past practice;</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create, incur, assume or suffer to exist any Lien upon any property or assets of any kind (real or personal, tangible or intangible) of such Production Sharing Entity, whether now owned or hereafter acquired, except Liens permitted pursuant to </w:t>
      </w:r>
      <w:r>
        <w:rPr>
          <w:rFonts w:ascii="Times New Roman" w:cs="Times New Roman" w:eastAsia="Times New Roman" w:hAnsi="Times New Roman"/>
          <w:sz w:val="20"/>
          <w:szCs w:val="20"/>
          <w:u w:val="single" w:color="auto"/>
          <w:color w:val="auto"/>
        </w:rPr>
        <w:t>Section 10.2(a)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(other than Permitted Liens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(with respect to Service Agreement Undertakings),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thereof),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6"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enter into or permit to exist any Contractual Requirement (other than this Agreement or any other Credit Document) that limits the ability of such Production Sharing Entity to create, incur, assume or suffer to exist Liens on property of such Person for the benefit of the Secured Parties with respect to the Obligations or under the Credit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apply to Contractual Requirements permitted pursuant to </w:t>
      </w:r>
      <w:r>
        <w:rPr>
          <w:rFonts w:ascii="Times New Roman" w:cs="Times New Roman" w:eastAsia="Times New Roman" w:hAnsi="Times New Roman"/>
          <w:sz w:val="20"/>
          <w:szCs w:val="20"/>
          <w:u w:val="single" w:color="auto"/>
          <w:color w:val="auto"/>
        </w:rPr>
        <w:t>Section 10.8(a)(i)</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5"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create or otherwise cause or suffer to exist or become effective any consensual encumbrance or consensual restriction on the ability of any such Restricted Subsidiary to pay dividends or make any other distributions to the Borrower or any Restricted Subsidiary on its Equity Interests or with respect to any other interest or participation in, or measured by, its profits or transfer any property to the Borrower or any Restricted Subsidiary;</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convey, sell, lease, sell and leaseback, assign, transfer (including any Production Payments and Reserve Sales) or otherwise dispose of any Production Sharing Contract, whether now owned or hereafter acquired, to the Borrower or any Subsidiary of the Borrower; or</w:t>
      </w:r>
    </w:p>
    <w:p>
      <w:pPr>
        <w:spacing w:after="0" w:line="160" w:lineRule="exact"/>
        <w:rPr>
          <w:rFonts w:ascii="Times New Roman" w:cs="Times New Roman" w:eastAsia="Times New Roman" w:hAnsi="Times New Roman"/>
          <w:sz w:val="20"/>
          <w:szCs w:val="20"/>
          <w:color w:val="auto"/>
        </w:rPr>
      </w:pPr>
    </w:p>
    <w:p>
      <w:pPr>
        <w:jc w:val="both"/>
        <w:ind w:left="660" w:right="20" w:firstLine="644"/>
        <w:spacing w:after="0" w:line="222" w:lineRule="auto"/>
        <w:tabs>
          <w:tab w:leader="none" w:pos="1945"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consummate any merger, division, consolidation or amalgamation, or liquidate, wind up or dissolve itself (or suffer any liquidation or dissolution), or Dispose of, all or substantially all its business units, assets or other properties to the Borrower or any Subsidiary of the Borrower, except that a Production Sharing Entity may be merged, amalgamated or consolidated with or into another Production Sharing Entity.</w:t>
      </w:r>
    </w:p>
    <w:p>
      <w:pPr>
        <w:spacing w:after="0" w:line="148"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permit any Production Sharing Entity to own any direct Equity Interest in any Person (other than any Immaterial Subsidiary) or any Borrowing Base Properties other than those, in each case, either associated with Production Sharing Contracts or owned as of the Closing Date.</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and shall not permit any Subsidiary (other than a Production Sharing Entity) to, enter into or otherwise be a party to a Production Sharing Contract.</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all of the Equity Interests that are owned directly or indirectly by the Borrower of each Production Sharing Entity that is a Material Subsidiary shall be owned directly by a Guarantor or the Borrower and shall be pledged pursuant to the Collateral Agreement.</w:t>
      </w:r>
    </w:p>
    <w:p>
      <w:pPr>
        <w:spacing w:after="0" w:line="16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color w:val="auto"/>
        </w:rPr>
        <w:t>EVENTS OF DEFAULT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Upon the occurrence of any of the following specified events (each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 The Borrower shall (a) default in the payment when due of any principal of the Loans or any Unpaid Drawings or</w:t>
      </w:r>
    </w:p>
    <w:p>
      <w:pPr>
        <w:ind w:firstLine="8"/>
        <w:spacing w:after="0" w:line="221" w:lineRule="auto"/>
        <w:tabs>
          <w:tab w:leader="none" w:pos="286"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default, and such default shall continue for five or more days, in the payment when due of any interest on the Loans, fees or of any other amounts owing hereunder or under any other Credit Document (other than any amount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240"/>
          </w:cols>
          <w:pgMar w:left="320" w:top="1399" w:right="339" w:bottom="1440" w:gutter="0" w:footer="0" w:header="0"/>
        </w:sectPr>
      </w:pPr>
    </w:p>
    <w:bookmarkStart w:id="173" w:name="page174"/>
    <w:bookmarkEnd w:id="173"/>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u w:val="single" w:color="auto"/>
          <w:color w:val="auto"/>
        </w:rPr>
        <w:t xml:space="preserve">Representations, Etc. </w:t>
      </w:r>
      <w:r>
        <w:rPr>
          <w:rFonts w:ascii="Times New Roman" w:cs="Times New Roman" w:eastAsia="Times New Roman" w:hAnsi="Times New Roman"/>
          <w:sz w:val="20"/>
          <w:szCs w:val="20"/>
          <w:color w:val="auto"/>
        </w:rPr>
        <w:t>Any representation, warranty or statement made or deemed made by any Credit Party herein or in any</w:t>
      </w:r>
    </w:p>
    <w:p>
      <w:pPr>
        <w:spacing w:after="0" w:line="221" w:lineRule="auto"/>
        <w:rPr>
          <w:sz w:val="20"/>
          <w:szCs w:val="20"/>
          <w:color w:val="auto"/>
        </w:rPr>
      </w:pPr>
      <w:r>
        <w:rPr>
          <w:rFonts w:ascii="Times New Roman" w:cs="Times New Roman" w:eastAsia="Times New Roman" w:hAnsi="Times New Roman"/>
          <w:sz w:val="20"/>
          <w:szCs w:val="20"/>
          <w:color w:val="auto"/>
        </w:rPr>
        <w:t>other Credit Document or any certificate, report or notice delivered or required to be delivered pursuant hereto or thereto shall prove to be untrue in any material respect on the date as of which made or deemed made.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Covenants</w:t>
      </w:r>
      <w:r>
        <w:rPr>
          <w:rFonts w:ascii="Times New Roman" w:cs="Times New Roman" w:eastAsia="Times New Roman" w:hAnsi="Times New Roman"/>
          <w:sz w:val="19"/>
          <w:szCs w:val="19"/>
          <w:color w:val="auto"/>
        </w:rPr>
        <w:t>. Any Credit Party shall:</w:t>
      </w:r>
    </w:p>
    <w:p>
      <w:pPr>
        <w:spacing w:after="0" w:line="189" w:lineRule="exact"/>
        <w:rPr>
          <w:sz w:val="20"/>
          <w:szCs w:val="20"/>
          <w:color w:val="auto"/>
        </w:rPr>
      </w:pPr>
    </w:p>
    <w:p>
      <w:pPr>
        <w:ind w:firstLine="656"/>
        <w:spacing w:after="0" w:line="233" w:lineRule="auto"/>
        <w:tabs>
          <w:tab w:leader="none" w:pos="128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default in the due performance or observance by it of any term, covenant or agreement contained in </w:t>
      </w:r>
      <w:r>
        <w:rPr>
          <w:rFonts w:ascii="Times New Roman" w:cs="Times New Roman" w:eastAsia="Times New Roman" w:hAnsi="Times New Roman"/>
          <w:sz w:val="20"/>
          <w:szCs w:val="20"/>
          <w:u w:val="single" w:color="auto"/>
          <w:color w:val="auto"/>
        </w:rPr>
        <w:t>Sections 9.1(d)(i)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9.5</w:t>
      </w:r>
      <w:r>
        <w:rPr>
          <w:rFonts w:ascii="Times New Roman" w:cs="Times New Roman" w:eastAsia="Times New Roman" w:hAnsi="Times New Roman"/>
          <w:sz w:val="20"/>
          <w:szCs w:val="20"/>
          <w:color w:val="auto"/>
        </w:rPr>
        <w:t xml:space="preserve"> (solely with respect to the Borrower), </w:t>
      </w:r>
      <w:r>
        <w:rPr>
          <w:rFonts w:ascii="Times New Roman" w:cs="Times New Roman" w:eastAsia="Times New Roman" w:hAnsi="Times New Roman"/>
          <w:sz w:val="20"/>
          <w:szCs w:val="20"/>
          <w:u w:val="single" w:color="auto"/>
          <w:color w:val="auto"/>
        </w:rPr>
        <w:t>9.11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or</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default in the due performance or observance by it of any term, covenant or agreement (other than those referred to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contained in this Agreement or any Credit Document and such default shall continue unremedied for a period of at least thirty (30) days after receipt of written notice thereof by the Borrower from the Administrative Agent.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20"/>
          <w:szCs w:val="20"/>
          <w:u w:val="single" w:color="auto"/>
          <w:color w:val="auto"/>
        </w:rPr>
        <w:t>Default Under Other Agreements</w:t>
      </w:r>
      <w:r>
        <w:rPr>
          <w:rFonts w:ascii="Times New Roman" w:cs="Times New Roman" w:eastAsia="Times New Roman" w:hAnsi="Times New Roman"/>
          <w:sz w:val="20"/>
          <w:szCs w:val="20"/>
          <w:color w:val="auto"/>
        </w:rPr>
        <w:t>. (a) The Borrower or any of the Restricted Subsidiaries shall (i) default in any payment</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with respect to any Indebtedness with an aggregate principal amount exceeding $75,000,000 (other than the Indebtedness described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beyond the period of grace, if any, provided in the instrument of agreement under which such Indebtedness was created or</w:t>
      </w:r>
    </w:p>
    <w:p>
      <w:pPr>
        <w:spacing w:after="0" w:line="1" w:lineRule="exact"/>
        <w:rPr>
          <w:sz w:val="20"/>
          <w:szCs w:val="20"/>
          <w:color w:val="auto"/>
        </w:rPr>
      </w:pPr>
    </w:p>
    <w:p>
      <w:pPr>
        <w:jc w:val="both"/>
        <w:ind w:firstLine="8"/>
        <w:spacing w:after="0" w:line="217" w:lineRule="auto"/>
        <w:tabs>
          <w:tab w:leader="none" w:pos="296"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in the observance or performance of any agreement or condition relating to any such Indebtedness or contained in any instrument or agreement evidencing, securing or relating thereto, or any other event shall occur or condition exist (other than (A) with respect to indebtedness in respect of any Hedge Agreements, termination events or equivalent events pursuant to the terms of such Hedge Agreements,</w:t>
      </w:r>
    </w:p>
    <w:p>
      <w:pPr>
        <w:spacing w:after="0" w:line="1" w:lineRule="exact"/>
        <w:rPr>
          <w:rFonts w:ascii="Times New Roman" w:cs="Times New Roman" w:eastAsia="Times New Roman" w:hAnsi="Times New Roman"/>
          <w:sz w:val="19"/>
          <w:szCs w:val="19"/>
          <w:color w:val="auto"/>
        </w:rPr>
      </w:pPr>
    </w:p>
    <w:p>
      <w:pPr>
        <w:jc w:val="both"/>
        <w:spacing w:after="0" w:line="21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 any event requiring prepayment pursuant to customary asset sale provisions, (C) secured Indebtedness that becomes due as a result of a Disposition (including as a result of Casualty Event) of the property or assets securing such indebtedness permitted under this Agreement and</w:t>
      </w:r>
    </w:p>
    <w:p>
      <w:pPr>
        <w:jc w:val="both"/>
        <w:spacing w:after="0" w:line="22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 (x) the occurrence of any customary event or condition that vests the right of any holder of Permitted Convertible Debt to submit any Permitted Convertible Debt for conversion, exchange or exercise in accordance with its terms or (y) any actual conversion, exchange or exercise of any Permitted Convertible Debt in accordance with its terms),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unless, in the case of each of the foregoing, such holder or holders shall have (or through its or their trustee or agent on its or their behalf) waived such default in a writing to the Borrower, or</w:t>
      </w:r>
    </w:p>
    <w:p>
      <w:pPr>
        <w:spacing w:after="0" w:line="163" w:lineRule="exact"/>
        <w:rPr>
          <w:rFonts w:ascii="Times New Roman" w:cs="Times New Roman" w:eastAsia="Times New Roman" w:hAnsi="Times New Roman"/>
          <w:sz w:val="19"/>
          <w:szCs w:val="19"/>
          <w:color w:val="auto"/>
        </w:rPr>
      </w:pPr>
    </w:p>
    <w:p>
      <w:pPr>
        <w:jc w:val="both"/>
        <w:ind w:firstLine="656"/>
        <w:spacing w:after="0" w:line="216" w:lineRule="auto"/>
        <w:tabs>
          <w:tab w:leader="none" w:pos="1286"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provisions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any such default under any such Indebtedness shall cause such Indebtedness to be declared to be due and payable, or required to be prepaid other than by a regularly scheduled required prepayment or as a mandatory prepayment (and (i) with respect to Indebtedness consisting of any Hedge Agreements, other than due to a termination event or equivalent event pursuant to the terms of such Hedge Agreements, (ii) other than pursuant to customary asset sale provisions and (iii) other than secured Indebtedness that becomes due as a result of a Disposition (including as a result of Casualty Event) of the property or assets securing such Indebtedness permitted under this Agreement) prior to the stated maturity thereof</w:t>
      </w:r>
    </w:p>
    <w:p>
      <w:pPr>
        <w:spacing w:after="0" w:line="200" w:lineRule="exact"/>
        <w:rPr>
          <w:sz w:val="20"/>
          <w:szCs w:val="20"/>
          <w:color w:val="auto"/>
        </w:rPr>
      </w:pPr>
    </w:p>
    <w:p>
      <w:pPr>
        <w:spacing w:after="0" w:line="20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Bankruptcy, Etc.</w:t>
      </w:r>
      <w:r>
        <w:rPr>
          <w:rFonts w:ascii="Times New Roman" w:cs="Times New Roman" w:eastAsia="Times New Roman" w:hAnsi="Times New Roman"/>
          <w:sz w:val="20"/>
          <w:szCs w:val="20"/>
          <w:color w:val="auto"/>
        </w:rPr>
        <w:t xml:space="preserve"> The Borrower or any Restricted Subsidiary shall commence a voluntary case, proceeding or action concerning itself under (a) Title 11 of the United States Code entitled “Bankruptcy” or any other applicable insolvency, debtor relief, or debt</w:t>
      </w:r>
    </w:p>
    <w:p>
      <w:pPr>
        <w:spacing w:after="0" w:line="212" w:lineRule="auto"/>
        <w:rPr>
          <w:sz w:val="20"/>
          <w:szCs w:val="20"/>
          <w:color w:val="auto"/>
        </w:rPr>
      </w:pPr>
      <w:r>
        <w:rPr>
          <w:rFonts w:ascii="Times New Roman" w:cs="Times New Roman" w:eastAsia="Times New Roman" w:hAnsi="Times New Roman"/>
          <w:sz w:val="20"/>
          <w:szCs w:val="20"/>
          <w:color w:val="auto"/>
        </w:rPr>
        <w:t>adjustment law; or (b) in the case of any Foreign Subsidiary that is a Restricted Subsidiary, any domestic or foreign law relating to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bankruptcy, judicial management, insolvency, reorganization, administration or relief of debtors in effect in its jurisdiction of incorporation, in each case as now or hereafter in effect, or any successor thereto (collectively, the “</w:t>
      </w:r>
      <w:r>
        <w:rPr>
          <w:rFonts w:ascii="Times New Roman" w:cs="Times New Roman" w:eastAsia="Times New Roman" w:hAnsi="Times New Roman"/>
          <w:sz w:val="19"/>
          <w:szCs w:val="19"/>
          <w:u w:val="single" w:color="auto"/>
          <w:color w:val="auto"/>
        </w:rPr>
        <w:t>Bankruptcy Code</w:t>
      </w:r>
      <w:r>
        <w:rPr>
          <w:rFonts w:ascii="Times New Roman" w:cs="Times New Roman" w:eastAsia="Times New Roman" w:hAnsi="Times New Roman"/>
          <w:sz w:val="19"/>
          <w:szCs w:val="19"/>
          <w:color w:val="auto"/>
        </w:rPr>
        <w:t>”); or an involuntary case, proceeding</w:t>
      </w:r>
    </w:p>
    <w:p>
      <w:pPr>
        <w:spacing w:after="0" w:line="211" w:lineRule="auto"/>
        <w:rPr>
          <w:sz w:val="20"/>
          <w:szCs w:val="20"/>
          <w:color w:val="auto"/>
        </w:rPr>
      </w:pPr>
      <w:r>
        <w:rPr>
          <w:rFonts w:ascii="Times New Roman" w:cs="Times New Roman" w:eastAsia="Times New Roman" w:hAnsi="Times New Roman"/>
          <w:sz w:val="20"/>
          <w:szCs w:val="20"/>
          <w:color w:val="auto"/>
        </w:rPr>
        <w:t>or action is commenced against the Borrower or any Restricted Subsidiary and the petition is not dismissed or stayed within sixty (60) days</w:t>
      </w:r>
    </w:p>
    <w:p>
      <w:pPr>
        <w:spacing w:after="0" w:line="204" w:lineRule="auto"/>
        <w:rPr>
          <w:sz w:val="20"/>
          <w:szCs w:val="20"/>
          <w:color w:val="auto"/>
        </w:rPr>
      </w:pPr>
      <w:r>
        <w:rPr>
          <w:rFonts w:ascii="Times New Roman" w:cs="Times New Roman" w:eastAsia="Times New Roman" w:hAnsi="Times New Roman"/>
          <w:sz w:val="20"/>
          <w:szCs w:val="20"/>
          <w:color w:val="auto"/>
        </w:rPr>
        <w:t>after commencement of the case, proceeding or action, the Borrower or the applicable Restricted Subsidiary consents to the institution of such case, proceeding or action prior to such sixty (60)-day period, or any order of relief or other order approving any such case, proceeding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action is entered; or a custodian (as defined in the Bankruptcy Code), receiver, receiver manager, trustee, conservator,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240"/>
          </w:cols>
          <w:pgMar w:left="320" w:top="1394"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0"/>
          <w:szCs w:val="20"/>
          <w:color w:val="auto"/>
        </w:rPr>
        <w:t>liquidator, examiner, rehabilitator, administrator, or similar person is appointed for, or takes charge of, the Borrower or any Restricted</w:t>
      </w:r>
    </w:p>
    <w:p>
      <w:pPr>
        <w:spacing w:after="0" w:line="204" w:lineRule="auto"/>
        <w:rPr>
          <w:sz w:val="20"/>
          <w:szCs w:val="20"/>
          <w:color w:val="auto"/>
        </w:rPr>
      </w:pPr>
      <w:r>
        <w:rPr>
          <w:rFonts w:ascii="Times New Roman" w:cs="Times New Roman" w:eastAsia="Times New Roman" w:hAnsi="Times New Roman"/>
          <w:sz w:val="20"/>
          <w:szCs w:val="20"/>
          <w:color w:val="auto"/>
        </w:rPr>
        <w:t>Subsidiary or all or any substantial portion of the property or business thereof; or the Borrower or any Restricted Subsidiary suffers any appointment of any custodian, receiver, receiver manager, trustee, conservator, liquidator, examiner, rehabilitator, administrator, or the like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for it or any substantial part of its property or business to continue undischarged or unstayed for a period of sixty (60) days; or the Borrower or any Restricted Subsidiary makes a general assignment for the benefit of creditors.</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An ERISA Event occurs with respect to a Pension Plan or Multiemployer Plan, (ii) any Credit Party or any ERISA Affiliate fails to pay when due, after the expiration of any applicable grace period, any installment payment with respect to its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Withdrawal Liability under Section 4201 of ERISA under a Multiemployer Plan, or (iii) a termination, withdrawal or noncompliance with applicable law or plan terms or termination, withdrawal or other event similar to an ERISA Event occurs with respect to a Foreign Plan, in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each case if any of the events set forth in (i)-(iii) above results in a Lien on the assets of a Credit Party, or either individually or when taken together with other such events, could reasonably be expected to result in a liability of $75,000,000 or more.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Credit Documents</w:t>
      </w:r>
      <w:r>
        <w:rPr>
          <w:rFonts w:ascii="Times New Roman" w:cs="Times New Roman" w:eastAsia="Times New Roman" w:hAnsi="Times New Roman"/>
          <w:sz w:val="20"/>
          <w:szCs w:val="20"/>
          <w:color w:val="auto"/>
        </w:rPr>
        <w:t>. The Credit Documents or any material provision thereof shall cease to be in full force or effect (other than pursuant to the terms hereof and thereof) or any Guarantor, Grantor or any other Credit Party shall assert in writing that any such Credit</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Party’s obligations thereunder are not to be in effect or are not to be legal, valid and binding obligations (other than pursuant to the terms hereof or thereof).</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The Mortgage or any other Security Document or any material provision thereof or a Junior Lien</w:t>
      </w:r>
    </w:p>
    <w:p>
      <w:pPr>
        <w:spacing w:after="0" w:line="204" w:lineRule="auto"/>
        <w:rPr>
          <w:sz w:val="20"/>
          <w:szCs w:val="20"/>
          <w:color w:val="auto"/>
        </w:rPr>
      </w:pPr>
      <w:r>
        <w:rPr>
          <w:rFonts w:ascii="Times New Roman" w:cs="Times New Roman" w:eastAsia="Times New Roman" w:hAnsi="Times New Roman"/>
          <w:sz w:val="20"/>
          <w:szCs w:val="20"/>
          <w:color w:val="auto"/>
        </w:rPr>
        <w:t>Intercreditor Agreement or any material portion thereof shall cease to be in full force or effect (other than pursuant to the terms hereof or thereof), or any grantor thereunder or any other Credit Party shall assert in writing that any grantor’s obligations under the Collateral</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Agreement, the Mortgage or any other Security Document are not in effect or not legal, valid and binding obligations (other than pursuant to the terms hereof or thereof).</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One or more monetary judgments or decrees shall be entered against the Borrower or any of the Restricted</w:t>
      </w:r>
    </w:p>
    <w:p>
      <w:pPr>
        <w:spacing w:after="0" w:line="204" w:lineRule="auto"/>
        <w:rPr>
          <w:sz w:val="20"/>
          <w:szCs w:val="20"/>
          <w:color w:val="auto"/>
        </w:rPr>
      </w:pPr>
      <w:r>
        <w:rPr>
          <w:rFonts w:ascii="Times New Roman" w:cs="Times New Roman" w:eastAsia="Times New Roman" w:hAnsi="Times New Roman"/>
          <w:sz w:val="20"/>
          <w:szCs w:val="20"/>
          <w:color w:val="auto"/>
        </w:rPr>
        <w:t>Subsidiaries involving a liability of $75,000,000 or more in the aggregate for all such judgments and decrees for the Borrower and the Restricted Subsidiaries (to the extent not paid or covered by insurance provided by a carrier not disputing coverage), which judgments or</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decrees are not satisfied, vacated, discharged or effectively waived or stayed or bonded pending appeal within sixty (60) consecutive days after the entry thereof.</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A Change of Control shall have occurred.</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20"/>
          <w:szCs w:val="20"/>
          <w:u w:val="single" w:color="auto"/>
          <w:color w:val="auto"/>
        </w:rPr>
        <w:t>Intercreditor Agreements</w:t>
      </w:r>
      <w:r>
        <w:rPr>
          <w:rFonts w:ascii="Times New Roman" w:cs="Times New Roman" w:eastAsia="Times New Roman" w:hAnsi="Times New Roman"/>
          <w:sz w:val="20"/>
          <w:szCs w:val="20"/>
          <w:color w:val="auto"/>
        </w:rPr>
        <w:t>. (i) Any of the Obligations of the Grantors under the Credit Documents for any reason shall cease</w:t>
      </w:r>
    </w:p>
    <w:p>
      <w:pPr>
        <w:spacing w:after="0" w:line="204" w:lineRule="auto"/>
        <w:rPr>
          <w:sz w:val="20"/>
          <w:szCs w:val="20"/>
          <w:color w:val="auto"/>
        </w:rPr>
      </w:pPr>
      <w:r>
        <w:rPr>
          <w:rFonts w:ascii="Times New Roman" w:cs="Times New Roman" w:eastAsia="Times New Roman" w:hAnsi="Times New Roman"/>
          <w:sz w:val="20"/>
          <w:szCs w:val="20"/>
          <w:color w:val="auto"/>
        </w:rPr>
        <w:t>to be (x) “Senior Debt,” “Senior Indebtedness,” “Guarantor Senior Debt” or “Senior Secured Financing” (or any comparable term) under, and as defined in, any document governing Other Debt or (y) “First Lien Credit Agreement Obligations” or “Senior Obligations” (or any</w:t>
      </w:r>
    </w:p>
    <w:p>
      <w:pPr>
        <w:spacing w:after="0" w:line="211" w:lineRule="auto"/>
        <w:rPr>
          <w:sz w:val="20"/>
          <w:szCs w:val="20"/>
          <w:color w:val="auto"/>
        </w:rPr>
      </w:pPr>
      <w:r>
        <w:rPr>
          <w:rFonts w:ascii="Times New Roman" w:cs="Times New Roman" w:eastAsia="Times New Roman" w:hAnsi="Times New Roman"/>
          <w:sz w:val="20"/>
          <w:szCs w:val="20"/>
          <w:color w:val="auto"/>
        </w:rPr>
        <w:t>comparable term) under, and as defined in, any Junior Lien Intercreditor Agreement or (ii) the subordination provisions set forth in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Junior Lien Intercreditor Agreement, Subordination Agreement or other document governing Other Debt shall, in whole or in part, cease to be effective or cease to be legally valid, binding and enforceable against the holders of such Other Debt or parties to (or purported to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bound by) the Subordination Agreement, in each case, if applicable.</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Then, and in any such event, and at any time thereafter, if any Event of Default shall then be continuing, the Administrative Agent may with the consent of and, upon the written request of the Majority Lenders, shall, by written notice to the Borrower, take any or all of the</w:t>
      </w:r>
    </w:p>
    <w:p>
      <w:pPr>
        <w:spacing w:after="0" w:line="222" w:lineRule="auto"/>
        <w:rPr>
          <w:sz w:val="20"/>
          <w:szCs w:val="20"/>
          <w:color w:val="auto"/>
        </w:rPr>
      </w:pPr>
      <w:r>
        <w:rPr>
          <w:rFonts w:ascii="Times New Roman" w:cs="Times New Roman" w:eastAsia="Times New Roman" w:hAnsi="Times New Roman"/>
          <w:sz w:val="19"/>
          <w:szCs w:val="19"/>
          <w:color w:val="auto"/>
        </w:rPr>
        <w:t>following actions, without prejudice to the rights of the Administrative Agent or any Lender to enforce its claims against the Borrower or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other Credit Party, except as otherwise specifically provided for in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 Event of Default specified in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shall occur with respect to the Borrower, the result that would occur upon the giving of written notice by the Administrative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Agent as specified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below shall occur automatically without the giving of any such notice): (a) declare the Total Commitment terminated, whereupon the Commitment of each Lender shall forthwith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1240"/>
          </w:cols>
          <w:pgMar w:left="320" w:top="1394"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color w:val="auto"/>
        </w:rPr>
        <w:t>immediately and any fees theretofore accrued shall forthwith become due and payable without any other notice of any kind, (b) declare the</w:t>
      </w:r>
    </w:p>
    <w:p>
      <w:pPr>
        <w:spacing w:after="0" w:line="215" w:lineRule="auto"/>
        <w:rPr>
          <w:sz w:val="20"/>
          <w:szCs w:val="20"/>
          <w:color w:val="auto"/>
        </w:rPr>
      </w:pPr>
      <w:r>
        <w:rPr>
          <w:rFonts w:ascii="Times New Roman" w:cs="Times New Roman" w:eastAsia="Times New Roman" w:hAnsi="Times New Roman"/>
          <w:sz w:val="19"/>
          <w:szCs w:val="19"/>
          <w:color w:val="auto"/>
        </w:rPr>
        <w:t>principal of and any accrued interest and fees in respect of any or all Loans and any or all Obligations owing hereunder and thereunder to be, whereupon the same shall become, forthwith due and payable without presentment, demand, protest or other notice of any kind, all of which</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are hereby waived by the Borrower, and/or (c) demand cash collateral in respect of any outstanding Letter of Credit pursuant to </w:t>
      </w:r>
      <w:r>
        <w:rPr>
          <w:rFonts w:ascii="Times New Roman" w:cs="Times New Roman" w:eastAsia="Times New Roman" w:hAnsi="Times New Roman"/>
          <w:sz w:val="20"/>
          <w:szCs w:val="20"/>
          <w:u w:val="single" w:color="auto"/>
          <w:color w:val="auto"/>
        </w:rPr>
        <w:t>Section</w:t>
      </w:r>
    </w:p>
    <w:p>
      <w:pPr>
        <w:ind w:right="20"/>
        <w:spacing w:after="0" w:line="204" w:lineRule="auto"/>
        <w:rPr>
          <w:sz w:val="20"/>
          <w:szCs w:val="20"/>
          <w:color w:val="auto"/>
        </w:rPr>
      </w:pPr>
      <w:r>
        <w:rPr>
          <w:rFonts w:ascii="Times New Roman" w:cs="Times New Roman" w:eastAsia="Times New Roman" w:hAnsi="Times New Roman"/>
          <w:sz w:val="20"/>
          <w:szCs w:val="20"/>
          <w:u w:val="single" w:color="auto"/>
          <w:color w:val="auto"/>
        </w:rPr>
        <w:t>3.7(b)</w:t>
      </w:r>
      <w:r>
        <w:rPr>
          <w:rFonts w:ascii="Times New Roman" w:cs="Times New Roman" w:eastAsia="Times New Roman" w:hAnsi="Times New Roman"/>
          <w:sz w:val="20"/>
          <w:szCs w:val="20"/>
          <w:color w:val="auto"/>
        </w:rPr>
        <w:t xml:space="preserve"> in an amount equal to the aggregate Stated Amount of all Letters of Credit issued and then outstanding. In addition, after the occurrence and during the continuance of an Event of Default, the Administrative Agent and the Lenders will have all other rights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remedies available at law and equity.</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Application of Proceeds</w:t>
      </w:r>
      <w:r>
        <w:rPr>
          <w:rFonts w:ascii="Times New Roman" w:cs="Times New Roman" w:eastAsia="Times New Roman" w:hAnsi="Times New Roman"/>
          <w:sz w:val="20"/>
          <w:szCs w:val="20"/>
          <w:color w:val="auto"/>
        </w:rPr>
        <w:t>. Any amount received by the Administrative Agent or the Collateral Agent from any Credit Party (or from proceeds of any Collateral) following any acceleration of the Obligations under this Agreement or any Event of Default with respect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to the Borrower under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shall, subject to the terms of any applicable Junior Lien Intercreditor Agreement, be applied:</w:t>
      </w:r>
    </w:p>
    <w:p>
      <w:pPr>
        <w:spacing w:after="0" w:line="167" w:lineRule="exact"/>
        <w:rPr>
          <w:sz w:val="20"/>
          <w:szCs w:val="20"/>
          <w:color w:val="auto"/>
        </w:rPr>
      </w:pPr>
    </w:p>
    <w:p>
      <w:pPr>
        <w:ind w:left="660" w:firstLine="648"/>
        <w:spacing w:after="0" w:line="215"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expenses and other amounts (including fees, disbursements and other charges of counsel payable under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and amounts payable under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payable to the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Administrative Agent and/or Collateral Agent in such Person’s capacity as such;</w:t>
      </w:r>
    </w:p>
    <w:p>
      <w:pPr>
        <w:spacing w:after="0" w:line="167" w:lineRule="exact"/>
        <w:rPr>
          <w:sz w:val="20"/>
          <w:szCs w:val="20"/>
          <w:color w:val="auto"/>
        </w:rPr>
      </w:pPr>
    </w:p>
    <w:p>
      <w:pPr>
        <w:ind w:left="660" w:firstLine="648"/>
        <w:spacing w:after="0" w:line="227" w:lineRule="auto"/>
        <w:rPr>
          <w:sz w:val="20"/>
          <w:szCs w:val="20"/>
          <w:color w:val="auto"/>
        </w:rPr>
      </w:pP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to payment of that portion of the Obligations constituting fees, indemnities and other amounts (other than principal, interest and Letter of Credit Fees) payable to the Lenders and the Issuing Banks (including fees, disbursements and other charges of</w:t>
      </w:r>
    </w:p>
    <w:p>
      <w:pPr>
        <w:ind w:left="660"/>
        <w:spacing w:after="0" w:line="228" w:lineRule="auto"/>
        <w:rPr>
          <w:sz w:val="20"/>
          <w:szCs w:val="20"/>
          <w:color w:val="auto"/>
        </w:rPr>
      </w:pPr>
      <w:r>
        <w:rPr>
          <w:rFonts w:ascii="Times New Roman" w:cs="Times New Roman" w:eastAsia="Times New Roman" w:hAnsi="Times New Roman"/>
          <w:sz w:val="20"/>
          <w:szCs w:val="20"/>
          <w:color w:val="auto"/>
        </w:rPr>
        <w:t xml:space="preserve">counsel payable under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arising under the Credit Documents and amounts payable under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ratably among them in proportion to the respective amounts described in this </w:t>
      </w:r>
      <w:r>
        <w:rPr>
          <w:rFonts w:ascii="Times New Roman" w:cs="Times New Roman" w:eastAsia="Times New Roman" w:hAnsi="Times New Roman"/>
          <w:sz w:val="20"/>
          <w:szCs w:val="20"/>
          <w:u w:val="single" w:color="auto"/>
          <w:color w:val="auto"/>
        </w:rPr>
        <w:t>clause Second</w:t>
      </w:r>
      <w:r>
        <w:rPr>
          <w:rFonts w:ascii="Times New Roman" w:cs="Times New Roman" w:eastAsia="Times New Roman" w:hAnsi="Times New Roman"/>
          <w:sz w:val="20"/>
          <w:szCs w:val="20"/>
          <w:color w:val="auto"/>
        </w:rPr>
        <w:t xml:space="preserve"> payable to them;</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to payment of that portion of the Obligations constituting accrued and unpaid Letter of Credit Fees and interest on the</w:t>
      </w:r>
    </w:p>
    <w:p>
      <w:pPr>
        <w:spacing w:after="0" w:line="6"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 xml:space="preserve">Loans and Unpaid Drawings, ratably among the Lenders and the Issuing Banks in proportion to the respective amounts described in this </w:t>
      </w:r>
      <w:r>
        <w:rPr>
          <w:rFonts w:ascii="Times New Roman" w:cs="Times New Roman" w:eastAsia="Times New Roman" w:hAnsi="Times New Roman"/>
          <w:sz w:val="20"/>
          <w:szCs w:val="20"/>
          <w:u w:val="single" w:color="auto"/>
          <w:color w:val="auto"/>
        </w:rPr>
        <w:t>clause Third</w:t>
      </w:r>
      <w:r>
        <w:rPr>
          <w:rFonts w:ascii="Times New Roman" w:cs="Times New Roman" w:eastAsia="Times New Roman" w:hAnsi="Times New Roman"/>
          <w:sz w:val="20"/>
          <w:szCs w:val="20"/>
          <w:color w:val="auto"/>
        </w:rPr>
        <w:t xml:space="preserve"> payable to them;</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(i) to payment of that portion of the Obligations constituting unpaid principal of the Loans, the Unpaid Drawings and</w:t>
      </w:r>
    </w:p>
    <w:p>
      <w:pPr>
        <w:spacing w:after="0" w:line="6"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Obligations then owing under Secured Hedge Agreements and the Secured Cash Management Agreements and (ii) to Cash Collateralize that portion of Letters of Credit Outstanding comprising the aggregate undrawn amount of Letters of Credit to the</w:t>
      </w:r>
    </w:p>
    <w:p>
      <w:pPr>
        <w:ind w:left="660"/>
        <w:spacing w:after="0" w:line="223" w:lineRule="auto"/>
        <w:rPr>
          <w:sz w:val="20"/>
          <w:szCs w:val="20"/>
          <w:color w:val="auto"/>
        </w:rPr>
      </w:pPr>
      <w:r>
        <w:rPr>
          <w:rFonts w:ascii="Times New Roman" w:cs="Times New Roman" w:eastAsia="Times New Roman" w:hAnsi="Times New Roman"/>
          <w:sz w:val="19"/>
          <w:szCs w:val="19"/>
          <w:color w:val="auto"/>
        </w:rPr>
        <w:t xml:space="preserve">extent not otherwise Cash Collateralized by the Borrower pursuant to </w:t>
      </w:r>
      <w:r>
        <w:rPr>
          <w:rFonts w:ascii="Times New Roman" w:cs="Times New Roman" w:eastAsia="Times New Roman" w:hAnsi="Times New Roman"/>
          <w:sz w:val="19"/>
          <w:szCs w:val="19"/>
          <w:u w:val="single" w:color="auto"/>
          <w:color w:val="auto"/>
        </w:rPr>
        <w:t>Section 3.7</w:t>
      </w:r>
      <w:r>
        <w:rPr>
          <w:rFonts w:ascii="Times New Roman" w:cs="Times New Roman" w:eastAsia="Times New Roman" w:hAnsi="Times New Roman"/>
          <w:sz w:val="19"/>
          <w:szCs w:val="19"/>
          <w:color w:val="auto"/>
        </w:rPr>
        <w:t>, ratably among the Lenders, the Issuing Banks, the</w:t>
      </w: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Hedge Banks and the Cash Management Banks in proportion to the respective amounts described in this </w:t>
      </w:r>
      <w:r>
        <w:rPr>
          <w:rFonts w:ascii="Times New Roman" w:cs="Times New Roman" w:eastAsia="Times New Roman" w:hAnsi="Times New Roman"/>
          <w:sz w:val="19"/>
          <w:szCs w:val="19"/>
          <w:u w:val="single" w:color="auto"/>
          <w:color w:val="auto"/>
        </w:rPr>
        <w:t>clause Fourth</w:t>
      </w:r>
      <w:r>
        <w:rPr>
          <w:rFonts w:ascii="Times New Roman" w:cs="Times New Roman" w:eastAsia="Times New Roman" w:hAnsi="Times New Roman"/>
          <w:sz w:val="19"/>
          <w:szCs w:val="19"/>
          <w:color w:val="auto"/>
        </w:rPr>
        <w:t xml:space="preserve"> held by them;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(x) any such amounts applied pursuant to the foregoing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 be paid to the Administrative Agent for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 xml:space="preserve">ratable account of the applicable Issuing Bank to Cash Collateralize such Letters of Credit Outstanding, (y) subject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w:t>
      </w: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amounts used to Cash Collateralize the aggregate undrawn amount of Letters of Credit pursuant to this </w:t>
      </w:r>
      <w:r>
        <w:rPr>
          <w:rFonts w:ascii="Times New Roman" w:cs="Times New Roman" w:eastAsia="Times New Roman" w:hAnsi="Times New Roman"/>
          <w:sz w:val="19"/>
          <w:szCs w:val="19"/>
          <w:u w:val="single" w:color="auto"/>
          <w:color w:val="auto"/>
        </w:rPr>
        <w:t>clause Fourth</w:t>
      </w:r>
      <w:r>
        <w:rPr>
          <w:rFonts w:ascii="Times New Roman" w:cs="Times New Roman" w:eastAsia="Times New Roman" w:hAnsi="Times New Roman"/>
          <w:sz w:val="19"/>
          <w:szCs w:val="19"/>
          <w:color w:val="auto"/>
        </w:rPr>
        <w:t xml:space="preserve"> shall be applied to satisfy drawings under such Letters of Credit as they occur and (z) upon the expiration of any Letter of Credit, the pro rata share of</w:t>
      </w:r>
    </w:p>
    <w:p>
      <w:pPr>
        <w:ind w:left="660"/>
        <w:spacing w:after="0"/>
        <w:rPr>
          <w:sz w:val="20"/>
          <w:szCs w:val="20"/>
          <w:color w:val="auto"/>
        </w:rPr>
      </w:pPr>
      <w:r>
        <w:rPr>
          <w:rFonts w:ascii="Times New Roman" w:cs="Times New Roman" w:eastAsia="Times New Roman" w:hAnsi="Times New Roman"/>
          <w:sz w:val="20"/>
          <w:szCs w:val="20"/>
          <w:color w:val="auto"/>
        </w:rPr>
        <w:t xml:space="preserve">Cash Collateral attributable to such expired Letter of Credit shall be distributed in accordance with this </w:t>
      </w:r>
      <w:r>
        <w:rPr>
          <w:rFonts w:ascii="Times New Roman" w:cs="Times New Roman" w:eastAsia="Times New Roman" w:hAnsi="Times New Roman"/>
          <w:sz w:val="20"/>
          <w:szCs w:val="20"/>
          <w:u w:val="single" w:color="auto"/>
          <w:color w:val="auto"/>
        </w:rPr>
        <w:t>clause Fourth</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left="660" w:firstLine="648"/>
        <w:spacing w:after="0" w:line="227" w:lineRule="auto"/>
        <w:rPr>
          <w:sz w:val="20"/>
          <w:szCs w:val="20"/>
          <w:color w:val="auto"/>
        </w:rPr>
      </w:pP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to the payment of all other Obligations of the Credit Parties owing under or in respect of the Credit Documents that are due and payable to the Administrative Agent and the other Secured Parties on such date, ratably based upon the respective aggregate</w:t>
      </w:r>
    </w:p>
    <w:p>
      <w:pPr>
        <w:ind w:left="660"/>
        <w:spacing w:after="0"/>
        <w:rPr>
          <w:sz w:val="20"/>
          <w:szCs w:val="20"/>
          <w:color w:val="auto"/>
        </w:rPr>
      </w:pPr>
      <w:r>
        <w:rPr>
          <w:rFonts w:ascii="Times New Roman" w:cs="Times New Roman" w:eastAsia="Times New Roman" w:hAnsi="Times New Roman"/>
          <w:sz w:val="20"/>
          <w:szCs w:val="20"/>
          <w:color w:val="auto"/>
        </w:rPr>
        <w:t>amounts of all such Obligations owing to the Administrative Agent and the other Secured Parties on such date; and</w:t>
      </w:r>
    </w:p>
    <w:p>
      <w:pPr>
        <w:spacing w:after="0" w:line="167" w:lineRule="exact"/>
        <w:rPr>
          <w:sz w:val="20"/>
          <w:szCs w:val="20"/>
          <w:color w:val="auto"/>
        </w:rPr>
      </w:pPr>
    </w:p>
    <w:p>
      <w:pPr>
        <w:ind w:left="660" w:firstLine="648"/>
        <w:spacing w:after="0" w:line="233"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Obligations have been paid, to the Borrower or as otherwise required by Requirements of Law.</w:t>
      </w:r>
    </w:p>
    <w:p>
      <w:pPr>
        <w:spacing w:after="0" w:line="161" w:lineRule="exact"/>
        <w:rPr>
          <w:sz w:val="20"/>
          <w:szCs w:val="20"/>
          <w:color w:val="auto"/>
        </w:rPr>
      </w:pPr>
    </w:p>
    <w:p>
      <w:pPr>
        <w:ind w:left="660" w:right="20" w:firstLine="648"/>
        <w:spacing w:after="0"/>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amounts used to Cash Collateralize the aggregate undrawn amount of Letters of Credit pursuant to </w:t>
      </w:r>
      <w:r>
        <w:rPr>
          <w:rFonts w:ascii="Times New Roman" w:cs="Times New Roman" w:eastAsia="Times New Roman" w:hAnsi="Times New Roman"/>
          <w:sz w:val="20"/>
          <w:szCs w:val="20"/>
          <w:u w:val="single" w:color="auto"/>
          <w:color w:val="auto"/>
        </w:rPr>
        <w:t>clause Fourth</w:t>
      </w:r>
      <w:r>
        <w:rPr>
          <w:rFonts w:ascii="Times New Roman" w:cs="Times New Roman" w:eastAsia="Times New Roman" w:hAnsi="Times New Roman"/>
          <w:sz w:val="20"/>
          <w:szCs w:val="20"/>
          <w:color w:val="auto"/>
        </w:rPr>
        <w:t xml:space="preserve"> above shall be applied to satisfy drawings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1240"/>
          </w:cols>
          <w:pgMar w:left="320" w:top="1394" w:right="339" w:bottom="1440" w:gutter="0" w:footer="0" w:header="0"/>
        </w:sectPr>
      </w:pPr>
    </w:p>
    <w:bookmarkStart w:id="176" w:name="page177"/>
    <w:bookmarkEnd w:id="176"/>
    <w:p>
      <w:pPr>
        <w:ind w:left="660"/>
        <w:spacing w:after="0"/>
        <w:rPr>
          <w:sz w:val="20"/>
          <w:szCs w:val="20"/>
          <w:color w:val="auto"/>
        </w:rPr>
      </w:pPr>
      <w:r>
        <w:rPr>
          <w:rFonts w:ascii="Times New Roman" w:cs="Times New Roman" w:eastAsia="Times New Roman" w:hAnsi="Times New Roman"/>
          <w:sz w:val="20"/>
          <w:szCs w:val="20"/>
          <w:color w:val="auto"/>
        </w:rPr>
        <w:t>such Letters of Credit as they occur. If any amount remains on deposit as Cash Collateral after all Letters of Credit have either been</w:t>
      </w:r>
    </w:p>
    <w:p>
      <w:pPr>
        <w:ind w:left="660"/>
        <w:spacing w:after="0" w:line="215" w:lineRule="auto"/>
        <w:rPr>
          <w:sz w:val="20"/>
          <w:szCs w:val="20"/>
          <w:color w:val="auto"/>
        </w:rPr>
      </w:pPr>
      <w:r>
        <w:rPr>
          <w:rFonts w:ascii="Times New Roman" w:cs="Times New Roman" w:eastAsia="Times New Roman" w:hAnsi="Times New Roman"/>
          <w:sz w:val="19"/>
          <w:szCs w:val="19"/>
          <w:color w:val="auto"/>
        </w:rPr>
        <w:t>fully drawn or expired, such remaining amount shall be applied to the other Obligations, if any, in the order set forth above. Notwithstanding the foregoing, no amounts received from any Guarantor shall be applied to any Excluded Swap Obligations of such</w:t>
      </w:r>
    </w:p>
    <w:p>
      <w:pPr>
        <w:ind w:left="660"/>
        <w:spacing w:after="0"/>
        <w:rPr>
          <w:sz w:val="20"/>
          <w:szCs w:val="20"/>
          <w:color w:val="auto"/>
        </w:rPr>
      </w:pPr>
      <w:r>
        <w:rPr>
          <w:rFonts w:ascii="Times New Roman" w:cs="Times New Roman" w:eastAsia="Times New Roman" w:hAnsi="Times New Roman"/>
          <w:sz w:val="20"/>
          <w:szCs w:val="20"/>
          <w:color w:val="auto"/>
        </w:rPr>
        <w:t>Guarantor.</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u w:val="single" w:color="auto"/>
          <w:color w:val="auto"/>
        </w:rPr>
        <w:t>Equity Cure</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2" w:lineRule="auto"/>
        <w:tabs>
          <w:tab w:leader="none" w:pos="1286"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or in any Credit Document, in the event that the Borrower fails to comply with the Leverage Ratio Covenant and/or the Current Ratio Covenant, then (A) until the expiration of the tenth (10th) Business Day subsequent to the date the compliance certificate for calculating the applicable Financial Performance Covenant is required to be delivered pursuant to </w:t>
      </w:r>
      <w:r>
        <w:rPr>
          <w:rFonts w:ascii="Times New Roman" w:cs="Times New Roman" w:eastAsia="Times New Roman" w:hAnsi="Times New Roman"/>
          <w:sz w:val="20"/>
          <w:szCs w:val="20"/>
          <w:u w:val="single" w:color="auto"/>
          <w:color w:val="auto"/>
        </w:rPr>
        <w:t>Section 9.1(c)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Cure Deadline</w:t>
      </w:r>
      <w:r>
        <w:rPr>
          <w:rFonts w:ascii="Times New Roman" w:cs="Times New Roman" w:eastAsia="Times New Roman" w:hAnsi="Times New Roman"/>
          <w:sz w:val="20"/>
          <w:szCs w:val="20"/>
          <w:color w:val="auto"/>
        </w:rPr>
        <w:t>”), the Borrower shall have the right to cure such failure (the “</w:t>
      </w:r>
      <w:r>
        <w:rPr>
          <w:rFonts w:ascii="Times New Roman" w:cs="Times New Roman" w:eastAsia="Times New Roman" w:hAnsi="Times New Roman"/>
          <w:sz w:val="20"/>
          <w:szCs w:val="20"/>
          <w:u w:val="single" w:color="auto"/>
          <w:color w:val="auto"/>
        </w:rPr>
        <w:t>Cure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Right</w:t>
      </w:r>
      <w:r>
        <w:rPr>
          <w:rFonts w:ascii="Times New Roman" w:cs="Times New Roman" w:eastAsia="Times New Roman" w:hAnsi="Times New Roman"/>
          <w:sz w:val="20"/>
          <w:szCs w:val="20"/>
          <w:color w:val="auto"/>
        </w:rPr>
        <w:t>”) by receiving cash proceeds (which cash proceeds shall be received no earlier than the first day of the applicable fiscal quarter for which there is a failure to comply with the applicable Financial Performance Covenant) from an issuance of Qualified Equity Interests (other than Disqualified Stock) for cash as a cash capital contribution (or from any other contribution of cash to capital or issuance or sale of any other Equity Interests on terms reasonably acceptable to the Administrative Agent), and upon receipt by the Borrower of such cash proceeds (such cash amount being referred to as the “</w:t>
      </w:r>
      <w:r>
        <w:rPr>
          <w:rFonts w:ascii="Times New Roman" w:cs="Times New Roman" w:eastAsia="Times New Roman" w:hAnsi="Times New Roman"/>
          <w:sz w:val="20"/>
          <w:szCs w:val="20"/>
          <w:u w:val="single" w:color="auto"/>
          <w:color w:val="auto"/>
        </w:rPr>
        <w:t>Cure Amount</w:t>
      </w:r>
      <w:r>
        <w:rPr>
          <w:rFonts w:ascii="Times New Roman" w:cs="Times New Roman" w:eastAsia="Times New Roman" w:hAnsi="Times New Roman"/>
          <w:sz w:val="20"/>
          <w:szCs w:val="20"/>
          <w:color w:val="auto"/>
        </w:rPr>
        <w:t>”) pursuant to the exercise of such Cure Right, the Leverage Ratio Covenant and/or the Current Ratio Covenant (as applicable) shall be recalculated giving effect to the following pro forma adjustments:</w:t>
      </w:r>
    </w:p>
    <w:p>
      <w:pPr>
        <w:spacing w:after="0" w:line="169"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54"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Consolidated EBITDAX shall be increased, solely for the purpose of determining the existence of an Event of Default resulting from a breach of the Leverage Ratio Covenant with respect to any Test Period that includes the fiscal quarter for which the Cure Right was exercised and not for any other purpose under this Agreement, by an amount equal to the Cure Amount and/or (B) Consolidated Current Assets shall be increased, solely for the purpose of determining the existence of an Event of Default resulting from a breach of the Current Ratio Covenant with respect to any Test Period that includes the fiscal quarter for which the Cure Right was exercised and not for any other purpose under this Agreement, by an amount equal to the Cure Amount;</w:t>
      </w:r>
    </w:p>
    <w:p>
      <w:pPr>
        <w:spacing w:after="0" w:line="162"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Consolidated Total Debt nor Consolidated Current Liabilities for such Test Period shall be decreased by any prepayments of Indebtedness with the proceeds of the Cure Amount and any cash proceeds shall not be “netted” for purposes of ratio calculations with respect to any four fiscal quarter period in which the fiscal quarter period in which such equity cure has been made is included; and</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56"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after giving effect to the foregoing recalculations, the Borrower shall then be in compliance with the requirements of the Financial Performance Covenants, the Borrower shall be deemed to have satisfied the requirements of the Financial Performance Covenants as of the relevant date of determination with the same effect as though there had been no failure to comply therewith at such date, and the applicable breach or default of the applicable Financial Performance Covenant that had occurred shall be deemed cured for the purposes of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in each period of four (4) consecutive fiscal quarters there shall be at least two (2) fiscal quarters in which no Cure Right is exercised, (B) Cure Rights shall not be exercised more than four (4) times during the term of this Agreement, (C) if the Borrower cures the failure to comply with both Financial Performance Covenants in the same fiscal quarter, such cures shall constitute a single cure for purposes of the preceding </w:t>
      </w:r>
      <w:r>
        <w:rPr>
          <w:rFonts w:ascii="Times New Roman" w:cs="Times New Roman" w:eastAsia="Times New Roman" w:hAnsi="Times New Roman"/>
          <w:sz w:val="20"/>
          <w:szCs w:val="20"/>
          <w:u w:val="single" w:color="auto"/>
          <w:color w:val="auto"/>
        </w:rPr>
        <w:t>subclause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if the Borrower cures the failure to comply with both Financial Performance Covenants in the same fiscal quarter, the same dollar of the Cure Amount shall be applied only once to either increase Consolidated EBITDAX or Consolidated Current Assets but not both, (E) each Cure Amount shall be no greater than the amount required to cause the Borrower to be in compliance with the applicable Financial Performance Covenant above (such amount, the “</w:t>
      </w:r>
      <w:r>
        <w:rPr>
          <w:rFonts w:ascii="Times New Roman" w:cs="Times New Roman" w:eastAsia="Times New Roman" w:hAnsi="Times New Roman"/>
          <w:sz w:val="20"/>
          <w:szCs w:val="20"/>
          <w:u w:val="single" w:color="auto"/>
          <w:color w:val="auto"/>
        </w:rPr>
        <w:t>Necessary Cure Amount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Cure Right is exercised prior to the date financial statements are required to be delivered for such fiscal quarter, then the Cure Amount shall be equal to the amount reasonably determined by the Borrower in good faith that is required for purposes of complying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240"/>
          </w:cols>
          <w:pgMar w:left="320" w:top="1394" w:right="339" w:bottom="1440" w:gutter="0" w:footer="0" w:header="0"/>
        </w:sectPr>
      </w:pPr>
    </w:p>
    <w:bookmarkStart w:id="177" w:name="page178"/>
    <w:bookmarkEnd w:id="177"/>
    <w:p>
      <w:pPr>
        <w:ind w:left="660"/>
        <w:spacing w:after="0"/>
        <w:rPr>
          <w:sz w:val="20"/>
          <w:szCs w:val="20"/>
          <w:color w:val="auto"/>
        </w:rPr>
      </w:pPr>
      <w:r>
        <w:rPr>
          <w:rFonts w:ascii="Times New Roman" w:cs="Times New Roman" w:eastAsia="Times New Roman" w:hAnsi="Times New Roman"/>
          <w:sz w:val="20"/>
          <w:szCs w:val="20"/>
          <w:color w:val="auto"/>
        </w:rPr>
        <w:t>with the Financial Performance Covenants for such fiscal quarter (such amount, the “</w:t>
      </w:r>
      <w:r>
        <w:rPr>
          <w:rFonts w:ascii="Times New Roman" w:cs="Times New Roman" w:eastAsia="Times New Roman" w:hAnsi="Times New Roman"/>
          <w:sz w:val="20"/>
          <w:szCs w:val="20"/>
          <w:u w:val="single" w:color="auto"/>
          <w:color w:val="auto"/>
        </w:rPr>
        <w:t>Expected Cure Amount</w:t>
      </w:r>
      <w:r>
        <w:rPr>
          <w:rFonts w:ascii="Times New Roman" w:cs="Times New Roman" w:eastAsia="Times New Roman" w:hAnsi="Times New Roman"/>
          <w:sz w:val="20"/>
          <w:szCs w:val="20"/>
          <w:color w:val="auto"/>
        </w:rPr>
        <w:t>”), (F) in respect of the</w:t>
      </w:r>
    </w:p>
    <w:p>
      <w:pPr>
        <w:ind w:left="660"/>
        <w:spacing w:after="0" w:line="204" w:lineRule="auto"/>
        <w:rPr>
          <w:sz w:val="20"/>
          <w:szCs w:val="20"/>
          <w:color w:val="auto"/>
        </w:rPr>
      </w:pPr>
      <w:r>
        <w:rPr>
          <w:rFonts w:ascii="Times New Roman" w:cs="Times New Roman" w:eastAsia="Times New Roman" w:hAnsi="Times New Roman"/>
          <w:sz w:val="20"/>
          <w:szCs w:val="20"/>
          <w:color w:val="auto"/>
        </w:rPr>
        <w:t>fiscal quarter in which such Cure Right was exercised and for each Test Period that includes such fiscal quarter, all Cure Amounts shall be disregarded for the purposes of any financial ratio determination under the Credit Documents other than for determining</w:t>
      </w:r>
    </w:p>
    <w:p>
      <w:pPr>
        <w:ind w:left="660"/>
        <w:spacing w:after="0" w:line="223" w:lineRule="auto"/>
        <w:rPr>
          <w:sz w:val="20"/>
          <w:szCs w:val="20"/>
          <w:color w:val="auto"/>
        </w:rPr>
      </w:pPr>
      <w:r>
        <w:rPr>
          <w:rFonts w:ascii="Times New Roman" w:cs="Times New Roman" w:eastAsia="Times New Roman" w:hAnsi="Times New Roman"/>
          <w:sz w:val="19"/>
          <w:szCs w:val="19"/>
          <w:color w:val="auto"/>
        </w:rPr>
        <w:t>compliance with the Financial Performance Covenants and (G) no Lender or Issuing Bank shall be required to make any extension of</w:t>
      </w:r>
    </w:p>
    <w:p>
      <w:pPr>
        <w:ind w:left="660"/>
        <w:spacing w:after="0" w:line="221" w:lineRule="auto"/>
        <w:rPr>
          <w:sz w:val="20"/>
          <w:szCs w:val="20"/>
          <w:color w:val="auto"/>
        </w:rPr>
      </w:pPr>
      <w:r>
        <w:rPr>
          <w:rFonts w:ascii="Times New Roman" w:cs="Times New Roman" w:eastAsia="Times New Roman" w:hAnsi="Times New Roman"/>
          <w:sz w:val="20"/>
          <w:szCs w:val="20"/>
          <w:color w:val="auto"/>
        </w:rPr>
        <w:t>credit hereunder during the ten (10) Business Day period referred to above, unless the Borrower shall have received the Cure Amount; and</w:t>
      </w:r>
    </w:p>
    <w:p>
      <w:pPr>
        <w:spacing w:after="0" w:line="162" w:lineRule="exact"/>
        <w:rPr>
          <w:sz w:val="20"/>
          <w:szCs w:val="20"/>
          <w:color w:val="auto"/>
        </w:rPr>
      </w:pPr>
    </w:p>
    <w:p>
      <w:pPr>
        <w:jc w:val="both"/>
        <w:ind w:left="660" w:firstLine="644"/>
        <w:spacing w:after="0" w:line="222" w:lineRule="auto"/>
        <w:tabs>
          <w:tab w:leader="none" w:pos="1945"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by the Administrative Agent of written notice, on or prior to the Cure Deadline, that the Borrower intends to exercise the Cure Right in respect of a fiscal quarter, the Lenders shall not be permitted to accelerate Loans held by them or to exercise remedies against the Collateral on the basis of a failure to comply with the requirements of the Financial Performance Covenants, unless such failure is not cured pursuant to the exercise of the Cure Right on or prior to the Cure Deadline.</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Expected Cure Amount</w:t>
      </w:r>
      <w:r>
        <w:rPr>
          <w:rFonts w:ascii="Times New Roman" w:cs="Times New Roman" w:eastAsia="Times New Roman" w:hAnsi="Times New Roman"/>
          <w:sz w:val="20"/>
          <w:szCs w:val="20"/>
          <w:color w:val="auto"/>
        </w:rPr>
        <w:t>. Notwithstanding anything herein to the contrary, to the extent that the Expected Cure Amount is less than the Necessary Cure Amount, then not later than the applicable Cure Deadline, the Borrower must receive cash proceeds from issuance of Equity Interests (other than Disqualified Stock) or a cash capital contribution, which cash proceeds received by Borrower shall be equal to the shortfall between such Expected Cure Amount and such Necessary Cure Amount.</w:t>
      </w:r>
    </w:p>
    <w:p>
      <w:pPr>
        <w:spacing w:after="0" w:line="1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color w:val="auto"/>
        </w:rPr>
        <w:t>THE AGENTS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Appointment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1" w:lineRule="auto"/>
        <w:tabs>
          <w:tab w:leader="none" w:pos="1286"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12.1(c)</w:t>
      </w:r>
      <w:r>
        <w:rPr>
          <w:rFonts w:ascii="Times New Roman" w:cs="Times New Roman" w:eastAsia="Times New Roman" w:hAnsi="Times New Roman"/>
          <w:sz w:val="20"/>
          <w:szCs w:val="20"/>
          <w:color w:val="auto"/>
        </w:rPr>
        <w:t xml:space="preserve"> with respect to the Arrangers, and </w:t>
      </w:r>
      <w:r>
        <w:rPr>
          <w:rFonts w:ascii="Times New Roman" w:cs="Times New Roman" w:eastAsia="Times New Roman" w:hAnsi="Times New Roman"/>
          <w:sz w:val="20"/>
          <w:szCs w:val="20"/>
          <w:u w:val="single" w:color="auto"/>
          <w:color w:val="auto"/>
        </w:rPr>
        <w:t>Sections 12.9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12.11</w:t>
      </w:r>
      <w:r>
        <w:rPr>
          <w:rFonts w:ascii="Times New Roman" w:cs="Times New Roman" w:eastAsia="Times New Roman" w:hAnsi="Times New Roman"/>
          <w:sz w:val="20"/>
          <w:szCs w:val="20"/>
          <w:color w:val="auto"/>
        </w:rPr>
        <w:t xml:space="preserve"> and the last sentence of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with respect to the Borrower) are solely for the benefit of the Agents and the Lenders, and the Borrower shall not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w:t>
      </w:r>
    </w:p>
    <w:p>
      <w:pPr>
        <w:spacing w:after="0" w:line="165"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each Lender and each Issuing Bank hereby irrevocably designate and appoint the Collateral Agent as the agent with respect to the Collateral, and each of the Administrative Agent, each Lender and each Issuing Bank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or the Issuing Banks, and no implied covenants, functions, responsibilities, duties, obligations or liabilities shall be read into this Agreement or any other Credit Document or otherwise exist against the Collateral Agent.</w:t>
      </w:r>
    </w:p>
    <w:p>
      <w:pPr>
        <w:spacing w:after="0" w:line="161" w:lineRule="exact"/>
        <w:rPr>
          <w:rFonts w:ascii="Times New Roman" w:cs="Times New Roman" w:eastAsia="Times New Roman" w:hAnsi="Times New Roman"/>
          <w:sz w:val="20"/>
          <w:szCs w:val="20"/>
          <w:color w:val="auto"/>
        </w:rPr>
      </w:pPr>
    </w:p>
    <w:p>
      <w:pPr>
        <w:ind w:firstLine="656"/>
        <w:spacing w:after="0"/>
        <w:tabs>
          <w:tab w:leader="none" w:pos="1286"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Arrangers, in their capacity as such, shall not have any obligations, duties or responsibilities under this Agreement but shall be entitled to all benefits of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The Administrative Agent and the Collateral Agent may each execute any of its duties under this Agreement and the other Credit Documents by or through agents, sub-agents, employees or attorneys-in-fact (each, a “</w:t>
      </w:r>
      <w:r>
        <w:rPr>
          <w:rFonts w:ascii="Times New Roman" w:cs="Times New Roman" w:eastAsia="Times New Roman" w:hAnsi="Times New Roman"/>
          <w:sz w:val="20"/>
          <w:szCs w:val="20"/>
          <w:u w:val="single" w:color="auto"/>
          <w:color w:val="auto"/>
        </w:rPr>
        <w:t>Subagent</w:t>
      </w:r>
      <w:r>
        <w:rPr>
          <w:rFonts w:ascii="Times New Roman" w:cs="Times New Roman" w:eastAsia="Times New Roman" w:hAnsi="Times New Roman"/>
          <w:sz w:val="20"/>
          <w:szCs w:val="20"/>
          <w:color w:val="auto"/>
        </w:rPr>
        <w:t>”) and shall be entitled to advice of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1240"/>
          </w:cols>
          <w:pgMar w:left="320" w:top="1394"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9"/>
          <w:szCs w:val="19"/>
          <w:color w:val="auto"/>
        </w:rPr>
        <w:t xml:space="preserve">concerning all matters pertaining to such duties;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no such Subagent shall be authorized to take any action with respect</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any Collateral unless and except to the extent expressly authorized in writing by the Administrative Agent. If any Subagent, or successor thereto, shall die, become incapable of acting, resign or be removed, all rights, powers, privileges and duties of such Subagent, to the extent</w:t>
      </w:r>
    </w:p>
    <w:p>
      <w:pPr>
        <w:spacing w:after="0" w:line="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9"/>
          <w:szCs w:val="19"/>
          <w:color w:val="auto"/>
        </w:rPr>
        <w:t>permitted by law, shall automatically vest in and be exercised by the Administrative Agent until the appointment of a new Subagent. Neither the Administrative Agent nor the Collateral Agent shall be responsible for the negligence or misconduct of any Subagents selected by it.</w:t>
      </w:r>
    </w:p>
    <w:p>
      <w:pPr>
        <w:spacing w:after="0" w:line="14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 No Agent nor any of its Related Parties shall be (a) liable for any action lawfully taken or omitted to be taken by any of them under or in connection with this Agreement or any other Credit Document (except for its or such Person’s own gross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negligence or willful misconduct, as determined in the final judgment of a court of competent jurisdiction, in connection with its duties expressly set forth herein) (IT BEING THE INTENTION OF THE PARTIES HERETO THAT EACH AGENT AND ITS RELATED</w:t>
      </w:r>
    </w:p>
    <w:p>
      <w:pPr>
        <w:spacing w:after="0" w:line="211" w:lineRule="auto"/>
        <w:rPr>
          <w:sz w:val="20"/>
          <w:szCs w:val="20"/>
          <w:color w:val="auto"/>
        </w:rPr>
      </w:pPr>
      <w:r>
        <w:rPr>
          <w:rFonts w:ascii="Times New Roman" w:cs="Times New Roman" w:eastAsia="Times New Roman" w:hAnsi="Times New Roman"/>
          <w:sz w:val="20"/>
          <w:szCs w:val="20"/>
          <w:color w:val="auto"/>
        </w:rPr>
        <w:t>PARTIES SHALL, IN ALL CASES, BE INDEMNIFIED FOR ITS ORDINARY, COMPARATIVE, CONTRIBUTORY OR SOLE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NEGLIGENCE ) or (b) responsible in any manner to any of the Lenders or any participant for any recitals, statements, representations or warranties made by any of the Borrower, any other Credit Party or any officer thereof contained in this Agreement or any other Credit</w:t>
      </w:r>
    </w:p>
    <w:p>
      <w:pPr>
        <w:spacing w:after="0" w:line="211" w:lineRule="auto"/>
        <w:rPr>
          <w:sz w:val="20"/>
          <w:szCs w:val="20"/>
          <w:color w:val="auto"/>
        </w:rPr>
      </w:pPr>
      <w:r>
        <w:rPr>
          <w:rFonts w:ascii="Times New Roman" w:cs="Times New Roman" w:eastAsia="Times New Roman" w:hAnsi="Times New Roman"/>
          <w:sz w:val="20"/>
          <w:szCs w:val="20"/>
          <w:color w:val="auto"/>
        </w:rPr>
        <w:t>Document or in any certificate, report, statement or other document referred to or provided for in, or received by such Agent under or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connection with, this Agreement or any other Credit Document or for the value, validity, effectiveness, genuineness, enforceability or sufficiency of this Agreement or any other Credit Document, or the perfection or priority of any Lien or security interest created or purported</w:t>
      </w:r>
    </w:p>
    <w:p>
      <w:pPr>
        <w:spacing w:after="0" w:line="211" w:lineRule="auto"/>
        <w:rPr>
          <w:sz w:val="20"/>
          <w:szCs w:val="20"/>
          <w:color w:val="auto"/>
        </w:rPr>
      </w:pPr>
      <w:r>
        <w:rPr>
          <w:rFonts w:ascii="Times New Roman" w:cs="Times New Roman" w:eastAsia="Times New Roman" w:hAnsi="Times New Roman"/>
          <w:sz w:val="20"/>
          <w:szCs w:val="20"/>
          <w:color w:val="auto"/>
        </w:rPr>
        <w:t>to be created under the Security Documents or for any failure of the Borrower or any other Credit Party to perform its obligations hereunder</w:t>
      </w:r>
    </w:p>
    <w:p>
      <w:pPr>
        <w:spacing w:after="0" w:line="215" w:lineRule="auto"/>
        <w:rPr>
          <w:sz w:val="20"/>
          <w:szCs w:val="20"/>
          <w:color w:val="auto"/>
        </w:rPr>
      </w:pPr>
      <w:r>
        <w:rPr>
          <w:rFonts w:ascii="Times New Roman" w:cs="Times New Roman" w:eastAsia="Times New Roman" w:hAnsi="Times New Roman"/>
          <w:sz w:val="19"/>
          <w:szCs w:val="19"/>
          <w:color w:val="auto"/>
        </w:rPr>
        <w:t>or thereunder. No Agent shall be under any obligation to any Lender to ascertain or to inquire as to the observance or performance of any of the agreements contained in, or conditions of, this Agreement or any other Credit Document, or to inspect the properties, books or records of</w:t>
      </w:r>
    </w:p>
    <w:p>
      <w:pPr>
        <w:spacing w:after="0" w:line="204" w:lineRule="auto"/>
        <w:rPr>
          <w:sz w:val="20"/>
          <w:szCs w:val="20"/>
          <w:color w:val="auto"/>
        </w:rPr>
      </w:pPr>
      <w:r>
        <w:rPr>
          <w:rFonts w:ascii="Times New Roman" w:cs="Times New Roman" w:eastAsia="Times New Roman" w:hAnsi="Times New Roman"/>
          <w:sz w:val="20"/>
          <w:szCs w:val="20"/>
          <w:color w:val="auto"/>
        </w:rPr>
        <w:t>any Credit Party or any Affiliate thereof. The Collateral Agent shall not be under any obligation to the Administrative Agent, any Lender or any Issuing Bank to ascertain or to inquire as to the observance or performance of any of the agreements contained in, or conditions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or any other Credit Document, or to inspect the properties, books or records of any Credit Party.</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Reliance by Agents</w:t>
      </w:r>
      <w:r>
        <w:rPr>
          <w:rFonts w:ascii="Times New Roman" w:cs="Times New Roman" w:eastAsia="Times New Roman" w:hAnsi="Times New Roman"/>
          <w:sz w:val="20"/>
          <w:szCs w:val="20"/>
          <w:color w:val="auto"/>
        </w:rPr>
        <w:t>. The Administrative Agent and the Collateral Agent shall be entitled to rely, and shall be fully protected in relying, upon any writing, resolution, notice, consent, certificate, affidavit, letter, telecopy, telex or teletype message, email, statement,</w:t>
      </w:r>
    </w:p>
    <w:p>
      <w:pPr>
        <w:spacing w:after="0" w:line="224" w:lineRule="auto"/>
        <w:rPr>
          <w:sz w:val="20"/>
          <w:szCs w:val="20"/>
          <w:color w:val="auto"/>
        </w:rPr>
      </w:pPr>
      <w:r>
        <w:rPr>
          <w:rFonts w:ascii="Times New Roman" w:cs="Times New Roman" w:eastAsia="Times New Roman" w:hAnsi="Times New Roman"/>
          <w:sz w:val="19"/>
          <w:szCs w:val="19"/>
          <w:color w:val="auto"/>
        </w:rPr>
        <w:t>order or other document or instruction believed by it to be genuine and correct and to have been signed, sent or made by the proper Person or</w:t>
      </w:r>
    </w:p>
    <w:p>
      <w:pPr>
        <w:spacing w:after="0" w:line="204" w:lineRule="auto"/>
        <w:rPr>
          <w:sz w:val="20"/>
          <w:szCs w:val="20"/>
          <w:color w:val="auto"/>
        </w:rPr>
      </w:pPr>
      <w:r>
        <w:rPr>
          <w:rFonts w:ascii="Times New Roman" w:cs="Times New Roman" w:eastAsia="Times New Roman" w:hAnsi="Times New Roman"/>
          <w:sz w:val="20"/>
          <w:szCs w:val="20"/>
          <w:color w:val="auto"/>
        </w:rPr>
        <w:t>Persons and upon advice and statements of legal counsel (including counsel to the Borrower), independent accountants and other experts selected by the Administrative Agent or the Collateral Agent. The Administrative Agent may deem and treat the Lender specified in the</w:t>
      </w:r>
    </w:p>
    <w:p>
      <w:pPr>
        <w:spacing w:after="0" w:line="223" w:lineRule="auto"/>
        <w:rPr>
          <w:sz w:val="20"/>
          <w:szCs w:val="20"/>
          <w:color w:val="auto"/>
        </w:rPr>
      </w:pPr>
      <w:r>
        <w:rPr>
          <w:rFonts w:ascii="Times New Roman" w:cs="Times New Roman" w:eastAsia="Times New Roman" w:hAnsi="Times New Roman"/>
          <w:sz w:val="19"/>
          <w:szCs w:val="19"/>
          <w:color w:val="auto"/>
        </w:rPr>
        <w:t>Register with respect to any amount owing hereunder as the owner thereof for all purposes unless a written notice of assignment, negotiation</w:t>
      </w:r>
    </w:p>
    <w:p>
      <w:pPr>
        <w:spacing w:after="0" w:line="204" w:lineRule="auto"/>
        <w:rPr>
          <w:sz w:val="20"/>
          <w:szCs w:val="20"/>
          <w:color w:val="auto"/>
        </w:rPr>
      </w:pPr>
      <w:r>
        <w:rPr>
          <w:rFonts w:ascii="Times New Roman" w:cs="Times New Roman" w:eastAsia="Times New Roman" w:hAnsi="Times New Roman"/>
          <w:sz w:val="20"/>
          <w:szCs w:val="20"/>
          <w:color w:val="auto"/>
        </w:rPr>
        <w:t>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w:t>
      </w:r>
    </w:p>
    <w:p>
      <w:pPr>
        <w:spacing w:after="0" w:line="211" w:lineRule="auto"/>
        <w:rPr>
          <w:sz w:val="20"/>
          <w:szCs w:val="20"/>
          <w:color w:val="auto"/>
        </w:rPr>
      </w:pPr>
      <w:r>
        <w:rPr>
          <w:rFonts w:ascii="Times New Roman" w:cs="Times New Roman" w:eastAsia="Times New Roman" w:hAnsi="Times New Roman"/>
          <w:sz w:val="20"/>
          <w:szCs w:val="20"/>
          <w:color w:val="auto"/>
        </w:rPr>
        <w:t>or concurrence of the Majority Lenders as it deems appropriate and/or it shall first be indemnified to its satisfaction by the Lenders against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any and all liability and expense that may be incurred by it by reason of taking or continuing to take any such action. Notwithstanding any provision in this Agreement to the contrary, the Administrative Agent and the Collateral Agent shall in all cases be fully protected in acting,</w:t>
      </w:r>
    </w:p>
    <w:p>
      <w:pPr>
        <w:spacing w:after="0" w:line="223" w:lineRule="auto"/>
        <w:rPr>
          <w:sz w:val="20"/>
          <w:szCs w:val="20"/>
          <w:color w:val="auto"/>
        </w:rPr>
      </w:pPr>
      <w:r>
        <w:rPr>
          <w:rFonts w:ascii="Times New Roman" w:cs="Times New Roman" w:eastAsia="Times New Roman" w:hAnsi="Times New Roman"/>
          <w:sz w:val="19"/>
          <w:szCs w:val="19"/>
          <w:color w:val="auto"/>
        </w:rPr>
        <w:t>or in refraining from acting, under this Agreement and the other Credit Documents in accordance with a request of the Majority Lenders, and</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such request and any action taken or failure to act pursuant thereto shall be binding upon all the Lenders and all future holders of the Loans;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the Administrative Agent and Collateral Agent shall not be required to take any action or refuse to take any action where, in its</w:t>
      </w:r>
    </w:p>
    <w:p>
      <w:pPr>
        <w:spacing w:after="0" w:line="211" w:lineRule="auto"/>
        <w:rPr>
          <w:sz w:val="20"/>
          <w:szCs w:val="20"/>
          <w:color w:val="auto"/>
        </w:rPr>
      </w:pPr>
      <w:r>
        <w:rPr>
          <w:rFonts w:ascii="Times New Roman" w:cs="Times New Roman" w:eastAsia="Times New Roman" w:hAnsi="Times New Roman"/>
          <w:sz w:val="20"/>
          <w:szCs w:val="20"/>
          <w:color w:val="auto"/>
        </w:rPr>
        <w:t>opinion or in the opinion of its counsel, the taking or refusal to take such action may expose it to liability or that is contrary to any Credit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Document or applicable Requirements of Law. For purposes of determining compliance with the conditions specified in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on the Closing Date, each Lender that has signed this Agreement shall be deemed to have consented to, approved or accepted or to</w:t>
      </w:r>
    </w:p>
    <w:p>
      <w:pPr>
        <w:spacing w:after="0" w:line="211" w:lineRule="auto"/>
        <w:rPr>
          <w:sz w:val="20"/>
          <w:szCs w:val="20"/>
          <w:color w:val="auto"/>
        </w:rPr>
      </w:pPr>
      <w:r>
        <w:rPr>
          <w:rFonts w:ascii="Times New Roman" w:cs="Times New Roman" w:eastAsia="Times New Roman" w:hAnsi="Times New Roman"/>
          <w:sz w:val="20"/>
          <w:szCs w:val="20"/>
          <w:color w:val="auto"/>
        </w:rPr>
        <w:t>be satisfied with, each document or other matter required thereunder to be consented to or approved by or acceptable or satisfactory to a</w:t>
      </w:r>
    </w:p>
    <w:p>
      <w:pPr>
        <w:spacing w:after="0" w:line="221" w:lineRule="auto"/>
        <w:rPr>
          <w:sz w:val="20"/>
          <w:szCs w:val="20"/>
          <w:color w:val="auto"/>
        </w:rPr>
      </w:pPr>
      <w:r>
        <w:rPr>
          <w:rFonts w:ascii="Times New Roman" w:cs="Times New Roman" w:eastAsia="Times New Roman" w:hAnsi="Times New Roman"/>
          <w:sz w:val="20"/>
          <w:szCs w:val="20"/>
          <w:color w:val="auto"/>
        </w:rPr>
        <w:t>Lender unless the Administrative Agent shall have received notice from such Lender prior to the proposed Closing Date specifying its objection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1240"/>
          </w:cols>
          <w:pgMar w:left="320" w:top="1395" w:right="339" w:bottom="1440" w:gutter="0" w:footer="0" w:header="0"/>
        </w:sectPr>
      </w:pPr>
    </w:p>
    <w:bookmarkStart w:id="179" w:name="page180"/>
    <w:bookmarkEnd w:id="179"/>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u w:val="single" w:color="auto"/>
          <w:color w:val="auto"/>
        </w:rPr>
        <w:t>Notice of Default</w:t>
      </w:r>
      <w:r>
        <w:rPr>
          <w:rFonts w:ascii="Times New Roman" w:cs="Times New Roman" w:eastAsia="Times New Roman" w:hAnsi="Times New Roman"/>
          <w:sz w:val="19"/>
          <w:szCs w:val="19"/>
          <w:color w:val="auto"/>
        </w:rPr>
        <w:t>. Neither the Administrative Agent nor the Collateral Agent shall be deemed to have knowledge or notice of</w:t>
      </w:r>
    </w:p>
    <w:p>
      <w:pPr>
        <w:spacing w:after="0" w:line="215" w:lineRule="auto"/>
        <w:rPr>
          <w:sz w:val="20"/>
          <w:szCs w:val="20"/>
          <w:color w:val="auto"/>
        </w:rPr>
      </w:pPr>
      <w:r>
        <w:rPr>
          <w:rFonts w:ascii="Times New Roman" w:cs="Times New Roman" w:eastAsia="Times New Roman" w:hAnsi="Times New Roman"/>
          <w:sz w:val="19"/>
          <w:szCs w:val="19"/>
          <w:color w:val="auto"/>
        </w:rPr>
        <w:t>the occurrence of any Default or Event of Default hereunder unless the Administrative Agent or Collateral Agent, as applicable, has received written notice from a Lender or the Borrower referring to this Agreement, describing such Default or Event of Default and stating that such</w:t>
      </w:r>
    </w:p>
    <w:p>
      <w:pPr>
        <w:spacing w:after="0" w:line="222" w:lineRule="auto"/>
        <w:rPr>
          <w:sz w:val="20"/>
          <w:szCs w:val="20"/>
          <w:color w:val="auto"/>
        </w:rPr>
      </w:pPr>
      <w:r>
        <w:rPr>
          <w:rFonts w:ascii="Times New Roman" w:cs="Times New Roman" w:eastAsia="Times New Roman" w:hAnsi="Times New Roman"/>
          <w:sz w:val="19"/>
          <w:szCs w:val="19"/>
          <w:color w:val="auto"/>
        </w:rPr>
        <w:t>notice is a “notice of default”. In the event that the Administrative Agent receives such a notice, it shall give notice thereof to the Lenders and</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the Collateral Agent. The Administrative Agent shall take such action with respect to such Default or Event of Default as shall be reasonably directed by the Majority Lenders;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unless and until the Administrative Agent shall have received such directions,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may (but shall not be obligated to) take such action, or refrain from taking such action, with respect to such Default or</w:t>
      </w:r>
    </w:p>
    <w:p>
      <w:pPr>
        <w:spacing w:after="0" w:line="215" w:lineRule="auto"/>
        <w:rPr>
          <w:sz w:val="20"/>
          <w:szCs w:val="20"/>
          <w:color w:val="auto"/>
        </w:rPr>
      </w:pPr>
      <w:r>
        <w:rPr>
          <w:rFonts w:ascii="Times New Roman" w:cs="Times New Roman" w:eastAsia="Times New Roman" w:hAnsi="Times New Roman"/>
          <w:sz w:val="19"/>
          <w:szCs w:val="19"/>
          <w:color w:val="auto"/>
        </w:rPr>
        <w:t>Event of Default as it shall deem advisable in the best interests of the Lenders except to the extent that this Agreement requires that such action be taken only with the approval or consent of the Majority Lenders, the Required Lenders, each individual lender or adversely affected</w:t>
      </w:r>
    </w:p>
    <w:p>
      <w:pPr>
        <w:spacing w:after="0"/>
        <w:rPr>
          <w:sz w:val="20"/>
          <w:szCs w:val="20"/>
          <w:color w:val="auto"/>
        </w:rPr>
      </w:pPr>
      <w:r>
        <w:rPr>
          <w:rFonts w:ascii="Times New Roman" w:cs="Times New Roman" w:eastAsia="Times New Roman" w:hAnsi="Times New Roman"/>
          <w:sz w:val="20"/>
          <w:szCs w:val="20"/>
          <w:color w:val="auto"/>
        </w:rPr>
        <w:t>Lender, as applicable.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Non-Reliance on Administrative Agent, Collateral Agent and Other Lenders</w:t>
      </w:r>
      <w:r>
        <w:rPr>
          <w:rFonts w:ascii="Times New Roman" w:cs="Times New Roman" w:eastAsia="Times New Roman" w:hAnsi="Times New Roman"/>
          <w:sz w:val="20"/>
          <w:szCs w:val="20"/>
          <w:color w:val="auto"/>
        </w:rPr>
        <w:t>. Each Lender expressly acknowledges that neither the Administrative Agent nor the Collateral Agent nor any of their respective Related Parties has made any representations or</w:t>
      </w:r>
    </w:p>
    <w:p>
      <w:pPr>
        <w:spacing w:after="0" w:line="212" w:lineRule="auto"/>
        <w:rPr>
          <w:sz w:val="20"/>
          <w:szCs w:val="20"/>
          <w:color w:val="auto"/>
        </w:rPr>
      </w:pPr>
      <w:r>
        <w:rPr>
          <w:rFonts w:ascii="Times New Roman" w:cs="Times New Roman" w:eastAsia="Times New Roman" w:hAnsi="Times New Roman"/>
          <w:sz w:val="20"/>
          <w:szCs w:val="20"/>
          <w:color w:val="auto"/>
        </w:rPr>
        <w:t>warranties to it and that no act by the Administrative Agent or Collateral Agent hereinafter taken, including any review of the affairs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Borrower or any other Credit Party, shall be deemed to constitute any representation or warranty by the Administrative Agent or Collateral Agent or their respective Related Parties to any Lender or any Issuing Bank. Each Lender and each Issuing Bank represents to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and the Collateral Agent that it has, independently and without reliance upon the Administrative Agent, Collateral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Agent, any other Lender or any of their respective Related Parties, and based on such documents and information as it has deemed appropriate, made its own appraisal of, and an investigation into, the business, operations, property, financial and other condition and</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creditworthiness of the Borrower and each other Credit Party and made its own decision to make its Loans hereunder and enter into this Agreement. Each Lender also represents that it will, independently and without reliance upon the Administrative Agent, Collateral Agent,</w:t>
      </w:r>
    </w:p>
    <w:p>
      <w:pPr>
        <w:spacing w:after="0" w:line="211" w:lineRule="auto"/>
        <w:rPr>
          <w:sz w:val="20"/>
          <w:szCs w:val="20"/>
          <w:color w:val="auto"/>
        </w:rPr>
      </w:pPr>
      <w:r>
        <w:rPr>
          <w:rFonts w:ascii="Times New Roman" w:cs="Times New Roman" w:eastAsia="Times New Roman" w:hAnsi="Times New Roman"/>
          <w:sz w:val="20"/>
          <w:szCs w:val="20"/>
          <w:color w:val="auto"/>
        </w:rPr>
        <w:t>any other Lender or any of their respective Related Parties, and based on such documents and information as it shall deem appropriate at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time, continue to make its own credit analysis, appraisals and decisions in taking or not taking action under this Agreement and the other Credit Documents, and to make such investigation as it deems necessary to inform itself as to the business, operations, property, financial and</w:t>
      </w:r>
    </w:p>
    <w:p>
      <w:pPr>
        <w:spacing w:after="0" w:line="211" w:lineRule="auto"/>
        <w:rPr>
          <w:sz w:val="20"/>
          <w:szCs w:val="20"/>
          <w:color w:val="auto"/>
        </w:rPr>
      </w:pPr>
      <w:r>
        <w:rPr>
          <w:rFonts w:ascii="Times New Roman" w:cs="Times New Roman" w:eastAsia="Times New Roman" w:hAnsi="Times New Roman"/>
          <w:sz w:val="20"/>
          <w:szCs w:val="20"/>
          <w:color w:val="auto"/>
        </w:rPr>
        <w:t>other condition and creditworthiness of the Borrower and any other Credit Party. Except for notices, reports and other documents expressly</w:t>
      </w:r>
    </w:p>
    <w:p>
      <w:pPr>
        <w:jc w:val="both"/>
        <w:spacing w:after="0" w:line="204" w:lineRule="auto"/>
        <w:rPr>
          <w:sz w:val="20"/>
          <w:szCs w:val="20"/>
          <w:color w:val="auto"/>
        </w:rPr>
      </w:pPr>
      <w:r>
        <w:rPr>
          <w:rFonts w:ascii="Times New Roman" w:cs="Times New Roman" w:eastAsia="Times New Roman" w:hAnsi="Times New Roman"/>
          <w:sz w:val="20"/>
          <w:szCs w:val="20"/>
          <w:color w:val="auto"/>
        </w:rPr>
        <w:t>required to be furnished to the Lenders by the Administrative Agent hereunder, neither the Administrative Agent nor the Collateral Agent shall have any duty or responsibility to provide any Lender with any credit or other information concerning the business, assets, operations,</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properties, financial condition, prospects or creditworthiness of the Borrower or any other Credit Party that may come into the possession of the Administrative Agent or Collateral Agent or any of their respective Related Parties.</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The Lenders severally agree to indemnify the Administrative Agent and the Collateral Agent and their respective Related Parties, each in its capacity as such (to the extent not reimbursed by the Guarantors and without limiting the obligation of</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Guarantors to do so), ratably according to their respective portions of the Commitments or Loans, as applicable, outstanding in effect on the date on which indemnification is sought (or, if indemnification is sought after Payment in Full, ratably in accordance with their respective</w:t>
      </w:r>
    </w:p>
    <w:p>
      <w:pPr>
        <w:spacing w:after="0" w:line="211" w:lineRule="auto"/>
        <w:rPr>
          <w:sz w:val="20"/>
          <w:szCs w:val="20"/>
          <w:color w:val="auto"/>
        </w:rPr>
      </w:pPr>
      <w:r>
        <w:rPr>
          <w:rFonts w:ascii="Times New Roman" w:cs="Times New Roman" w:eastAsia="Times New Roman" w:hAnsi="Times New Roman"/>
          <w:sz w:val="20"/>
          <w:szCs w:val="20"/>
          <w:color w:val="auto"/>
        </w:rPr>
        <w:t>portions of the Total Exposure in effect immediately prior to such date on which Payment in Full occurred), from and against any and all</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Indemnified Liabilities;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Lender shall be liable to the Administrative Agent or the Collateral Agent or their respective Related Parties for the payment of any portion of such liabilities, obligations, losses, damages, penalties, actions, judgments, suits, costs,</w:t>
      </w:r>
    </w:p>
    <w:p>
      <w:pPr>
        <w:spacing w:after="0" w:line="211" w:lineRule="auto"/>
        <w:rPr>
          <w:sz w:val="20"/>
          <w:szCs w:val="20"/>
          <w:color w:val="auto"/>
        </w:rPr>
      </w:pPr>
      <w:r>
        <w:rPr>
          <w:rFonts w:ascii="Times New Roman" w:cs="Times New Roman" w:eastAsia="Times New Roman" w:hAnsi="Times New Roman"/>
          <w:sz w:val="20"/>
          <w:szCs w:val="20"/>
          <w:color w:val="auto"/>
        </w:rPr>
        <w:t>expenses or disbursements resulting from such Administrative Agent’s or the Collateral Agent’s or Related Party’s, as applicable, gross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negligence or willful misconduct as determined by a final non-appealable judgment of a court of competent jurisdiction;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no action taken in accordance with the directions of the Majority Lenders (or such other number or percentage of the Lenders as shall be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required by the Credit Documents) shall be deemed to constitute gross negligence or willful misconduct for purposes of this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In</w:t>
      </w:r>
    </w:p>
    <w:p>
      <w:pPr>
        <w:spacing w:after="0" w:line="215" w:lineRule="auto"/>
        <w:rPr>
          <w:sz w:val="20"/>
          <w:szCs w:val="20"/>
          <w:color w:val="auto"/>
        </w:rPr>
      </w:pPr>
      <w:r>
        <w:rPr>
          <w:rFonts w:ascii="Times New Roman" w:cs="Times New Roman" w:eastAsia="Times New Roman" w:hAnsi="Times New Roman"/>
          <w:sz w:val="19"/>
          <w:szCs w:val="19"/>
          <w:color w:val="auto"/>
        </w:rPr>
        <w:t>the case of any investigation, litigation or proceeding giving rise to any liabilities, obligations, losses, damages, penalties, actions, judgments, suits, costs, expenses or disbursements of any kind whatsoever that may at any time occur (including at any time following the payment of</w:t>
      </w: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the Loans), this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applies whether any such investigation, litigation or proceeding is brought by any Lender or any other Person.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ectPr>
          <w:pgSz w:w="11900" w:h="16838" w:orient="portrait"/>
          <w:cols w:equalWidth="0" w:num="1">
            <w:col w:w="11240"/>
          </w:cols>
          <w:pgMar w:left="320" w:top="1394"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0"/>
          <w:szCs w:val="20"/>
          <w:color w:val="auto"/>
        </w:rPr>
        <w:t>of the foregoing, each Lender shall reimburse the Administrative Agent and the Collateral Agent upon demand for its ratable share of any</w:t>
      </w:r>
    </w:p>
    <w:p>
      <w:pPr>
        <w:spacing w:after="0" w:line="204" w:lineRule="auto"/>
        <w:rPr>
          <w:sz w:val="20"/>
          <w:szCs w:val="20"/>
          <w:color w:val="auto"/>
        </w:rPr>
      </w:pPr>
      <w:r>
        <w:rPr>
          <w:rFonts w:ascii="Times New Roman" w:cs="Times New Roman" w:eastAsia="Times New Roman" w:hAnsi="Times New Roman"/>
          <w:sz w:val="20"/>
          <w:szCs w:val="20"/>
          <w:color w:val="auto"/>
        </w:rPr>
        <w:t>costs or out-of-pocket expenses (including Attorney Costs) incurred by such Agent in connection with the preparation, execution, delivery, administration, modification, amendment or enforcement (whether through negotiations, legal proceedings or otherwise) of, or legal advice</w:t>
      </w:r>
    </w:p>
    <w:p>
      <w:pPr>
        <w:spacing w:after="0" w:line="211" w:lineRule="auto"/>
        <w:rPr>
          <w:sz w:val="20"/>
          <w:szCs w:val="20"/>
          <w:color w:val="auto"/>
        </w:rPr>
      </w:pPr>
      <w:r>
        <w:rPr>
          <w:rFonts w:ascii="Times New Roman" w:cs="Times New Roman" w:eastAsia="Times New Roman" w:hAnsi="Times New Roman"/>
          <w:sz w:val="20"/>
          <w:szCs w:val="20"/>
          <w:color w:val="auto"/>
        </w:rPr>
        <w:t>rendered in respect of rights or responsibilities under, this Agreement, any other Credit Document, or any document contemplated by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referred to herein, to the extent that such Agent is not reimbursed for such expenses by or on behalf of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reimbursement by the Lenders shall not affect the Borrower’s or the other Guarantors’ continuing reimbursement obligations with respect</w:t>
      </w:r>
    </w:p>
    <w:p>
      <w:pPr>
        <w:spacing w:after="0" w:line="211" w:lineRule="auto"/>
        <w:rPr>
          <w:sz w:val="20"/>
          <w:szCs w:val="20"/>
          <w:color w:val="auto"/>
        </w:rPr>
      </w:pPr>
      <w:r>
        <w:rPr>
          <w:rFonts w:ascii="Times New Roman" w:cs="Times New Roman" w:eastAsia="Times New Roman" w:hAnsi="Times New Roman"/>
          <w:sz w:val="20"/>
          <w:szCs w:val="20"/>
          <w:color w:val="auto"/>
        </w:rPr>
        <w:t>thereto. If any indemnity furnished to any Agent for any purpose shall, in the opinion of such Agent, be insufficient or become impaired,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such Agent may call for additional indemnity and cease, or not commence, to do the acts indemnified against until such additional indemnity is furnished;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in no event shall this sentence require any Lender to indemnify any Agent against any liability, obligation, loss,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damage, penalty, action, judgment, suit, cost, expense or disbursement in excess of such Lender’s pro rata portion thereof; and </w:t>
      </w:r>
      <w:r>
        <w:rPr>
          <w:rFonts w:ascii="Times New Roman" w:cs="Times New Roman" w:eastAsia="Times New Roman" w:hAnsi="Times New Roman"/>
          <w:sz w:val="20"/>
          <w:szCs w:val="20"/>
          <w:i w:val="1"/>
          <w:iCs w:val="1"/>
          <w:color w:val="auto"/>
        </w:rPr>
        <w:t>provided,</w:t>
      </w:r>
    </w:p>
    <w:p>
      <w:pPr>
        <w:ind w:right="20"/>
        <w:spacing w:after="0" w:line="204" w:lineRule="auto"/>
        <w:rPr>
          <w:sz w:val="20"/>
          <w:szCs w:val="20"/>
          <w:color w:val="auto"/>
        </w:rPr>
      </w:pP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this sentence shall not be deemed to require any Lender to indemnify any Agent against any liability, obligation, loss, damage,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penalty, action, judgment, suit, cost, expense or disbursement resulting from such Agent’s gross negligence or willful misconduct as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determined by a final non-appealable judgment of a court of competent jurisdiction. The agreements in this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shall survive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payment of the Loans and all other amounts payable hereunder. . This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20"/>
          <w:szCs w:val="20"/>
          <w:u w:val="single" w:color="auto"/>
          <w:color w:val="auto"/>
        </w:rPr>
        <w:t>Agents in Its Individual Capacities</w:t>
      </w:r>
      <w:r>
        <w:rPr>
          <w:rFonts w:ascii="Times New Roman" w:cs="Times New Roman" w:eastAsia="Times New Roman" w:hAnsi="Times New Roman"/>
          <w:sz w:val="20"/>
          <w:szCs w:val="20"/>
          <w:color w:val="auto"/>
        </w:rPr>
        <w:t>. Each Agent and its Affiliates may make loans to, accept deposits from and generally</w:t>
      </w:r>
    </w:p>
    <w:p>
      <w:pPr>
        <w:spacing w:after="0" w:line="204" w:lineRule="auto"/>
        <w:rPr>
          <w:sz w:val="20"/>
          <w:szCs w:val="20"/>
          <w:color w:val="auto"/>
        </w:rPr>
      </w:pPr>
      <w:r>
        <w:rPr>
          <w:rFonts w:ascii="Times New Roman" w:cs="Times New Roman" w:eastAsia="Times New Roman" w:hAnsi="Times New Roman"/>
          <w:sz w:val="20"/>
          <w:szCs w:val="20"/>
          <w:color w:val="auto"/>
        </w:rPr>
        <w:t>engage in any kind of business with the Borrower and any other Credit Party as though such Agent were not an Agent hereunder and under the other Credit Documents. With respect to the Loans made by it, each Agent shall have the same rights and powers under this Agreement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and the other Credit Documents as any Lender and may exercise the same as though it were not an Agent, and the terms “Lender” and “Lenders” shall include each Agent in its individual capacity.</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20"/>
          <w:szCs w:val="20"/>
          <w:u w:val="single" w:color="auto"/>
          <w:color w:val="auto"/>
        </w:rPr>
        <w:t>Successor Agents</w:t>
      </w:r>
      <w:r>
        <w:rPr>
          <w:rFonts w:ascii="Times New Roman" w:cs="Times New Roman" w:eastAsia="Times New Roman" w:hAnsi="Times New Roman"/>
          <w:sz w:val="20"/>
          <w:szCs w:val="20"/>
          <w:color w:val="auto"/>
        </w:rPr>
        <w:t>. Each of the Administrative Agent and Collateral Agent may at any time give notice of its resignation to</w:t>
      </w:r>
    </w:p>
    <w:p>
      <w:pPr>
        <w:spacing w:after="0" w:line="204" w:lineRule="auto"/>
        <w:rPr>
          <w:sz w:val="20"/>
          <w:szCs w:val="20"/>
          <w:color w:val="auto"/>
        </w:rPr>
      </w:pPr>
      <w:r>
        <w:rPr>
          <w:rFonts w:ascii="Times New Roman" w:cs="Times New Roman" w:eastAsia="Times New Roman" w:hAnsi="Times New Roman"/>
          <w:sz w:val="20"/>
          <w:szCs w:val="20"/>
          <w:color w:val="auto"/>
        </w:rPr>
        <w:t>the Lenders, the Issuing Banks and the Borrower. If the Administrative Agent and/or Collateral Agent becomes a Defaulting Lender, then such Administrative Agent or Collateral Agent, may be removed as Administrative Agent or Collateral Agent, as the case may be, at the</w:t>
      </w:r>
    </w:p>
    <w:p>
      <w:pPr>
        <w:spacing w:after="0" w:line="211" w:lineRule="auto"/>
        <w:rPr>
          <w:sz w:val="20"/>
          <w:szCs w:val="20"/>
          <w:color w:val="auto"/>
        </w:rPr>
      </w:pPr>
      <w:r>
        <w:rPr>
          <w:rFonts w:ascii="Times New Roman" w:cs="Times New Roman" w:eastAsia="Times New Roman" w:hAnsi="Times New Roman"/>
          <w:sz w:val="20"/>
          <w:szCs w:val="20"/>
          <w:color w:val="auto"/>
        </w:rPr>
        <w:t>reasonable request of the Borrower upon ten (10) days’ notice to the Lenders. Upon receipt of any such notice of resignation or removal, as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case may be, the Majority Lenders shall have the right, subject to the consent of the Borrower (not to be unreasonably withheld or delayed) so long as no Default under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11.5</w:t>
      </w:r>
      <w:r>
        <w:rPr>
          <w:rFonts w:ascii="Times New Roman" w:cs="Times New Roman" w:eastAsia="Times New Roman" w:hAnsi="Times New Roman"/>
          <w:sz w:val="20"/>
          <w:szCs w:val="20"/>
          <w:color w:val="auto"/>
        </w:rPr>
        <w:t xml:space="preserve"> is continuing, to appoint a successor, which shall be a bank with an office in New</w:t>
      </w:r>
    </w:p>
    <w:p>
      <w:pPr>
        <w:spacing w:after="0" w:line="211" w:lineRule="auto"/>
        <w:rPr>
          <w:sz w:val="20"/>
          <w:szCs w:val="20"/>
          <w:color w:val="auto"/>
        </w:rPr>
      </w:pPr>
      <w:r>
        <w:rPr>
          <w:rFonts w:ascii="Times New Roman" w:cs="Times New Roman" w:eastAsia="Times New Roman" w:hAnsi="Times New Roman"/>
          <w:sz w:val="20"/>
          <w:szCs w:val="20"/>
          <w:color w:val="auto"/>
        </w:rPr>
        <w:t>York. If, in the case of a resignation of a retiring Agent, no such successor shall have been so appointed by the Majority Lenders and shall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have accepted such appointment within thirty (30) days after the retiring Agent gives notice of its resignation, then the retiring Agent may on behalf of the Lenders and the Issuing Banks, appoint a successor Agent meeting the qualifications set forth above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shall notify the Borrower and the Lenders that no qualifying Person has accepted such appointment, then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resignation shall nonetheless become effective in accordance with such notice and (a) the retiring Agent shall be discharged from its duties and obligations hereunder and under the other Credit Documents (except that in the case of any collateral security held by such Agent on</w:t>
      </w:r>
    </w:p>
    <w:p>
      <w:pPr>
        <w:spacing w:after="0" w:line="211" w:lineRule="auto"/>
        <w:rPr>
          <w:sz w:val="20"/>
          <w:szCs w:val="20"/>
          <w:color w:val="auto"/>
        </w:rPr>
      </w:pPr>
      <w:r>
        <w:rPr>
          <w:rFonts w:ascii="Times New Roman" w:cs="Times New Roman" w:eastAsia="Times New Roman" w:hAnsi="Times New Roman"/>
          <w:sz w:val="20"/>
          <w:szCs w:val="20"/>
          <w:color w:val="auto"/>
        </w:rPr>
        <w:t>behalf of the Lenders or Issuing Banks under and Credit Documents, the retiring Agent shall continue to hold such collateral security until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such time as a successor Agent is appointed) and (b) all payments, communications and determinations provided to be made by, to or through the retiring Agent shall instead be made by or to each Lender and Issuing Bank directly, until such time as the Majority Lenders appoint a</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successor Agent as provided for above in this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Upon the acceptance of a successor’s appointment as the Administrative Agent</w:t>
      </w:r>
    </w:p>
    <w:p>
      <w:pPr>
        <w:spacing w:after="0" w:line="204" w:lineRule="auto"/>
        <w:rPr>
          <w:sz w:val="20"/>
          <w:szCs w:val="20"/>
          <w:color w:val="auto"/>
        </w:rPr>
      </w:pPr>
      <w:r>
        <w:rPr>
          <w:rFonts w:ascii="Times New Roman" w:cs="Times New Roman" w:eastAsia="Times New Roman" w:hAnsi="Times New Roman"/>
          <w:sz w:val="20"/>
          <w:szCs w:val="20"/>
          <w:color w:val="auto"/>
        </w:rPr>
        <w:t>or Collateral Agent, as the case may be, hereunder, and upon the execution and filing or recording of such financing statements, or amendments thereto, and such other instruments or notices, as may be necessary or desirable, or as the Majority Lenders may request, in</w:t>
      </w:r>
    </w:p>
    <w:p>
      <w:pPr>
        <w:spacing w:after="0" w:line="211" w:lineRule="auto"/>
        <w:rPr>
          <w:sz w:val="20"/>
          <w:szCs w:val="20"/>
          <w:color w:val="auto"/>
        </w:rPr>
      </w:pPr>
      <w:r>
        <w:rPr>
          <w:rFonts w:ascii="Times New Roman" w:cs="Times New Roman" w:eastAsia="Times New Roman" w:hAnsi="Times New Roman"/>
          <w:sz w:val="20"/>
          <w:szCs w:val="20"/>
          <w:color w:val="auto"/>
        </w:rPr>
        <w:t>order to continue the perfection of the Liens granted or purported to be granted by the Security Documents, such successor shall succeed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become vested with all of the rights, powers, privileges and duties of the retiring (or retired) Agent, and the retiring Agent shall be discharged from all of its duties and obligations hereunder or under the other Credit Documents (if not already discharged therefrom as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provided above in this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xml:space="preserve">). After the retiring Agent’s resignation hereunder and under the other Credit Documents, the provisions of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xml:space="preserv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ectPr>
          <w:pgSz w:w="11900" w:h="16838" w:orient="portrait"/>
          <w:cols w:equalWidth="0" w:num="1">
            <w:col w:w="11240"/>
          </w:cols>
          <w:pgMar w:left="320" w:top="1394"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0"/>
          <w:szCs w:val="20"/>
          <w:color w:val="auto"/>
        </w:rPr>
        <w:t>continue in effect for the benefit of such retiring Agent, its Subagents and their respective Agent-Related Parties in respect of any actions taken or omitted to be taken by any of them while the retiring Agent was acting as an Agent.</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Any resignation of any Person as Administrative Agent pursuant to this </w:t>
      </w:r>
      <w:r>
        <w:rPr>
          <w:rFonts w:ascii="Times New Roman" w:cs="Times New Roman" w:eastAsia="Times New Roman" w:hAnsi="Times New Roman"/>
          <w:sz w:val="19"/>
          <w:szCs w:val="19"/>
          <w:u w:val="single" w:color="auto"/>
          <w:color w:val="auto"/>
        </w:rPr>
        <w:t>Section 12.9</w:t>
      </w:r>
      <w:r>
        <w:rPr>
          <w:rFonts w:ascii="Times New Roman" w:cs="Times New Roman" w:eastAsia="Times New Roman" w:hAnsi="Times New Roman"/>
          <w:sz w:val="19"/>
          <w:szCs w:val="19"/>
          <w:color w:val="auto"/>
        </w:rPr>
        <w:t xml:space="preserve"> shall also constitute its resignation as Issuing Bank. Upon the acceptance of a successor’s appointment as Administrative Agent hereunder (a) such successor shall succeed to and become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vested with all of the rights, powers, privileges and duties of the retiring Issuing Bank, (b) the retiring Issuing Bank shall be discharged from all of its duties and obligations hereunder and under the other Credit Documents, and (c) the successor Issuing Bank shall issue letters of</w:t>
      </w:r>
    </w:p>
    <w:p>
      <w:pPr>
        <w:spacing w:after="0" w:line="228" w:lineRule="auto"/>
        <w:rPr>
          <w:sz w:val="20"/>
          <w:szCs w:val="20"/>
          <w:color w:val="auto"/>
        </w:rPr>
      </w:pPr>
      <w:r>
        <w:rPr>
          <w:rFonts w:ascii="Times New Roman" w:cs="Times New Roman" w:eastAsia="Times New Roman" w:hAnsi="Times New Roman"/>
          <w:sz w:val="20"/>
          <w:szCs w:val="20"/>
          <w:color w:val="auto"/>
        </w:rPr>
        <w:t>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20"/>
          <w:szCs w:val="20"/>
          <w:u w:val="single" w:color="auto"/>
          <w:color w:val="auto"/>
        </w:rPr>
        <w:t>Security Documents and Collateral Agent under Security Documents and Guarantee</w:t>
      </w:r>
      <w:r>
        <w:rPr>
          <w:rFonts w:ascii="Times New Roman" w:cs="Times New Roman" w:eastAsia="Times New Roman" w:hAnsi="Times New Roman"/>
          <w:sz w:val="20"/>
          <w:szCs w:val="20"/>
          <w:color w:val="auto"/>
        </w:rPr>
        <w:t>. Each Secured Party hereby further</w:t>
      </w:r>
    </w:p>
    <w:p>
      <w:pPr>
        <w:spacing w:after="0" w:line="222" w:lineRule="auto"/>
        <w:rPr>
          <w:sz w:val="20"/>
          <w:szCs w:val="20"/>
          <w:color w:val="auto"/>
        </w:rPr>
      </w:pPr>
      <w:r>
        <w:rPr>
          <w:rFonts w:ascii="Times New Roman" w:cs="Times New Roman" w:eastAsia="Times New Roman" w:hAnsi="Times New Roman"/>
          <w:sz w:val="19"/>
          <w:szCs w:val="19"/>
          <w:color w:val="auto"/>
        </w:rPr>
        <w:t>authorizes the Administrative Agent or Collateral Agent, as applicable, on behalf of and for the benefit of Secured Parties, to be the agent for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and representative of the Secured Parties with respect to the Collateral and the Security Documents. Subject to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without further written consent or authorization from any Secured Party, the Administrative Agent or Collateral Agent, as applicable, may take such action</w:t>
      </w:r>
    </w:p>
    <w:p>
      <w:pPr>
        <w:spacing w:after="0" w:line="211" w:lineRule="auto"/>
        <w:rPr>
          <w:sz w:val="20"/>
          <w:szCs w:val="20"/>
          <w:color w:val="auto"/>
        </w:rPr>
      </w:pPr>
      <w:r>
        <w:rPr>
          <w:rFonts w:ascii="Times New Roman" w:cs="Times New Roman" w:eastAsia="Times New Roman" w:hAnsi="Times New Roman"/>
          <w:sz w:val="20"/>
          <w:szCs w:val="20"/>
          <w:color w:val="auto"/>
        </w:rPr>
        <w:t>and execute and deliver any such instruments, documents and agreements necessary or desirable to evidence and confirm the release of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Guarantor or Collateral pursuant to </w:t>
      </w:r>
      <w:r>
        <w:rPr>
          <w:rFonts w:ascii="Times New Roman" w:cs="Times New Roman" w:eastAsia="Times New Roman" w:hAnsi="Times New Roman"/>
          <w:sz w:val="19"/>
          <w:szCs w:val="19"/>
          <w:u w:val="single" w:color="auto"/>
          <w:color w:val="auto"/>
        </w:rPr>
        <w:t>Section 13.17</w:t>
      </w:r>
      <w:r>
        <w:rPr>
          <w:rFonts w:ascii="Times New Roman" w:cs="Times New Roman" w:eastAsia="Times New Roman" w:hAnsi="Times New Roman"/>
          <w:sz w:val="19"/>
          <w:szCs w:val="19"/>
          <w:color w:val="auto"/>
        </w:rPr>
        <w:t>. The Lenders and the Issuing Banks (including in their capacities as potential Cash Management Banks and potential Hedge Banks) irrevocably agree that (x) the Collateral Agent is authorized and the Collateral Agent agrees</w:t>
      </w:r>
    </w:p>
    <w:p>
      <w:pPr>
        <w:spacing w:after="0" w:line="222" w:lineRule="auto"/>
        <w:rPr>
          <w:sz w:val="20"/>
          <w:szCs w:val="20"/>
          <w:color w:val="auto"/>
        </w:rPr>
      </w:pPr>
      <w:r>
        <w:rPr>
          <w:rFonts w:ascii="Times New Roman" w:cs="Times New Roman" w:eastAsia="Times New Roman" w:hAnsi="Times New Roman"/>
          <w:sz w:val="19"/>
          <w:szCs w:val="19"/>
          <w:color w:val="auto"/>
        </w:rPr>
        <w:t>it shall (for the benefit of Borrower), without any further consent of any Lender, enter into or amend any Junior Lien Intercreditor Agreement</w:t>
      </w:r>
    </w:p>
    <w:p>
      <w:pPr>
        <w:spacing w:after="0" w:line="215" w:lineRule="auto"/>
        <w:rPr>
          <w:sz w:val="20"/>
          <w:szCs w:val="20"/>
          <w:color w:val="auto"/>
        </w:rPr>
      </w:pPr>
      <w:r>
        <w:rPr>
          <w:rFonts w:ascii="Times New Roman" w:cs="Times New Roman" w:eastAsia="Times New Roman" w:hAnsi="Times New Roman"/>
          <w:sz w:val="19"/>
          <w:szCs w:val="19"/>
          <w:color w:val="auto"/>
        </w:rPr>
        <w:t>with the collateral agent or other representatives of the holders of Indebtedness that is permitted to be secured by a Lien on the Collateral that is permitted under this Agreement, in each case for the purpose of adding the holders of such Indebtedness (or their representative) as a party</w:t>
      </w:r>
    </w:p>
    <w:p>
      <w:pPr>
        <w:spacing w:after="0" w:line="204" w:lineRule="auto"/>
        <w:rPr>
          <w:sz w:val="20"/>
          <w:szCs w:val="20"/>
          <w:color w:val="auto"/>
        </w:rPr>
      </w:pPr>
      <w:r>
        <w:rPr>
          <w:rFonts w:ascii="Times New Roman" w:cs="Times New Roman" w:eastAsia="Times New Roman" w:hAnsi="Times New Roman"/>
          <w:sz w:val="20"/>
          <w:szCs w:val="20"/>
          <w:color w:val="auto"/>
        </w:rPr>
        <w:t>thereto and otherwise causing such Indebtedness to be subject thereto (it being understood that any such amendment, amendment and restatement or supplement may make such other changes to the applicable intercreditor agreement as, in the good faith determination of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are required to effectuate the foregoing and with any material modifications to be reasonably satisfactory to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Administrative Agent), (y) the Collateral Agent may rely exclusively on a certificate of an Authorized Officer of the Borrower as to whether any such other Liens are permitted and (z) any Junior Lien Intercreditor Agreement referred to in </w:t>
      </w:r>
      <w:r>
        <w:rPr>
          <w:rFonts w:ascii="Times New Roman" w:cs="Times New Roman" w:eastAsia="Times New Roman" w:hAnsi="Times New Roman"/>
          <w:sz w:val="19"/>
          <w:szCs w:val="19"/>
          <w:u w:val="single" w:color="auto"/>
          <w:color w:val="auto"/>
        </w:rPr>
        <w:t>clause (x)</w:t>
      </w:r>
      <w:r>
        <w:rPr>
          <w:rFonts w:ascii="Times New Roman" w:cs="Times New Roman" w:eastAsia="Times New Roman" w:hAnsi="Times New Roman"/>
          <w:sz w:val="19"/>
          <w:szCs w:val="19"/>
          <w:color w:val="auto"/>
        </w:rPr>
        <w:t xml:space="preserve"> above, entered into by the</w:t>
      </w:r>
    </w:p>
    <w:p>
      <w:pPr>
        <w:spacing w:after="0" w:line="211" w:lineRule="auto"/>
        <w:rPr>
          <w:sz w:val="20"/>
          <w:szCs w:val="20"/>
          <w:color w:val="auto"/>
        </w:rPr>
      </w:pPr>
      <w:r>
        <w:rPr>
          <w:rFonts w:ascii="Times New Roman" w:cs="Times New Roman" w:eastAsia="Times New Roman" w:hAnsi="Times New Roman"/>
          <w:sz w:val="20"/>
          <w:szCs w:val="20"/>
          <w:color w:val="auto"/>
        </w:rPr>
        <w:t>Collateral Agent, shall be binding on the Secured Parties. Furthermore, the Lenders, the Issuing Banks and any other Secured Parties</w:t>
      </w:r>
    </w:p>
    <w:p>
      <w:pPr>
        <w:spacing w:after="0" w:line="215" w:lineRule="auto"/>
        <w:rPr>
          <w:sz w:val="20"/>
          <w:szCs w:val="20"/>
          <w:color w:val="auto"/>
        </w:rPr>
      </w:pPr>
      <w:r>
        <w:rPr>
          <w:rFonts w:ascii="Times New Roman" w:cs="Times New Roman" w:eastAsia="Times New Roman" w:hAnsi="Times New Roman"/>
          <w:sz w:val="19"/>
          <w:szCs w:val="19"/>
          <w:color w:val="auto"/>
        </w:rPr>
        <w:t>(including in their capacities as potential Cash Management Bank and potential Hedge Banks) hereby authorize the Administrative Agent and the Collateral Agent to subordinate any Lien on any property granted to or held by the Administrative Agent or Collateral Agent under any</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Credit Document to the holder of any Lien on such property that is permitted by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of the definition of “Permitted Liens” and </w:t>
      </w:r>
      <w:r>
        <w:rPr>
          <w:rFonts w:ascii="Times New Roman" w:cs="Times New Roman" w:eastAsia="Times New Roman" w:hAnsi="Times New Roman"/>
          <w:sz w:val="20"/>
          <w:szCs w:val="20"/>
          <w:u w:val="single" w:color="auto"/>
          <w:color w:val="auto"/>
        </w:rPr>
        <w:t>clauses</w:t>
      </w: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prior to any such request, the Borrower shall have in each case delivered to the Administrative Agent a certificate of an Authorized Officer of the Borrower certifying that such subordination is permitted under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1.11 </w:t>
      </w:r>
      <w:r>
        <w:rPr>
          <w:rFonts w:ascii="Times New Roman" w:cs="Times New Roman" w:eastAsia="Times New Roman" w:hAnsi="Times New Roman"/>
          <w:sz w:val="19"/>
          <w:szCs w:val="19"/>
          <w:u w:val="single" w:color="auto"/>
          <w:color w:val="auto"/>
        </w:rPr>
        <w:t>Right to Realize on Collateral and Enforce Guarantee</w:t>
      </w:r>
      <w:r>
        <w:rPr>
          <w:rFonts w:ascii="Times New Roman" w:cs="Times New Roman" w:eastAsia="Times New Roman" w:hAnsi="Times New Roman"/>
          <w:sz w:val="19"/>
          <w:szCs w:val="19"/>
          <w:color w:val="auto"/>
        </w:rPr>
        <w:t>. Anything contained in any of the Credit Documents to the contrary notwithstanding, the Borrower, the Agents and each Secured Party hereby agree that (a) no Secured Party shall have any right individually to</w:t>
      </w:r>
    </w:p>
    <w:p>
      <w:pPr>
        <w:spacing w:after="0" w:line="211" w:lineRule="auto"/>
        <w:rPr>
          <w:sz w:val="20"/>
          <w:szCs w:val="20"/>
          <w:color w:val="auto"/>
        </w:rPr>
      </w:pPr>
      <w:r>
        <w:rPr>
          <w:rFonts w:ascii="Times New Roman" w:cs="Times New Roman" w:eastAsia="Times New Roman" w:hAnsi="Times New Roman"/>
          <w:sz w:val="20"/>
          <w:szCs w:val="20"/>
          <w:color w:val="auto"/>
        </w:rPr>
        <w:t>realize upon any of the Collateral or to enforce the Guarantee, it being understood and agreed that all powers, rights and remedies hereunder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may be exercised solely by the Administrative Agent, on behalf of the Secured Parties in accordance with the terms hereof and all powers, rights and remedies under the Security Documents may be exercised solely by the Collateral Agent, and (b) in the event of a foreclosure by</w:t>
      </w:r>
    </w:p>
    <w:p>
      <w:pPr>
        <w:spacing w:after="0" w:line="223" w:lineRule="auto"/>
        <w:rPr>
          <w:sz w:val="20"/>
          <w:szCs w:val="20"/>
          <w:color w:val="auto"/>
        </w:rPr>
      </w:pPr>
      <w:r>
        <w:rPr>
          <w:rFonts w:ascii="Times New Roman" w:cs="Times New Roman" w:eastAsia="Times New Roman" w:hAnsi="Times New Roman"/>
          <w:sz w:val="19"/>
          <w:szCs w:val="19"/>
          <w:color w:val="auto"/>
        </w:rPr>
        <w:t>the Collateral Agent on any of the Collateral pursuant to a public or private sale or other disposition, the Collateral Agent or any Lender may</w:t>
      </w:r>
    </w:p>
    <w:p>
      <w:pPr>
        <w:spacing w:after="0" w:line="204" w:lineRule="auto"/>
        <w:rPr>
          <w:sz w:val="20"/>
          <w:szCs w:val="20"/>
          <w:color w:val="auto"/>
        </w:rPr>
      </w:pPr>
      <w:r>
        <w:rPr>
          <w:rFonts w:ascii="Times New Roman" w:cs="Times New Roman" w:eastAsia="Times New Roman" w:hAnsi="Times New Roman"/>
          <w:sz w:val="20"/>
          <w:szCs w:val="20"/>
          <w:color w:val="auto"/>
        </w:rPr>
        <w:t>be the purchaser or licensor of any or all of such Collateral at any such sale or other disposition and the Collateral Agent, as agent for and representative of the Secured Parties (but not any Lender or Lenders in its or their respective individual capacities unless the Majority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Lenders shall otherwise agree in writing) shall be entitled, for the purpose of bidding and making settlement or payment of the purchase price for all or any portion of the Collateral sold at any such public sale, to use and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ectPr>
          <w:pgSz w:w="11900" w:h="16838" w:orient="portrait"/>
          <w:cols w:equalWidth="0" w:num="1">
            <w:col w:w="11240"/>
          </w:cols>
          <w:pgMar w:left="320" w:top="1399" w:right="339" w:bottom="1440" w:gutter="0" w:footer="0" w:header="0"/>
        </w:sectPr>
      </w:pPr>
    </w:p>
    <w:bookmarkStart w:id="182" w:name="page183"/>
    <w:bookmarkEnd w:id="182"/>
    <w:p>
      <w:pPr>
        <w:ind w:right="20"/>
        <w:spacing w:after="0"/>
        <w:rPr>
          <w:sz w:val="20"/>
          <w:szCs w:val="20"/>
          <w:color w:val="auto"/>
        </w:rPr>
      </w:pPr>
      <w:r>
        <w:rPr>
          <w:rFonts w:ascii="Times New Roman" w:cs="Times New Roman" w:eastAsia="Times New Roman" w:hAnsi="Times New Roman"/>
          <w:sz w:val="20"/>
          <w:szCs w:val="20"/>
          <w:color w:val="auto"/>
        </w:rPr>
        <w:t>any of the Obligations as a credit on account of the purchase price for any collateral payable by the Collateral Agent at such sale or other disposition.</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Administrative Agent May File Proofs of Claim</w:t>
      </w:r>
      <w:r>
        <w:rPr>
          <w:rFonts w:ascii="Times New Roman" w:cs="Times New Roman" w:eastAsia="Times New Roman" w:hAnsi="Times New Roman"/>
          <w:sz w:val="20"/>
          <w:szCs w:val="20"/>
          <w:color w:val="auto"/>
        </w:rPr>
        <w:t>. In case of the pendency of any receivership, insolvency, liquidation, bankruptcy, reorganization, arrangement, adjustment, composition or other judicial proceeding, constituting an Event of Default under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the Administrative Agent (irrespective of whether the principal of any Loan shall then be due and payable as herein expressed or by declaration or otherwise and irrespective of whether the Administrative Agent shall have made any demand on the Borrower) shall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entitled and empowered, by intervention in such proceeding or otherwise:</w:t>
      </w:r>
    </w:p>
    <w:p>
      <w:pPr>
        <w:spacing w:after="0" w:line="167" w:lineRule="exact"/>
        <w:rPr>
          <w:sz w:val="20"/>
          <w:szCs w:val="20"/>
          <w:color w:val="auto"/>
        </w:rPr>
      </w:pPr>
    </w:p>
    <w:p>
      <w:pPr>
        <w:jc w:val="both"/>
        <w:ind w:firstLine="656"/>
        <w:spacing w:after="0" w:line="217" w:lineRule="auto"/>
        <w:tabs>
          <w:tab w:leader="none" w:pos="1286"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hereunder or under any other Credit Document in respect of the Loans and all other Indebtedness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Related Parties, to the extent due under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allowed in such judicial proceeding; and</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189"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 xml:space="preserve">to the making of such payments directly to the Lenders, to pay to the Administrative Agent any amount due for the reasonable compensation, expenses, disbursements and advances of the Administrative Agent and its Related Parties, to the extent due under </w:t>
      </w:r>
      <w:r>
        <w:rPr>
          <w:rFonts w:ascii="Times New Roman" w:cs="Times New Roman" w:eastAsia="Times New Roman" w:hAnsi="Times New Roman"/>
          <w:sz w:val="19"/>
          <w:szCs w:val="19"/>
          <w:u w:val="single" w:color="auto"/>
          <w:color w:val="auto"/>
        </w:rPr>
        <w:t>Section 13.5</w:t>
      </w:r>
      <w:r>
        <w:rPr>
          <w:rFonts w:ascii="Times New Roman" w:cs="Times New Roman" w:eastAsia="Times New Roman" w:hAnsi="Times New Roman"/>
          <w:sz w:val="19"/>
          <w:szCs w:val="19"/>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w:t>
      </w:r>
    </w:p>
    <w:p>
      <w:pPr>
        <w:spacing w:after="0" w:line="221" w:lineRule="auto"/>
        <w:rPr>
          <w:sz w:val="20"/>
          <w:szCs w:val="20"/>
          <w:color w:val="auto"/>
        </w:rPr>
      </w:pPr>
      <w:r>
        <w:rPr>
          <w:rFonts w:ascii="Times New Roman" w:cs="Times New Roman" w:eastAsia="Times New Roman" w:hAnsi="Times New Roman"/>
          <w:sz w:val="20"/>
          <w:szCs w:val="20"/>
          <w:color w:val="auto"/>
        </w:rPr>
        <w:t>any Lender any plan of reorganization, arrangement, adjustment or composition affecting the Indebtedness or the rights of any Lender or to authorize the Administrative Agent to vote in respect of the claim of any Lender in any such proceeding.</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2" w:lineRule="auto"/>
        <w:tabs>
          <w:tab w:leader="none" w:pos="1286"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Credit Party, that at least one of the following is and will be true:</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54"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55"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ectPr>
          <w:pgSz w:w="11900" w:h="16838" w:orient="portrait"/>
          <w:cols w:equalWidth="0" w:num="1">
            <w:col w:w="11240"/>
          </w:cols>
          <w:pgMar w:left="320" w:top="1399" w:right="339" w:bottom="1440" w:gutter="0" w:footer="0" w:header="0"/>
        </w:sectPr>
      </w:pPr>
    </w:p>
    <w:bookmarkStart w:id="183" w:name="page184"/>
    <w:bookmarkEnd w:id="183"/>
    <w:p>
      <w:pPr>
        <w:jc w:val="both"/>
        <w:ind w:left="660" w:firstLine="644"/>
        <w:spacing w:after="0" w:line="215" w:lineRule="auto"/>
        <w:tabs>
          <w:tab w:leader="none" w:pos="1956"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4" w:lineRule="exact"/>
        <w:rPr>
          <w:rFonts w:ascii="Times New Roman" w:cs="Times New Roman" w:eastAsia="Times New Roman" w:hAnsi="Times New Roman"/>
          <w:sz w:val="20"/>
          <w:szCs w:val="20"/>
          <w:color w:val="auto"/>
        </w:rPr>
      </w:pPr>
    </w:p>
    <w:p>
      <w:pPr>
        <w:ind w:left="660" w:right="20" w:firstLine="644"/>
        <w:spacing w:after="0" w:line="233" w:lineRule="auto"/>
        <w:tabs>
          <w:tab w:leader="none" w:pos="1945"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60"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is true with respect to a Lender or such Lender has provided another representation, warranty and covenant in accordance with </w:t>
      </w:r>
      <w:r>
        <w:rPr>
          <w:rFonts w:ascii="Times New Roman" w:cs="Times New Roman" w:eastAsia="Times New Roman" w:hAnsi="Times New Roman"/>
          <w:sz w:val="20"/>
          <w:szCs w:val="20"/>
          <w:u w:val="single" w:color="auto"/>
          <w:color w:val="auto"/>
        </w:rPr>
        <w:t>sub-clause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Credit Party, that neither the Administrative Agent nor the Collateral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u w:val="single" w:color="auto"/>
          <w:color w:val="auto"/>
        </w:rPr>
        <w:t>Credit Bidding</w:t>
      </w:r>
      <w:r>
        <w:rPr>
          <w:rFonts w:ascii="Times New Roman" w:cs="Times New Roman" w:eastAsia="Times New Roman" w:hAnsi="Times New Roman"/>
          <w:sz w:val="20"/>
          <w:szCs w:val="20"/>
          <w:color w:val="auto"/>
        </w:rPr>
        <w:t>. The Secured Parties hereby irrevocably authorize the Administrative Agent, at the direction of the Majority Lenders, to credit bid all or any portion of the Obligations (including by accepting some or all of the Collateral in satisfaction of some or all</w:t>
      </w:r>
    </w:p>
    <w:p>
      <w:pPr>
        <w:spacing w:after="0" w:line="224" w:lineRule="auto"/>
        <w:rPr>
          <w:sz w:val="20"/>
          <w:szCs w:val="20"/>
          <w:color w:val="auto"/>
        </w:rPr>
      </w:pPr>
      <w:r>
        <w:rPr>
          <w:rFonts w:ascii="Times New Roman" w:cs="Times New Roman" w:eastAsia="Times New Roman" w:hAnsi="Times New Roman"/>
          <w:sz w:val="19"/>
          <w:szCs w:val="19"/>
          <w:color w:val="auto"/>
        </w:rPr>
        <w:t>of the Obligations pursuant to a deed in lieu of foreclosure or otherwise) and in such manner purchase (either directly or through one or more</w:t>
      </w:r>
    </w:p>
    <w:p>
      <w:pPr>
        <w:spacing w:after="0" w:line="204" w:lineRule="auto"/>
        <w:rPr>
          <w:sz w:val="20"/>
          <w:szCs w:val="20"/>
          <w:color w:val="auto"/>
        </w:rPr>
      </w:pPr>
      <w:r>
        <w:rPr>
          <w:rFonts w:ascii="Times New Roman" w:cs="Times New Roman" w:eastAsia="Times New Roman" w:hAnsi="Times New Roman"/>
          <w:sz w:val="20"/>
          <w:szCs w:val="20"/>
          <w:color w:val="auto"/>
        </w:rPr>
        <w:t>acquisition vehicles) all or any portion of the Collateral (a) at any sale thereof conducted under the provisions of the Bankruptcy Code, including under Sections 363, 1123 or 1129 of the Bankruptcy Code, or any similar laws in any other jurisdictions to which a Credit Party is</w:t>
      </w:r>
    </w:p>
    <w:p>
      <w:pPr>
        <w:spacing w:after="0" w:line="223" w:lineRule="auto"/>
        <w:rPr>
          <w:sz w:val="20"/>
          <w:szCs w:val="20"/>
          <w:color w:val="auto"/>
        </w:rPr>
      </w:pPr>
      <w:r>
        <w:rPr>
          <w:rFonts w:ascii="Times New Roman" w:cs="Times New Roman" w:eastAsia="Times New Roman" w:hAnsi="Times New Roman"/>
          <w:sz w:val="19"/>
          <w:szCs w:val="19"/>
          <w:color w:val="auto"/>
        </w:rPr>
        <w:t>subject, or (b) at any other sale, foreclosure or acceptance of collateral in lieu of debt conducted by (or with the consent or at the direction of)</w:t>
      </w:r>
    </w:p>
    <w:p>
      <w:pPr>
        <w:spacing w:after="0" w:line="215" w:lineRule="auto"/>
        <w:rPr>
          <w:sz w:val="20"/>
          <w:szCs w:val="20"/>
          <w:color w:val="auto"/>
        </w:rPr>
      </w:pPr>
      <w:r>
        <w:rPr>
          <w:rFonts w:ascii="Times New Roman" w:cs="Times New Roman" w:eastAsia="Times New Roman" w:hAnsi="Times New Roman"/>
          <w:sz w:val="19"/>
          <w:szCs w:val="19"/>
          <w:color w:val="auto"/>
        </w:rPr>
        <w:t>the Administrative Agent (whether by judicial action or otherwise) in accordance with any applicable law. In connection with any such credit bid and purchase, the Obligations owed to the Secured Parties shall be entitled to be credit bid by the Administrative Agent at the direction of</w:t>
      </w:r>
    </w:p>
    <w:p>
      <w:pPr>
        <w:spacing w:after="0" w:line="211" w:lineRule="auto"/>
        <w:rPr>
          <w:sz w:val="20"/>
          <w:szCs w:val="20"/>
          <w:color w:val="auto"/>
        </w:rPr>
      </w:pPr>
      <w:r>
        <w:rPr>
          <w:rFonts w:ascii="Times New Roman" w:cs="Times New Roman" w:eastAsia="Times New Roman" w:hAnsi="Times New Roman"/>
          <w:sz w:val="20"/>
          <w:szCs w:val="20"/>
          <w:color w:val="auto"/>
        </w:rPr>
        <w:t>the Majority Lenders on a ratable basis (with Obligations with respect to contingent or unliquidated claims receiving contingent interests in</w:t>
      </w:r>
    </w:p>
    <w:p>
      <w:pPr>
        <w:spacing w:after="0" w:line="215" w:lineRule="auto"/>
        <w:rPr>
          <w:sz w:val="20"/>
          <w:szCs w:val="20"/>
          <w:color w:val="auto"/>
        </w:rPr>
      </w:pPr>
      <w:r>
        <w:rPr>
          <w:rFonts w:ascii="Times New Roman" w:cs="Times New Roman" w:eastAsia="Times New Roman" w:hAnsi="Times New Roman"/>
          <w:sz w:val="19"/>
          <w:szCs w:val="19"/>
          <w:color w:val="auto"/>
        </w:rPr>
        <w:t>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w:t>
      </w:r>
    </w:p>
    <w:p>
      <w:pPr>
        <w:spacing w:after="0" w:line="211" w:lineRule="auto"/>
        <w:rPr>
          <w:sz w:val="20"/>
          <w:szCs w:val="20"/>
          <w:color w:val="auto"/>
        </w:rPr>
      </w:pPr>
      <w:r>
        <w:rPr>
          <w:rFonts w:ascii="Times New Roman" w:cs="Times New Roman" w:eastAsia="Times New Roman" w:hAnsi="Times New Roman"/>
          <w:sz w:val="20"/>
          <w:szCs w:val="20"/>
          <w:color w:val="auto"/>
        </w:rPr>
        <w:t>instruments of the acquisition vehicle or vehicles that are issued in connection with such purchase). In connection with any such bid (i) the</w:t>
      </w:r>
    </w:p>
    <w:p>
      <w:pPr>
        <w:spacing w:after="0" w:line="215" w:lineRule="auto"/>
        <w:rPr>
          <w:sz w:val="20"/>
          <w:szCs w:val="20"/>
          <w:color w:val="auto"/>
        </w:rPr>
      </w:pPr>
      <w:r>
        <w:rPr>
          <w:rFonts w:ascii="Times New Roman" w:cs="Times New Roman" w:eastAsia="Times New Roman" w:hAnsi="Times New Roman"/>
          <w:sz w:val="19"/>
          <w:szCs w:val="19"/>
          <w:color w:val="auto"/>
        </w:rPr>
        <w:t>Administrative Agent shall be authorized to form one or more acquisition vehicles and to assign any successful credit bid to such acquisition vehicle or vehicles, (ii) each of the Secured Parties’ ratable interests in the Obligations which were credit bid shall be deemed without any</w:t>
      </w:r>
    </w:p>
    <w:p>
      <w:pPr>
        <w:spacing w:after="0" w:line="211" w:lineRule="auto"/>
        <w:rPr>
          <w:sz w:val="20"/>
          <w:szCs w:val="20"/>
          <w:color w:val="auto"/>
        </w:rPr>
      </w:pPr>
      <w:r>
        <w:rPr>
          <w:rFonts w:ascii="Times New Roman" w:cs="Times New Roman" w:eastAsia="Times New Roman" w:hAnsi="Times New Roman"/>
          <w:sz w:val="20"/>
          <w:szCs w:val="20"/>
          <w:color w:val="auto"/>
        </w:rPr>
        <w:t>further action under this Agreement to be assigned to such vehicle or vehicles for the purpose of closing such sale, (iii) the Administrative</w:t>
      </w:r>
    </w:p>
    <w:p>
      <w:pPr>
        <w:ind w:right="20"/>
        <w:spacing w:after="0" w:line="204" w:lineRule="auto"/>
        <w:rPr>
          <w:sz w:val="20"/>
          <w:szCs w:val="20"/>
          <w:color w:val="auto"/>
        </w:rPr>
      </w:pPr>
      <w:r>
        <w:rPr>
          <w:rFonts w:ascii="Times New Roman" w:cs="Times New Roman" w:eastAsia="Times New Roman" w:hAnsi="Times New Roman"/>
          <w:sz w:val="20"/>
          <w:szCs w:val="20"/>
          <w:color w:val="auto"/>
        </w:rPr>
        <w:t>Agent shall be authorized to adopt documents providing for the governance of the acquisition vehicle or vehicles (provided that any actions by the Administrative Agent with respect to such acquisition vehicle or vehicles, including any Disposition of the assets or equity interests</w:t>
      </w:r>
    </w:p>
    <w:p>
      <w:pPr>
        <w:spacing w:after="0" w:line="211" w:lineRule="auto"/>
        <w:rPr>
          <w:sz w:val="20"/>
          <w:szCs w:val="20"/>
          <w:color w:val="auto"/>
        </w:rPr>
      </w:pPr>
      <w:r>
        <w:rPr>
          <w:rFonts w:ascii="Times New Roman" w:cs="Times New Roman" w:eastAsia="Times New Roman" w:hAnsi="Times New Roman"/>
          <w:sz w:val="20"/>
          <w:szCs w:val="20"/>
          <w:color w:val="auto"/>
        </w:rPr>
        <w:t>thereof, shall be governed, directly or indirectly, by, and the governing documents shall provide for, control by the vote of the Majority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Lenders or their permitted assignees under the terms of this Agreement or the governing documents of the applicable acquisition vehicle or vehicles, as the case may be, irrespective of the termination of this Agreement and without giving effect to the limitations on actions by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Majority Lenders contained in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of this Agreement), (iv) the Administrative Agent on behalf of such acquisition vehicle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vehicles shall be authorized to issue to each of the Secured Parties, ratably on account of the relevant Obligations which were credit bid, interests, whether as equity, partnership, limited partnership interests or membership interests, in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ectPr>
          <w:pgSz w:w="11900" w:h="16838" w:orient="portrait"/>
          <w:cols w:equalWidth="0" w:num="1">
            <w:col w:w="11240"/>
          </w:cols>
          <w:pgMar w:left="320" w:top="1399"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0"/>
          <w:szCs w:val="20"/>
          <w:color w:val="auto"/>
        </w:rPr>
        <w:t>acquisition vehicle and/or debt instruments issued by such acquisition vehicle, all without the need for any Secured Party or acquisition</w:t>
      </w:r>
    </w:p>
    <w:p>
      <w:pPr>
        <w:spacing w:after="0" w:line="204" w:lineRule="auto"/>
        <w:rPr>
          <w:sz w:val="20"/>
          <w:szCs w:val="20"/>
          <w:color w:val="auto"/>
        </w:rPr>
      </w:pPr>
      <w:r>
        <w:rPr>
          <w:rFonts w:ascii="Times New Roman" w:cs="Times New Roman" w:eastAsia="Times New Roman" w:hAnsi="Times New Roman"/>
          <w:sz w:val="20"/>
          <w:szCs w:val="20"/>
          <w:color w:val="auto"/>
        </w:rPr>
        <w:t>vehicle to take any further action, and (v) to the extent that Obligations that are assigned to an acquisition vehicle are not used to acquire Collateral for any reason, such Obligations shall automatically be reassigned to the Secured Parties pro rata and the equity interests and/or</w:t>
      </w:r>
    </w:p>
    <w:p>
      <w:pPr>
        <w:spacing w:after="0" w:line="211" w:lineRule="auto"/>
        <w:rPr>
          <w:sz w:val="20"/>
          <w:szCs w:val="20"/>
          <w:color w:val="auto"/>
        </w:rPr>
      </w:pPr>
      <w:r>
        <w:rPr>
          <w:rFonts w:ascii="Times New Roman" w:cs="Times New Roman" w:eastAsia="Times New Roman" w:hAnsi="Times New Roman"/>
          <w:sz w:val="20"/>
          <w:szCs w:val="20"/>
          <w:color w:val="auto"/>
        </w:rPr>
        <w:t>debt instruments issued by any acquisition vehicle on account of such Obligations shall automatically be cancelled, without the need for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Secured Party or any acquisition vehicle to take any further action. Notwithstanding that the ratable portion of the Obligations of each Secured Party are deemed assigned to the acquisition vehicle or vehicles as set forth in </w:t>
      </w:r>
      <w:r>
        <w:rPr>
          <w:rFonts w:ascii="Times New Roman" w:cs="Times New Roman" w:eastAsia="Times New Roman" w:hAnsi="Times New Roman"/>
          <w:sz w:val="20"/>
          <w:szCs w:val="20"/>
          <w:u w:val="single" w:color="auto"/>
          <w:color w:val="auto"/>
        </w:rPr>
        <w:t>Section 12.14(b)(ii)</w:t>
      </w:r>
      <w:r>
        <w:rPr>
          <w:rFonts w:ascii="Times New Roman" w:cs="Times New Roman" w:eastAsia="Times New Roman" w:hAnsi="Times New Roman"/>
          <w:sz w:val="20"/>
          <w:szCs w:val="20"/>
          <w:color w:val="auto"/>
        </w:rPr>
        <w:t xml:space="preserve"> above, each Secured Party shall</w:t>
      </w:r>
    </w:p>
    <w:p>
      <w:pPr>
        <w:spacing w:after="0" w:line="211" w:lineRule="auto"/>
        <w:rPr>
          <w:sz w:val="20"/>
          <w:szCs w:val="20"/>
          <w:color w:val="auto"/>
        </w:rPr>
      </w:pPr>
      <w:r>
        <w:rPr>
          <w:rFonts w:ascii="Times New Roman" w:cs="Times New Roman" w:eastAsia="Times New Roman" w:hAnsi="Times New Roman"/>
          <w:sz w:val="20"/>
          <w:szCs w:val="20"/>
          <w:color w:val="auto"/>
        </w:rPr>
        <w:t>execute such documents and provide such information regarding the Secured Party (and/or any designee of the Secured Party which will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receive interests in or debt instruments issued by such acquisition vehicle) as the Administrative Agent may reasonably request in connection with the formation of any acquisition vehicle, the formulation or submission of any credit bid or the consummation of the transactions</w:t>
      </w:r>
    </w:p>
    <w:p>
      <w:pPr>
        <w:spacing w:after="0"/>
        <w:rPr>
          <w:sz w:val="20"/>
          <w:szCs w:val="20"/>
          <w:color w:val="auto"/>
        </w:rPr>
      </w:pPr>
      <w:r>
        <w:rPr>
          <w:rFonts w:ascii="Times New Roman" w:cs="Times New Roman" w:eastAsia="Times New Roman" w:hAnsi="Times New Roman"/>
          <w:sz w:val="20"/>
          <w:szCs w:val="20"/>
          <w:color w:val="auto"/>
        </w:rPr>
        <w:t>contemplated by such credit bid.</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19"/>
          <w:szCs w:val="19"/>
          <w:u w:val="single" w:color="auto"/>
          <w:color w:val="auto"/>
        </w:rPr>
        <w:t>Erroneous Payments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09" w:lineRule="auto"/>
        <w:tabs>
          <w:tab w:leader="none" w:pos="1286"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(x) notifies a Lender, Issuing Bank or Secured Party, or any Person who has received funds on behalf of a Lender, Issuing Bank or Secured Party (any such Lender, Issuing Bank, Secured Party or other recipient (and each of their respective successors and assigns), a “</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20"/>
          <w:szCs w:val="20"/>
          <w:u w:val="single" w:color="auto"/>
          <w:color w:val="auto"/>
        </w:rPr>
        <w:t>Section 12.15</w:t>
      </w:r>
      <w:r>
        <w:rPr>
          <w:rFonts w:ascii="Times New Roman" w:cs="Times New Roman" w:eastAsia="Times New Roman" w:hAnsi="Times New Roman"/>
          <w:sz w:val="20"/>
          <w:szCs w:val="20"/>
          <w:color w:val="auto"/>
        </w:rPr>
        <w:t xml:space="preserve">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Overnight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77"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immediately preceding clause (a), each Lender, Issuing Bank, Secured Party or any Person who has received funds on behalf of a Lender, Issuing Bank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then in each such case:</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54"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acknowledges and agrees that (A) in the case of immediately preceding clauses (x) or (y), an error and mistake shall be presumed to have been made (absent written confirmation from the Administrative Agent to the contrary) or (B) an error and mistake has been made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ectPr>
          <w:pgSz w:w="11900" w:h="16838" w:orient="portrait"/>
          <w:cols w:equalWidth="0" w:num="1">
            <w:col w:w="11240"/>
          </w:cols>
          <w:pgMar w:left="320" w:top="1394" w:right="339" w:bottom="1440" w:gutter="0" w:footer="0" w:header="0"/>
        </w:sectPr>
      </w:pPr>
    </w:p>
    <w:bookmarkStart w:id="185" w:name="page186"/>
    <w:bookmarkEnd w:id="185"/>
    <w:p>
      <w:pPr>
        <w:ind w:left="660"/>
        <w:spacing w:after="0"/>
        <w:rPr>
          <w:sz w:val="20"/>
          <w:szCs w:val="20"/>
          <w:color w:val="auto"/>
        </w:rPr>
      </w:pPr>
      <w:r>
        <w:rPr>
          <w:rFonts w:ascii="Times New Roman" w:cs="Times New Roman" w:eastAsia="Times New Roman" w:hAnsi="Times New Roman"/>
          <w:sz w:val="20"/>
          <w:szCs w:val="20"/>
          <w:color w:val="auto"/>
        </w:rPr>
        <w:t>case of immediately preceding clause (z)), in each case, with respect to such payment, prepayment or repayment; and</w:t>
      </w:r>
    </w:p>
    <w:p>
      <w:pPr>
        <w:spacing w:after="0" w:line="189" w:lineRule="exact"/>
        <w:rPr>
          <w:sz w:val="20"/>
          <w:szCs w:val="20"/>
          <w:color w:val="auto"/>
        </w:rPr>
      </w:pPr>
    </w:p>
    <w:p>
      <w:pPr>
        <w:jc w:val="both"/>
        <w:ind w:left="660" w:firstLine="644"/>
        <w:spacing w:after="0" w:line="217" w:lineRule="auto"/>
        <w:tabs>
          <w:tab w:leader="none" w:pos="1955"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Issuing Bank or Secured Party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0"/>
          <w:szCs w:val="20"/>
          <w:u w:val="single" w:color="auto"/>
          <w:color w:val="auto"/>
        </w:rPr>
        <w:t>Section 12.15(b)</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 xml:space="preserve">For the avoidance of doubt, the failure to deliver a notice to the Administrative Agent pursuant to this </w:t>
      </w:r>
      <w:r>
        <w:rPr>
          <w:rFonts w:ascii="Times New Roman" w:cs="Times New Roman" w:eastAsia="Times New Roman" w:hAnsi="Times New Roman"/>
          <w:sz w:val="20"/>
          <w:szCs w:val="20"/>
          <w:u w:val="single" w:color="auto"/>
          <w:color w:val="auto"/>
        </w:rPr>
        <w:t>Section 12.15(b)</w:t>
      </w:r>
      <w:r>
        <w:rPr>
          <w:rFonts w:ascii="Times New Roman" w:cs="Times New Roman" w:eastAsia="Times New Roman" w:hAnsi="Times New Roman"/>
          <w:sz w:val="20"/>
          <w:szCs w:val="20"/>
          <w:color w:val="auto"/>
        </w:rPr>
        <w:t xml:space="preserve"> shall not have any effect on a Payment Recipient’s obligations pursuant to </w:t>
      </w:r>
      <w:r>
        <w:rPr>
          <w:rFonts w:ascii="Times New Roman" w:cs="Times New Roman" w:eastAsia="Times New Roman" w:hAnsi="Times New Roman"/>
          <w:sz w:val="20"/>
          <w:szCs w:val="20"/>
          <w:u w:val="single" w:color="auto"/>
          <w:color w:val="auto"/>
        </w:rPr>
        <w:t>Section 12.15(a)</w:t>
      </w:r>
      <w:r>
        <w:rPr>
          <w:rFonts w:ascii="Times New Roman" w:cs="Times New Roman" w:eastAsia="Times New Roman" w:hAnsi="Times New Roman"/>
          <w:sz w:val="20"/>
          <w:szCs w:val="20"/>
          <w:color w:val="auto"/>
        </w:rPr>
        <w:t xml:space="preserve"> or on whether or not an Erroneous Payment has been made.</w:t>
      </w:r>
    </w:p>
    <w:p>
      <w:pPr>
        <w:spacing w:after="0" w:line="148" w:lineRule="exact"/>
        <w:rPr>
          <w:sz w:val="20"/>
          <w:szCs w:val="20"/>
          <w:color w:val="auto"/>
        </w:rPr>
      </w:pPr>
    </w:p>
    <w:p>
      <w:pPr>
        <w:jc w:val="both"/>
        <w:ind w:firstLine="656"/>
        <w:spacing w:after="0" w:line="220" w:lineRule="auto"/>
        <w:tabs>
          <w:tab w:leader="none" w:pos="1286"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with respect to any payment of principal, interest, fees or other amounts, against any amount that the Administrative Agent has demanded to be returned under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w:t>
      </w:r>
    </w:p>
    <w:p>
      <w:pPr>
        <w:spacing w:after="0" w:line="175" w:lineRule="exact"/>
        <w:rPr>
          <w:sz w:val="20"/>
          <w:szCs w:val="20"/>
          <w:color w:val="auto"/>
        </w:rPr>
      </w:pPr>
    </w:p>
    <w:p>
      <w:pPr>
        <w:jc w:val="both"/>
        <w:ind w:left="660" w:firstLine="644"/>
        <w:spacing w:after="0" w:line="210" w:lineRule="auto"/>
        <w:tabs>
          <w:tab w:leader="none" w:pos="1552"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upon the Administrative Agent’s notice to such Lender at any time, then effective immediately (with the consideration therefor being acknowledged by the parties hereto),</w:t>
      </w:r>
    </w:p>
    <w:p>
      <w:pPr>
        <w:spacing w:after="0" w:line="1" w:lineRule="exact"/>
        <w:rPr>
          <w:rFonts w:ascii="Times New Roman" w:cs="Times New Roman" w:eastAsia="Times New Roman" w:hAnsi="Times New Roman"/>
          <w:sz w:val="20"/>
          <w:szCs w:val="20"/>
          <w:color w:val="auto"/>
        </w:rPr>
      </w:pPr>
    </w:p>
    <w:p>
      <w:pPr>
        <w:ind w:left="1000" w:hanging="344"/>
        <w:spacing w:after="0" w:line="211" w:lineRule="auto"/>
        <w:tabs>
          <w:tab w:leader="none" w:pos="100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shall be deemed to have assigned its Loans (but not its Commitments) of the relevant Class with respect to which</w:t>
      </w:r>
    </w:p>
    <w:p>
      <w:pPr>
        <w:ind w:left="660"/>
        <w:spacing w:after="0" w:line="222" w:lineRule="auto"/>
        <w:rPr>
          <w:sz w:val="20"/>
          <w:szCs w:val="20"/>
          <w:color w:val="auto"/>
        </w:rPr>
      </w:pPr>
      <w:r>
        <w:rPr>
          <w:rFonts w:ascii="Times New Roman" w:cs="Times New Roman" w:eastAsia="Times New Roman" w:hAnsi="Times New Roman"/>
          <w:sz w:val="19"/>
          <w:szCs w:val="19"/>
          <w:color w:val="auto"/>
        </w:rPr>
        <w:t>such Erroneous Payment was made (the “</w:t>
      </w:r>
      <w:r>
        <w:rPr>
          <w:rFonts w:ascii="Times New Roman" w:cs="Times New Roman" w:eastAsia="Times New Roman" w:hAnsi="Times New Roman"/>
          <w:sz w:val="19"/>
          <w:szCs w:val="19"/>
          <w:u w:val="single" w:color="auto"/>
          <w:color w:val="auto"/>
        </w:rPr>
        <w:t>Erroneous Payment Impacted Class</w:t>
      </w:r>
      <w:r>
        <w:rPr>
          <w:rFonts w:ascii="Times New Roman" w:cs="Times New Roman" w:eastAsia="Times New Roman" w:hAnsi="Times New Roman"/>
          <w:sz w:val="19"/>
          <w:szCs w:val="19"/>
          <w:color w:val="auto"/>
        </w:rPr>
        <w:t>”) in an amount equal to the Erroneous Payment Return</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(on a cashless basis and such amount</w:t>
      </w:r>
    </w:p>
    <w:p>
      <w:pPr>
        <w:ind w:left="660"/>
        <w:spacing w:after="0" w:line="211" w:lineRule="auto"/>
        <w:rPr>
          <w:sz w:val="20"/>
          <w:szCs w:val="20"/>
          <w:color w:val="auto"/>
        </w:rPr>
      </w:pPr>
      <w:r>
        <w:rPr>
          <w:rFonts w:ascii="Times New Roman" w:cs="Times New Roman" w:eastAsia="Times New Roman" w:hAnsi="Times New Roman"/>
          <w:sz w:val="20"/>
          <w:szCs w:val="20"/>
          <w:color w:val="auto"/>
        </w:rPr>
        <w:t>calculated at par plus any accrued and unpaid interest (with the assignment fee to be waived by the Administrative Agent in such</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instance)), and is hereby (together with the Borrower) deemed to execute and deliver an Assignment and Assumption (or, to the extent applicable, an agreement incorporating an Assignment and Assumption by reference pursuant to an electronic platform as to</w:t>
      </w:r>
    </w:p>
    <w:p>
      <w:pPr>
        <w:ind w:left="660"/>
        <w:spacing w:after="0" w:line="211" w:lineRule="auto"/>
        <w:rPr>
          <w:sz w:val="20"/>
          <w:szCs w:val="20"/>
          <w:color w:val="auto"/>
        </w:rPr>
      </w:pPr>
      <w:r>
        <w:rPr>
          <w:rFonts w:ascii="Times New Roman" w:cs="Times New Roman" w:eastAsia="Times New Roman" w:hAnsi="Times New Roman"/>
          <w:sz w:val="20"/>
          <w:szCs w:val="20"/>
          <w:color w:val="auto"/>
        </w:rPr>
        <w:t>which the Administrative Agent and such parties are participants) with respect to such Erroneous Payment Deficiency Assignment,</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and such Lender shall deliver any Notes evidencing such Loans to the Borrower or the Administrative Agent (but the failure of such Person to deliver any such Notes shall not affect the effectiveness of the foregoing assignment), (B) the Administrative Agent as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assignee Lender shall be deemed to have acquired the Erroneous Payment Deficiency Assignment, (C) upon such deemed</w:t>
      </w:r>
    </w:p>
    <w:p>
      <w:pPr>
        <w:ind w:left="660"/>
        <w:spacing w:after="0" w:line="204" w:lineRule="auto"/>
        <w:rPr>
          <w:sz w:val="20"/>
          <w:szCs w:val="20"/>
          <w:color w:val="auto"/>
        </w:rPr>
      </w:pPr>
      <w:r>
        <w:rPr>
          <w:rFonts w:ascii="Times New Roman" w:cs="Times New Roman" w:eastAsia="Times New Roman" w:hAnsi="Times New Roman"/>
          <w:sz w:val="20"/>
          <w:szCs w:val="20"/>
          <w:color w:val="auto"/>
        </w:rPr>
        <w:t>acquisition, the Administrative Agent as the assignee Lender shall become a Lender, as applicable, hereunder with respect to such Erroneous Payment Deficiency Assignment and the assigning Lender shall cease to be a Lender, as applicable, hereunder with</w:t>
      </w:r>
    </w:p>
    <w:p>
      <w:pPr>
        <w:ind w:left="660"/>
        <w:spacing w:after="0" w:line="211" w:lineRule="auto"/>
        <w:rPr>
          <w:sz w:val="20"/>
          <w:szCs w:val="20"/>
          <w:color w:val="auto"/>
        </w:rPr>
      </w:pPr>
      <w:r>
        <w:rPr>
          <w:rFonts w:ascii="Times New Roman" w:cs="Times New Roman" w:eastAsia="Times New Roman" w:hAnsi="Times New Roman"/>
          <w:sz w:val="20"/>
          <w:szCs w:val="20"/>
          <w:color w:val="auto"/>
        </w:rPr>
        <w:t>respect to such Erroneous Payment Deficiency Assignment, excluding, for the avoidance of doubt, its obligations under the</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indemnification provisions of this Agreement and its applicable Commitments which shall survive as to such assigning Lender, (D) the Administrative Agent and the Borrower shall each be deemed to have waived any consents required under this Agreement to any</w:t>
      </w:r>
    </w:p>
    <w:p>
      <w:pPr>
        <w:ind w:left="660"/>
        <w:spacing w:after="0" w:line="222" w:lineRule="auto"/>
        <w:rPr>
          <w:sz w:val="20"/>
          <w:szCs w:val="20"/>
          <w:color w:val="auto"/>
        </w:rPr>
      </w:pPr>
      <w:r>
        <w:rPr>
          <w:rFonts w:ascii="Times New Roman" w:cs="Times New Roman" w:eastAsia="Times New Roman" w:hAnsi="Times New Roman"/>
          <w:sz w:val="19"/>
          <w:szCs w:val="19"/>
          <w:color w:val="auto"/>
        </w:rPr>
        <w:t>such Erroneous Payment Deficiency Assignment, and (E) the Administrative Agent will reflect in the Register its ownership interest</w:t>
      </w:r>
    </w:p>
    <w:p>
      <w:pPr>
        <w:ind w:left="660"/>
        <w:spacing w:after="0" w:line="204" w:lineRule="auto"/>
        <w:rPr>
          <w:sz w:val="20"/>
          <w:szCs w:val="20"/>
          <w:color w:val="auto"/>
        </w:rPr>
      </w:pPr>
      <w:r>
        <w:rPr>
          <w:rFonts w:ascii="Times New Roman" w:cs="Times New Roman" w:eastAsia="Times New Roman" w:hAnsi="Times New Roman"/>
          <w:sz w:val="20"/>
          <w:szCs w:val="20"/>
          <w:color w:val="auto"/>
        </w:rPr>
        <w:t>in the Loans subject to the Erroneous Payment Deficiency Assignment. For the avoidance of doubt, no Erroneous Payment Deficiency Assignment will reduce the Commitments of any Lender and such Commitments shall remain available in accordance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ectPr>
          <w:pgSz w:w="11900" w:h="16838" w:orient="portrait"/>
          <w:cols w:equalWidth="0" w:num="1">
            <w:col w:w="11240"/>
          </w:cols>
          <w:pgMar w:left="320" w:top="1399" w:right="339" w:bottom="1440" w:gutter="0" w:footer="0" w:header="0"/>
        </w:sectPr>
      </w:pPr>
    </w:p>
    <w:bookmarkStart w:id="186" w:name="page187"/>
    <w:bookmarkEnd w:id="186"/>
    <w:p>
      <w:pPr>
        <w:jc w:val="both"/>
        <w:ind w:left="660" w:firstLine="644"/>
        <w:spacing w:after="0" w:line="212" w:lineRule="auto"/>
        <w:tabs>
          <w:tab w:leader="none" w:pos="1599"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154"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6"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 w:cs="Times New Roman" w:eastAsia="Times New Roman" w:hAnsi="Times New Roman"/>
          <w:sz w:val="20"/>
          <w:szCs w:val="20"/>
          <w:u w:val="single" w:color="auto"/>
          <w:color w:val="auto"/>
        </w:rPr>
        <w:t>Erroneous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 Subrogation Rights</w:t>
      </w:r>
      <w:r>
        <w:rPr>
          <w:rFonts w:ascii="Times New Roman" w:cs="Times New Roman" w:eastAsia="Times New Roman" w:hAnsi="Times New Roman"/>
          <w:sz w:val="20"/>
          <w:szCs w:val="20"/>
          <w:color w:val="auto"/>
        </w:rPr>
        <w:t xml:space="preserve">”) (provided that the Credit Parties’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or any other Credit Party; provided that this </w:t>
      </w:r>
      <w:r>
        <w:rPr>
          <w:rFonts w:ascii="Times New Roman" w:cs="Times New Roman" w:eastAsia="Times New Roman" w:hAnsi="Times New Roman"/>
          <w:sz w:val="20"/>
          <w:szCs w:val="20"/>
          <w:u w:val="single" w:color="auto"/>
          <w:color w:val="auto"/>
        </w:rPr>
        <w:t>Section 12.15</w:t>
      </w:r>
      <w:r>
        <w:rPr>
          <w:rFonts w:ascii="Times New Roman" w:cs="Times New Roman" w:eastAsia="Times New Roman" w:hAnsi="Times New Roman"/>
          <w:sz w:val="20"/>
          <w:szCs w:val="20"/>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152"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1"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agreements and waivers under this </w:t>
      </w:r>
      <w:r>
        <w:rPr>
          <w:rFonts w:ascii="Times New Roman" w:cs="Times New Roman" w:eastAsia="Times New Roman" w:hAnsi="Times New Roman"/>
          <w:sz w:val="20"/>
          <w:szCs w:val="20"/>
          <w:u w:val="single" w:color="auto"/>
          <w:color w:val="auto"/>
        </w:rPr>
        <w:t>Section 12.15</w:t>
      </w:r>
      <w:r>
        <w:rPr>
          <w:rFonts w:ascii="Times New Roman" w:cs="Times New Roman" w:eastAsia="Times New Roman" w:hAnsi="Times New Roman"/>
          <w:sz w:val="20"/>
          <w:szCs w:val="20"/>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Credit Document.</w:t>
      </w:r>
    </w:p>
    <w:p>
      <w:pPr>
        <w:spacing w:after="0" w:line="16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color w:val="auto"/>
        </w:rPr>
        <w:t>MISCELLANEOUS.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Amendments, Waivers and Releases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25" w:lineRule="auto"/>
        <w:tabs>
          <w:tab w:leader="none" w:pos="1286" w:val="left"/>
        </w:tabs>
        <w:numPr>
          <w:ilvl w:val="1"/>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expressly set forth in this Agreement, neither this Agreement nor any other Credit Document, nor any terms hereof or thereof, may be amended, supplemented or modified except in accordance with the provisions of this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 The Majority Lenders may, or, with the written consent of the Majority Lenders, the Administrative Agent and/or the Collateral Agent shall, from time to time,</w:t>
      </w:r>
    </w:p>
    <w:p>
      <w:pPr>
        <w:spacing w:after="0" w:line="1" w:lineRule="exact"/>
        <w:rPr>
          <w:rFonts w:ascii="Times New Roman" w:cs="Times New Roman" w:eastAsia="Times New Roman" w:hAnsi="Times New Roman"/>
          <w:sz w:val="19"/>
          <w:szCs w:val="19"/>
          <w:color w:val="auto"/>
        </w:rPr>
      </w:pPr>
    </w:p>
    <w:p>
      <w:pPr>
        <w:ind w:left="280" w:hanging="272"/>
        <w:spacing w:after="0" w:line="222" w:lineRule="auto"/>
        <w:tabs>
          <w:tab w:leader="none" w:pos="28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enter into with the relevant Credit Party or Credit Parties written amendments, supplements or modifications hereto and to the other Credit</w:t>
      </w:r>
    </w:p>
    <w:p>
      <w:pPr>
        <w:ind w:right="20"/>
        <w:spacing w:after="0" w:line="228" w:lineRule="auto"/>
        <w:rPr>
          <w:sz w:val="20"/>
          <w:szCs w:val="20"/>
          <w:color w:val="auto"/>
        </w:rPr>
      </w:pPr>
      <w:r>
        <w:rPr>
          <w:rFonts w:ascii="Times New Roman" w:cs="Times New Roman" w:eastAsia="Times New Roman" w:hAnsi="Times New Roman"/>
          <w:sz w:val="20"/>
          <w:szCs w:val="20"/>
          <w:color w:val="auto"/>
        </w:rPr>
        <w:t>Documents for the purpose of adding any provisions to this Agreement or the other Credit Documents or changing in any manner the rights of the Lenders or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ectPr>
          <w:pgSz w:w="11900" w:h="16838" w:orient="portrait"/>
          <w:cols w:equalWidth="0" w:num="1">
            <w:col w:w="11240"/>
          </w:cols>
          <w:pgMar w:left="320" w:top="1399"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0"/>
          <w:szCs w:val="20"/>
          <w:color w:val="auto"/>
        </w:rPr>
        <w:t>Credit Parties hereunder or thereunder or (b) waive in writing, on such terms and conditions as the Majority Lenders or the Administrative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Agent and/or Collateral Agent, as the case may be, may specify in such instrument, any of the requirements of this Agreement or the other Credit Documents or any Default or Event of Default and its consequences;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each such waiver and each such</w:t>
      </w:r>
    </w:p>
    <w:p>
      <w:pPr>
        <w:spacing w:after="0" w:line="211" w:lineRule="auto"/>
        <w:rPr>
          <w:sz w:val="20"/>
          <w:szCs w:val="20"/>
          <w:color w:val="auto"/>
        </w:rPr>
      </w:pPr>
      <w:r>
        <w:rPr>
          <w:rFonts w:ascii="Times New Roman" w:cs="Times New Roman" w:eastAsia="Times New Roman" w:hAnsi="Times New Roman"/>
          <w:sz w:val="20"/>
          <w:szCs w:val="20"/>
          <w:color w:val="auto"/>
        </w:rPr>
        <w:t>amendment, supplement or modification shall be effective only in the specific instance and for the specific purpose for which given;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further</w:t>
      </w:r>
      <w:r>
        <w:rPr>
          <w:rFonts w:ascii="Times New Roman" w:cs="Times New Roman" w:eastAsia="Times New Roman" w:hAnsi="Times New Roman"/>
          <w:sz w:val="19"/>
          <w:szCs w:val="19"/>
          <w:color w:val="auto"/>
        </w:rPr>
        <w:t>, that no such waiver and no such amendment, supplement or modification shall (i) forgive or reduce any portion of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 or reduce the stated rate (it being understood that only the consent of the Majority Lenders shall be necessary to waive any obligation of</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the Borrower to pay interest at the Default Rate or amend </w:t>
      </w:r>
      <w:r>
        <w:rPr>
          <w:rFonts w:ascii="Times New Roman" w:cs="Times New Roman" w:eastAsia="Times New Roman" w:hAnsi="Times New Roman"/>
          <w:sz w:val="19"/>
          <w:szCs w:val="19"/>
          <w:u w:val="single" w:color="auto"/>
          <w:color w:val="auto"/>
        </w:rPr>
        <w:t>Section 2.8(c)</w:t>
      </w:r>
      <w:r>
        <w:rPr>
          <w:rFonts w:ascii="Times New Roman" w:cs="Times New Roman" w:eastAsia="Times New Roman" w:hAnsi="Times New Roman"/>
          <w:sz w:val="19"/>
          <w:szCs w:val="19"/>
          <w:color w:val="auto"/>
        </w:rPr>
        <w:t>), or forgive or reduce any portion, or extend the date for the payment</w:t>
      </w:r>
    </w:p>
    <w:p>
      <w:pPr>
        <w:spacing w:after="0" w:line="204" w:lineRule="auto"/>
        <w:rPr>
          <w:sz w:val="20"/>
          <w:szCs w:val="20"/>
          <w:color w:val="auto"/>
        </w:rPr>
      </w:pPr>
      <w:r>
        <w:rPr>
          <w:rFonts w:ascii="Times New Roman" w:cs="Times New Roman" w:eastAsia="Times New Roman" w:hAnsi="Times New Roman"/>
          <w:sz w:val="20"/>
          <w:szCs w:val="20"/>
          <w:color w:val="auto"/>
        </w:rPr>
        <w:t>(including the Maturity Date), of any principal, interest or fee payable hereunder (other than as a result of waiving the applicability of any post-default increase in interest rates and any change due to a change in the Borrowing Base or Available Commitment), or extend the final</w:t>
      </w:r>
    </w:p>
    <w:p>
      <w:pPr>
        <w:spacing w:after="0" w:line="223" w:lineRule="auto"/>
        <w:rPr>
          <w:sz w:val="20"/>
          <w:szCs w:val="20"/>
          <w:color w:val="auto"/>
        </w:rPr>
      </w:pPr>
      <w:r>
        <w:rPr>
          <w:rFonts w:ascii="Times New Roman" w:cs="Times New Roman" w:eastAsia="Times New Roman" w:hAnsi="Times New Roman"/>
          <w:sz w:val="19"/>
          <w:szCs w:val="19"/>
          <w:color w:val="auto"/>
        </w:rPr>
        <w:t>expiration date of any Lender’s Commitment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(1) any Lender, upon the request of the Borrower, may extend the final expiration</w:t>
      </w:r>
    </w:p>
    <w:p>
      <w:pPr>
        <w:spacing w:after="0" w:line="204" w:lineRule="auto"/>
        <w:rPr>
          <w:sz w:val="20"/>
          <w:szCs w:val="20"/>
          <w:color w:val="auto"/>
        </w:rPr>
      </w:pPr>
      <w:r>
        <w:rPr>
          <w:rFonts w:ascii="Times New Roman" w:cs="Times New Roman" w:eastAsia="Times New Roman" w:hAnsi="Times New Roman"/>
          <w:sz w:val="20"/>
          <w:szCs w:val="20"/>
          <w:color w:val="auto"/>
        </w:rPr>
        <w:t>date of its Commitment in a manner that has no adverse impact on any other Lender without the consent of any other Lender, including the Majority Lenders, and (2) it is being understood that waivers or modifications of conditions precedent, covenants, Defaults or Events of</w:t>
      </w:r>
    </w:p>
    <w:p>
      <w:pPr>
        <w:spacing w:after="0" w:line="223" w:lineRule="auto"/>
        <w:rPr>
          <w:sz w:val="20"/>
          <w:szCs w:val="20"/>
          <w:color w:val="auto"/>
        </w:rPr>
      </w:pPr>
      <w:r>
        <w:rPr>
          <w:rFonts w:ascii="Times New Roman" w:cs="Times New Roman" w:eastAsia="Times New Roman" w:hAnsi="Times New Roman"/>
          <w:sz w:val="19"/>
          <w:szCs w:val="19"/>
          <w:color w:val="auto"/>
        </w:rPr>
        <w:t>Default shall not constitute an increase of the Commitments of any Lender) or extend the final expiration date of any Letter of Credit beyond</w:t>
      </w:r>
    </w:p>
    <w:p>
      <w:pPr>
        <w:spacing w:after="0" w:line="204" w:lineRule="auto"/>
        <w:rPr>
          <w:sz w:val="20"/>
          <w:szCs w:val="20"/>
          <w:color w:val="auto"/>
        </w:rPr>
      </w:pPr>
      <w:r>
        <w:rPr>
          <w:rFonts w:ascii="Times New Roman" w:cs="Times New Roman" w:eastAsia="Times New Roman" w:hAnsi="Times New Roman"/>
          <w:sz w:val="20"/>
          <w:szCs w:val="20"/>
          <w:color w:val="auto"/>
        </w:rPr>
        <w:t>the L/C Maturity Date, or increase the amount of the Commitment of any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Lender, upon the request of the Borrower, may increase the amount of its Commitment without the consent of any other Lender, including the Majority Lenders), or make</w:t>
      </w:r>
    </w:p>
    <w:p>
      <w:pPr>
        <w:spacing w:after="0" w:line="211" w:lineRule="auto"/>
        <w:rPr>
          <w:sz w:val="20"/>
          <w:szCs w:val="20"/>
          <w:color w:val="auto"/>
        </w:rPr>
      </w:pPr>
      <w:r>
        <w:rPr>
          <w:rFonts w:ascii="Times New Roman" w:cs="Times New Roman" w:eastAsia="Times New Roman" w:hAnsi="Times New Roman"/>
          <w:sz w:val="20"/>
          <w:szCs w:val="20"/>
          <w:color w:val="auto"/>
        </w:rPr>
        <w:t>any Loan, interest, fee or other amount payable in any currency other than Dollars, in each case without the written consent of each Lender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directly and adversely affected thereby, or (ii) amend, modify or waive any provision of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in a manner that would reduce the voting rights of any Lender, or reduce the percentages specified in the definitions of the terms “Majority Lenders” or “Required Lenders”,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consent to the assignment or transfer by the Borrower of its rights and obligations under any Credit Document to which it is a party (except as permitted pursuant to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 xml:space="preserve">), in each case without the written consent of each Lender, or (iii) amend the provisions of </w:t>
      </w:r>
      <w:r>
        <w:rPr>
          <w:rFonts w:ascii="Times New Roman" w:cs="Times New Roman" w:eastAsia="Times New Roman" w:hAnsi="Times New Roman"/>
          <w:sz w:val="19"/>
          <w:szCs w:val="19"/>
          <w:u w:val="single" w:color="auto"/>
          <w:color w:val="auto"/>
        </w:rPr>
        <w:t>Section 11.12</w:t>
      </w:r>
    </w:p>
    <w:p>
      <w:pPr>
        <w:spacing w:after="0" w:line="222" w:lineRule="auto"/>
        <w:rPr>
          <w:sz w:val="20"/>
          <w:szCs w:val="20"/>
          <w:color w:val="auto"/>
        </w:rPr>
      </w:pPr>
      <w:r>
        <w:rPr>
          <w:rFonts w:ascii="Times New Roman" w:cs="Times New Roman" w:eastAsia="Times New Roman" w:hAnsi="Times New Roman"/>
          <w:sz w:val="19"/>
          <w:szCs w:val="19"/>
          <w:color w:val="auto"/>
        </w:rPr>
        <w:t>or any analogous provision of any Security Document, in a manner that would by its terms alter the order of payment specified therein or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pro rata sharing of payments required thereby, without the prior written consent of each Lender, or (iv) amend, modify or waive any provision of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without the written consent of the then-current Administrative Agent and Collateral Agent, as applicable, or any other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former or current Agent to whom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then applies in a manner that directly and adversely affects such Person, or (v) amend, modify</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or waive any provision of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with respect to any Letter of Credit without the written consent of each Issuing Bank to whom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then applies, or (vi) amend the definitions of the terms “Approved Counterparty”, “Hedge Bank”, “Obligations”, “Secured Hedge</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Agreement”, or “Secured Parties” or </w:t>
      </w:r>
      <w:r>
        <w:rPr>
          <w:rFonts w:ascii="Times New Roman" w:cs="Times New Roman" w:eastAsia="Times New Roman" w:hAnsi="Times New Roman"/>
          <w:sz w:val="19"/>
          <w:szCs w:val="19"/>
          <w:u w:val="single" w:color="auto"/>
          <w:color w:val="auto"/>
        </w:rPr>
        <w:t>Section 12.10</w:t>
      </w:r>
      <w:r>
        <w:rPr>
          <w:rFonts w:ascii="Times New Roman" w:cs="Times New Roman" w:eastAsia="Times New Roman" w:hAnsi="Times New Roman"/>
          <w:sz w:val="19"/>
          <w:szCs w:val="19"/>
          <w:color w:val="auto"/>
        </w:rPr>
        <w:t>, in each case, without the prior consent of each Lender or (vii) release all or substantially</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all of the aggregate value of the Guarantees without the prior written consent of each Lender, or (viii) release all or substantially all of the Collateral under the Security Documents without the prior written consent of each Lender, or (ix) amend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so as to permit Interest</w:t>
      </w:r>
    </w:p>
    <w:p>
      <w:pPr>
        <w:spacing w:after="0" w:line="223" w:lineRule="auto"/>
        <w:rPr>
          <w:sz w:val="20"/>
          <w:szCs w:val="20"/>
          <w:color w:val="auto"/>
        </w:rPr>
      </w:pPr>
      <w:r>
        <w:rPr>
          <w:rFonts w:ascii="Times New Roman" w:cs="Times New Roman" w:eastAsia="Times New Roman" w:hAnsi="Times New Roman"/>
          <w:sz w:val="19"/>
          <w:szCs w:val="19"/>
          <w:color w:val="auto"/>
        </w:rPr>
        <w:t>Period intervals greater than six (6) months without regard to availability to Lenders, without the written consent of each Lender directly and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adversely affected thereby, or (x) increase the Borrowing Base or waive a condition in or modify in any manner adverse to a Lender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without the written consent of each Lender (subject to </w:t>
      </w:r>
      <w:r>
        <w:rPr>
          <w:rFonts w:ascii="Times New Roman" w:cs="Times New Roman" w:eastAsia="Times New Roman" w:hAnsi="Times New Roman"/>
          <w:sz w:val="20"/>
          <w:szCs w:val="20"/>
          <w:u w:val="single" w:color="auto"/>
          <w:color w:val="auto"/>
        </w:rPr>
        <w:t>Section 13.1(b)</w:t>
      </w:r>
      <w:r>
        <w:rPr>
          <w:rFonts w:ascii="Times New Roman" w:cs="Times New Roman" w:eastAsia="Times New Roman" w:hAnsi="Times New Roman"/>
          <w:sz w:val="20"/>
          <w:szCs w:val="20"/>
          <w:color w:val="auto"/>
        </w:rPr>
        <w:t xml:space="preserve"> in the case of a Defaulting Lender) or decrease or maintain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Borrowing Base without the written consent of the Required Lenders or otherwise modify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if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modification would have the effect of increasing the Borrowing Base without the written consent of each Lender (other than Defaulting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Scheduled Redetermination may be postponed by, and an automatic reduction in the Borrowing Base may be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waived by, the Required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xml:space="preserve"> shall not apply (or be deemed to apply) to any waiver, consent,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amendment or other modification that directly or indirectly reduces the amount of, or waives the implementation of, any provision that would otherwise reduce the Borrowing Base, or (xi) affect the rights or duties of, or any fees or other amounts payable to, any Agent under this</w:t>
      </w:r>
    </w:p>
    <w:p>
      <w:pPr>
        <w:spacing w:after="0" w:line="222" w:lineRule="auto"/>
        <w:rPr>
          <w:sz w:val="20"/>
          <w:szCs w:val="20"/>
          <w:color w:val="auto"/>
        </w:rPr>
      </w:pPr>
      <w:r>
        <w:rPr>
          <w:rFonts w:ascii="Times New Roman" w:cs="Times New Roman" w:eastAsia="Times New Roman" w:hAnsi="Times New Roman"/>
          <w:sz w:val="19"/>
          <w:szCs w:val="19"/>
          <w:color w:val="auto"/>
        </w:rPr>
        <w:t>Agreement or any other Credit Document without the prior written consent of such Agent, or (xii) subordinate (A) the Obligations in right of</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payment or (B) the Liens on a material portion of the Collateral securing the Obligations, other than in each case Liens securing Indebtedness incurred pursuant to </w:t>
      </w:r>
      <w:r>
        <w:rPr>
          <w:rFonts w:ascii="Times New Roman" w:cs="Times New Roman" w:eastAsia="Times New Roman" w:hAnsi="Times New Roman"/>
          <w:sz w:val="19"/>
          <w:szCs w:val="19"/>
          <w:u w:val="single" w:color="auto"/>
          <w:color w:val="auto"/>
        </w:rPr>
        <w:t>Section 10.1(g)</w:t>
      </w:r>
      <w:r>
        <w:rPr>
          <w:rFonts w:ascii="Times New Roman" w:cs="Times New Roman" w:eastAsia="Times New Roman" w:hAnsi="Times New Roman"/>
          <w:sz w:val="19"/>
          <w:szCs w:val="19"/>
          <w:color w:val="auto"/>
        </w:rPr>
        <w:t>, in any such case, without the consent of each Lender directly affected thereby (provided that no such</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Lender’s consent shall be required pursuant to this </w:t>
      </w:r>
      <w:r>
        <w:rPr>
          <w:rFonts w:ascii="Times New Roman" w:cs="Times New Roman" w:eastAsia="Times New Roman" w:hAnsi="Times New Roman"/>
          <w:sz w:val="20"/>
          <w:szCs w:val="20"/>
          <w:u w:val="single" w:color="auto"/>
          <w:color w:val="auto"/>
        </w:rPr>
        <w:t>subclause (xii)</w:t>
      </w:r>
      <w:r>
        <w:rPr>
          <w:rFonts w:ascii="Times New Roman" w:cs="Times New Roman" w:eastAsia="Times New Roman" w:hAnsi="Times New Roman"/>
          <w:sz w:val="20"/>
          <w:szCs w:val="20"/>
          <w:color w:val="auto"/>
        </w:rPr>
        <w:t xml:space="preserve"> in connection with any “debtor-in-possession” financing or the use of the</w:t>
      </w:r>
    </w:p>
    <w:p>
      <w:pPr>
        <w:spacing w:after="0" w:line="221" w:lineRule="auto"/>
        <w:rPr>
          <w:sz w:val="20"/>
          <w:szCs w:val="20"/>
          <w:color w:val="auto"/>
        </w:rPr>
      </w:pPr>
      <w:r>
        <w:rPr>
          <w:rFonts w:ascii="Times New Roman" w:cs="Times New Roman" w:eastAsia="Times New Roman" w:hAnsi="Times New Roman"/>
          <w:sz w:val="20"/>
          <w:szCs w:val="20"/>
          <w:color w:val="auto"/>
        </w:rPr>
        <w:t>Collateral in any insolvency proceeding) or (xiii) solely to the extent that any Specified Hedge Agreements remain existing, amend the definitions of “Obligations”, “Specified Hedge Agreement”, “Secured Hedge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ectPr>
          <w:pgSz w:w="11900" w:h="16838" w:orient="portrait"/>
          <w:cols w:equalWidth="0" w:num="1">
            <w:col w:w="11240"/>
          </w:cols>
          <w:pgMar w:left="320" w:top="1394"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20"/>
          <w:szCs w:val="20"/>
          <w:color w:val="auto"/>
        </w:rPr>
        <w:t xml:space="preserve">Agreement”, “Secured Parties” or “Payment in Full”,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13.1(a)</w:t>
      </w:r>
      <w:r>
        <w:rPr>
          <w:rFonts w:ascii="Times New Roman" w:cs="Times New Roman" w:eastAsia="Times New Roman" w:hAnsi="Times New Roman"/>
          <w:sz w:val="20"/>
          <w:szCs w:val="20"/>
          <w:color w:val="auto"/>
        </w:rPr>
        <w:t>, in a manner adverse to JPMorgan Chase Bank,</w:t>
      </w:r>
    </w:p>
    <w:p>
      <w:pPr>
        <w:ind w:right="20"/>
        <w:spacing w:after="0" w:line="204" w:lineRule="auto"/>
        <w:rPr>
          <w:sz w:val="20"/>
          <w:szCs w:val="20"/>
          <w:color w:val="auto"/>
        </w:rPr>
      </w:pPr>
      <w:r>
        <w:rPr>
          <w:rFonts w:ascii="Times New Roman" w:cs="Times New Roman" w:eastAsia="Times New Roman" w:hAnsi="Times New Roman"/>
          <w:sz w:val="20"/>
          <w:szCs w:val="20"/>
          <w:color w:val="auto"/>
        </w:rPr>
        <w:t>N.A., or any of its affiliates, without the written consent of JPMorgan Chase Bank, N.A.. Any such waiver and any such amendment, supplement or modification shall apply equally to each of the affected Lenders and shall be binding upon the Borrower, such Lenders,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and all future holders of the affected Loans. In the case of any waiver, the Borrower, the Lenders and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Administrative Agent shall be restored to their former positions and rights hereunder and under the other Credit Documents, and any Default or Event of Default waived shall be deemed to be cured and not continuing; it being understood that no such waiver shall extend to any</w:t>
      </w:r>
    </w:p>
    <w:p>
      <w:pPr>
        <w:spacing w:after="0" w:line="211" w:lineRule="auto"/>
        <w:rPr>
          <w:sz w:val="20"/>
          <w:szCs w:val="20"/>
          <w:color w:val="auto"/>
        </w:rPr>
      </w:pPr>
      <w:r>
        <w:rPr>
          <w:rFonts w:ascii="Times New Roman" w:cs="Times New Roman" w:eastAsia="Times New Roman" w:hAnsi="Times New Roman"/>
          <w:sz w:val="20"/>
          <w:szCs w:val="20"/>
          <w:color w:val="auto"/>
        </w:rPr>
        <w:t>subsequent or other Default or Event of Default or impair any right consequent thereon. In connection with the foregoing provisions,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Administrative Agent may, but shall have no obligations to, with the concurrence of any Lender, execute amendments, modifications, waivers or consents on behalf of such Lender whose consent is required hereunder.</w:t>
      </w:r>
    </w:p>
    <w:p>
      <w:pPr>
        <w:spacing w:after="0" w:line="162" w:lineRule="exact"/>
        <w:rPr>
          <w:sz w:val="20"/>
          <w:szCs w:val="20"/>
          <w:color w:val="auto"/>
        </w:rPr>
      </w:pPr>
    </w:p>
    <w:p>
      <w:pPr>
        <w:jc w:val="both"/>
        <w:ind w:firstLine="656"/>
        <w:spacing w:after="0" w:line="215" w:lineRule="auto"/>
        <w:tabs>
          <w:tab w:leader="none" w:pos="1284"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the Commitment of such Defaulting Lender may not be increased or extended without the consent of such Defaulting Lender and no such amendment, waiver or consent shall disproportionately adversely affect such Defaulting Lender without its consent as compared to other Lenders (it being understood that any Commitments or Loans held or deemed held by any Defaulting Lender shall be excluded for a vote of the Lenders hereunder requiring any consent of the Lenders).</w:t>
      </w:r>
    </w:p>
    <w:p>
      <w:pPr>
        <w:spacing w:after="0" w:line="164"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consent of any Lender or Issuing Bank, the Credit Parties and the Administrative Agent or Collateral Agent may (in their respective sole discretion, or shall, to the extent required by any Credit Document) enter into any amendment, modification or waiver of any Credit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Credit Document.</w:t>
      </w:r>
    </w:p>
    <w:p>
      <w:pPr>
        <w:spacing w:after="0" w:line="164" w:lineRule="exact"/>
        <w:rPr>
          <w:rFonts w:ascii="Times New Roman" w:cs="Times New Roman" w:eastAsia="Times New Roman" w:hAnsi="Times New Roman"/>
          <w:sz w:val="20"/>
          <w:szCs w:val="20"/>
          <w:color w:val="auto"/>
        </w:rPr>
      </w:pPr>
    </w:p>
    <w:p>
      <w:pPr>
        <w:jc w:val="both"/>
        <w:ind w:firstLine="656"/>
        <w:spacing w:after="0" w:line="210" w:lineRule="auto"/>
        <w:tabs>
          <w:tab w:leader="none" w:pos="1284"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no Lender consent is required to effect any amendment, modification or supplement to any Junior Lien Intercreditor Agreement, any subordination agreement or other intercreditor agreement or arrangement permitted under this Agreement or in any document pertaining to any Indebtedness permitted hereby that is permitted to be secured by the Collateral (i) that is for the purpose of adding the holders of such secured or subordinated Indebtedness permitted to be incurred under this Agreement (or, in each case, a representative with respect thereto), as parties thereto, as expressly contemplated by the terms of such Junior Lien Intercreditor Agreement, such subordination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other changes are not adverse, in any material respect (taken as a whole), to the interests of the Lenders) or (ii) that is expressly contemplated by any Junior Lien Intercreditor Agreement, any subordination agreement or other intercreditor agreement or arrangement permitted under this Agreement or in any document pertaining to any Indebtedness permitted hereby that is permitted to be secured by the Collateral or (iii) otherwise, with respect to any material amendments, modifications or supplements, to the extent such amendment, modification or supplement is reasonably satisfactory to the Administrative Agent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other changes are not adverse, in any material respect (taken as a whole), to the interests of the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no such agreement shall amend, modify or otherwise affect the rights or duties of the Administrative Agent or Collateral Agent hereunder or under any other Credit Document without the prior written consent of the Administrative Agent or Collateral Agent, as applicable.</w:t>
      </w:r>
    </w:p>
    <w:p>
      <w:pPr>
        <w:spacing w:after="0" w:line="168" w:lineRule="exact"/>
        <w:rPr>
          <w:rFonts w:ascii="Times New Roman" w:cs="Times New Roman" w:eastAsia="Times New Roman" w:hAnsi="Times New Roman"/>
          <w:sz w:val="20"/>
          <w:szCs w:val="20"/>
          <w:color w:val="auto"/>
        </w:rPr>
      </w:pPr>
    </w:p>
    <w:p>
      <w:pPr>
        <w:ind w:firstLine="656"/>
        <w:spacing w:after="0" w:line="233" w:lineRule="auto"/>
        <w:tabs>
          <w:tab w:leader="none" w:pos="128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without the consent of any Lender, enter into amendments or modifications to this Agreement or any of the other Credit Documents or to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142</w:t>
      </w:r>
    </w:p>
    <w:p>
      <w:pPr>
        <w:sectPr>
          <w:pgSz w:w="11900" w:h="16838" w:orient="portrait"/>
          <w:cols w:equalWidth="0" w:num="1">
            <w:col w:w="11240"/>
          </w:cols>
          <w:pgMar w:left="320" w:top="1394"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9"/>
          <w:szCs w:val="19"/>
          <w:color w:val="auto"/>
        </w:rPr>
        <w:t>additional Credit Documents as the Administrative Agent reasonably deems appropriate in order to implement any Benchmark Replacement</w:t>
      </w:r>
    </w:p>
    <w:p>
      <w:pPr>
        <w:spacing w:after="0" w:line="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or any Benchmark Replacement Conforming Changes or otherwise effectuate the terms of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in accordance with the terms of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656"/>
        <w:spacing w:after="0" w:line="210" w:lineRule="auto"/>
        <w:tabs>
          <w:tab w:leader="none" w:pos="1291"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technical and conforming modifications to the Credit Documents (including any exhibit, schedule or other attachment) may be made with the consent of the Borrower and the Administrative Agent (i) if such modifications are not adverse in any material respect to the Lenders or the Issuing Banks (in which case, the consent of the Issuing Banks shall be required) or (ii) to the extent necessary to cure any ambiguity, omission, mistake, defect or inconsistency so long as the Lenders and the Issuing Banks shall have received at least five (5) Business Days’ prior written notice thereof and the Administrative Agent shall not have received, within five</w:t>
      </w:r>
    </w:p>
    <w:p>
      <w:pPr>
        <w:spacing w:after="0" w:line="1" w:lineRule="exact"/>
        <w:rPr>
          <w:rFonts w:ascii="Times New Roman" w:cs="Times New Roman" w:eastAsia="Times New Roman" w:hAnsi="Times New Roman"/>
          <w:sz w:val="20"/>
          <w:szCs w:val="20"/>
          <w:color w:val="auto"/>
        </w:rPr>
      </w:pPr>
    </w:p>
    <w:p>
      <w:pPr>
        <w:ind w:left="300" w:hanging="292"/>
        <w:spacing w:after="0" w:line="211" w:lineRule="auto"/>
        <w:tabs>
          <w:tab w:leader="none" w:pos="30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of the date of such notice to the Lenders, a written notice from the Majority Lenders stating that the Majority Lenders</w:t>
      </w:r>
    </w:p>
    <w:p>
      <w:pPr>
        <w:spacing w:after="0"/>
        <w:rPr>
          <w:sz w:val="20"/>
          <w:szCs w:val="20"/>
          <w:color w:val="auto"/>
        </w:rPr>
      </w:pPr>
      <w:r>
        <w:rPr>
          <w:rFonts w:ascii="Times New Roman" w:cs="Times New Roman" w:eastAsia="Times New Roman" w:hAnsi="Times New Roman"/>
          <w:sz w:val="20"/>
          <w:szCs w:val="20"/>
          <w:color w:val="auto"/>
        </w:rPr>
        <w:t>object to such amendment.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Unless otherwise expressly provided herein, all notices and other communications provided for hereunder or under any other Credit Document shall be in writing (including by facsimile transmission). All such written notices shall be mailed, faxed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delivered to the applicable address, facsimile number or electronic mail address, and all notices and other communications expressly permitted hereunder to be given by telephone shall be made to the applicable telephone number, as follows:</w:t>
      </w:r>
    </w:p>
    <w:p>
      <w:pPr>
        <w:spacing w:after="0" w:line="149" w:lineRule="exact"/>
        <w:rPr>
          <w:sz w:val="20"/>
          <w:szCs w:val="20"/>
          <w:color w:val="auto"/>
        </w:rPr>
      </w:pPr>
    </w:p>
    <w:p>
      <w:pPr>
        <w:jc w:val="both"/>
        <w:ind w:firstLine="656"/>
        <w:spacing w:after="0" w:line="230" w:lineRule="auto"/>
        <w:tabs>
          <w:tab w:leader="none" w:pos="1286"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Borrower, the Administrative Agent, the Collateral Agent or any Issuing Bank, to the address, facsimile number, electronic mail address or telephone number specified for such Person on </w:t>
      </w:r>
      <w:r>
        <w:rPr>
          <w:rFonts w:ascii="Times New Roman" w:cs="Times New Roman" w:eastAsia="Times New Roman" w:hAnsi="Times New Roman"/>
          <w:sz w:val="20"/>
          <w:szCs w:val="20"/>
          <w:u w:val="single" w:color="auto"/>
          <w:color w:val="auto"/>
        </w:rPr>
        <w:t>Schedule 13.2</w:t>
      </w:r>
      <w:r>
        <w:rPr>
          <w:rFonts w:ascii="Times New Roman" w:cs="Times New Roman" w:eastAsia="Times New Roman" w:hAnsi="Times New Roman"/>
          <w:sz w:val="20"/>
          <w:szCs w:val="20"/>
          <w:color w:val="auto"/>
        </w:rPr>
        <w:t xml:space="preserve"> or to such other address, facsimile number, electronic mail address or telephone number as shall be designated by such party in a notice to the other parties; and</w:t>
      </w:r>
    </w:p>
    <w:p>
      <w:pPr>
        <w:spacing w:after="0" w:line="148"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the Administrative Agent, the Collateral Agent and the Issuing Banks.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such notices and other communications shall be deemed to be given or made upon the earlier to occur of (i) actual receipt by the relevant</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party hereto and (ii)(A) if delivered by hand or by courier, when signed for by or on behalf of the relevant party hereto; (B) if delivered by mail, three (3) Business Days after deposit in the mails, postage prepaid; (C) if delivered by facsimile, when sent and receipt has been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confirmed by telephone; and (D) if delivered by electronic mail, when delivered;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notices and other communications to the Administrative Agent or the Lenders pursuant to </w:t>
      </w:r>
      <w:r>
        <w:rPr>
          <w:rFonts w:ascii="Times New Roman" w:cs="Times New Roman" w:eastAsia="Times New Roman" w:hAnsi="Times New Roman"/>
          <w:sz w:val="20"/>
          <w:szCs w:val="20"/>
          <w:u w:val="single" w:color="auto"/>
          <w:color w:val="auto"/>
        </w:rPr>
        <w:t>Sections 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w:t>
      </w:r>
      <w:r>
        <w:rPr>
          <w:rFonts w:ascii="Times New Roman" w:cs="Times New Roman" w:eastAsia="Times New Roman" w:hAnsi="Times New Roman"/>
          <w:sz w:val="20"/>
          <w:szCs w:val="20"/>
          <w:color w:val="auto"/>
        </w:rPr>
        <w:t xml:space="preserve"> shall not be effective until received.</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No Waiver; Cumulative Remedies</w:t>
      </w:r>
      <w:r>
        <w:rPr>
          <w:rFonts w:ascii="Times New Roman" w:cs="Times New Roman" w:eastAsia="Times New Roman" w:hAnsi="Times New Roman"/>
          <w:sz w:val="20"/>
          <w:szCs w:val="20"/>
          <w:color w:val="auto"/>
        </w:rPr>
        <w:t>. No failure to exercise and no delay in exercising, on the part of the Administrative Agent, the Collateral Agent or any Lender, any right, remedy, power or privilege hereunder or under the other Credit Documents shall operate as a</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waiver thereof, nor shall any single or partial exercise of any right, remedy, power or privilege hereunder preclude any other or further exercise thereof or the exercise of any other right, remedy, power or privilege. The rights, remedies, powers and privileges herein provided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are cumulative and not exclusive of any rights, remedies, powers and privileges provided by Requirements of Law.</w:t>
      </w:r>
    </w:p>
    <w:p>
      <w:pPr>
        <w:spacing w:after="0" w:line="167"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Survival of Representations and Warranties</w:t>
      </w:r>
      <w:r>
        <w:rPr>
          <w:rFonts w:ascii="Times New Roman" w:cs="Times New Roman" w:eastAsia="Times New Roman" w:hAnsi="Times New Roman"/>
          <w:sz w:val="20"/>
          <w:szCs w:val="20"/>
          <w:color w:val="auto"/>
        </w:rPr>
        <w:t>. All representations and warranties made hereunder, in the other Credit Documents and in any document, certificate or statement delivered pursuant hereto or in connection herewith shall survive the execution and</w:t>
      </w:r>
    </w:p>
    <w:p>
      <w:pPr>
        <w:spacing w:after="0" w:line="224" w:lineRule="auto"/>
        <w:rPr>
          <w:sz w:val="20"/>
          <w:szCs w:val="20"/>
          <w:color w:val="auto"/>
        </w:rPr>
      </w:pPr>
      <w:r>
        <w:rPr>
          <w:rFonts w:ascii="Times New Roman" w:cs="Times New Roman" w:eastAsia="Times New Roman" w:hAnsi="Times New Roman"/>
          <w:sz w:val="19"/>
          <w:szCs w:val="19"/>
          <w:color w:val="auto"/>
        </w:rPr>
        <w:t>delivery of this Agreement and the making of the Loans hereunder. Such representations and warranties shall continue in full force and effect</w:t>
      </w:r>
    </w:p>
    <w:p>
      <w:pPr>
        <w:ind w:right="20"/>
        <w:spacing w:after="0" w:line="221" w:lineRule="auto"/>
        <w:rPr>
          <w:sz w:val="20"/>
          <w:szCs w:val="20"/>
          <w:color w:val="auto"/>
        </w:rPr>
      </w:pPr>
      <w:r>
        <w:rPr>
          <w:rFonts w:ascii="Times New Roman" w:cs="Times New Roman" w:eastAsia="Times New Roman" w:hAnsi="Times New Roman"/>
          <w:sz w:val="20"/>
          <w:szCs w:val="20"/>
          <w:color w:val="auto"/>
        </w:rPr>
        <w:t>as long as any Loan or any other Obligation hereunder shall remain unpaid or unsatisfied (other than contingent indemnification obligations not then due and payable).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u w:val="single" w:color="auto"/>
          <w:color w:val="auto"/>
        </w:rPr>
        <w:t>Payment of Expenses; Indemnification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20" w:firstLine="656"/>
        <w:spacing w:after="0" w:line="233" w:lineRule="auto"/>
        <w:tabs>
          <w:tab w:leader="none" w:pos="1286"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(i) to pay or reimburse the Administrative Agent and the other Agents and the Arrangers for all reasonable and documented out-of-pocket costs and expenses incurred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ectPr>
          <w:pgSz w:w="11900" w:h="16838" w:orient="portrait"/>
          <w:cols w:equalWidth="0" w:num="1">
            <w:col w:w="11240"/>
          </w:cols>
          <w:pgMar w:left="320" w:top="1399"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0"/>
          <w:szCs w:val="20"/>
          <w:color w:val="auto"/>
        </w:rPr>
        <w:t>connection with the preparation, negotiation, syndication and execution of this Agreement and the other Credit Documents, and any</w:t>
      </w:r>
    </w:p>
    <w:p>
      <w:pPr>
        <w:spacing w:after="0" w:line="215" w:lineRule="auto"/>
        <w:rPr>
          <w:sz w:val="20"/>
          <w:szCs w:val="20"/>
          <w:color w:val="auto"/>
        </w:rPr>
      </w:pPr>
      <w:r>
        <w:rPr>
          <w:rFonts w:ascii="Times New Roman" w:cs="Times New Roman" w:eastAsia="Times New Roman" w:hAnsi="Times New Roman"/>
          <w:sz w:val="19"/>
          <w:szCs w:val="19"/>
          <w:color w:val="auto"/>
        </w:rPr>
        <w:t>amendment, waiver, consent or other modification of the provisions hereof and thereof (whether or not the transactions contemplated thereby are consummated), and the consummation and administration (including all reasonable and documented costs, expenses, taxes, assessments</w:t>
      </w:r>
    </w:p>
    <w:p>
      <w:pPr>
        <w:spacing w:after="0" w:line="222" w:lineRule="auto"/>
        <w:rPr>
          <w:sz w:val="20"/>
          <w:szCs w:val="20"/>
          <w:color w:val="auto"/>
        </w:rPr>
      </w:pPr>
      <w:r>
        <w:rPr>
          <w:rFonts w:ascii="Times New Roman" w:cs="Times New Roman" w:eastAsia="Times New Roman" w:hAnsi="Times New Roman"/>
          <w:sz w:val="19"/>
          <w:szCs w:val="19"/>
          <w:color w:val="auto"/>
        </w:rPr>
        <w:t>and other charges incurred by the Administrative Agent, Collateral Agent or any Lender in connection with any filing, registration, recording</w:t>
      </w:r>
    </w:p>
    <w:p>
      <w:pPr>
        <w:spacing w:after="0" w:line="204" w:lineRule="auto"/>
        <w:rPr>
          <w:sz w:val="20"/>
          <w:szCs w:val="20"/>
          <w:color w:val="auto"/>
        </w:rPr>
      </w:pPr>
      <w:r>
        <w:rPr>
          <w:rFonts w:ascii="Times New Roman" w:cs="Times New Roman" w:eastAsia="Times New Roman" w:hAnsi="Times New Roman"/>
          <w:sz w:val="20"/>
          <w:szCs w:val="20"/>
          <w:color w:val="auto"/>
        </w:rPr>
        <w:t>or perfection of any security interest contemplated by this Agreement or any Security Document or any other document referred to therein or conducting of title reviews, mortgage matches and collateral reviews) of the transactions contemplated hereby and thereby, including all</w:t>
      </w:r>
    </w:p>
    <w:p>
      <w:pPr>
        <w:spacing w:after="0" w:line="211" w:lineRule="auto"/>
        <w:rPr>
          <w:sz w:val="20"/>
          <w:szCs w:val="20"/>
          <w:color w:val="auto"/>
        </w:rPr>
      </w:pPr>
      <w:r>
        <w:rPr>
          <w:rFonts w:ascii="Times New Roman" w:cs="Times New Roman" w:eastAsia="Times New Roman" w:hAnsi="Times New Roman"/>
          <w:sz w:val="20"/>
          <w:szCs w:val="20"/>
          <w:color w:val="auto"/>
        </w:rPr>
        <w:t>Attorney Costs, which shall be limited to Latham &amp; Watkins LLP and one local counsel as reasonably necessary in any relevant jurisdiction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material to the interests of the Lenders taken as a whole and one regulatory counsel to all such Persons as reasonably necessary with respect to a relevant regulatory matter, taken as a whole, (and solely in the case of an actual conflict of interest, one additional counsel and (if</w:t>
      </w:r>
    </w:p>
    <w:p>
      <w:pPr>
        <w:spacing w:after="0" w:line="211" w:lineRule="auto"/>
        <w:rPr>
          <w:sz w:val="20"/>
          <w:szCs w:val="20"/>
          <w:color w:val="auto"/>
        </w:rPr>
      </w:pPr>
      <w:r>
        <w:rPr>
          <w:rFonts w:ascii="Times New Roman" w:cs="Times New Roman" w:eastAsia="Times New Roman" w:hAnsi="Times New Roman"/>
          <w:sz w:val="20"/>
          <w:szCs w:val="20"/>
          <w:color w:val="auto"/>
        </w:rPr>
        <w:t>reasonably necessary) one local counsel and one regulatory counsel in each relevant jurisdiction to the affected Indemnitees similarly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situated) and (ii) to pay or reimburse the Administrative Agent, Collateral Agent, the Issuing Banks and each Lender for all reasonable and documented out-of-pocket costs and expenses incurred in connection with the enforcement of any rights or remedies under this Agreement or</w:t>
      </w:r>
    </w:p>
    <w:p>
      <w:pPr>
        <w:spacing w:after="0" w:line="211" w:lineRule="auto"/>
        <w:rPr>
          <w:sz w:val="20"/>
          <w:szCs w:val="20"/>
          <w:color w:val="auto"/>
        </w:rPr>
      </w:pPr>
      <w:r>
        <w:rPr>
          <w:rFonts w:ascii="Times New Roman" w:cs="Times New Roman" w:eastAsia="Times New Roman" w:hAnsi="Times New Roman"/>
          <w:sz w:val="20"/>
          <w:szCs w:val="20"/>
          <w:color w:val="auto"/>
        </w:rPr>
        <w:t>the other Credit Documents (including all such costs and expenses incurred during any legal proceeding, including any bankruptcy or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insolvency proceeding, and including all respective Attorney Costs). The agreements in this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xml:space="preserve"> shall survive the repayment of all other Obligations. All amounts due under this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xml:space="preserve"> shall be paid within thirty (30) days after written demand therefor (together with</w:t>
      </w:r>
    </w:p>
    <w:p>
      <w:pPr>
        <w:spacing w:after="0" w:line="211" w:lineRule="auto"/>
        <w:rPr>
          <w:sz w:val="20"/>
          <w:szCs w:val="20"/>
          <w:color w:val="auto"/>
        </w:rPr>
      </w:pPr>
      <w:r>
        <w:rPr>
          <w:rFonts w:ascii="Times New Roman" w:cs="Times New Roman" w:eastAsia="Times New Roman" w:hAnsi="Times New Roman"/>
          <w:sz w:val="20"/>
          <w:szCs w:val="20"/>
          <w:color w:val="auto"/>
        </w:rPr>
        <w:t>backup documentation supporting such reimbursement request). If any Credit Party fails to pay when due any costs, expenses or other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amounts payable by it hereunder or under any Credit Document, such amount may be paid on behalf of such Credit Party by the Administrative Agent in its discretion.</w:t>
      </w:r>
    </w:p>
    <w:p>
      <w:pPr>
        <w:spacing w:after="0" w:line="162" w:lineRule="exact"/>
        <w:rPr>
          <w:sz w:val="20"/>
          <w:szCs w:val="20"/>
          <w:color w:val="auto"/>
        </w:rPr>
      </w:pPr>
    </w:p>
    <w:p>
      <w:pPr>
        <w:jc w:val="both"/>
        <w:ind w:firstLine="656"/>
        <w:spacing w:after="0" w:line="219" w:lineRule="auto"/>
        <w:tabs>
          <w:tab w:leader="none" w:pos="1284" w:val="left"/>
        </w:tabs>
        <w:numPr>
          <w:ilvl w:val="1"/>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indemnify and hold harmless each Agent, Lender, Issuing Bank, Arranger, Agent-Related Party and their Affiliates, and their respective Related Parties (collectively the “</w:t>
      </w:r>
      <w:r>
        <w:rPr>
          <w:rFonts w:ascii="Times New Roman" w:cs="Times New Roman" w:eastAsia="Times New Roman" w:hAnsi="Times New Roman"/>
          <w:sz w:val="19"/>
          <w:szCs w:val="19"/>
          <w:u w:val="single" w:color="auto"/>
          <w:color w:val="auto"/>
        </w:rPr>
        <w:t>Indemnitees</w:t>
      </w:r>
      <w:r>
        <w:rPr>
          <w:rFonts w:ascii="Times New Roman" w:cs="Times New Roman" w:eastAsia="Times New Roman" w:hAnsi="Times New Roman"/>
          <w:sz w:val="19"/>
          <w:szCs w:val="19"/>
          <w:color w:val="auto"/>
        </w:rPr>
        <w:t>”) from and against any and all liabilities, losses, damages, claims, or out-of-pocket expenses (including Attorney Costs but limited in the case of legal fees and expenses to the reasonable and documented out-of-pocket fees, disbursements and other charges of one counsel to all Indemnitees taken as a whole (and solely in the case of an actual conflict of interest, one additional counsel to the affected Indemnitees, taken as a whole) and (if reasonably necessary) one local counsel, in any relevant material jurisdiction) of any kind or nature whatsoever which may at any time be imposed on, incurred by or asserted against any such Indemnitee in any way relating to or arising out of or in connection with (i) the execution, delivery, enforcement, performance or administration of any Credit Document or any other agreement, letter or instrument delivered in connection with the transactions contemplated thereby or the consummation of the transactions contemplated thereby, (ii) any Commitment, Letter of Credit, or Loan or the use or proposed use of the proceeds therefrom (including any refusal by an Issuing Bank to honor a demand for payment under a Letter of Credit if the documents presented in connection with such demand do not strictly comply with the terms of such Letter of Credit),</w:t>
      </w:r>
    </w:p>
    <w:p>
      <w:pPr>
        <w:spacing w:after="0" w:line="2" w:lineRule="exact"/>
        <w:rPr>
          <w:rFonts w:ascii="Times New Roman" w:cs="Times New Roman" w:eastAsia="Times New Roman" w:hAnsi="Times New Roman"/>
          <w:sz w:val="19"/>
          <w:szCs w:val="19"/>
          <w:color w:val="auto"/>
        </w:rPr>
      </w:pPr>
    </w:p>
    <w:p>
      <w:pPr>
        <w:jc w:val="both"/>
        <w:ind w:firstLine="8"/>
        <w:spacing w:after="0" w:line="209" w:lineRule="auto"/>
        <w:tabs>
          <w:tab w:leader="none" w:pos="362"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violation of, noncompliance with or liability under, any applicable Environmental Law by the Credit Parties, any actual or alleged Environmental Claim regarding liability or obligation of or relating to the Credit Parties or any Subsidiary, or any actual or alleged presence, Release or threatened Release of Hazardous Materials involving or relating to the operations of the Borrower, any of its Subsidiaries or any of the Oil and Gas Properties, including any Release or threatened Release that occurs during any period when any Agent or Lender is in possession of any Oil and Gas Property to the extent not arising out of the action or omission of such Agent or Lender, or (iv)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 “</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and regardless of whether any Indemnitee is a party thereto or whether or not such Proceeding is brought by the Borrower or any other Person and, in each case, whether or not caused by or arising, in whole or in part, out of the negligence of the Indemnitee (all of the foregoing, collectively, the “</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liabilities, losses, damages, claims or out-of-pocket expenses resulted from (x) the gross negligence or willful misconduct of such Indemnitee or of any of its Related Indemnified Persons, as determined by a final non-appealable judgment of a court of competent jurisdiction, (y) other than with respect to any Agent or Agent-Related Party and their Affiliates, a material breach of any obligations under any Credit Document by such Indemnitee or of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ectPr>
          <w:pgSz w:w="11900" w:h="16838" w:orient="portrait"/>
          <w:cols w:equalWidth="0" w:num="1">
            <w:col w:w="11240"/>
          </w:cols>
          <w:pgMar w:left="320" w:top="1394"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9"/>
          <w:szCs w:val="19"/>
          <w:color w:val="auto"/>
        </w:rPr>
        <w:t>Related Indemnified Persons, as determined by a final non-appealable judgment of a court of competent jurisdiction or (z) any dispute solely</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among Indemnitees other than any claims against an Indemnitee in its capacity or in fulfilling its role as an administrative agent or collateral agent or arranger or any similar role under this Agreement and other than any claims arising out of any act or omission of the Borrower or</w:t>
      </w:r>
    </w:p>
    <w:p>
      <w:pPr>
        <w:spacing w:after="0" w:line="223" w:lineRule="auto"/>
        <w:rPr>
          <w:sz w:val="20"/>
          <w:szCs w:val="20"/>
          <w:color w:val="auto"/>
        </w:rPr>
      </w:pPr>
      <w:r>
        <w:rPr>
          <w:rFonts w:ascii="Times New Roman" w:cs="Times New Roman" w:eastAsia="Times New Roman" w:hAnsi="Times New Roman"/>
          <w:sz w:val="19"/>
          <w:szCs w:val="19"/>
          <w:color w:val="auto"/>
        </w:rPr>
        <w:t>any of its Affiliates (as determined in a final and non-appealable judgment of a court of competent jurisdiction). No Indemnitee shall be liable</w:t>
      </w:r>
    </w:p>
    <w:p>
      <w:pPr>
        <w:jc w:val="both"/>
        <w:spacing w:after="0" w:line="215" w:lineRule="auto"/>
        <w:rPr>
          <w:sz w:val="20"/>
          <w:szCs w:val="20"/>
          <w:color w:val="auto"/>
        </w:rPr>
      </w:pPr>
      <w:r>
        <w:rPr>
          <w:rFonts w:ascii="Times New Roman" w:cs="Times New Roman" w:eastAsia="Times New Roman" w:hAnsi="Times New Roman"/>
          <w:sz w:val="19"/>
          <w:szCs w:val="19"/>
          <w:color w:val="auto"/>
        </w:rPr>
        <w:t>for any damages arising from the use by others of any information or other materials obtained through IntraLinks or other similar information transmission systems in connection with this Agreement (except for direct (as opposed to indirect, special, punitive or consequential)</w:t>
      </w:r>
    </w:p>
    <w:p>
      <w:pPr>
        <w:spacing w:after="0" w:line="211" w:lineRule="auto"/>
        <w:rPr>
          <w:sz w:val="20"/>
          <w:szCs w:val="20"/>
          <w:color w:val="auto"/>
        </w:rPr>
      </w:pPr>
      <w:r>
        <w:rPr>
          <w:rFonts w:ascii="Times New Roman" w:cs="Times New Roman" w:eastAsia="Times New Roman" w:hAnsi="Times New Roman"/>
          <w:sz w:val="20"/>
          <w:szCs w:val="20"/>
          <w:color w:val="auto"/>
        </w:rPr>
        <w:t>damages resulting from the gross negligence or willful misconduct, as determined by a court of competent jurisdiction in a final and non-</w:t>
      </w:r>
    </w:p>
    <w:p>
      <w:pPr>
        <w:spacing w:after="0" w:line="215" w:lineRule="auto"/>
        <w:rPr>
          <w:sz w:val="20"/>
          <w:szCs w:val="20"/>
          <w:color w:val="auto"/>
        </w:rPr>
      </w:pPr>
      <w:r>
        <w:rPr>
          <w:rFonts w:ascii="Times New Roman" w:cs="Times New Roman" w:eastAsia="Times New Roman" w:hAnsi="Times New Roman"/>
          <w:sz w:val="19"/>
          <w:szCs w:val="19"/>
          <w:color w:val="auto"/>
        </w:rPr>
        <w:t>appealable judgment, of such Indemnitee), nor shall any Indemnitee, Agent-Related Parties, Credit Party or any Subsidiary have any liability for any special, punitive, indirect or consequential damages relating to this Agreement or any other Credit Document or arising out of its</w:t>
      </w:r>
    </w:p>
    <w:p>
      <w:pPr>
        <w:spacing w:after="0" w:line="222" w:lineRule="auto"/>
        <w:rPr>
          <w:sz w:val="20"/>
          <w:szCs w:val="20"/>
          <w:color w:val="auto"/>
        </w:rPr>
      </w:pPr>
      <w:r>
        <w:rPr>
          <w:rFonts w:ascii="Times New Roman" w:cs="Times New Roman" w:eastAsia="Times New Roman" w:hAnsi="Times New Roman"/>
          <w:sz w:val="19"/>
          <w:szCs w:val="19"/>
          <w:color w:val="auto"/>
        </w:rPr>
        <w:t>activities in connection herewith or therewith (whether before or after the Closing Date) (other than, in the case of any Credit Party, in respect</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of any such damages incurred or paid by an Indemnitee to a third party, or which are included in a third-party claim, for which the Borrower is required to indemnify such Indemnitee pursuant to this </w:t>
      </w:r>
      <w:r>
        <w:rPr>
          <w:rFonts w:ascii="Times New Roman" w:cs="Times New Roman" w:eastAsia="Times New Roman" w:hAnsi="Times New Roman"/>
          <w:sz w:val="20"/>
          <w:szCs w:val="20"/>
          <w:u w:val="single" w:color="auto"/>
          <w:color w:val="auto"/>
        </w:rPr>
        <w:t>Section 13.5(b)</w:t>
      </w:r>
      <w:r>
        <w:rPr>
          <w:rFonts w:ascii="Times New Roman" w:cs="Times New Roman" w:eastAsia="Times New Roman" w:hAnsi="Times New Roman"/>
          <w:sz w:val="20"/>
          <w:szCs w:val="20"/>
          <w:color w:val="auto"/>
        </w:rPr>
        <w:t>, and for any out-of-pocket expenses related thereto). In the case of</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an investigation, litigation or other Proceeding to which the indemnity in this </w:t>
      </w:r>
      <w:r>
        <w:rPr>
          <w:rFonts w:ascii="Times New Roman" w:cs="Times New Roman" w:eastAsia="Times New Roman" w:hAnsi="Times New Roman"/>
          <w:sz w:val="19"/>
          <w:szCs w:val="19"/>
          <w:u w:val="single" w:color="auto"/>
          <w:color w:val="auto"/>
        </w:rPr>
        <w:t>Section 13.5</w:t>
      </w:r>
      <w:r>
        <w:rPr>
          <w:rFonts w:ascii="Times New Roman" w:cs="Times New Roman" w:eastAsia="Times New Roman" w:hAnsi="Times New Roman"/>
          <w:sz w:val="19"/>
          <w:szCs w:val="19"/>
          <w:color w:val="auto"/>
        </w:rPr>
        <w:t xml:space="preserve"> applies, such indemnity shall be effective whether</w:t>
      </w:r>
    </w:p>
    <w:p>
      <w:pPr>
        <w:spacing w:after="0" w:line="215" w:lineRule="auto"/>
        <w:rPr>
          <w:sz w:val="20"/>
          <w:szCs w:val="20"/>
          <w:color w:val="auto"/>
        </w:rPr>
      </w:pPr>
      <w:r>
        <w:rPr>
          <w:rFonts w:ascii="Times New Roman" w:cs="Times New Roman" w:eastAsia="Times New Roman" w:hAnsi="Times New Roman"/>
          <w:sz w:val="19"/>
          <w:szCs w:val="19"/>
          <w:color w:val="auto"/>
        </w:rPr>
        <w:t>or not such investigation, litigation or Proceeding is brought by any Credit Party, any Subsidiary of any Credit Party, its directors, stockholders or creditors or an Indemnitee or any other Person, whether or not any Indemnitee is otherwise a party thereto and whether or not</w:t>
      </w:r>
    </w:p>
    <w:p>
      <w:pPr>
        <w:spacing w:after="0" w:line="211" w:lineRule="auto"/>
        <w:rPr>
          <w:sz w:val="20"/>
          <w:szCs w:val="20"/>
          <w:color w:val="auto"/>
        </w:rPr>
      </w:pPr>
      <w:r>
        <w:rPr>
          <w:rFonts w:ascii="Times New Roman" w:cs="Times New Roman" w:eastAsia="Times New Roman" w:hAnsi="Times New Roman"/>
          <w:sz w:val="20"/>
          <w:szCs w:val="20"/>
          <w:color w:val="auto"/>
        </w:rPr>
        <w:t>any of the transactions contemplated hereunder or under any of the other Credit Documents are consummated. All amounts due under this</w:t>
      </w:r>
    </w:p>
    <w:p>
      <w:pPr>
        <w:spacing w:after="0" w:line="215" w:lineRule="auto"/>
        <w:rPr>
          <w:sz w:val="20"/>
          <w:szCs w:val="20"/>
          <w:color w:val="auto"/>
        </w:rPr>
      </w:pPr>
      <w:r>
        <w:rPr>
          <w:rFonts w:ascii="Times New Roman" w:cs="Times New Roman" w:eastAsia="Times New Roman" w:hAnsi="Times New Roman"/>
          <w:sz w:val="19"/>
          <w:szCs w:val="19"/>
          <w:u w:val="single" w:color="auto"/>
          <w:color w:val="auto"/>
        </w:rPr>
        <w:t>Section 13.5</w:t>
      </w:r>
      <w:r>
        <w:rPr>
          <w:rFonts w:ascii="Times New Roman" w:cs="Times New Roman" w:eastAsia="Times New Roman" w:hAnsi="Times New Roman"/>
          <w:sz w:val="19"/>
          <w:szCs w:val="19"/>
          <w:color w:val="auto"/>
        </w:rPr>
        <w:t xml:space="preserve"> shall be paid within thirty (30) days after written demand therefor (together with backup documentation supporting such reimbursement request);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such Indemnitee shall promptly refund such amount to the extent that there is a final judicial</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determination that such Indemnitee was not entitled to indemnification rights with respect to such payment pursuant to the express terms of this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xml:space="preserve">. The agreements in this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xml:space="preserve"> shall survive the resignation of the Administrative Agent, the Collateral Agent or</w:t>
      </w:r>
    </w:p>
    <w:p>
      <w:pPr>
        <w:spacing w:after="0" w:line="223" w:lineRule="auto"/>
        <w:rPr>
          <w:sz w:val="20"/>
          <w:szCs w:val="20"/>
          <w:color w:val="auto"/>
        </w:rPr>
      </w:pPr>
      <w:r>
        <w:rPr>
          <w:rFonts w:ascii="Times New Roman" w:cs="Times New Roman" w:eastAsia="Times New Roman" w:hAnsi="Times New Roman"/>
          <w:sz w:val="19"/>
          <w:szCs w:val="19"/>
          <w:color w:val="auto"/>
        </w:rPr>
        <w:t>Issuing Bank, the replacement of any of the foregoing or any Lender and the repayment, satisfaction or discharge of all the other Obligations.</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For the avoidance of doubt, this </w:t>
      </w:r>
      <w:r>
        <w:rPr>
          <w:rFonts w:ascii="Times New Roman" w:cs="Times New Roman" w:eastAsia="Times New Roman" w:hAnsi="Times New Roman"/>
          <w:sz w:val="20"/>
          <w:szCs w:val="20"/>
          <w:u w:val="single" w:color="auto"/>
          <w:color w:val="auto"/>
        </w:rPr>
        <w:t>Section 13.5(b)</w:t>
      </w:r>
      <w:r>
        <w:rPr>
          <w:rFonts w:ascii="Times New Roman" w:cs="Times New Roman" w:eastAsia="Times New Roman" w:hAnsi="Times New Roman"/>
          <w:sz w:val="20"/>
          <w:szCs w:val="20"/>
          <w:color w:val="auto"/>
        </w:rPr>
        <w:t xml:space="preserve"> shall not apply to Taxes, except any Taxes that represent liabilities, obligations, losses, damages, penalties, claims, demands, actions, prepayments, suits, costs, expenses and disbursements arising from any non-Tax claims.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u w:val="single" w:color="auto"/>
          <w:color w:val="auto"/>
        </w:rPr>
        <w:t>Successors and Assigns; Participations and Assignments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2" w:lineRule="auto"/>
        <w:tabs>
          <w:tab w:leader="none" w:pos="1286"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Agreement shall be binding upon and inure to the benefit of the parties hereto and their respective successors and assigns permitted hereby (including any Affiliate of each Issuing Bank that issues any Letter of Credit), except that (i) except as expressly permitted by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any of its rights or obligations hereunder except in accordance with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Nothing in this Agreement, expressed or implied, shall be construed to confer upon any Person (other than the parties hereto, their respective successors and assigns permitted hereby (including any Affiliate of each Issuing Bank that issues any Letter of Credit), Participants (to the extent provided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and, to the extent expressly contemplated hereby, the Agent-Related Parties and each other Person entitled to indemnification under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any legal or equitable right, remedy or claim under or by reason of this Agreement.</w:t>
      </w:r>
    </w:p>
    <w:p>
      <w:pPr>
        <w:spacing w:after="0" w:line="155"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Subject to the conditions set forth in </w:t>
      </w:r>
      <w:r>
        <w:rPr>
          <w:rFonts w:ascii="Times New Roman" w:cs="Times New Roman" w:eastAsia="Times New Roman" w:hAnsi="Times New Roman"/>
          <w:sz w:val="20"/>
          <w:szCs w:val="20"/>
          <w:u w:val="single" w:color="auto"/>
          <w:color w:val="auto"/>
        </w:rPr>
        <w:t>Section 13.6(b)(ii)</w:t>
      </w:r>
      <w:r>
        <w:rPr>
          <w:rFonts w:ascii="Times New Roman" w:cs="Times New Roman" w:eastAsia="Times New Roman" w:hAnsi="Times New Roman"/>
          <w:sz w:val="20"/>
          <w:szCs w:val="20"/>
          <w:color w:val="auto"/>
        </w:rPr>
        <w:t xml:space="preserve"> below, any Lender may at any time assign to one or more assignees (other than the Borrower, its Subsidiaries and their respective Affiliates, any natural person, or any Defaulting Lender) all or a portion of its rights and obligations under this Agreement (including all or a portion of its Commitments and the Loans (including participations in L/C Obligations) at the time owing to it) with the prior written consent of:</w:t>
      </w:r>
    </w:p>
    <w:p>
      <w:pPr>
        <w:spacing w:after="0" w:line="157" w:lineRule="exact"/>
        <w:rPr>
          <w:rFonts w:ascii="Times New Roman" w:cs="Times New Roman" w:eastAsia="Times New Roman" w:hAnsi="Times New Roman"/>
          <w:sz w:val="20"/>
          <w:szCs w:val="20"/>
          <w:color w:val="auto"/>
        </w:rPr>
      </w:pPr>
    </w:p>
    <w:p>
      <w:pPr>
        <w:ind w:left="1300" w:firstLine="652"/>
        <w:spacing w:after="0" w:line="245" w:lineRule="auto"/>
        <w:tabs>
          <w:tab w:leader="none" w:pos="2587"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(not to be unreasonably withheld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consent of the Borrower shall be required (x) for an assignment to an existing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ectPr>
          <w:pgSz w:w="11900" w:h="16838" w:orient="portrait"/>
          <w:cols w:equalWidth="0" w:num="1">
            <w:col w:w="11240"/>
          </w:cols>
          <w:pgMar w:left="320" w:top="1399" w:right="339" w:bottom="1440" w:gutter="0" w:footer="0" w:header="0"/>
        </w:sectPr>
      </w:pPr>
    </w:p>
    <w:bookmarkStart w:id="192" w:name="page193"/>
    <w:bookmarkEnd w:id="192"/>
    <w:p>
      <w:pPr>
        <w:ind w:left="180"/>
        <w:spacing w:after="0"/>
        <w:rPr>
          <w:sz w:val="20"/>
          <w:szCs w:val="20"/>
          <w:color w:val="auto"/>
        </w:rPr>
      </w:pPr>
      <w:r>
        <w:rPr>
          <w:rFonts w:ascii="Times New Roman" w:cs="Times New Roman" w:eastAsia="Times New Roman" w:hAnsi="Times New Roman"/>
          <w:sz w:val="20"/>
          <w:szCs w:val="20"/>
          <w:color w:val="auto"/>
        </w:rPr>
        <w:t>and their Affiliates and (y) for an assignment if an Event of Default has occurred and is continuing; and</w:t>
      </w:r>
    </w:p>
    <w:p>
      <w:pPr>
        <w:spacing w:after="0" w:line="189" w:lineRule="exact"/>
        <w:rPr>
          <w:sz w:val="20"/>
          <w:szCs w:val="20"/>
          <w:color w:val="auto"/>
        </w:rPr>
      </w:pPr>
    </w:p>
    <w:p>
      <w:pPr>
        <w:jc w:val="both"/>
        <w:ind w:left="180" w:firstLine="652"/>
        <w:spacing w:after="0" w:line="226" w:lineRule="auto"/>
        <w:tabs>
          <w:tab w:leader="none" w:pos="1470"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and each Issuing Bank (in each case, not to be unreasonably withheld or delayed);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 consent of the Administrative Agent shall be required for an assignment to an existing Lender and their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Affiliates.</w:t>
      </w:r>
    </w:p>
    <w:p>
      <w:pPr>
        <w:spacing w:after="0" w:line="160" w:lineRule="exact"/>
        <w:rPr>
          <w:rFonts w:ascii="Times New Roman" w:cs="Times New Roman" w:eastAsia="Times New Roman" w:hAnsi="Times New Roman"/>
          <w:sz w:val="20"/>
          <w:szCs w:val="20"/>
          <w:color w:val="auto"/>
        </w:rPr>
      </w:pPr>
    </w:p>
    <w:p>
      <w:pPr>
        <w:ind w:left="820" w:hanging="636"/>
        <w:spacing w:after="0"/>
        <w:tabs>
          <w:tab w:leader="none" w:pos="82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175" w:lineRule="exact"/>
        <w:rPr>
          <w:rFonts w:ascii="Times New Roman" w:cs="Times New Roman" w:eastAsia="Times New Roman" w:hAnsi="Times New Roman"/>
          <w:sz w:val="20"/>
          <w:szCs w:val="20"/>
          <w:color w:val="auto"/>
        </w:rPr>
      </w:pPr>
    </w:p>
    <w:p>
      <w:pPr>
        <w:jc w:val="both"/>
        <w:ind w:left="180" w:firstLine="652"/>
        <w:spacing w:after="0" w:line="218" w:lineRule="auto"/>
        <w:tabs>
          <w:tab w:leader="none" w:pos="1467"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or an integral multiple of $5,000,000, unless each of the Borrower, each Issuing Bank and the Administrative Agent otherwise consents (which consents shall not be unreasonably withheld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consent of the Borrower shall be required if an Event of Default has occurred and is continuing;</w:t>
      </w:r>
    </w:p>
    <w:p>
      <w:pPr>
        <w:spacing w:after="0" w:line="150" w:lineRule="exact"/>
        <w:rPr>
          <w:rFonts w:ascii="Times New Roman" w:cs="Times New Roman" w:eastAsia="Times New Roman" w:hAnsi="Times New Roman"/>
          <w:sz w:val="20"/>
          <w:szCs w:val="20"/>
          <w:color w:val="auto"/>
        </w:rPr>
      </w:pPr>
    </w:p>
    <w:p>
      <w:pPr>
        <w:ind w:left="180" w:firstLine="652"/>
        <w:spacing w:after="0"/>
        <w:tabs>
          <w:tab w:leader="none" w:pos="1470"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partial assignment shall be made as an assignment of a proportionate part of all the assigning Lender’s rights and obligations under this Agreement;</w:t>
      </w:r>
    </w:p>
    <w:p>
      <w:pPr>
        <w:spacing w:after="0" w:line="161" w:lineRule="exact"/>
        <w:rPr>
          <w:rFonts w:ascii="Times New Roman" w:cs="Times New Roman" w:eastAsia="Times New Roman" w:hAnsi="Times New Roman"/>
          <w:sz w:val="20"/>
          <w:szCs w:val="20"/>
          <w:color w:val="auto"/>
        </w:rPr>
      </w:pPr>
    </w:p>
    <w:p>
      <w:pPr>
        <w:jc w:val="both"/>
        <w:ind w:left="180" w:firstLine="652"/>
        <w:spacing w:after="0" w:line="222" w:lineRule="auto"/>
        <w:tabs>
          <w:tab w:leader="none" w:pos="1470"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may, in its sole discretion, elect to waive such processing and recordation fee in the case of any assignment and the Administrative Agent shall enter the relevant information in the Register pursuant to </w:t>
      </w:r>
      <w:r>
        <w:rPr>
          <w:rFonts w:ascii="Times New Roman" w:cs="Times New Roman" w:eastAsia="Times New Roman" w:hAnsi="Times New Roman"/>
          <w:sz w:val="20"/>
          <w:szCs w:val="20"/>
          <w:u w:val="single" w:color="auto"/>
          <w:color w:val="auto"/>
        </w:rPr>
        <w:t>clause (b)(iv)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and</w:t>
      </w:r>
    </w:p>
    <w:p>
      <w:pPr>
        <w:spacing w:after="0" w:line="148" w:lineRule="exact"/>
        <w:rPr>
          <w:rFonts w:ascii="Times New Roman" w:cs="Times New Roman" w:eastAsia="Times New Roman" w:hAnsi="Times New Roman"/>
          <w:sz w:val="20"/>
          <w:szCs w:val="20"/>
          <w:color w:val="auto"/>
        </w:rPr>
      </w:pPr>
    </w:p>
    <w:p>
      <w:pPr>
        <w:jc w:val="both"/>
        <w:ind w:left="180" w:firstLine="652"/>
        <w:spacing w:after="0" w:line="226" w:lineRule="auto"/>
        <w:tabs>
          <w:tab w:leader="none" w:pos="1467"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assignee, if it shall not be a Lender immediately prior to such assignment, shall deliver to the Administrative Agent an Administrative Questionnaire and applicable Tax forms (including those described in </w:t>
      </w:r>
      <w:r>
        <w:rPr>
          <w:rFonts w:ascii="Times New Roman" w:cs="Times New Roman" w:eastAsia="Times New Roman" w:hAnsi="Times New Roman"/>
          <w:sz w:val="20"/>
          <w:szCs w:val="20"/>
          <w:u w:val="single" w:color="auto"/>
          <w:color w:val="auto"/>
        </w:rPr>
        <w:t>Section 5.4(f)</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left="-460" w:firstLine="644"/>
        <w:spacing w:after="0" w:line="213" w:lineRule="auto"/>
        <w:tabs>
          <w:tab w:leader="none" w:pos="835"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acceptance and recording thereof pursuant to </w:t>
      </w:r>
      <w:r>
        <w:rPr>
          <w:rFonts w:ascii="Times New Roman" w:cs="Times New Roman" w:eastAsia="Times New Roman" w:hAnsi="Times New Roman"/>
          <w:sz w:val="20"/>
          <w:szCs w:val="20"/>
          <w:u w:val="single" w:color="auto"/>
          <w:color w:val="auto"/>
        </w:rPr>
        <w:t>clause (b)(iv)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13.5</w:t>
      </w:r>
      <w:r>
        <w:rPr>
          <w:rFonts w:ascii="Times New Roman" w:cs="Times New Roman" w:eastAsia="Times New Roman" w:hAnsi="Times New Roman"/>
          <w:sz w:val="20"/>
          <w:szCs w:val="20"/>
          <w:color w:val="auto"/>
        </w:rPr>
        <w:t xml:space="preserve">). Any assignment or transfer by a Lender of rights or obligations under this Agreement that does not comply with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460" w:firstLine="644"/>
        <w:spacing w:after="0" w:line="213" w:lineRule="auto"/>
        <w:tabs>
          <w:tab w:leader="none" w:pos="836"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acting solely for this purpose as a nonfiduciary agent of the Borrower, shall maintain at the Administrative Agent’s Office a copy of each Assignment and Assumption delivered to it and a register for the recordation of the names and addresses of the Lenders (including any SPVs that provide all or any part of a Loan pursuant to </w:t>
      </w:r>
      <w:r>
        <w:rPr>
          <w:rFonts w:ascii="Times New Roman" w:cs="Times New Roman" w:eastAsia="Times New Roman" w:hAnsi="Times New Roman"/>
          <w:sz w:val="20"/>
          <w:szCs w:val="20"/>
          <w:u w:val="single" w:color="auto"/>
          <w:color w:val="auto"/>
        </w:rPr>
        <w:t>Section 13.6(g)</w:t>
      </w:r>
      <w:r>
        <w:rPr>
          <w:rFonts w:ascii="Times New Roman" w:cs="Times New Roman" w:eastAsia="Times New Roman" w:hAnsi="Times New Roman"/>
          <w:sz w:val="20"/>
          <w:szCs w:val="20"/>
          <w:color w:val="auto"/>
        </w:rPr>
        <w:t xml:space="preserve"> hereof), and the Maximum Credit Amount and Elected Commitment, and principal amount (and stated interest amounts) of the Loans and L/C Obligations and any payment made by each Issuing Bank under any applicable Letter of Credit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Further, the Register shall contain the name and address of the Administrative Agent and the lending office through which each such Person acts under this Agreement. The entries in the Register shall be conclusive absent manifest error, and the Borrower, the Administrative Agent, the Collateral Agent, each Issuing Bank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146</w:t>
      </w:r>
    </w:p>
    <w:p>
      <w:pPr>
        <w:sectPr>
          <w:pgSz w:w="11900" w:h="16838" w:orient="portrait"/>
          <w:cols w:equalWidth="0" w:num="1">
            <w:col w:w="10120"/>
          </w:cols>
          <w:pgMar w:left="1440" w:top="1399" w:right="339" w:bottom="1440" w:gutter="0" w:footer="0" w:header="0"/>
        </w:sectPr>
      </w:pPr>
    </w:p>
    <w:bookmarkStart w:id="193" w:name="page194"/>
    <w:bookmarkEnd w:id="193"/>
    <w:p>
      <w:pPr>
        <w:ind w:left="660"/>
        <w:spacing w:after="0"/>
        <w:rPr>
          <w:sz w:val="20"/>
          <w:szCs w:val="20"/>
          <w:color w:val="auto"/>
        </w:rPr>
      </w:pPr>
      <w:r>
        <w:rPr>
          <w:rFonts w:ascii="Times New Roman" w:cs="Times New Roman" w:eastAsia="Times New Roman" w:hAnsi="Times New Roman"/>
          <w:sz w:val="19"/>
          <w:szCs w:val="19"/>
          <w:color w:val="auto"/>
        </w:rPr>
        <w:t>shall treat each Person whose name is recorded in the Register pursuant to the terms hereof as a Lender hereunder for all purposes of</w:t>
      </w:r>
    </w:p>
    <w:p>
      <w:pPr>
        <w:spacing w:after="0" w:line="6"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this Agreement, notwithstanding notice to the contrary. The Register shall be available for inspection by the Borrower, the Collateral Agent, each Issuing Bank and, solely with respect to itself, each other Lender, at any reasonable time and from time to time upon</w:t>
      </w:r>
    </w:p>
    <w:p>
      <w:pPr>
        <w:ind w:left="660"/>
        <w:spacing w:after="0"/>
        <w:rPr>
          <w:sz w:val="20"/>
          <w:szCs w:val="20"/>
          <w:color w:val="auto"/>
        </w:rPr>
      </w:pPr>
      <w:r>
        <w:rPr>
          <w:rFonts w:ascii="Times New Roman" w:cs="Times New Roman" w:eastAsia="Times New Roman" w:hAnsi="Times New Roman"/>
          <w:sz w:val="20"/>
          <w:szCs w:val="20"/>
          <w:color w:val="auto"/>
        </w:rPr>
        <w:t>reasonable prior notice.</w:t>
      </w:r>
    </w:p>
    <w:p>
      <w:pPr>
        <w:spacing w:after="0" w:line="167" w:lineRule="exact"/>
        <w:rPr>
          <w:sz w:val="20"/>
          <w:szCs w:val="20"/>
          <w:color w:val="auto"/>
        </w:rPr>
      </w:pPr>
    </w:p>
    <w:p>
      <w:pPr>
        <w:jc w:val="both"/>
        <w:ind w:left="660" w:firstLine="644"/>
        <w:spacing w:after="0" w:line="217" w:lineRule="auto"/>
        <w:tabs>
          <w:tab w:leader="none" w:pos="1945" w:val="left"/>
        </w:tabs>
        <w:numPr>
          <w:ilvl w:val="2"/>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(unless waived) and any written consent to such assignment required by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the Administrative Agent shall accept such Assignment and Assumption and record the information contained therein in the Register.</w:t>
      </w:r>
    </w:p>
    <w:p>
      <w:pPr>
        <w:spacing w:after="0" w:line="161" w:lineRule="exact"/>
        <w:rPr>
          <w:rFonts w:ascii="Times New Roman" w:cs="Times New Roman" w:eastAsia="Times New Roman" w:hAnsi="Times New Roman"/>
          <w:sz w:val="20"/>
          <w:szCs w:val="20"/>
          <w:color w:val="auto"/>
        </w:rPr>
      </w:pPr>
    </w:p>
    <w:p>
      <w:pPr>
        <w:jc w:val="both"/>
        <w:ind w:firstLine="656"/>
        <w:spacing w:after="0" w:line="221" w:lineRule="auto"/>
        <w:tabs>
          <w:tab w:leader="none" w:pos="1286" w:val="left"/>
        </w:tabs>
        <w:numPr>
          <w:ilvl w:val="1"/>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Any Lender may, without the consent of the Borrower, the Administrative Agent or any Issuing Bank, sell participations to one or more banks or other entities other than any Defaulting Lender, the Borrower or any Subsidiary of the Borrower or their respective Affiliates or natural persons (each,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such Lender’s obligations under this Agreement shall remain unchanged, (B) such Lender shall remain solely responsible to the other parties hereto for the performance of such obligations and</w:t>
      </w:r>
    </w:p>
    <w:p>
      <w:pPr>
        <w:spacing w:after="0" w:line="1" w:lineRule="exact"/>
        <w:rPr>
          <w:rFonts w:ascii="Times New Roman" w:cs="Times New Roman" w:eastAsia="Times New Roman" w:hAnsi="Times New Roman"/>
          <w:sz w:val="19"/>
          <w:szCs w:val="19"/>
          <w:color w:val="auto"/>
        </w:rPr>
      </w:pPr>
    </w:p>
    <w:p>
      <w:pPr>
        <w:ind w:left="340" w:hanging="332"/>
        <w:spacing w:after="0" w:line="211" w:lineRule="auto"/>
        <w:tabs>
          <w:tab w:leader="none" w:pos="34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the Administrative Agent, each Issuing Bank and the other Lenders shall continue to deal solely and directly with such</w:t>
      </w:r>
    </w:p>
    <w:p>
      <w:pPr>
        <w:spacing w:after="0" w:line="211" w:lineRule="auto"/>
        <w:rPr>
          <w:sz w:val="20"/>
          <w:szCs w:val="20"/>
          <w:color w:val="auto"/>
        </w:rPr>
      </w:pPr>
      <w:r>
        <w:rPr>
          <w:rFonts w:ascii="Times New Roman" w:cs="Times New Roman" w:eastAsia="Times New Roman" w:hAnsi="Times New Roman"/>
          <w:sz w:val="20"/>
          <w:szCs w:val="20"/>
          <w:color w:val="auto"/>
        </w:rPr>
        <w:t>Lender in connection with such Lender’s rights and obligations under this Agreement. Any agreement or instrument pursuant to which 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Lender sells such a participation shall provide that such Lender shall retain the sole right to enforce this Agreement and to approve any amendment, modification or waiver of any provision of this Agreement or any other Credit Document;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agreement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instrument may provide that such Lender will not, without the consent of the Participant, agree to any amendment, modification or waiver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the second proviso of the second sentence of </w:t>
      </w:r>
      <w:r>
        <w:rPr>
          <w:rFonts w:ascii="Times New Roman" w:cs="Times New Roman" w:eastAsia="Times New Roman" w:hAnsi="Times New Roman"/>
          <w:sz w:val="20"/>
          <w:szCs w:val="20"/>
          <w:u w:val="single" w:color="auto"/>
          <w:color w:val="auto"/>
        </w:rPr>
        <w:t>Section 13.1(a)</w:t>
      </w:r>
      <w:r>
        <w:rPr>
          <w:rFonts w:ascii="Times New Roman" w:cs="Times New Roman" w:eastAsia="Times New Roman" w:hAnsi="Times New Roman"/>
          <w:sz w:val="20"/>
          <w:szCs w:val="20"/>
          <w:color w:val="auto"/>
        </w:rPr>
        <w:t xml:space="preserve"> that affects such Participant,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w:t>
      </w:r>
    </w:p>
    <w:p>
      <w:pPr>
        <w:spacing w:after="0" w:line="211" w:lineRule="auto"/>
        <w:rPr>
          <w:sz w:val="20"/>
          <w:szCs w:val="20"/>
          <w:color w:val="auto"/>
        </w:rPr>
      </w:pPr>
      <w:r>
        <w:rPr>
          <w:rFonts w:ascii="Times New Roman" w:cs="Times New Roman" w:eastAsia="Times New Roman" w:hAnsi="Times New Roman"/>
          <w:sz w:val="20"/>
          <w:szCs w:val="20"/>
          <w:color w:val="auto"/>
        </w:rPr>
        <w:t>Participant shall have no right to consent to any modification to the percentages specified in the definitions of the terms “Majority Lenders”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or “Required Lenders”. Subject to </w:t>
      </w:r>
      <w:r>
        <w:rPr>
          <w:rFonts w:ascii="Times New Roman" w:cs="Times New Roman" w:eastAsia="Times New Roman" w:hAnsi="Times New Roman"/>
          <w:sz w:val="19"/>
          <w:szCs w:val="19"/>
          <w:u w:val="single" w:color="auto"/>
          <w:color w:val="auto"/>
        </w:rPr>
        <w:t>clause (c)(ii)</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13.6</w:t>
      </w:r>
      <w:r>
        <w:rPr>
          <w:rFonts w:ascii="Times New Roman" w:cs="Times New Roman" w:eastAsia="Times New Roman" w:hAnsi="Times New Roman"/>
          <w:sz w:val="19"/>
          <w:szCs w:val="19"/>
          <w:color w:val="auto"/>
        </w:rPr>
        <w:t xml:space="preserve">, the Borrower agrees that each Participant shall be entitled to the benefits of </w:t>
      </w:r>
      <w:r>
        <w:rPr>
          <w:rFonts w:ascii="Times New Roman" w:cs="Times New Roman" w:eastAsia="Times New Roman" w:hAnsi="Times New Roman"/>
          <w:sz w:val="19"/>
          <w:szCs w:val="19"/>
          <w:u w:val="single" w:color="auto"/>
          <w:color w:val="auto"/>
        </w:rPr>
        <w:t>Sections 2.10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5.4</w:t>
      </w:r>
      <w:r>
        <w:rPr>
          <w:rFonts w:ascii="Times New Roman" w:cs="Times New Roman" w:eastAsia="Times New Roman" w:hAnsi="Times New Roman"/>
          <w:sz w:val="19"/>
          <w:szCs w:val="19"/>
          <w:color w:val="auto"/>
        </w:rPr>
        <w:t xml:space="preserve"> to the same extent as if it were a Lender (subject to the limitations and requirements of those Sections and</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13.7</w:t>
      </w:r>
      <w:r>
        <w:rPr>
          <w:rFonts w:ascii="Times New Roman" w:cs="Times New Roman" w:eastAsia="Times New Roman" w:hAnsi="Times New Roman"/>
          <w:sz w:val="20"/>
          <w:szCs w:val="20"/>
          <w:color w:val="auto"/>
        </w:rPr>
        <w:t xml:space="preserve">) and had acquired its interest by assignment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To the extent permitted by</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Requirements of Law, each Participant also shall be entitled to the benefits of </w:t>
      </w:r>
      <w:r>
        <w:rPr>
          <w:rFonts w:ascii="Times New Roman" w:cs="Times New Roman" w:eastAsia="Times New Roman" w:hAnsi="Times New Roman"/>
          <w:sz w:val="20"/>
          <w:szCs w:val="20"/>
          <w:u w:val="single" w:color="auto"/>
          <w:color w:val="auto"/>
        </w:rPr>
        <w:t>Section 13.8(b)</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such Participant agrees to be subject to </w:t>
      </w:r>
      <w:r>
        <w:rPr>
          <w:rFonts w:ascii="Times New Roman" w:cs="Times New Roman" w:eastAsia="Times New Roman" w:hAnsi="Times New Roman"/>
          <w:sz w:val="20"/>
          <w:szCs w:val="20"/>
          <w:u w:val="single" w:color="auto"/>
          <w:color w:val="auto"/>
        </w:rPr>
        <w:t>Section 13.8(a)</w:t>
      </w:r>
      <w:r>
        <w:rPr>
          <w:rFonts w:ascii="Times New Roman" w:cs="Times New Roman" w:eastAsia="Times New Roman" w:hAnsi="Times New Roman"/>
          <w:sz w:val="20"/>
          <w:szCs w:val="20"/>
          <w:color w:val="auto"/>
        </w:rPr>
        <w:t xml:space="preserve"> as though it were a Lender.</w:t>
      </w:r>
    </w:p>
    <w:p>
      <w:pPr>
        <w:spacing w:after="0" w:line="162" w:lineRule="exact"/>
        <w:rPr>
          <w:sz w:val="20"/>
          <w:szCs w:val="20"/>
          <w:color w:val="auto"/>
        </w:rPr>
      </w:pPr>
    </w:p>
    <w:p>
      <w:pPr>
        <w:jc w:val="both"/>
        <w:ind w:left="660" w:firstLine="644"/>
        <w:spacing w:after="0" w:line="213" w:lineRule="auto"/>
        <w:tabs>
          <w:tab w:leader="none" w:pos="1954"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Participant shall not be entitled to receive any greater payment under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except to the extent the entitlement to receive a greater payment results from a Change in Law that occurs after the Participant acquired the applicable participation;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Participant shall be subject to the provisions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clauses</w:t>
      </w:r>
    </w:p>
    <w:p>
      <w:pPr>
        <w:spacing w:after="0" w:line="2" w:lineRule="exact"/>
        <w:rPr>
          <w:rFonts w:ascii="Times New Roman" w:cs="Times New Roman" w:eastAsia="Times New Roman" w:hAnsi="Times New Roman"/>
          <w:sz w:val="20"/>
          <w:szCs w:val="20"/>
          <w:color w:val="auto"/>
        </w:rPr>
      </w:pPr>
    </w:p>
    <w:p>
      <w:pPr>
        <w:jc w:val="both"/>
        <w:ind w:left="660" w:hanging="4"/>
        <w:spacing w:after="0" w:line="220" w:lineRule="auto"/>
        <w:tabs>
          <w:tab w:leader="none" w:pos="929" w:val="left"/>
        </w:tabs>
        <w:numPr>
          <w:ilvl w:val="0"/>
          <w:numId w:val="23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13.6</w:t>
      </w:r>
      <w:r>
        <w:rPr>
          <w:rFonts w:ascii="Times New Roman" w:cs="Times New Roman" w:eastAsia="Times New Roman" w:hAnsi="Times New Roman"/>
          <w:sz w:val="19"/>
          <w:szCs w:val="19"/>
          <w:color w:val="auto"/>
        </w:rPr>
        <w:t>. Each Lender that sells a participation or grants the right to make all or part of any Loan to a SPV (the “</w:t>
      </w:r>
      <w:r>
        <w:rPr>
          <w:rFonts w:ascii="Times New Roman" w:cs="Times New Roman" w:eastAsia="Times New Roman" w:hAnsi="Times New Roman"/>
          <w:sz w:val="19"/>
          <w:szCs w:val="19"/>
          <w:u w:val="single" w:color="auto"/>
          <w:color w:val="auto"/>
        </w:rPr>
        <w:t>SPV Loan</w:t>
      </w:r>
      <w:r>
        <w:rPr>
          <w:rFonts w:ascii="Times New Roman" w:cs="Times New Roman" w:eastAsia="Times New Roman" w:hAnsi="Times New Roman"/>
          <w:sz w:val="19"/>
          <w:szCs w:val="19"/>
          <w:color w:val="auto"/>
        </w:rPr>
        <w:t>”) shall, acting solely for this purpose as a nonfiduciary agent of the Borrower, maintain a register on which it enters the name and address of each participant and SPV and the principal amounts (and stated interest amounts) of each Participant’s and SPV’s interest in the Loans or other obligations under this Agreement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The entries in the Participant Register shall be conclusive, absent manifest error, and each party hereto shall treat each Person whose name is recorded in the Participant Register as the owner of such participation and SPV Loan for all purposes of this Agreement notwithstanding any notice to the contrary. No Lender shall have any obligation to disclose all or any portion of the Participant Register to any Person (including the identity of any Participant or any information relating to a Participant’s and a SPV’s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ectPr>
          <w:pgSz w:w="11900" w:h="16838" w:orient="portrait"/>
          <w:cols w:equalWidth="0" w:num="1">
            <w:col w:w="11240"/>
          </w:cols>
          <w:pgMar w:left="320" w:top="1399" w:right="339" w:bottom="1440" w:gutter="0" w:footer="0" w:header="0"/>
        </w:sectPr>
      </w:pPr>
    </w:p>
    <w:bookmarkStart w:id="194" w:name="page195"/>
    <w:bookmarkEnd w:id="194"/>
    <w:p>
      <w:pPr>
        <w:jc w:val="both"/>
        <w:ind w:firstLine="656"/>
        <w:spacing w:after="0" w:line="215" w:lineRule="auto"/>
        <w:tabs>
          <w:tab w:leader="none" w:pos="1284"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without the consent of the Borrower, any Issuing Bank or the Administrative Agent, at any time pledge or assign a security interest in all or any portion of its rights under this Agreement to secure obligations of such Lender, including any pledge or assignment to secure obligations to a Federal Reserve Bank or any central bank having jurisdiction over such Lender, and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shall not apply to any such pledge or assignment of a security interest;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 In order to facilitate such pledge or assignment or for any other reason, the Borrower hereby agrees that, upon request of any Lender at any time and from time to time after the Borrower has made its initial borrowing hereunder, the Borrower shall provide to such Lender, at the Borrower’s own expense, a promissory note,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evidencing the Loans owing to such Lender.</w:t>
      </w:r>
    </w:p>
    <w:p>
      <w:pPr>
        <w:spacing w:after="0" w:line="147"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6"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 the Borrower authorizes each Lender to disclose to any Participant, secured creditor of such Lender or assignee (each, a “</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and any prospective Transferee any and all Confidential Information and financial information in such Lender’s possession concerning 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w:t>
      </w:r>
    </w:p>
    <w:p>
      <w:pPr>
        <w:spacing w:after="0" w:line="160" w:lineRule="exact"/>
        <w:rPr>
          <w:rFonts w:ascii="Times New Roman" w:cs="Times New Roman" w:eastAsia="Times New Roman" w:hAnsi="Times New Roman"/>
          <w:sz w:val="20"/>
          <w:szCs w:val="20"/>
          <w:color w:val="auto"/>
        </w:rPr>
      </w:pPr>
    </w:p>
    <w:p>
      <w:pPr>
        <w:jc w:val="both"/>
        <w:ind w:firstLine="656"/>
        <w:spacing w:after="0" w:line="217" w:lineRule="auto"/>
        <w:tabs>
          <w:tab w:leader="none" w:pos="1291"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1" w:lineRule="exact"/>
        <w:rPr>
          <w:rFonts w:ascii="Times New Roman" w:cs="Times New Roman" w:eastAsia="Times New Roman" w:hAnsi="Times New Roman"/>
          <w:sz w:val="20"/>
          <w:szCs w:val="20"/>
          <w:color w:val="auto"/>
        </w:rPr>
      </w:pPr>
    </w:p>
    <w:p>
      <w:pPr>
        <w:jc w:val="both"/>
        <w:ind w:firstLine="656"/>
        <w:spacing w:after="0" w:line="221" w:lineRule="auto"/>
        <w:tabs>
          <w:tab w:leader="none" w:pos="1284" w:val="left"/>
        </w:tabs>
        <w:numPr>
          <w:ilvl w:val="1"/>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any Lender (a “</w:t>
      </w:r>
      <w:r>
        <w:rPr>
          <w:rFonts w:ascii="Times New Roman" w:cs="Times New Roman" w:eastAsia="Times New Roman" w:hAnsi="Times New Roman"/>
          <w:sz w:val="19"/>
          <w:szCs w:val="19"/>
          <w:u w:val="single" w:color="auto"/>
          <w:color w:val="auto"/>
        </w:rPr>
        <w:t>Granting Lender</w:t>
      </w:r>
      <w:r>
        <w:rPr>
          <w:rFonts w:ascii="Times New Roman" w:cs="Times New Roman" w:eastAsia="Times New Roman" w:hAnsi="Times New Roman"/>
          <w:sz w:val="19"/>
          <w:szCs w:val="19"/>
          <w:color w:val="auto"/>
        </w:rPr>
        <w:t>”) may grant to a special purpose funding vehicle (a “</w:t>
      </w:r>
      <w:r>
        <w:rPr>
          <w:rFonts w:ascii="Times New Roman" w:cs="Times New Roman" w:eastAsia="Times New Roman" w:hAnsi="Times New Roman"/>
          <w:sz w:val="19"/>
          <w:szCs w:val="19"/>
          <w:u w:val="single" w:color="auto"/>
          <w:color w:val="auto"/>
        </w:rPr>
        <w:t>SPV</w:t>
      </w:r>
      <w:r>
        <w:rPr>
          <w:rFonts w:ascii="Times New Roman" w:cs="Times New Roman" w:eastAsia="Times New Roman" w:hAnsi="Times New Roman"/>
          <w:sz w:val="19"/>
          <w:szCs w:val="19"/>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nothing herein shall constitute a commitment by any SPV to make any Loan and</w:t>
      </w:r>
    </w:p>
    <w:p>
      <w:pPr>
        <w:ind w:left="320" w:hanging="312"/>
        <w:spacing w:after="0" w:line="211" w:lineRule="auto"/>
        <w:tabs>
          <w:tab w:leader="none" w:pos="32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SPV elects not to exercise such option or otherwise fails to provide all or any part of such Loan, the Granting Lender shall be</w:t>
      </w:r>
    </w:p>
    <w:p>
      <w:pPr>
        <w:spacing w:after="0" w:line="211" w:lineRule="auto"/>
        <w:rPr>
          <w:sz w:val="20"/>
          <w:szCs w:val="20"/>
          <w:color w:val="auto"/>
        </w:rPr>
      </w:pPr>
      <w:r>
        <w:rPr>
          <w:rFonts w:ascii="Times New Roman" w:cs="Times New Roman" w:eastAsia="Times New Roman" w:hAnsi="Times New Roman"/>
          <w:sz w:val="20"/>
          <w:szCs w:val="20"/>
          <w:color w:val="auto"/>
        </w:rPr>
        <w:t>obligated to make such Loan pursuant to the terms hereof. The making of a Loan by an SPV hereunder shall utilize the Commitment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Granting Lender to the same extent, and as if, such Loan were made by such Granting Lender. Each party hereto hereby agrees that no SPV shall be liable for any indemnity or similar payment obligation under this Agreement (all liability for which shall remain with the Granting</w:t>
      </w:r>
    </w:p>
    <w:p>
      <w:pPr>
        <w:spacing w:after="0" w:line="211" w:lineRule="auto"/>
        <w:rPr>
          <w:sz w:val="20"/>
          <w:szCs w:val="20"/>
          <w:color w:val="auto"/>
        </w:rPr>
      </w:pPr>
      <w:r>
        <w:rPr>
          <w:rFonts w:ascii="Times New Roman" w:cs="Times New Roman" w:eastAsia="Times New Roman" w:hAnsi="Times New Roman"/>
          <w:sz w:val="20"/>
          <w:szCs w:val="20"/>
          <w:color w:val="auto"/>
        </w:rPr>
        <w:t>Lender). In furtherance of the foregoing, each party hereto hereby agrees (which agreement shall survive the termination of this Agreement)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that, prior to the date that is one (1) year and one (1) day after the payment in full of all outstanding commercial paper or other senior indebtedness of any SPV, it shall not institute against, or join any other person in instituting against, such SPV any bankruptcy,</w:t>
      </w:r>
    </w:p>
    <w:p>
      <w:pPr>
        <w:spacing w:after="0" w:line="211" w:lineRule="auto"/>
        <w:rPr>
          <w:sz w:val="20"/>
          <w:szCs w:val="20"/>
          <w:color w:val="auto"/>
        </w:rPr>
      </w:pPr>
      <w:r>
        <w:rPr>
          <w:rFonts w:ascii="Times New Roman" w:cs="Times New Roman" w:eastAsia="Times New Roman" w:hAnsi="Times New Roman"/>
          <w:sz w:val="20"/>
          <w:szCs w:val="20"/>
          <w:color w:val="auto"/>
        </w:rPr>
        <w:t>reorganization, arrangement, insolvency or liquidation proceedings under the laws of the United States or any state thereof. In addition,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any SPV may (A) with notice to, but without the prior written consent of, the Borrower and the Administrative Agent and without paying any processing fee therefor, assign all or a portion of its interests</w:t>
      </w:r>
    </w:p>
    <w:p>
      <w:pPr>
        <w:spacing w:after="0" w:line="211" w:lineRule="auto"/>
        <w:rPr>
          <w:sz w:val="20"/>
          <w:szCs w:val="20"/>
          <w:color w:val="auto"/>
        </w:rPr>
      </w:pPr>
      <w:r>
        <w:rPr>
          <w:rFonts w:ascii="Times New Roman" w:cs="Times New Roman" w:eastAsia="Times New Roman" w:hAnsi="Times New Roman"/>
          <w:sz w:val="20"/>
          <w:szCs w:val="20"/>
          <w:color w:val="auto"/>
        </w:rPr>
        <w:t>in any Loans to the Granting Lender or to any financial institutions (consented to by the Borrower and Administrative Agent) providing</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liquidity and/or credit support to or for the account of such SPV to support the funding or maintenance of Loans and (B) disclose on a confidential basis any non-public information relating to its Loans to any rating agency, commercial paper dealer or provider of any surety,</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guarantee or credit or liquidity enhancement to such SPV. This </w:t>
      </w:r>
      <w:r>
        <w:rPr>
          <w:rFonts w:ascii="Times New Roman" w:cs="Times New Roman" w:eastAsia="Times New Roman" w:hAnsi="Times New Roman"/>
          <w:sz w:val="19"/>
          <w:szCs w:val="19"/>
          <w:u w:val="single" w:color="auto"/>
          <w:color w:val="auto"/>
        </w:rPr>
        <w:t>Section 13.6(g)</w:t>
      </w:r>
      <w:r>
        <w:rPr>
          <w:rFonts w:ascii="Times New Roman" w:cs="Times New Roman" w:eastAsia="Times New Roman" w:hAnsi="Times New Roman"/>
          <w:sz w:val="19"/>
          <w:szCs w:val="19"/>
          <w:color w:val="auto"/>
        </w:rPr>
        <w:t xml:space="preserve"> may not be amended without the written consent of the SPV.</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Agreement, subject to the following sentence, each SPV shall be entitled to the benefits of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to the same extent as if it were a Lender (subject to the limitations and requirements of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w:t>
      </w:r>
    </w:p>
    <w:p>
      <w:pPr>
        <w:spacing w:after="0" w:line="223" w:lineRule="auto"/>
        <w:rPr>
          <w:sz w:val="20"/>
          <w:szCs w:val="20"/>
          <w:color w:val="auto"/>
        </w:rPr>
      </w:pPr>
      <w:r>
        <w:rPr>
          <w:rFonts w:ascii="Times New Roman" w:cs="Times New Roman" w:eastAsia="Times New Roman" w:hAnsi="Times New Roman"/>
          <w:sz w:val="19"/>
          <w:szCs w:val="19"/>
          <w:u w:val="single" w:color="auto"/>
          <w:color w:val="auto"/>
        </w:rPr>
        <w:t>3.11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5.4</w:t>
      </w:r>
      <w:r>
        <w:rPr>
          <w:rFonts w:ascii="Times New Roman" w:cs="Times New Roman" w:eastAsia="Times New Roman" w:hAnsi="Times New Roman"/>
          <w:sz w:val="19"/>
          <w:szCs w:val="19"/>
          <w:color w:val="auto"/>
        </w:rPr>
        <w:t xml:space="preserve"> as though it were a Lender, and </w:t>
      </w:r>
      <w:r>
        <w:rPr>
          <w:rFonts w:ascii="Times New Roman" w:cs="Times New Roman" w:eastAsia="Times New Roman" w:hAnsi="Times New Roman"/>
          <w:sz w:val="19"/>
          <w:szCs w:val="19"/>
          <w:u w:val="single" w:color="auto"/>
          <w:color w:val="auto"/>
        </w:rPr>
        <w:t>Sections 2.12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13.7</w:t>
      </w:r>
      <w:r>
        <w:rPr>
          <w:rFonts w:ascii="Times New Roman" w:cs="Times New Roman" w:eastAsia="Times New Roman" w:hAnsi="Times New Roman"/>
          <w:sz w:val="19"/>
          <w:szCs w:val="19"/>
          <w:color w:val="auto"/>
        </w:rPr>
        <w:t xml:space="preserve">), and had acquired its interest by assignment pursuant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this</w:t>
      </w:r>
    </w:p>
    <w:p>
      <w:pPr>
        <w:spacing w:after="0" w:line="221" w:lineRule="auto"/>
        <w:rPr>
          <w:sz w:val="20"/>
          <w:szCs w:val="20"/>
          <w:color w:val="auto"/>
        </w:rPr>
      </w:pP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Notwithstanding the prior sentence, an SPV shall not be entitled to receive any greater payment under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than its Granting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ectPr>
          <w:pgSz w:w="11900" w:h="16838" w:orient="portrait"/>
          <w:cols w:equalWidth="0" w:num="1">
            <w:col w:w="11240"/>
          </w:cols>
          <w:pgMar w:left="320" w:top="1399"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0"/>
          <w:szCs w:val="20"/>
          <w:color w:val="auto"/>
        </w:rPr>
        <w:t>would have been entitled to receive absent the grant to such SPV, unless such grant to such SPV is made with the Borrowers’ prior written consent.</w:t>
      </w:r>
    </w:p>
    <w:p>
      <w:pPr>
        <w:spacing w:after="0" w:line="148" w:lineRule="exact"/>
        <w:rPr>
          <w:sz w:val="20"/>
          <w:szCs w:val="20"/>
          <w:color w:val="auto"/>
        </w:rPr>
      </w:pPr>
    </w:p>
    <w:p>
      <w:pPr>
        <w:jc w:val="both"/>
        <w:ind w:firstLine="656"/>
        <w:spacing w:after="0" w:line="220" w:lineRule="auto"/>
        <w:tabs>
          <w:tab w:leader="none" w:pos="1284"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request for consent of the Borrower pursuant to </w:t>
      </w:r>
      <w:r>
        <w:rPr>
          <w:rFonts w:ascii="Times New Roman" w:cs="Times New Roman" w:eastAsia="Times New Roman" w:hAnsi="Times New Roman"/>
          <w:sz w:val="20"/>
          <w:szCs w:val="20"/>
          <w:u w:val="single" w:color="auto"/>
          <w:color w:val="auto"/>
        </w:rPr>
        <w:t>Section 13.6(b)(i)(A)</w:t>
      </w:r>
      <w:r>
        <w:rPr>
          <w:rFonts w:ascii="Times New Roman" w:cs="Times New Roman" w:eastAsia="Times New Roman" w:hAnsi="Times New Roman"/>
          <w:sz w:val="20"/>
          <w:szCs w:val="20"/>
          <w:color w:val="auto"/>
        </w:rPr>
        <w:t xml:space="preserve"> and related communications, with respect to any request for consent in respect of any assignment relating to Commitments or Loans, shall be delivered by the Administrative Agent simultaneously to (A) any recipient that is an employee of the Borrower, as designated in writing to the Administrative Agent by the Borrower from time to time (if any) and (B) the chief financial officer of the Borrower or any other Authorized Officer designated by the Borrower in writing to the Administrative Agent from time to time.</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u w:val="single" w:color="auto"/>
          <w:color w:val="auto"/>
        </w:rPr>
        <w:t>Replacements of Lenders under Certain Circumstances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2" w:lineRule="auto"/>
        <w:tabs>
          <w:tab w:leader="none" w:pos="1286"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any Lender (i) requests reimbursement for amounts owing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5.4(b)</w:t>
      </w:r>
      <w:r>
        <w:rPr>
          <w:rFonts w:ascii="Times New Roman" w:cs="Times New Roman" w:eastAsia="Times New Roman" w:hAnsi="Times New Roman"/>
          <w:sz w:val="20"/>
          <w:szCs w:val="20"/>
          <w:color w:val="auto"/>
        </w:rPr>
        <w:t xml:space="preserve">), (ii) is affected in the manner described in </w:t>
      </w:r>
      <w:r>
        <w:rPr>
          <w:rFonts w:ascii="Times New Roman" w:cs="Times New Roman" w:eastAsia="Times New Roman" w:hAnsi="Times New Roman"/>
          <w:sz w:val="20"/>
          <w:szCs w:val="20"/>
          <w:u w:val="single" w:color="auto"/>
          <w:color w:val="auto"/>
        </w:rPr>
        <w:t>Section 2.10(a)(ii)</w:t>
      </w:r>
      <w:r>
        <w:rPr>
          <w:rFonts w:ascii="Times New Roman" w:cs="Times New Roman" w:eastAsia="Times New Roman" w:hAnsi="Times New Roman"/>
          <w:sz w:val="20"/>
          <w:szCs w:val="20"/>
          <w:color w:val="auto"/>
        </w:rPr>
        <w:t xml:space="preserve"> and as a result thereof any of the actions described in such Section is required to be taken or (iii) becomes a Defaulting Lender, the Borrower shall be entitled to replace such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such replacement does not conflict with any Requirement of Law, (B) the replacement bank or institution shall purchase, at par, all Loans and the Borrower shall pay all other amounts (other than any disputed amounts),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as the case may be owing to such replaced Lender prior to the date of replacement, (C) the replacement bank or institution, if not already a Lender, and the terms and conditions of such replacement, shall be reasonably satisfactory to the Administrative Agent and each Issuing Bank (except to the extent such Issuing Banks is, or is an Affiliate of, the Lender being replaced) and (D) the replaced Lender shall be obligated to make such replacement in accordance with the provisions of </w:t>
      </w:r>
      <w:r>
        <w:rPr>
          <w:rFonts w:ascii="Times New Roman" w:cs="Times New Roman" w:eastAsia="Times New Roman" w:hAnsi="Times New Roman"/>
          <w:sz w:val="20"/>
          <w:szCs w:val="20"/>
          <w:u w:val="single" w:color="auto"/>
          <w:color w:val="auto"/>
        </w:rPr>
        <w:t>Section 13.6(b)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be obligated to pay the registration and processing fee referred to therein as long as the replacement Lender pays such fee).</w:t>
      </w:r>
    </w:p>
    <w:p>
      <w:pPr>
        <w:spacing w:after="0" w:line="169"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(such Lender,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failed to consent to a proposed amendment, waiver, discharge or termination that pursuant to the terms of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requires the consent of all of the Lenders affected or the Required Lenders and with respect to which the Majority Lenders (or, in the case of a Lender becoming a Non-Consenting Lender due to its failure to consent to a proposed increase in the Borrowing Base, the Required Lenders) shall have granted their consent then the Borrower shall have the right (unless such Non-Consenting Lender grants such consent or approves such Proposed Borrowing Base and provided that no Event of Default shall have occurred and be continuing) to replace such Non-Consenting Lender by requiring such Non-Consenting Lender to assign its Loans and its Commitments hereunder to one or more assignees reasonably acceptable to the Administrative Agent and each Issuing Bank (except to the extent any such Issuing Bank is, or is an Affiliate of, the Lender being replaced);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all Obligations of the Borrower owing to such Non-Consenting Lender being replaced (other than principal and interest) shall be paid in full to such Non-Consenting Lender concurrently with such assignment, (ii) the replacement Lender shall purchase the foregoing by paying to such Non-Consenting Lender a price equal to the principal amount thereof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and unpaid interest thereon and (iii) the Borrower, the Administrative Agent and such Non-Consenting Lender shall otherwise comply with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 be obligated to pay the registration and processing fee referred to therein as long as the replacement Lender pays such fee).</w:t>
      </w:r>
    </w:p>
    <w:p>
      <w:pPr>
        <w:spacing w:after="0" w:line="152"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6"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herein to the contrary, each party hereto agrees that any assignment pursuant to the terms of this </w:t>
      </w: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 xml:space="preserve"> may be effected pursuant to an Assignment and Assumption executed by the Borrower, the Administrative Agent, each Issuing Bank and the assignee and that the Lender making such assignment need not be a party thereto.</w:t>
      </w:r>
    </w:p>
    <w:p>
      <w:pPr>
        <w:spacing w:after="0" w:line="148" w:lineRule="exact"/>
        <w:rPr>
          <w:rFonts w:ascii="Times New Roman" w:cs="Times New Roman" w:eastAsia="Times New Roman" w:hAnsi="Times New Roman"/>
          <w:sz w:val="20"/>
          <w:szCs w:val="20"/>
          <w:color w:val="auto"/>
        </w:rPr>
      </w:pPr>
    </w:p>
    <w:p>
      <w:pPr>
        <w:ind w:right="20" w:firstLine="656"/>
        <w:spacing w:after="0"/>
        <w:tabs>
          <w:tab w:leader="none" w:pos="128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Lender replacement or Commitment termination pursuant to this </w:t>
      </w: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 xml:space="preserve"> shall not be deemed to be a waiver of any rights that the Borrower, the Administrative Agent or any other Lender shall have against the replaced Lender.</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u w:val="single" w:color="auto"/>
          <w:color w:val="auto"/>
        </w:rPr>
        <w:t>Adjustments; Set-off</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30" w:lineRule="auto"/>
        <w:tabs>
          <w:tab w:leader="none" w:pos="1286"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(a “</w:t>
      </w:r>
      <w:r>
        <w:rPr>
          <w:rFonts w:ascii="Times New Roman" w:cs="Times New Roman" w:eastAsia="Times New Roman" w:hAnsi="Times New Roman"/>
          <w:sz w:val="20"/>
          <w:szCs w:val="20"/>
          <w:u w:val="single" w:color="auto"/>
          <w:color w:val="auto"/>
        </w:rPr>
        <w:t>Benefited Lender</w:t>
      </w:r>
      <w:r>
        <w:rPr>
          <w:rFonts w:ascii="Times New Roman" w:cs="Times New Roman" w:eastAsia="Times New Roman" w:hAnsi="Times New Roman"/>
          <w:sz w:val="20"/>
          <w:szCs w:val="20"/>
          <w:color w:val="auto"/>
        </w:rPr>
        <w:t>”) shall at any time receive any payment in respect of any principal of or interest on all or part of the Loans made by it, or the participations in Letter of Credit Obligations held by it, or receive any collateral in respect thereof (whether voluntarily or involuntarily,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ectPr>
          <w:pgSz w:w="11900" w:h="16838" w:orient="portrait"/>
          <w:cols w:equalWidth="0" w:num="1">
            <w:col w:w="11240"/>
          </w:cols>
          <w:pgMar w:left="320" w:top="1399"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0"/>
          <w:szCs w:val="20"/>
          <w:color w:val="auto"/>
        </w:rPr>
        <w:t xml:space="preserve">set-off, pursuant to events or proceedings of the nature referred to in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or otherwise), in a greater proportion than any such</w:t>
      </w:r>
    </w:p>
    <w:p>
      <w:pPr>
        <w:spacing w:after="0" w:line="215" w:lineRule="auto"/>
        <w:rPr>
          <w:sz w:val="20"/>
          <w:szCs w:val="20"/>
          <w:color w:val="auto"/>
        </w:rPr>
      </w:pPr>
      <w:r>
        <w:rPr>
          <w:rFonts w:ascii="Times New Roman" w:cs="Times New Roman" w:eastAsia="Times New Roman" w:hAnsi="Times New Roman"/>
          <w:sz w:val="19"/>
          <w:szCs w:val="19"/>
          <w:color w:val="auto"/>
        </w:rPr>
        <w:t>payment to or collateral received by any other Lender entitled thereto, if any, in respect of such other Lender’s Loans, or interest thereon, such Benefited Lender shall (i) notify the Administrative Agent of such fact, and (ii) purchase for cash at face value from the other Lenders a</w:t>
      </w:r>
    </w:p>
    <w:p>
      <w:pPr>
        <w:spacing w:after="0" w:line="211" w:lineRule="auto"/>
        <w:rPr>
          <w:sz w:val="20"/>
          <w:szCs w:val="20"/>
          <w:color w:val="auto"/>
        </w:rPr>
      </w:pPr>
      <w:r>
        <w:rPr>
          <w:rFonts w:ascii="Times New Roman" w:cs="Times New Roman" w:eastAsia="Times New Roman" w:hAnsi="Times New Roman"/>
          <w:sz w:val="20"/>
          <w:szCs w:val="20"/>
          <w:color w:val="auto"/>
        </w:rPr>
        <w:t>participating interest in such portion of each such other Lender’s Loans, or shall provide such other Lenders with the benefits of any such</w:t>
      </w:r>
    </w:p>
    <w:p>
      <w:pPr>
        <w:spacing w:after="0" w:line="204" w:lineRule="auto"/>
        <w:rPr>
          <w:sz w:val="20"/>
          <w:szCs w:val="20"/>
          <w:color w:val="auto"/>
        </w:rPr>
      </w:pPr>
      <w:r>
        <w:rPr>
          <w:rFonts w:ascii="Times New Roman" w:cs="Times New Roman" w:eastAsia="Times New Roman" w:hAnsi="Times New Roman"/>
          <w:sz w:val="20"/>
          <w:szCs w:val="20"/>
          <w:color w:val="auto"/>
        </w:rPr>
        <w:t>collateral, or the proceeds thereof, as shall be necessary to cause such Benefited Lender to share the excess payment or benefits of such collateral or proceeds ratably in accordance with the aggregate principal of and accrued interest on their respective Loans and other amounts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owing them;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 if all or any portion of such excess payment or benefits is thereafter recovered from such Benefited Lender, such purchase shall be rescinded, and the purchase price and benefits returned, to the extent of such recovery, but without interest and</w:t>
      </w:r>
    </w:p>
    <w:p>
      <w:pPr>
        <w:jc w:val="both"/>
        <w:ind w:firstLine="8"/>
        <w:spacing w:after="0" w:line="212" w:lineRule="auto"/>
        <w:tabs>
          <w:tab w:leader="none" w:pos="344"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paragraph shall not be construed to apply to (1) any payment made by the Borrower or any other Guarantor pursuant to and in accordance with the terms of this Agreement and the other Credit Documents, (2) any payment obtained by a Lender as consideration for the assignment of or sale of a participation in any of its Loans, Commitments or participations in Drawings to any assignee or participant or (3) any disproportionate payment obtained by a Lender as a result of the extension by Lenders of the maturity date or expiration date of some but not all Loans or Commitments or any increase in the Applicable Margin in respect of Loans or Commitments of Lenders that have consented to any such extension. Each Credit Party consents to the foregoing and agrees, to the extent it may effectively do so under Requirements of Law, that any Lender acquiring a participation pursuant to the foregoing arrangements may exercise against such Credit Party rights of set-off and counterclaim with respect to such participation as fully as if such Lender were a direct creditor of such Credit Party in the amount of such participation.</w:t>
      </w:r>
    </w:p>
    <w:p>
      <w:pPr>
        <w:spacing w:after="0" w:line="147"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4"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occurrence and during the continuance of an Event of Default, in addition to any rights and remedies of the Lenders and Issuing Banks provided by Requirements of Law, each Lender, each Issuing Bank and their respective Affiliates, shall have the right, without prior notice to the Borrower, any such notice being expressly waived by the Borrower to the extent permitted by applicable Requirements of Law, upon any amount becoming due and payable by the Credit Parties hereunder or under any Credit Document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or Issuing Bank agrees promptly to notify the Borrower (and the Credit Parties, if applicable) and the Administrative Agent after any such set-off and application made by such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6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Agreement may be executed by one or more of the parties to this Agreement on any number of separate counterparts (including by facsimile or other electronic transmission,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a “pdf” or a “tif”), and all of said counterparts taken together shall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be deemed to constitute one and the same instrument. A set of the copies of this Agreement signed by all the parties shall be lodged with the Borrower and the Administrative Agent.</w:t>
      </w:r>
    </w:p>
    <w:p>
      <w:pPr>
        <w:spacing w:after="0" w:line="14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color w:val="auto"/>
        </w:rPr>
        <w:t xml:space="preserve">1.10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Agreement and the other Credit Documents represent the agreement of the Borrower, the Guarantors, the Grantors, the Collateral Agent, the Administrative Agent and the Lenders with respect to the subject matter hereof and thereof, and there are</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no promises, undertakings, representations or warranties by the Borrower, the Guarantors, the Grantors, any Agent nor any Lender relative to subject matter hereof not expressly set forth or referred to herein or in the other Credit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ectPr>
          <w:pgSz w:w="11900" w:h="16838" w:orient="portrait"/>
          <w:cols w:equalWidth="0" w:num="1">
            <w:col w:w="11240"/>
          </w:cols>
          <w:pgMar w:left="320" w:top="1394" w:right="339" w:bottom="1440" w:gutter="0" w:footer="0" w:header="0"/>
        </w:sectPr>
      </w:pPr>
    </w:p>
    <w:bookmarkStart w:id="197" w:name="page198"/>
    <w:bookmarkEnd w:id="197"/>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AND THE RIGHTS AND OBLIGATIONS OF THE PARTIES HEREUNDER</w:t>
      </w:r>
    </w:p>
    <w:p>
      <w:pPr>
        <w:ind w:right="20"/>
        <w:spacing w:after="0" w:line="221" w:lineRule="auto"/>
        <w:rPr>
          <w:sz w:val="20"/>
          <w:szCs w:val="20"/>
          <w:color w:val="auto"/>
        </w:rPr>
      </w:pPr>
      <w:r>
        <w:rPr>
          <w:rFonts w:ascii="Times New Roman" w:cs="Times New Roman" w:eastAsia="Times New Roman" w:hAnsi="Times New Roman"/>
          <w:sz w:val="20"/>
          <w:szCs w:val="20"/>
          <w:color w:val="auto"/>
        </w:rPr>
        <w:t>SHALL BE GOVERNED BY, AND CONSTRUED AND INTERPRETED IN ACCORDANCE WITH, THE LAW OF THE STATE OF NEW YORK.</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u w:val="single" w:color="auto"/>
          <w:color w:val="auto"/>
        </w:rPr>
        <w:t>Submission to Jurisdiction; Waivers</w:t>
      </w:r>
      <w:r>
        <w:rPr>
          <w:rFonts w:ascii="Times New Roman" w:cs="Times New Roman" w:eastAsia="Times New Roman" w:hAnsi="Times New Roman"/>
          <w:sz w:val="19"/>
          <w:szCs w:val="19"/>
          <w:color w:val="auto"/>
        </w:rPr>
        <w:t>. Each party hereto hereby irrevocably and unconditionally:</w:t>
      </w:r>
    </w:p>
    <w:p>
      <w:pPr>
        <w:spacing w:after="0" w:line="189" w:lineRule="exact"/>
        <w:rPr>
          <w:sz w:val="20"/>
          <w:szCs w:val="20"/>
          <w:color w:val="auto"/>
        </w:rPr>
      </w:pPr>
    </w:p>
    <w:p>
      <w:pPr>
        <w:jc w:val="both"/>
        <w:ind w:firstLine="656"/>
        <w:spacing w:after="0" w:line="215" w:lineRule="auto"/>
        <w:tabs>
          <w:tab w:leader="none" w:pos="1286"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submits for itself and its property in any legal action or proceeding relating to this Agreement and the other Credit Documents to which it is a party, or for recognition and enforcement of any judgment in respect thereof, to the exclusive general jurisdiction of the courts of the State of New York and the courts of the United States of America for the Southern District of New York, in each case located in New York County, and appellate courts from any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contained herein or in any other Credit Document will prevent any Lender, the Collateral Agent or the Administrative Agent from bringing any action to enforce any award or judgment or exercise any right under the Credit Documents or against any Collateral or any other property of any Credit Party in any other forum in which jurisdiction can be established;</w:t>
      </w:r>
    </w:p>
    <w:p>
      <w:pPr>
        <w:spacing w:after="0" w:line="150"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4"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48" w:lineRule="exact"/>
        <w:rPr>
          <w:rFonts w:ascii="Times New Roman" w:cs="Times New Roman" w:eastAsia="Times New Roman" w:hAnsi="Times New Roman"/>
          <w:sz w:val="20"/>
          <w:szCs w:val="20"/>
          <w:color w:val="auto"/>
        </w:rPr>
      </w:pPr>
    </w:p>
    <w:p>
      <w:pPr>
        <w:jc w:val="both"/>
        <w:ind w:firstLine="656"/>
        <w:spacing w:after="0" w:line="230" w:lineRule="auto"/>
        <w:tabs>
          <w:tab w:leader="none" w:pos="1286"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agrees that service of process in any such action or proceeding may be effected by mailing a copy thereof by registered or certified mail (or any substantially similar form of mail), postage prepaid, to such Person at its address set forth on </w:t>
      </w:r>
      <w:r>
        <w:rPr>
          <w:rFonts w:ascii="Times New Roman" w:cs="Times New Roman" w:eastAsia="Times New Roman" w:hAnsi="Times New Roman"/>
          <w:sz w:val="20"/>
          <w:szCs w:val="20"/>
          <w:u w:val="single" w:color="auto"/>
          <w:color w:val="auto"/>
        </w:rPr>
        <w:t>Schedule 13.2</w:t>
      </w:r>
      <w:r>
        <w:rPr>
          <w:rFonts w:ascii="Times New Roman" w:cs="Times New Roman" w:eastAsia="Times New Roman" w:hAnsi="Times New Roman"/>
          <w:sz w:val="20"/>
          <w:szCs w:val="20"/>
          <w:color w:val="auto"/>
        </w:rPr>
        <w:t xml:space="preserve"> at such other address of which the Administrative Agent shall have been notified pursuant to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nothing herein shall affect the right to effect service of process in any other manner permitted by Requirements of Law or shall limit the right to sue in any other jurisdiction;</w:t>
      </w:r>
    </w:p>
    <w:p>
      <w:pPr>
        <w:spacing w:after="0" w:line="14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limitation of </w:t>
      </w:r>
      <w:r>
        <w:rPr>
          <w:rFonts w:ascii="Times New Roman" w:cs="Times New Roman" w:eastAsia="Times New Roman" w:hAnsi="Times New Roman"/>
          <w:sz w:val="20"/>
          <w:szCs w:val="20"/>
          <w:u w:val="single" w:color="auto"/>
          <w:color w:val="auto"/>
        </w:rPr>
        <w:t>Sections 12.7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13.5</w:t>
      </w:r>
      <w:r>
        <w:rPr>
          <w:rFonts w:ascii="Times New Roman" w:cs="Times New Roman" w:eastAsia="Times New Roman" w:hAnsi="Times New Roman"/>
          <w:sz w:val="20"/>
          <w:szCs w:val="20"/>
          <w:color w:val="auto"/>
        </w:rPr>
        <w:t xml:space="preserve">, waives, to the maximum extent not prohibited by law, any right it may have to claim or recover in any legal action or proceeding referred to in this </w:t>
      </w:r>
      <w:r>
        <w:rPr>
          <w:rFonts w:ascii="Times New Roman" w:cs="Times New Roman" w:eastAsia="Times New Roman" w:hAnsi="Times New Roman"/>
          <w:sz w:val="20"/>
          <w:szCs w:val="20"/>
          <w:u w:val="single" w:color="auto"/>
          <w:color w:val="auto"/>
        </w:rPr>
        <w:t>Section 13.13</w:t>
      </w:r>
      <w:r>
        <w:rPr>
          <w:rFonts w:ascii="Times New Roman" w:cs="Times New Roman" w:eastAsia="Times New Roman" w:hAnsi="Times New Roman"/>
          <w:sz w:val="20"/>
          <w:szCs w:val="20"/>
          <w:color w:val="auto"/>
        </w:rPr>
        <w:t xml:space="preserve"> any special, exemplary, punitive or consequential damages (other than, in the case of any Credit Party, in respect of any such damages incurred or paid by an Indemnitee to a third party, or which are included in a third-party claim, and for any out-of-pocket expenses related thereto); and</w:t>
      </w:r>
    </w:p>
    <w:p>
      <w:pPr>
        <w:spacing w:after="0" w:line="161" w:lineRule="exact"/>
        <w:rPr>
          <w:rFonts w:ascii="Times New Roman" w:cs="Times New Roman" w:eastAsia="Times New Roman" w:hAnsi="Times New Roman"/>
          <w:sz w:val="20"/>
          <w:szCs w:val="20"/>
          <w:color w:val="auto"/>
        </w:rPr>
      </w:pPr>
    </w:p>
    <w:p>
      <w:pPr>
        <w:ind w:right="20" w:firstLine="656"/>
        <w:spacing w:after="0"/>
        <w:tabs>
          <w:tab w:leader="none" w:pos="1291"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a final judgment in any action or proceeding shall be conclusive and may be enforced in other jurisdictions by suit on the judgment or in any other manner provided by law.</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u w:val="single" w:color="auto"/>
          <w:color w:val="auto"/>
        </w:rPr>
        <w:t>Acknowledgments</w:t>
      </w:r>
      <w:r>
        <w:rPr>
          <w:rFonts w:ascii="Times New Roman" w:cs="Times New Roman" w:eastAsia="Times New Roman" w:hAnsi="Times New Roman"/>
          <w:sz w:val="19"/>
          <w:szCs w:val="19"/>
          <w:color w:val="auto"/>
        </w:rPr>
        <w:t>. The Borrower hereby acknowledges that:</w:t>
      </w:r>
    </w:p>
    <w:p>
      <w:pPr>
        <w:spacing w:after="0" w:line="189" w:lineRule="exact"/>
        <w:rPr>
          <w:sz w:val="20"/>
          <w:szCs w:val="20"/>
          <w:color w:val="auto"/>
        </w:rPr>
      </w:pPr>
    </w:p>
    <w:p>
      <w:pPr>
        <w:ind w:left="1300" w:hanging="644"/>
        <w:spacing w:after="0"/>
        <w:tabs>
          <w:tab w:leader="none" w:pos="1300" w:val="left"/>
        </w:tabs>
        <w:numPr>
          <w:ilvl w:val="1"/>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has been advised by counsel in the negotiation, execution and delivery of this Agreement and the other Credit Documents;</w:t>
      </w:r>
    </w:p>
    <w:p>
      <w:pPr>
        <w:spacing w:after="0" w:line="200" w:lineRule="exact"/>
        <w:rPr>
          <w:rFonts w:ascii="Times New Roman" w:cs="Times New Roman" w:eastAsia="Times New Roman" w:hAnsi="Times New Roman"/>
          <w:sz w:val="19"/>
          <w:szCs w:val="19"/>
          <w:color w:val="auto"/>
        </w:rPr>
      </w:pPr>
    </w:p>
    <w:p>
      <w:pPr>
        <w:jc w:val="both"/>
        <w:ind w:firstLine="656"/>
        <w:spacing w:after="0" w:line="219" w:lineRule="auto"/>
        <w:tabs>
          <w:tab w:leader="none" w:pos="1284" w:val="left"/>
        </w:tabs>
        <w:numPr>
          <w:ilvl w:val="1"/>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credit facility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 (ii) in connection with the process leading to such transaction, each of the Administrative Agent, other Agents and the Lenders, is and has been acting solely as a principal and is not the financial advisor, agent or fiduciary for any of the Borrower, any other Credit Parties or any of their respective Affiliates, equity holders, creditors or employees or any other Person;</w:t>
      </w:r>
    </w:p>
    <w:p>
      <w:pPr>
        <w:spacing w:after="0" w:line="6" w:lineRule="exact"/>
        <w:rPr>
          <w:rFonts w:ascii="Times New Roman" w:cs="Times New Roman" w:eastAsia="Times New Roman" w:hAnsi="Times New Roman"/>
          <w:sz w:val="19"/>
          <w:szCs w:val="19"/>
          <w:color w:val="auto"/>
        </w:rPr>
      </w:pPr>
    </w:p>
    <w:p>
      <w:pPr>
        <w:jc w:val="both"/>
        <w:ind w:firstLine="8"/>
        <w:spacing w:after="0" w:line="218" w:lineRule="auto"/>
        <w:tabs>
          <w:tab w:leader="none" w:pos="364"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any other Agent, any Arranger, nor any Lender has assumed or will assume an advisory, agency or fiduciary responsibility in favor of the Borrower or any other Credit Party with respect to any of the transactions contemplated hereby or the process leading thereto, including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ectPr>
          <w:pgSz w:w="11900" w:h="16838" w:orient="portrait"/>
          <w:cols w:equalWidth="0" w:num="1">
            <w:col w:w="11240"/>
          </w:cols>
          <w:pgMar w:left="320" w:top="1394"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0"/>
          <w:szCs w:val="20"/>
          <w:color w:val="auto"/>
        </w:rPr>
        <w:t>respect to any amendment, waiver or other modification hereof or of any other Credit Document (irrespective of whether the Administrative</w:t>
      </w:r>
    </w:p>
    <w:p>
      <w:pPr>
        <w:spacing w:after="0" w:line="215" w:lineRule="auto"/>
        <w:rPr>
          <w:sz w:val="20"/>
          <w:szCs w:val="20"/>
          <w:color w:val="auto"/>
        </w:rPr>
      </w:pPr>
      <w:r>
        <w:rPr>
          <w:rFonts w:ascii="Times New Roman" w:cs="Times New Roman" w:eastAsia="Times New Roman" w:hAnsi="Times New Roman"/>
          <w:sz w:val="19"/>
          <w:szCs w:val="19"/>
          <w:color w:val="auto"/>
        </w:rPr>
        <w:t>Agent or any other Agent, any Arranger, or any Lender has advised or is currently advising any of the Borrower, the other Credit Parties or their respective Affiliates on other matters) and none of the Administrative Agent, any Agent, any Arranger or any Lender has any obligation</w:t>
      </w:r>
    </w:p>
    <w:p>
      <w:pPr>
        <w:spacing w:after="0" w:line="222" w:lineRule="auto"/>
        <w:rPr>
          <w:sz w:val="20"/>
          <w:szCs w:val="20"/>
          <w:color w:val="auto"/>
        </w:rPr>
      </w:pPr>
      <w:r>
        <w:rPr>
          <w:rFonts w:ascii="Times New Roman" w:cs="Times New Roman" w:eastAsia="Times New Roman" w:hAnsi="Times New Roman"/>
          <w:sz w:val="19"/>
          <w:szCs w:val="19"/>
          <w:color w:val="auto"/>
        </w:rPr>
        <w:t>to any of the Borrower, the other Credit Parties or their respective Affiliates with respect to the transactions contemplated hereby except those</w:t>
      </w:r>
    </w:p>
    <w:p>
      <w:pPr>
        <w:spacing w:after="0" w:line="204" w:lineRule="auto"/>
        <w:rPr>
          <w:sz w:val="20"/>
          <w:szCs w:val="20"/>
          <w:color w:val="auto"/>
        </w:rPr>
      </w:pPr>
      <w:r>
        <w:rPr>
          <w:rFonts w:ascii="Times New Roman" w:cs="Times New Roman" w:eastAsia="Times New Roman" w:hAnsi="Times New Roman"/>
          <w:sz w:val="20"/>
          <w:szCs w:val="20"/>
          <w:color w:val="auto"/>
        </w:rPr>
        <w:t>obligations expressly set forth herein and in the other Credit Documents; (iv) the Administrative Agent and its Affiliates, each other Agent and each of its Affiliates and each Lender and its Affiliates may be engaged in a broad range of transactions that involve interests that differ</w:t>
      </w:r>
    </w:p>
    <w:p>
      <w:pPr>
        <w:spacing w:after="0" w:line="211" w:lineRule="auto"/>
        <w:rPr>
          <w:sz w:val="20"/>
          <w:szCs w:val="20"/>
          <w:color w:val="auto"/>
        </w:rPr>
      </w:pPr>
      <w:r>
        <w:rPr>
          <w:rFonts w:ascii="Times New Roman" w:cs="Times New Roman" w:eastAsia="Times New Roman" w:hAnsi="Times New Roman"/>
          <w:sz w:val="20"/>
          <w:szCs w:val="20"/>
          <w:color w:val="auto"/>
        </w:rPr>
        <w:t>from those of the Borrower and its respective Affiliates, and none of the Administrative Agent, any other Agent or any Lender has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obligation to disclose any of such interests by virtue of any advisory, agency or fiduciary relationship; and (v) none of the Administrative Agent, any Agent or any Lender has provided and none will provide any legal, accounting, regulatory or tax advice with respect to any of the</w:t>
      </w:r>
    </w:p>
    <w:p>
      <w:pPr>
        <w:spacing w:after="0" w:line="211" w:lineRule="auto"/>
        <w:rPr>
          <w:sz w:val="20"/>
          <w:szCs w:val="20"/>
          <w:color w:val="auto"/>
        </w:rPr>
      </w:pPr>
      <w:r>
        <w:rPr>
          <w:rFonts w:ascii="Times New Roman" w:cs="Times New Roman" w:eastAsia="Times New Roman" w:hAnsi="Times New Roman"/>
          <w:sz w:val="20"/>
          <w:szCs w:val="20"/>
          <w:color w:val="auto"/>
        </w:rPr>
        <w:t>transactions contemplated hereby (including any amendment, waiver or other modification hereof or of any other Credit Document) and the</w:t>
      </w:r>
    </w:p>
    <w:p>
      <w:pPr>
        <w:ind w:right="20"/>
        <w:spacing w:after="0" w:line="215" w:lineRule="auto"/>
        <w:rPr>
          <w:sz w:val="20"/>
          <w:szCs w:val="20"/>
          <w:color w:val="auto"/>
        </w:rPr>
      </w:pPr>
      <w:r>
        <w:rPr>
          <w:rFonts w:ascii="Times New Roman" w:cs="Times New Roman" w:eastAsia="Times New Roman" w:hAnsi="Times New Roman"/>
          <w:sz w:val="19"/>
          <w:szCs w:val="19"/>
          <w:color w:val="auto"/>
        </w:rPr>
        <w:t>Borrower has consulted its own legal, accounting, regulatory and tax advisors to the extent it has deemed appropriate. The Borrower hereby waives and releases, to the fullest extent permitted by law, any claims that it may have against the Administrative Agent and each Agent with</w:t>
      </w:r>
    </w:p>
    <w:p>
      <w:pPr>
        <w:spacing w:after="0"/>
        <w:rPr>
          <w:sz w:val="20"/>
          <w:szCs w:val="20"/>
          <w:color w:val="auto"/>
        </w:rPr>
      </w:pPr>
      <w:r>
        <w:rPr>
          <w:rFonts w:ascii="Times New Roman" w:cs="Times New Roman" w:eastAsia="Times New Roman" w:hAnsi="Times New Roman"/>
          <w:sz w:val="20"/>
          <w:szCs w:val="20"/>
          <w:color w:val="auto"/>
        </w:rPr>
        <w:t>respect to any breach or alleged breach of agency or fiduciary duty; and</w:t>
      </w:r>
    </w:p>
    <w:p>
      <w:pPr>
        <w:spacing w:after="0" w:line="167" w:lineRule="exact"/>
        <w:rPr>
          <w:sz w:val="20"/>
          <w:szCs w:val="20"/>
          <w:color w:val="auto"/>
        </w:rPr>
      </w:pPr>
    </w:p>
    <w:p>
      <w:pPr>
        <w:ind w:right="20" w:firstLine="656"/>
        <w:spacing w:after="0" w:line="233" w:lineRule="auto"/>
        <w:tabs>
          <w:tab w:leader="none" w:pos="1286"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joint venture is created hereby or by the other Credit Documents or otherwise exists by virtue of the transactions contemplated hereby among the Lenders or among the Borrower, on the one hand, and any Lender, on the other hand.</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20"/>
          <w:szCs w:val="20"/>
          <w:u w:val="single" w:color="auto"/>
          <w:color w:val="auto"/>
        </w:rPr>
        <w:t>WAIVERS OF JURY TRIAL</w:t>
      </w:r>
      <w:r>
        <w:rPr>
          <w:rFonts w:ascii="Times New Roman" w:cs="Times New Roman" w:eastAsia="Times New Roman" w:hAnsi="Times New Roman"/>
          <w:sz w:val="20"/>
          <w:szCs w:val="20"/>
          <w:color w:val="auto"/>
        </w:rPr>
        <w:t>. THE BORROWER, EACH AGENT, EACH ISSUING BANK AND EACH LENDER</w:t>
      </w:r>
    </w:p>
    <w:p>
      <w:pPr>
        <w:spacing w:after="0" w:line="221" w:lineRule="auto"/>
        <w:rPr>
          <w:sz w:val="20"/>
          <w:szCs w:val="20"/>
          <w:color w:val="auto"/>
        </w:rPr>
      </w:pPr>
      <w:r>
        <w:rPr>
          <w:rFonts w:ascii="Times New Roman" w:cs="Times New Roman" w:eastAsia="Times New Roman" w:hAnsi="Times New Roman"/>
          <w:sz w:val="20"/>
          <w:szCs w:val="20"/>
          <w:color w:val="auto"/>
        </w:rPr>
        <w:t>HEREBY IRREVOCABLY AND UNCONDITIONALLY WAIVE TRIAL BY JURY IN ANY LEGAL ACTION OR PROCEEDING RELATING TO THIS AGREEMENT OR ANY OTHER CREDIT DOCUMENT AND FOR ANY COUNTERCLAIM THEREIN.</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The Administrative Agent, each other Agent, any Issuing Bank and each other Lender shall hold all information not marked as “public information” and furnished by or on behalf of the Borrower or any of its Subsidiaries in connection with</w:t>
      </w:r>
    </w:p>
    <w:p>
      <w:pPr>
        <w:spacing w:after="0" w:line="224" w:lineRule="auto"/>
        <w:rPr>
          <w:sz w:val="20"/>
          <w:szCs w:val="20"/>
          <w:color w:val="auto"/>
        </w:rPr>
      </w:pPr>
      <w:r>
        <w:rPr>
          <w:rFonts w:ascii="Times New Roman" w:cs="Times New Roman" w:eastAsia="Times New Roman" w:hAnsi="Times New Roman"/>
          <w:sz w:val="19"/>
          <w:szCs w:val="19"/>
          <w:color w:val="auto"/>
        </w:rPr>
        <w:t>such Lender’s evaluation of whether to become a Lender hereunder or obtained by such Lender, the Administrative Agent, any Issuing Bank</w:t>
      </w:r>
    </w:p>
    <w:p>
      <w:pPr>
        <w:spacing w:after="0" w:line="204" w:lineRule="auto"/>
        <w:rPr>
          <w:sz w:val="20"/>
          <w:szCs w:val="20"/>
          <w:color w:val="auto"/>
        </w:rPr>
      </w:pPr>
      <w:r>
        <w:rPr>
          <w:rFonts w:ascii="Times New Roman" w:cs="Times New Roman" w:eastAsia="Times New Roman" w:hAnsi="Times New Roman"/>
          <w:sz w:val="20"/>
          <w:szCs w:val="20"/>
          <w:color w:val="auto"/>
        </w:rPr>
        <w:t>or such other Agent pursuant to the requirements of this Agreement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confidential in accordance with its customary procedure for handling confidential information of this nature and in any event may make disclosure to any other Lender hereto</w:t>
      </w:r>
    </w:p>
    <w:p>
      <w:pPr>
        <w:spacing w:after="0" w:line="211" w:lineRule="auto"/>
        <w:rPr>
          <w:sz w:val="20"/>
          <w:szCs w:val="20"/>
          <w:color w:val="auto"/>
        </w:rPr>
      </w:pPr>
      <w:r>
        <w:rPr>
          <w:rFonts w:ascii="Times New Roman" w:cs="Times New Roman" w:eastAsia="Times New Roman" w:hAnsi="Times New Roman"/>
          <w:sz w:val="20"/>
          <w:szCs w:val="20"/>
          <w:color w:val="auto"/>
        </w:rPr>
        <w:t>and (a) to its Affiliates and its Affiliates’ employees, legal counsel, independent auditors and other experts or agents (collectively,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Representatives</w:t>
      </w:r>
      <w:r>
        <w:rPr>
          <w:rFonts w:ascii="Times New Roman" w:cs="Times New Roman" w:eastAsia="Times New Roman" w:hAnsi="Times New Roman"/>
          <w:sz w:val="20"/>
          <w:szCs w:val="20"/>
          <w:color w:val="auto"/>
        </w:rPr>
        <w:t>“) who need to know such information in connection with the Transactions and are informed of the confidential nature of such information (it being understood that the Persons to whom such disclosure is made will be informed of the confidential nature of such</w:t>
      </w:r>
    </w:p>
    <w:p>
      <w:pPr>
        <w:spacing w:after="0" w:line="211" w:lineRule="auto"/>
        <w:rPr>
          <w:sz w:val="20"/>
          <w:szCs w:val="20"/>
          <w:color w:val="auto"/>
        </w:rPr>
      </w:pPr>
      <w:r>
        <w:rPr>
          <w:rFonts w:ascii="Times New Roman" w:cs="Times New Roman" w:eastAsia="Times New Roman" w:hAnsi="Times New Roman"/>
          <w:sz w:val="20"/>
          <w:szCs w:val="20"/>
          <w:color w:val="auto"/>
        </w:rPr>
        <w:t>information and instructed to keep such information confidential); (b) to the extent requested by any Governmental Authority or self-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regulatory authority having jurisdiction over such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prohibited by applicable Requirements of Law the Administrative Agent or such Lender, as applicable, agrees that it will notify the Borrower (without any liability for a failure to so notify the</w:t>
      </w:r>
    </w:p>
    <w:p>
      <w:pPr>
        <w:spacing w:after="0" w:line="211" w:lineRule="auto"/>
        <w:rPr>
          <w:sz w:val="20"/>
          <w:szCs w:val="20"/>
          <w:color w:val="auto"/>
        </w:rPr>
      </w:pPr>
      <w:r>
        <w:rPr>
          <w:rFonts w:ascii="Times New Roman" w:cs="Times New Roman" w:eastAsia="Times New Roman" w:hAnsi="Times New Roman"/>
          <w:sz w:val="20"/>
          <w:szCs w:val="20"/>
          <w:color w:val="auto"/>
        </w:rPr>
        <w:t>Borrower) as soon as practicable in the event of any such disclosure by such Person (other than at the request of a regulatory authority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examiner); (c) to the extent required by applicable Requirements of Law or regulations or by any subpoena or similar legal process;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Administrative Agent or such Lender, as applicable, agrees that it will notify the Borrower as soon as practicable in the event of any</w:t>
      </w:r>
    </w:p>
    <w:p>
      <w:pPr>
        <w:spacing w:after="0" w:line="211" w:lineRule="auto"/>
        <w:rPr>
          <w:sz w:val="20"/>
          <w:szCs w:val="20"/>
          <w:color w:val="auto"/>
        </w:rPr>
      </w:pPr>
      <w:r>
        <w:rPr>
          <w:rFonts w:ascii="Times New Roman" w:cs="Times New Roman" w:eastAsia="Times New Roman" w:hAnsi="Times New Roman"/>
          <w:sz w:val="20"/>
          <w:szCs w:val="20"/>
          <w:color w:val="auto"/>
        </w:rPr>
        <w:t>such disclosure by such Person (other than at the request of a regulatory authority or examiner) unless such notification is prohibited by law,</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rule or regulation; (d) subject to an agreement containing provisions at least as restrictive as those set forth in this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 xml:space="preserve"> (or as may otherwise be reasonably acceptable to the Borrower), to any pledgee referred to in </w:t>
      </w:r>
      <w:r>
        <w:rPr>
          <w:rFonts w:ascii="Times New Roman" w:cs="Times New Roman" w:eastAsia="Times New Roman" w:hAnsi="Times New Roman"/>
          <w:sz w:val="20"/>
          <w:szCs w:val="20"/>
          <w:u w:val="single" w:color="auto"/>
          <w:color w:val="auto"/>
        </w:rPr>
        <w:t>Section 13.6(d)</w:t>
      </w:r>
      <w:r>
        <w:rPr>
          <w:rFonts w:ascii="Times New Roman" w:cs="Times New Roman" w:eastAsia="Times New Roman" w:hAnsi="Times New Roman"/>
          <w:sz w:val="20"/>
          <w:szCs w:val="20"/>
          <w:color w:val="auto"/>
        </w:rPr>
        <w:t>, counterparty to a Hedge Agreement,</w:t>
      </w:r>
    </w:p>
    <w:p>
      <w:pPr>
        <w:spacing w:after="0" w:line="211" w:lineRule="auto"/>
        <w:rPr>
          <w:sz w:val="20"/>
          <w:szCs w:val="20"/>
          <w:color w:val="auto"/>
        </w:rPr>
      </w:pPr>
      <w:r>
        <w:rPr>
          <w:rFonts w:ascii="Times New Roman" w:cs="Times New Roman" w:eastAsia="Times New Roman" w:hAnsi="Times New Roman"/>
          <w:sz w:val="20"/>
          <w:szCs w:val="20"/>
          <w:color w:val="auto"/>
        </w:rPr>
        <w:t>credit insurer, eligible assignee of or participant in, or any prospective eligible assignee of or participant in any of its rights or obligations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under this Agreement pursuant to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disclosure of any such Confidential Information to any Lenders or eligible assignees or participants shall be made subject to the acknowledgement and acceptance by such Lender, eligible assignee or participant that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such Confidential Information is being disseminated on a confidential basis (on substantially the terms set forth in this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 xml:space="preserve"> or as</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otherwise reasonably acceptable to the Borrower) in accordance with the standard processes of the Administrative Agent or customary market standards for dissemination of such type of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152</w:t>
      </w:r>
    </w:p>
    <w:p>
      <w:pPr>
        <w:sectPr>
          <w:pgSz w:w="11900" w:h="16838" w:orient="portrait"/>
          <w:cols w:equalWidth="0" w:num="1">
            <w:col w:w="11240"/>
          </w:cols>
          <w:pgMar w:left="320" w:top="1394"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9"/>
          <w:szCs w:val="19"/>
          <w:color w:val="auto"/>
        </w:rPr>
        <w:t>Information; (e) with the prior written consent of the Borrower; (f) to the extent such Confidential Information becomes public other than by</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reason of disclosure by such Person in breach of this Agreement; (g) to any rating agency when required by it (it being understood that, prior to any such disclosure, such rating agency shall undertake to preserve the confidentiality of any information relating to Credit Parties and</w:t>
      </w:r>
    </w:p>
    <w:p>
      <w:pPr>
        <w:spacing w:after="0" w:line="211" w:lineRule="auto"/>
        <w:rPr>
          <w:sz w:val="20"/>
          <w:szCs w:val="20"/>
          <w:color w:val="auto"/>
        </w:rPr>
      </w:pPr>
      <w:r>
        <w:rPr>
          <w:rFonts w:ascii="Times New Roman" w:cs="Times New Roman" w:eastAsia="Times New Roman" w:hAnsi="Times New Roman"/>
          <w:sz w:val="20"/>
          <w:szCs w:val="20"/>
          <w:color w:val="auto"/>
        </w:rPr>
        <w:t>their Subsidiaries received by it from such Lender) or to the CUSIP Service Bureau or any similar organization; or (h) to the extent such</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Confidential Information is independently developed by or was in the prior possession of the Administrative Agent, the Arrangers, such Lender or any of their respective Affiliates so long as not based on information obtained in a manner that would violate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w:t>
      </w:r>
    </w:p>
    <w:p>
      <w:pPr>
        <w:spacing w:after="0" w:line="223"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in no event shall any Lender, the Administrative Agent, any Issuing Bank or any other Agent be obligated or required to return</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any materials furnished by the Borrower or any Subsidiary. In addition, each Lender, the Administrative Agent and each other Agent may provide Confidential Information to prospective Transferees or to any pledgee referred to in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or to prospective direct or indirect</w:t>
      </w:r>
    </w:p>
    <w:p>
      <w:pPr>
        <w:spacing w:after="0" w:line="211" w:lineRule="auto"/>
        <w:rPr>
          <w:sz w:val="20"/>
          <w:szCs w:val="20"/>
          <w:color w:val="auto"/>
        </w:rPr>
      </w:pPr>
      <w:r>
        <w:rPr>
          <w:rFonts w:ascii="Times New Roman" w:cs="Times New Roman" w:eastAsia="Times New Roman" w:hAnsi="Times New Roman"/>
          <w:sz w:val="20"/>
          <w:szCs w:val="20"/>
          <w:color w:val="auto"/>
        </w:rPr>
        <w:t>contractual counterparties in Hedge Agreements to be entered into in connection with Loans made hereunder as long as such Person is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advised of and agrees to be bound by the provisions of this </w:t>
      </w:r>
      <w:r>
        <w:rPr>
          <w:rFonts w:ascii="Times New Roman" w:cs="Times New Roman" w:eastAsia="Times New Roman" w:hAnsi="Times New Roman"/>
          <w:sz w:val="19"/>
          <w:szCs w:val="19"/>
          <w:u w:val="single" w:color="auto"/>
          <w:color w:val="auto"/>
        </w:rPr>
        <w:t>Section 13.16</w:t>
      </w:r>
      <w:r>
        <w:rPr>
          <w:rFonts w:ascii="Times New Roman" w:cs="Times New Roman" w:eastAsia="Times New Roman" w:hAnsi="Times New Roman"/>
          <w:sz w:val="19"/>
          <w:szCs w:val="19"/>
          <w:color w:val="auto"/>
        </w:rPr>
        <w:t xml:space="preserve"> or confidentiality provisions at least as restrictive as those set forth in the </w:t>
      </w:r>
      <w:r>
        <w:rPr>
          <w:rFonts w:ascii="Times New Roman" w:cs="Times New Roman" w:eastAsia="Times New Roman" w:hAnsi="Times New Roman"/>
          <w:sz w:val="19"/>
          <w:szCs w:val="19"/>
          <w:u w:val="single" w:color="auto"/>
          <w:color w:val="auto"/>
        </w:rPr>
        <w:t>Section 13.16</w:t>
      </w:r>
      <w:r>
        <w:rPr>
          <w:rFonts w:ascii="Times New Roman" w:cs="Times New Roman" w:eastAsia="Times New Roman" w:hAnsi="Times New Roman"/>
          <w:sz w:val="19"/>
          <w:szCs w:val="19"/>
          <w:color w:val="auto"/>
        </w:rPr>
        <w:t>. “Information” means all information received from the Borrower relating to the Borrower or its business, other than any</w:t>
      </w:r>
    </w:p>
    <w:p>
      <w:pPr>
        <w:spacing w:after="0" w:line="222" w:lineRule="auto"/>
        <w:rPr>
          <w:sz w:val="20"/>
          <w:szCs w:val="20"/>
          <w:color w:val="auto"/>
        </w:rPr>
      </w:pPr>
      <w:r>
        <w:rPr>
          <w:rFonts w:ascii="Times New Roman" w:cs="Times New Roman" w:eastAsia="Times New Roman" w:hAnsi="Times New Roman"/>
          <w:sz w:val="19"/>
          <w:szCs w:val="19"/>
          <w:color w:val="auto"/>
        </w:rPr>
        <w:t>such information that is available to the Administrative Agent, any Issuing Bank or any Lender on a non-confidential basis prior to disclosure</w:t>
      </w:r>
    </w:p>
    <w:p>
      <w:pPr>
        <w:spacing w:after="0" w:line="221" w:lineRule="auto"/>
        <w:rPr>
          <w:sz w:val="20"/>
          <w:szCs w:val="20"/>
          <w:color w:val="auto"/>
        </w:rPr>
      </w:pPr>
      <w:r>
        <w:rPr>
          <w:rFonts w:ascii="Times New Roman" w:cs="Times New Roman" w:eastAsia="Times New Roman" w:hAnsi="Times New Roman"/>
          <w:sz w:val="20"/>
          <w:szCs w:val="20"/>
          <w:color w:val="auto"/>
        </w:rPr>
        <w:t>by the Borrower and other than information pertaining to this Agreement routinely provided by the arrangers to data service providers, including league table providers, that serve the lending industry.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Lender acknowledges that information furnished to it pursuant to this Agreement or the other Credit Documents may include</w:t>
      </w:r>
    </w:p>
    <w:p>
      <w:pPr>
        <w:spacing w:after="0" w:line="204" w:lineRule="auto"/>
        <w:rPr>
          <w:sz w:val="20"/>
          <w:szCs w:val="20"/>
          <w:color w:val="auto"/>
        </w:rPr>
      </w:pPr>
      <w:r>
        <w:rPr>
          <w:rFonts w:ascii="Times New Roman" w:cs="Times New Roman" w:eastAsia="Times New Roman" w:hAnsi="Times New Roman"/>
          <w:sz w:val="20"/>
          <w:szCs w:val="20"/>
          <w:color w:val="auto"/>
        </w:rPr>
        <w:t>material non-public information concerning the Borrower and its Affiliates and their related parties or their respective securities, and confirms that it has developed compliance procedures regarding the use of material non-public information and that it will handle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material non-public information in accordance with those procedures and applicable law, including federal and state securities laws.</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All information, including requests for waivers and amendments, furnished by the Borrower or the Administrative Agent pursuant to, or in the course of administering, this Agreement or the other Credit Documents will be syndicate-level information, which may contain</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w:t>
      </w:r>
    </w:p>
    <w:p>
      <w:pPr>
        <w:spacing w:after="0" w:line="228" w:lineRule="auto"/>
        <w:rPr>
          <w:sz w:val="20"/>
          <w:szCs w:val="20"/>
          <w:color w:val="auto"/>
        </w:rPr>
      </w:pPr>
      <w:r>
        <w:rPr>
          <w:rFonts w:ascii="Times New Roman" w:cs="Times New Roman" w:eastAsia="Times New Roman" w:hAnsi="Times New Roman"/>
          <w:sz w:val="20"/>
          <w:szCs w:val="20"/>
          <w:color w:val="auto"/>
        </w:rPr>
        <w:t>may receive information that may contain material non-public information in accordance with its compliance procedures and applicable law, including federal and state securities laws.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9"/>
          <w:szCs w:val="19"/>
          <w:u w:val="single" w:color="auto"/>
          <w:color w:val="auto"/>
        </w:rPr>
        <w:t>Release of Collateral and Guarantee Obligations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1" w:lineRule="auto"/>
        <w:tabs>
          <w:tab w:leader="none" w:pos="1286"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Lenders hereby irrevocably agree that the Liens granted to the Collateral Agent by the Credit Parties on any Collateral shall be automatically released (i) in full, as set forth in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below, (ii) upon the Disposition of such Collateral (including as part of or in connection with any other Disposition permitted hereunder) to any Person other than another Credit Party, to the extent such Disposition is made in compliance with the terms of this Agreement and the Liens encumbering such Collateral and held by each other creditor party to any Junior Lien Intercreditor Agreement are required to be released pursuant to the relevant intercreditor agreement (and the Collateral Agent may rely conclusively on a certificate to that effect provided to it by any Credit Party upon its reasonable request without further inquiry),</w:t>
      </w:r>
    </w:p>
    <w:p>
      <w:pPr>
        <w:spacing w:after="0" w:line="2" w:lineRule="exact"/>
        <w:rPr>
          <w:rFonts w:ascii="Times New Roman" w:cs="Times New Roman" w:eastAsia="Times New Roman" w:hAnsi="Times New Roman"/>
          <w:sz w:val="19"/>
          <w:szCs w:val="19"/>
          <w:color w:val="auto"/>
        </w:rPr>
      </w:pPr>
    </w:p>
    <w:p>
      <w:pPr>
        <w:jc w:val="both"/>
        <w:ind w:firstLine="8"/>
        <w:spacing w:after="0" w:line="212" w:lineRule="auto"/>
        <w:tabs>
          <w:tab w:leader="none" w:pos="348"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Collateral becoming an Excluded Equity Interest, an Excluded Asset or becoming owned by an Excluded Subsidiary other than a Subsidiary Grantor, (iv) to the extent such Collateral is comprised of property leased to a Credit Party, upon termination or expiration of such lease, (v) if the release of such Lien is approved, authorized or ratified in writing by the Majority Lenders (or such other percentage of the Lenders whose consent may be required in accordance with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(vi) to the extent the property constituting such Collateral is owned by any Guarantor, upon the release of such Guarantor from its obligations under the Guarantee in accordance with the second succeeding sentence or Section 6.14 of the Guarantee and (vii) as required by the Collateral Agent to effect any Disposition of Collateral in connection with any exercise of remedies of the Collateral Agent pursuant to the Security Documents. Any such release shall not in any manner discharge, affect, or impair the Obligations or any Liens (other than those being released) upon (or obligations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153</w:t>
      </w:r>
    </w:p>
    <w:p>
      <w:pPr>
        <w:sectPr>
          <w:pgSz w:w="11900" w:h="16838" w:orient="portrait"/>
          <w:cols w:equalWidth="0" w:num="1">
            <w:col w:w="11240"/>
          </w:cols>
          <w:pgMar w:left="320" w:top="1399"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9"/>
          <w:szCs w:val="19"/>
          <w:color w:val="auto"/>
        </w:rPr>
        <w:t>those being released) of the Credit Parties in respect of) all interests retained by the Credit Parties, including the proceeds of any Disposition,</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all of which shall continue to constitute part of the Collateral except to the extent otherwise released in accordance with the provisions of the Credit Documents. Additionally, the Lenders hereby irrevocably agree that the Guarantors shall be released from the Guarantees upon</w:t>
      </w:r>
    </w:p>
    <w:p>
      <w:pPr>
        <w:spacing w:after="0" w:line="211" w:lineRule="auto"/>
        <w:rPr>
          <w:sz w:val="20"/>
          <w:szCs w:val="20"/>
          <w:color w:val="auto"/>
        </w:rPr>
      </w:pPr>
      <w:r>
        <w:rPr>
          <w:rFonts w:ascii="Times New Roman" w:cs="Times New Roman" w:eastAsia="Times New Roman" w:hAnsi="Times New Roman"/>
          <w:sz w:val="20"/>
          <w:szCs w:val="20"/>
          <w:color w:val="auto"/>
        </w:rPr>
        <w:t>consummation of any transaction permitted hereunder resulting in such Subsidiary ceasing to constitute a Restricted Subsidiary or otherwise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becoming an Excluded Subsidiary. Any representation, warranty or covenant contained in any Credit Document relating to any such Collateral or Guarantor shall no longer be deemed to be repeated. In connection with any release hereunder, the Administrative Agent and</w:t>
      </w:r>
    </w:p>
    <w:p>
      <w:pPr>
        <w:spacing w:after="0" w:line="223" w:lineRule="auto"/>
        <w:rPr>
          <w:sz w:val="20"/>
          <w:szCs w:val="20"/>
          <w:color w:val="auto"/>
        </w:rPr>
      </w:pPr>
      <w:r>
        <w:rPr>
          <w:rFonts w:ascii="Times New Roman" w:cs="Times New Roman" w:eastAsia="Times New Roman" w:hAnsi="Times New Roman"/>
          <w:sz w:val="19"/>
          <w:szCs w:val="19"/>
          <w:color w:val="auto"/>
        </w:rPr>
        <w:t>Collateral Agent shall promptly take such action and execute any such documents as may be reasonably requested by the Borrower and at the</w:t>
      </w:r>
    </w:p>
    <w:p>
      <w:pPr>
        <w:spacing w:after="0" w:line="221" w:lineRule="auto"/>
        <w:rPr>
          <w:sz w:val="20"/>
          <w:szCs w:val="20"/>
          <w:color w:val="auto"/>
        </w:rPr>
      </w:pPr>
      <w:r>
        <w:rPr>
          <w:rFonts w:ascii="Times New Roman" w:cs="Times New Roman" w:eastAsia="Times New Roman" w:hAnsi="Times New Roman"/>
          <w:sz w:val="20"/>
          <w:szCs w:val="20"/>
          <w:color w:val="auto"/>
        </w:rPr>
        <w:t>Borrower’s expense in connection with the release of any Liens created by any Credit Document in respect of such Subsidiary, property or asset.</w:t>
      </w:r>
    </w:p>
    <w:p>
      <w:pPr>
        <w:spacing w:after="0" w:line="162" w:lineRule="exact"/>
        <w:rPr>
          <w:sz w:val="20"/>
          <w:szCs w:val="20"/>
          <w:color w:val="auto"/>
        </w:rPr>
      </w:pPr>
    </w:p>
    <w:p>
      <w:pPr>
        <w:jc w:val="both"/>
        <w:ind w:firstLine="656"/>
        <w:spacing w:after="0" w:line="212" w:lineRule="auto"/>
        <w:tabs>
          <w:tab w:leader="none" w:pos="1284"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any other Credit Document, when Payment in Full has occurred (subject to any contingent or indemnification obligations not then due and payable), upon request of the Borrower, the Administrative Agent and/or Collateral Agent, as applicable, shall (without notice to, or vote or consent of, any Secured Party) take such actions as shall be required to release its security interest in all Collateral, and to release all obligations under any Credit Document, whether or not on the date of such release there may be any contingent or indemnification obligations not then due and payable. Any such release of Obligations shall be deemed subject to the provision that such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Grantor, or upon or as a result of the appointment of a receiver, intervenor or conservator of, or trustee or similar officer for, the Borrower or any Grantor or any substantial part of its property, or otherwise, all as though such payment had not been made.</w:t>
      </w:r>
    </w:p>
    <w:p>
      <w:pPr>
        <w:spacing w:after="0" w:line="155"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6"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on the EHP Designation Date, (i) each EHP Entity shall be unconditionally and automatically released and discharged under this Agreement and each other Credit Document and (ii) the Administrative Agent and/or Collateral Agent, as applicable, shall (without notice to, or vote or consent of, any Secured Party) take such actions as shall be required to release its security interest in all Collateral held by the EHP Entities, and to release all obligations of such EHP Entities under any Credit Document, whether or not on the date of such release there may be any contingent or indemnification obligations not then due and payable.</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Collateral Agent is authorized (without notice to or vote or consent of, any Secured Party) to take such actions as shall be required to release its Lien and security interest in the real property encumbered by mortgages or deeds of trust under the Existing Credit Agreement to the extent such properties are described on </w:t>
      </w:r>
      <w:r>
        <w:rPr>
          <w:rFonts w:ascii="Times New Roman" w:cs="Times New Roman" w:eastAsia="Times New Roman" w:hAnsi="Times New Roman"/>
          <w:sz w:val="20"/>
          <w:szCs w:val="20"/>
          <w:u w:val="single" w:color="auto"/>
          <w:color w:val="auto"/>
        </w:rPr>
        <w:t>Schedule 13.17</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1.18 </w:t>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The Agents and each Lender hereby notify the Borrower that pursuant to the requirements of the USA PATRIOT Act (Title III of Pub. L. 107-56 (signed into law October 26, 2001)) (the “</w:t>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it is required to obtain, verify and record information</w:t>
      </w:r>
    </w:p>
    <w:p>
      <w:pPr>
        <w:spacing w:after="0" w:line="228" w:lineRule="auto"/>
        <w:rPr>
          <w:sz w:val="20"/>
          <w:szCs w:val="20"/>
          <w:color w:val="auto"/>
        </w:rPr>
      </w:pPr>
      <w:r>
        <w:rPr>
          <w:rFonts w:ascii="Times New Roman" w:cs="Times New Roman" w:eastAsia="Times New Roman" w:hAnsi="Times New Roman"/>
          <w:sz w:val="20"/>
          <w:szCs w:val="20"/>
          <w:color w:val="auto"/>
        </w:rPr>
        <w:t>that identifies each Credit Party, which information includes the name and address of each Credit Party and other information that will allow such Agent and such Lender to identify each Credit Party in accordance with the Patriot Act.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1.19 </w:t>
      </w:r>
      <w:r>
        <w:rPr>
          <w:rFonts w:ascii="Times New Roman" w:cs="Times New Roman" w:eastAsia="Times New Roman" w:hAnsi="Times New Roman"/>
          <w:sz w:val="20"/>
          <w:szCs w:val="20"/>
          <w:u w:val="single" w:color="auto"/>
          <w:color w:val="auto"/>
        </w:rPr>
        <w:t>Payments Set Aside</w:t>
      </w:r>
      <w:r>
        <w:rPr>
          <w:rFonts w:ascii="Times New Roman" w:cs="Times New Roman" w:eastAsia="Times New Roman" w:hAnsi="Times New Roman"/>
          <w:sz w:val="20"/>
          <w:szCs w:val="20"/>
          <w:color w:val="auto"/>
        </w:rPr>
        <w:t>. To the extent that any payment by or on behalf of the Borrower is made to any Agent or any Lender, or any Agent or any Lender exercises its right of setoff, and such payment or the proceeds of such setoff or any part thereof is subsequently</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w:t>
      </w:r>
    </w:p>
    <w:p>
      <w:pPr>
        <w:spacing w:after="0" w:line="211" w:lineRule="auto"/>
        <w:rPr>
          <w:sz w:val="20"/>
          <w:szCs w:val="20"/>
          <w:color w:val="auto"/>
        </w:rPr>
      </w:pPr>
      <w:r>
        <w:rPr>
          <w:rFonts w:ascii="Times New Roman" w:cs="Times New Roman" w:eastAsia="Times New Roman" w:hAnsi="Times New Roman"/>
          <w:sz w:val="20"/>
          <w:szCs w:val="20"/>
          <w:color w:val="auto"/>
        </w:rPr>
        <w:t>the extent of such recovery, the obligation or part thereof originally intended to be satisfied shall be revived and continued in full force and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effect as if such payment had not been made or such setoff had not occurred, and (b) each Lender severally agrees to pay to the Administrative Agent upon demand its applicable share of any amount so recovered from or repaid by any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 date of such demand to the date such payment is made at a rate per annum equal to the applicable Overnight Rate from time to time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ectPr>
          <w:pgSz w:w="11900" w:h="16838" w:orient="portrait"/>
          <w:cols w:equalWidth="0" w:num="1">
            <w:col w:w="11240"/>
          </w:cols>
          <w:pgMar w:left="320" w:top="1399" w:right="339" w:bottom="1440" w:gutter="0" w:footer="0" w:header="0"/>
        </w:sectPr>
      </w:pPr>
    </w:p>
    <w:bookmarkStart w:id="201" w:name="page202"/>
    <w:bookmarkEnd w:id="201"/>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1.20</w:t>
      </w:r>
      <w:r>
        <w:rPr>
          <w:sz w:val="20"/>
          <w:szCs w:val="20"/>
          <w:color w:val="auto"/>
        </w:rPr>
        <w:tab/>
      </w:r>
      <w:r>
        <w:rPr>
          <w:rFonts w:ascii="Times New Roman" w:cs="Times New Roman" w:eastAsia="Times New Roman" w:hAnsi="Times New Roman"/>
          <w:sz w:val="19"/>
          <w:szCs w:val="19"/>
          <w:u w:val="single" w:color="auto"/>
          <w:color w:val="auto"/>
        </w:rPr>
        <w:t>Reinstatement</w:t>
      </w:r>
      <w:r>
        <w:rPr>
          <w:rFonts w:ascii="Times New Roman" w:cs="Times New Roman" w:eastAsia="Times New Roman" w:hAnsi="Times New Roman"/>
          <w:sz w:val="19"/>
          <w:szCs w:val="19"/>
          <w:color w:val="auto"/>
        </w:rPr>
        <w:t>. This Agreement shall continue to be effective, or be reinstated, as the case may be, if at any time payment, or</w:t>
      </w:r>
    </w:p>
    <w:p>
      <w:pPr>
        <w:spacing w:after="0" w:line="204" w:lineRule="auto"/>
        <w:rPr>
          <w:sz w:val="20"/>
          <w:szCs w:val="20"/>
          <w:color w:val="auto"/>
        </w:rPr>
      </w:pPr>
      <w:r>
        <w:rPr>
          <w:rFonts w:ascii="Times New Roman" w:cs="Times New Roman" w:eastAsia="Times New Roman" w:hAnsi="Times New Roman"/>
          <w:sz w:val="20"/>
          <w:szCs w:val="20"/>
          <w:color w:val="auto"/>
        </w:rPr>
        <w:t>any part thereof, of any of the Obligations is rescinded or must otherwise be restored or returned by the Administrative Agent or any other Secured Party upon the insolvency, bankruptcy, dissolution, liquidation or reorganization of the Borrower, or upon or as a result of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appointment of a receiver, intervenor or conservator of, or trustee or similar officer for, the Borrower or any substantial part of its property, or otherwise, all as though such payments had not been made.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Disposition of Proceeds</w:t>
      </w:r>
      <w:r>
        <w:rPr>
          <w:rFonts w:ascii="Times New Roman" w:cs="Times New Roman" w:eastAsia="Times New Roman" w:hAnsi="Times New Roman"/>
          <w:sz w:val="20"/>
          <w:szCs w:val="20"/>
          <w:color w:val="auto"/>
        </w:rPr>
        <w:t>. The Security Documents contain an assignment by the Borrower and/or the Grantors unto and in favor of the Collateral Agent for the benefit of the Lenders of all of the Borrower’s or each Grantor’s interest in and to their as-extracted</w:t>
      </w:r>
    </w:p>
    <w:p>
      <w:pPr>
        <w:spacing w:after="0" w:line="2"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collateral in the form of production and all proceeds attributable thereto which may be produced from or allocated to the Mortgaged Property. The Security Documents further provide in general for the application of such proceeds to the satisfaction of the Obligations described</w:t>
      </w:r>
    </w:p>
    <w:p>
      <w:pPr>
        <w:spacing w:after="0" w:line="211" w:lineRule="auto"/>
        <w:rPr>
          <w:sz w:val="20"/>
          <w:szCs w:val="20"/>
          <w:color w:val="auto"/>
        </w:rPr>
      </w:pPr>
      <w:r>
        <w:rPr>
          <w:rFonts w:ascii="Times New Roman" w:cs="Times New Roman" w:eastAsia="Times New Roman" w:hAnsi="Times New Roman"/>
          <w:sz w:val="20"/>
          <w:szCs w:val="20"/>
          <w:color w:val="auto"/>
        </w:rPr>
        <w:t>therein and secured thereby. Notwithstanding the assignment contained in such Security Documents, until the occurrence of an Event of</w:t>
      </w:r>
    </w:p>
    <w:p>
      <w:pPr>
        <w:ind w:right="20"/>
        <w:spacing w:after="0" w:line="204" w:lineRule="auto"/>
        <w:rPr>
          <w:sz w:val="20"/>
          <w:szCs w:val="20"/>
          <w:color w:val="auto"/>
        </w:rPr>
      </w:pPr>
      <w:r>
        <w:rPr>
          <w:rFonts w:ascii="Times New Roman" w:cs="Times New Roman" w:eastAsia="Times New Roman" w:hAnsi="Times New Roman"/>
          <w:sz w:val="20"/>
          <w:szCs w:val="20"/>
          <w:color w:val="auto"/>
        </w:rPr>
        <w:t>Default, (a) the Administrative Agent and the Lenders agree that they will neither notify the purchaser or purchasers of such production nor take any other action to cause such proceeds to be remitted to the Administrative Agent or the Lenders, but the Lenders will instead permit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such proceeds to be paid to the Borrower and its Subsidiaries and (b) the Lenders hereby authorize the Administrative Agent to take such actions as may be necessary to cause such proceeds to be paid to the Borrower and/or such Subsidiaries.</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u w:val="single" w:color="auto"/>
          <w:color w:val="auto"/>
        </w:rPr>
        <w:t>Collateral Matters; Hedge Agreements</w:t>
      </w:r>
      <w:r>
        <w:rPr>
          <w:rFonts w:ascii="Times New Roman" w:cs="Times New Roman" w:eastAsia="Times New Roman" w:hAnsi="Times New Roman"/>
          <w:sz w:val="20"/>
          <w:szCs w:val="20"/>
          <w:color w:val="auto"/>
        </w:rPr>
        <w:t>. The benefit of the Security Documents and of the provisions of this Agreement relating to any Collateral securing the Obligations shall also extend to and be available on a pro rata basis pursuant to terms agreed upon in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Credit Documents to any Person (a) under any Secured Hedge Agreement, in each case, after giving effect to all netting arrangements relating to such Hedge Agreements or (b) under any Secured Cash Management Agreement. No Person shall have any voting rights under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any Credit Document solely as a result of the existence of obligations owed to it under any such Secured Hedge Agreement or Secured Cash Management Agreement, except as expressly described herein.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20"/>
          <w:szCs w:val="20"/>
          <w:u w:val="single" w:color="auto"/>
          <w:color w:val="auto"/>
        </w:rPr>
        <w:t>Agency of the Borrower for the Other Credit Parties</w:t>
      </w:r>
      <w:r>
        <w:rPr>
          <w:rFonts w:ascii="Times New Roman" w:cs="Times New Roman" w:eastAsia="Times New Roman" w:hAnsi="Times New Roman"/>
          <w:sz w:val="20"/>
          <w:szCs w:val="20"/>
          <w:color w:val="auto"/>
        </w:rPr>
        <w:t>. Each of the other Credit Parties hereby appoints the Borrower as its</w:t>
      </w:r>
    </w:p>
    <w:p>
      <w:pPr>
        <w:spacing w:after="0" w:line="204" w:lineRule="auto"/>
        <w:rPr>
          <w:sz w:val="20"/>
          <w:szCs w:val="20"/>
          <w:color w:val="auto"/>
        </w:rPr>
      </w:pPr>
      <w:r>
        <w:rPr>
          <w:rFonts w:ascii="Times New Roman" w:cs="Times New Roman" w:eastAsia="Times New Roman" w:hAnsi="Times New Roman"/>
          <w:sz w:val="20"/>
          <w:szCs w:val="20"/>
          <w:color w:val="auto"/>
        </w:rPr>
        <w:t>agent for all purposes relevant to this Agreement and the other Credit Documents, including the giving and receipt of notices and the execution and delivery of all documents, instruments and certificates contemplated herein and therein and all modifications hereto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u w:val="single" w:color="auto"/>
          <w:color w:val="auto"/>
        </w:rPr>
        <w:t>Acknowledgement and Consent to Bail-In of EEA Financial Institutions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Notwithstanding anything to the contrary in any Credit Document or in any other agreement, arrangement or understanding among any such parties, each party hereto acknowledges that any liability of any Affected Financial Institution arising under any Credit Document,</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to the extent such liability is unsecured, may be subject to the Write-Down and Conversion Powers of the applicable Resolution Authority and agrees and consents to, and acknowledges and agrees to be bound by:</w:t>
      </w:r>
    </w:p>
    <w:p>
      <w:pPr>
        <w:spacing w:after="0" w:line="162" w:lineRule="exact"/>
        <w:rPr>
          <w:sz w:val="20"/>
          <w:szCs w:val="20"/>
          <w:color w:val="auto"/>
        </w:rPr>
      </w:pPr>
    </w:p>
    <w:p>
      <w:pPr>
        <w:ind w:firstLine="656"/>
        <w:spacing w:after="0"/>
        <w:tabs>
          <w:tab w:leader="none" w:pos="1286"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5"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155</w:t>
      </w:r>
    </w:p>
    <w:p>
      <w:pPr>
        <w:sectPr>
          <w:pgSz w:w="11900" w:h="16838" w:orient="portrait"/>
          <w:cols w:equalWidth="0" w:num="1">
            <w:col w:w="11240"/>
          </w:cols>
          <w:pgMar w:left="320" w:top="1394" w:right="339" w:bottom="1440" w:gutter="0" w:footer="0" w:header="0"/>
        </w:sectPr>
      </w:pPr>
    </w:p>
    <w:bookmarkStart w:id="202" w:name="page203"/>
    <w:bookmarkEnd w:id="202"/>
    <w:p>
      <w:pPr>
        <w:ind w:left="660" w:firstLine="644"/>
        <w:spacing w:after="0"/>
        <w:tabs>
          <w:tab w:leader="none" w:pos="1956"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1.25 </w:t>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 To the extent that the Credit Documents provide support, through a guarantee or otherwise, for Hedge Agreements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w:t>
      </w:r>
    </w:p>
    <w:p>
      <w:pPr>
        <w:spacing w:after="0" w:line="211" w:lineRule="auto"/>
        <w:rPr>
          <w:sz w:val="20"/>
          <w:szCs w:val="20"/>
          <w:color w:val="auto"/>
        </w:rPr>
      </w:pPr>
      <w:r>
        <w:rPr>
          <w:rFonts w:ascii="Times New Roman" w:cs="Times New Roman" w:eastAsia="Times New Roman" w:hAnsi="Times New Roman"/>
          <w:sz w:val="20"/>
          <w:szCs w:val="20"/>
          <w:color w:val="auto"/>
        </w:rPr>
        <w:t>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w:t>
      </w:r>
    </w:p>
    <w:p>
      <w:pPr>
        <w:spacing w:after="0" w:line="204" w:lineRule="auto"/>
        <w:rPr>
          <w:sz w:val="20"/>
          <w:szCs w:val="20"/>
          <w:color w:val="auto"/>
        </w:rPr>
      </w:pPr>
      <w:r>
        <w:rPr>
          <w:rFonts w:ascii="Times New Roman" w:cs="Times New Roman" w:eastAsia="Times New Roman" w:hAnsi="Times New Roman"/>
          <w:sz w:val="20"/>
          <w:szCs w:val="20"/>
          <w:color w:val="auto"/>
        </w:rPr>
        <w:t>U.S. Special Resolution Regime, the transfer of such Supported QFC and the benefit of such QFC Credit Support (and any interest and obligation in or under such Supported QFC and such QFC Credit Support, and any rights in property securing such Supported QFC or such</w:t>
      </w:r>
    </w:p>
    <w:p>
      <w:pPr>
        <w:spacing w:after="0" w:line="211" w:lineRule="auto"/>
        <w:rPr>
          <w:sz w:val="20"/>
          <w:szCs w:val="20"/>
          <w:color w:val="auto"/>
        </w:rPr>
      </w:pPr>
      <w:r>
        <w:rPr>
          <w:rFonts w:ascii="Times New Roman" w:cs="Times New Roman" w:eastAsia="Times New Roman" w:hAnsi="Times New Roman"/>
          <w:sz w:val="20"/>
          <w:szCs w:val="20"/>
          <w:color w:val="auto"/>
        </w:rPr>
        <w:t>QFC Credit Support) from such Covered Party will be effective to the same extent as the transfer would be effective under the U.S. Special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Resolution Regime if the Supported QFC and such QFC Credit Support (and any such interest, obligation and rights in property) were governed by the laws of the United States or a state of the United States. In the event a Covered Party or a BHC Act Affiliate of a Covered</w:t>
      </w:r>
    </w:p>
    <w:p>
      <w:pPr>
        <w:spacing w:after="0" w:line="211" w:lineRule="auto"/>
        <w:rPr>
          <w:sz w:val="20"/>
          <w:szCs w:val="20"/>
          <w:color w:val="auto"/>
        </w:rPr>
      </w:pPr>
      <w:r>
        <w:rPr>
          <w:rFonts w:ascii="Times New Roman" w:cs="Times New Roman" w:eastAsia="Times New Roman" w:hAnsi="Times New Roman"/>
          <w:sz w:val="20"/>
          <w:szCs w:val="20"/>
          <w:color w:val="auto"/>
        </w:rPr>
        <w:t>Party becomes subject to a proceeding under a U.S. Special Resolution Regime, default rights under the Credit Documents that might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otherwise apply to such Supported QFC or any QFC Credit Support that may be exercised against such Covered Party are permitted to be exercised to no greater extent than such default rights could be exercised under the U.S. Special Resolution Regime if the Supported QFC</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w:t>
      </w:r>
    </w:p>
    <w:p>
      <w:pPr>
        <w:spacing w:after="0"/>
        <w:rPr>
          <w:sz w:val="20"/>
          <w:szCs w:val="20"/>
          <w:color w:val="auto"/>
        </w:rPr>
      </w:pPr>
      <w:r>
        <w:rPr>
          <w:rFonts w:ascii="Times New Roman" w:cs="Times New Roman" w:eastAsia="Times New Roman" w:hAnsi="Times New Roman"/>
          <w:sz w:val="20"/>
          <w:szCs w:val="20"/>
          <w:color w:val="auto"/>
        </w:rPr>
        <w:t>Covered Party with respect to a Supported QFC or any QFC Credit Support.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1.26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On the Closing Date, this Agreement shall supersede and replace in its entirety the Existing Credit Agreement; provided, however, that (a) all loans, letters of credit, and other indebtedness, obligations and liabilities outstanding under</w:t>
      </w:r>
    </w:p>
    <w:p>
      <w:pPr>
        <w:spacing w:after="0" w:line="212" w:lineRule="auto"/>
        <w:rPr>
          <w:sz w:val="20"/>
          <w:szCs w:val="20"/>
          <w:color w:val="auto"/>
        </w:rPr>
      </w:pPr>
      <w:r>
        <w:rPr>
          <w:rFonts w:ascii="Times New Roman" w:cs="Times New Roman" w:eastAsia="Times New Roman" w:hAnsi="Times New Roman"/>
          <w:sz w:val="20"/>
          <w:szCs w:val="20"/>
          <w:color w:val="auto"/>
        </w:rPr>
        <w:t>the Existing Credit Agreement on such date shall continue to constitute Loans, Letters of Credit and other indebtedness, obligations and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liabilities under this Agreement, (b) the execution and delivery of this Agreement or any of the Credit Documents hereunder shall not constitute a novation, refinancing or any other fundamental change in the relationship among the parties, (c) the Loans, Letters of Credit, and</w:t>
      </w:r>
    </w:p>
    <w:p>
      <w:pPr>
        <w:spacing w:after="0" w:line="211" w:lineRule="auto"/>
        <w:rPr>
          <w:sz w:val="20"/>
          <w:szCs w:val="20"/>
          <w:color w:val="auto"/>
        </w:rPr>
      </w:pPr>
      <w:r>
        <w:rPr>
          <w:rFonts w:ascii="Times New Roman" w:cs="Times New Roman" w:eastAsia="Times New Roman" w:hAnsi="Times New Roman"/>
          <w:sz w:val="20"/>
          <w:szCs w:val="20"/>
          <w:color w:val="auto"/>
        </w:rPr>
        <w:t>other indebtedness, obligations and liabilities outstanding hereunder, to the extent outstanding under the Existing Credit Agreement</w:t>
      </w:r>
    </w:p>
    <w:p>
      <w:pPr>
        <w:spacing w:after="0" w:line="204" w:lineRule="auto"/>
        <w:rPr>
          <w:sz w:val="20"/>
          <w:szCs w:val="20"/>
          <w:color w:val="auto"/>
        </w:rPr>
      </w:pPr>
      <w:r>
        <w:rPr>
          <w:rFonts w:ascii="Times New Roman" w:cs="Times New Roman" w:eastAsia="Times New Roman" w:hAnsi="Times New Roman"/>
          <w:sz w:val="20"/>
          <w:szCs w:val="20"/>
          <w:color w:val="auto"/>
        </w:rPr>
        <w:t>immediately prior to the Closing Date, shall constitute the same loans, letters of credit, and other indebtedness, obligations and liabilities as were outstanding under the Existing Credit Agreement and (d) the Liens securing the “Obligations” (as defined in the Existing Credit</w:t>
      </w:r>
    </w:p>
    <w:p>
      <w:pPr>
        <w:spacing w:after="0" w:line="211" w:lineRule="auto"/>
        <w:rPr>
          <w:sz w:val="20"/>
          <w:szCs w:val="20"/>
          <w:color w:val="auto"/>
        </w:rPr>
      </w:pPr>
      <w:r>
        <w:rPr>
          <w:rFonts w:ascii="Times New Roman" w:cs="Times New Roman" w:eastAsia="Times New Roman" w:hAnsi="Times New Roman"/>
          <w:sz w:val="20"/>
          <w:szCs w:val="20"/>
          <w:color w:val="auto"/>
        </w:rPr>
        <w:t>Agreement) and the rights, duties, liabilities and obligations of the Credit Parties under the Existing Credit Agreement and the “Credit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Documents” (as defined in the Existing Credit Agreement) to which they are a party shall not be extinguished but shall be carried forward and shall secure the Obligations and liabilities as amended, renewed, extended and restated hereby. The Lenders party to the Existing Credit</w:t>
      </w:r>
    </w:p>
    <w:p>
      <w:pPr>
        <w:spacing w:after="0" w:line="211" w:lineRule="auto"/>
        <w:rPr>
          <w:sz w:val="20"/>
          <w:szCs w:val="20"/>
          <w:color w:val="auto"/>
        </w:rPr>
      </w:pPr>
      <w:r>
        <w:rPr>
          <w:rFonts w:ascii="Times New Roman" w:cs="Times New Roman" w:eastAsia="Times New Roman" w:hAnsi="Times New Roman"/>
          <w:sz w:val="20"/>
          <w:szCs w:val="20"/>
          <w:color w:val="auto"/>
        </w:rPr>
        <w:t>Agreement agree among themselves to reallocate their respective Commitments (as defined in the Existing Credit Agreement) as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contemplated by this Agreement. On the Closing Date and after giving effect to such reallocation and adjustment of the Commitments, the Commitments of each Lender shall be as set forth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hereto and each Lender shall own its Commitment Percentage of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outstanding Loans. The reallocation and adjustment to the Commitments of each Lender as contemplated by this </w:t>
      </w:r>
      <w:r>
        <w:rPr>
          <w:rFonts w:ascii="Times New Roman" w:cs="Times New Roman" w:eastAsia="Times New Roman" w:hAnsi="Times New Roman"/>
          <w:sz w:val="20"/>
          <w:szCs w:val="20"/>
          <w:u w:val="single" w:color="auto"/>
          <w:color w:val="auto"/>
        </w:rPr>
        <w:t>Section 13.26</w:t>
      </w:r>
      <w:r>
        <w:rPr>
          <w:rFonts w:ascii="Times New Roman" w:cs="Times New Roman" w:eastAsia="Times New Roman" w:hAnsi="Times New Roman"/>
          <w:sz w:val="20"/>
          <w:szCs w:val="20"/>
          <w:color w:val="auto"/>
        </w:rPr>
        <w:t xml:space="preserve"> shall be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deemed to have been consummated pursuant to the terms of an Assignment and Assumption as if each of the Lenders had executed an Assignment and Assumption with respect to such reallocation and adjustment. The Borrower and the Administrative Agent hereby consent to</w:t>
      </w:r>
    </w:p>
    <w:p>
      <w:pPr>
        <w:spacing w:after="0"/>
        <w:rPr>
          <w:sz w:val="20"/>
          <w:szCs w:val="20"/>
          <w:color w:val="auto"/>
        </w:rPr>
      </w:pPr>
      <w:r>
        <w:rPr>
          <w:rFonts w:ascii="Times New Roman" w:cs="Times New Roman" w:eastAsia="Times New Roman" w:hAnsi="Times New Roman"/>
          <w:sz w:val="20"/>
          <w:szCs w:val="20"/>
          <w:color w:val="auto"/>
        </w:rPr>
        <w:t>such reallocation and adjustment of the Commitments.</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1.27 </w:t>
      </w:r>
      <w:r>
        <w:rPr>
          <w:rFonts w:ascii="Times New Roman" w:cs="Times New Roman" w:eastAsia="Times New Roman" w:hAnsi="Times New Roman"/>
          <w:sz w:val="20"/>
          <w:szCs w:val="20"/>
          <w:u w:val="single" w:color="auto"/>
          <w:color w:val="auto"/>
        </w:rPr>
        <w:t>Exiting Lenders</w:t>
      </w:r>
      <w:r>
        <w:rPr>
          <w:rFonts w:ascii="Times New Roman" w:cs="Times New Roman" w:eastAsia="Times New Roman" w:hAnsi="Times New Roman"/>
          <w:sz w:val="20"/>
          <w:szCs w:val="20"/>
          <w:color w:val="auto"/>
        </w:rPr>
        <w:t>. On and after the Closing Date, (i) each Exiting Lender shall cease to be a Lender under this Agreement, (ii) no Exiting Lender shall have any obligations or liabilities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156</w:t>
      </w:r>
    </w:p>
    <w:p>
      <w:pPr>
        <w:sectPr>
          <w:pgSz w:w="11900" w:h="16838" w:orient="portrait"/>
          <w:cols w:equalWidth="0" w:num="1">
            <w:col w:w="11240"/>
          </w:cols>
          <w:pgMar w:left="320" w:top="1399"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9"/>
          <w:szCs w:val="19"/>
          <w:color w:val="auto"/>
        </w:rPr>
        <w:t>under this Agreement with respect to the period from and after the Closing Date and, without limiting the foregoing, no Exiting Lender shall</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have any Commitment under this Agreement or any L/C Obligations outstanding hereunder and (iii) no Exiting Lender shall have any rights under the Existing Credit Agreement, this Agreement or any other Loan Document as a Lender (other than rights under the Existing Credit</w:t>
      </w:r>
    </w:p>
    <w:p>
      <w:pPr>
        <w:spacing w:after="0" w:line="211" w:lineRule="auto"/>
        <w:rPr>
          <w:sz w:val="20"/>
          <w:szCs w:val="20"/>
          <w:color w:val="auto"/>
        </w:rPr>
      </w:pPr>
      <w:r>
        <w:rPr>
          <w:rFonts w:ascii="Times New Roman" w:cs="Times New Roman" w:eastAsia="Times New Roman" w:hAnsi="Times New Roman"/>
          <w:sz w:val="20"/>
          <w:szCs w:val="20"/>
          <w:color w:val="auto"/>
        </w:rPr>
        <w:t>Agreement expressly stated to survive the termination of the Existing Credit Agreement and the repayment of amounts outstanding</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thereunder) and each such Exiting Lender’s receipt in cash of an amount to repay such Exiting Lender’s Loans in full under the Existing Credit Agreement shall be deemed to be a consent to the transactions contemplated hereby.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157</w:t>
      </w:r>
    </w:p>
    <w:p>
      <w:pPr>
        <w:sectPr>
          <w:pgSz w:w="11900" w:h="16838" w:orient="portrait"/>
          <w:cols w:equalWidth="0" w:num="1">
            <w:col w:w="11240"/>
          </w:cols>
          <w:pgMar w:left="320" w:top="1399" w:right="339" w:bottom="1440" w:gutter="0" w:footer="0" w:header="0"/>
        </w:sectPr>
      </w:pPr>
    </w:p>
    <w:bookmarkStart w:id="204" w:name="page205"/>
    <w:bookmarkEnd w:id="204"/>
    <w:p>
      <w:pPr>
        <w:ind w:right="859" w:firstLine="648"/>
        <w:spacing w:after="0" w:line="466" w:lineRule="auto"/>
        <w:rPr>
          <w:sz w:val="20"/>
          <w:szCs w:val="20"/>
          <w:color w:val="auto"/>
        </w:rPr>
      </w:pPr>
      <w:r>
        <w:rPr>
          <w:rFonts w:ascii="Times New Roman" w:cs="Times New Roman" w:eastAsia="Times New Roman" w:hAnsi="Times New Roman"/>
          <w:sz w:val="20"/>
          <w:szCs w:val="20"/>
          <w:color w:val="auto"/>
        </w:rPr>
        <w:t>The parties hereto have caused this Agreement to be duly executed as of the day and year first above written. BORROWER: CALIFORNIA RESOURCES CORPORATION</w:t>
      </w:r>
    </w:p>
    <w:p>
      <w:pPr>
        <w:spacing w:after="0" w:line="249"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-7620</wp:posOffset>
            </wp:positionV>
            <wp:extent cx="1165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ind w:left="3900"/>
        <w:spacing w:after="0" w:line="211" w:lineRule="auto"/>
        <w:tabs>
          <w:tab w:leader="none" w:pos="4660" w:val="left"/>
        </w:tabs>
        <w:rPr>
          <w:sz w:val="20"/>
          <w:szCs w:val="20"/>
          <w:color w:val="auto"/>
        </w:rPr>
      </w:pPr>
      <w:r>
        <w:rPr>
          <w:rFonts w:ascii="Times New Roman" w:cs="Times New Roman" w:eastAsia="Times New Roman" w:hAnsi="Times New Roman"/>
          <w:sz w:val="20"/>
          <w:szCs w:val="20"/>
          <w:color w:val="auto"/>
        </w:rPr>
        <w:t>Name:</w:t>
        <w:tab/>
        <w:t>Francisco J. Leon</w:t>
      </w:r>
    </w:p>
    <w:p>
      <w:pPr>
        <w:ind w:left="3900"/>
        <w:spacing w:after="0"/>
        <w:tabs>
          <w:tab w:leader="none" w:pos="4540" w:val="left"/>
        </w:tabs>
        <w:rPr>
          <w:sz w:val="20"/>
          <w:szCs w:val="20"/>
          <w:color w:val="auto"/>
        </w:rPr>
      </w:pPr>
      <w:r>
        <w:rPr>
          <w:rFonts w:ascii="Times New Roman" w:cs="Times New Roman" w:eastAsia="Times New Roman" w:hAnsi="Times New Roman"/>
          <w:sz w:val="20"/>
          <w:szCs w:val="20"/>
          <w:color w:val="auto"/>
        </w:rPr>
        <w:t>Title:</w:t>
        <w:tab/>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 –</w:t>
      </w:r>
    </w:p>
    <w:p>
      <w:pPr>
        <w:jc w:val="center"/>
        <w:ind w:right="-1100"/>
        <w:spacing w:after="0"/>
        <w:rPr>
          <w:sz w:val="20"/>
          <w:szCs w:val="20"/>
          <w:color w:val="auto"/>
        </w:rPr>
      </w:pPr>
      <w:r>
        <w:rPr>
          <w:rFonts w:ascii="Times New Roman" w:cs="Times New Roman" w:eastAsia="Times New Roman" w:hAnsi="Times New Roman"/>
          <w:sz w:val="18"/>
          <w:szCs w:val="18"/>
          <w:color w:val="auto"/>
        </w:rPr>
        <w:t>California Resources Corporation]</w:t>
      </w:r>
    </w:p>
    <w:p>
      <w:pPr>
        <w:sectPr>
          <w:pgSz w:w="11900" w:h="16838" w:orient="portrait"/>
          <w:cols w:equalWidth="0" w:num="1">
            <w:col w:w="10139"/>
          </w:cols>
          <w:pgMar w:left="320" w:top="1399" w:right="1440" w:bottom="1440" w:gutter="0" w:footer="0" w:header="0"/>
        </w:sectPr>
      </w:pPr>
    </w:p>
    <w:bookmarkStart w:id="205" w:name="page206"/>
    <w:bookmarkEnd w:id="205"/>
    <w:p>
      <w:pPr>
        <w:spacing w:after="0"/>
        <w:tabs>
          <w:tab w:leader="none" w:pos="2620" w:val="left"/>
        </w:tabs>
        <w:rPr>
          <w:sz w:val="20"/>
          <w:szCs w:val="20"/>
          <w:color w:val="auto"/>
        </w:rPr>
      </w:pPr>
      <w:r>
        <w:rPr>
          <w:rFonts w:ascii="Times New Roman" w:cs="Times New Roman" w:eastAsia="Times New Roman" w:hAnsi="Times New Roman"/>
          <w:sz w:val="20"/>
          <w:szCs w:val="20"/>
          <w:color w:val="auto"/>
        </w:rPr>
        <w:t>ADMINISTRATIVE AGENT</w:t>
      </w:r>
      <w:r>
        <w:rPr>
          <w:sz w:val="20"/>
          <w:szCs w:val="20"/>
          <w:color w:val="auto"/>
        </w:rPr>
        <w:tab/>
      </w:r>
      <w:r>
        <w:rPr>
          <w:rFonts w:ascii="Times New Roman" w:cs="Times New Roman" w:eastAsia="Times New Roman" w:hAnsi="Times New Roman"/>
          <w:sz w:val="19"/>
          <w:szCs w:val="19"/>
          <w:color w:val="auto"/>
        </w:rPr>
        <w:t>CITIBANK, N.A.</w:t>
      </w:r>
    </w:p>
    <w:p>
      <w:pPr>
        <w:spacing w:after="0"/>
        <w:tabs>
          <w:tab w:leader="none" w:pos="2700" w:val="left"/>
        </w:tabs>
        <w:rPr>
          <w:sz w:val="20"/>
          <w:szCs w:val="20"/>
          <w:color w:val="auto"/>
        </w:rPr>
      </w:pPr>
      <w:r>
        <w:rPr>
          <w:rFonts w:ascii="Times New Roman" w:cs="Times New Roman" w:eastAsia="Times New Roman" w:hAnsi="Times New Roman"/>
          <w:sz w:val="20"/>
          <w:szCs w:val="20"/>
          <w:color w:val="auto"/>
        </w:rPr>
        <w:t>AND COLLATERAL AGENT:</w:t>
      </w:r>
      <w:r>
        <w:rPr>
          <w:sz w:val="20"/>
          <w:szCs w:val="20"/>
          <w:color w:val="auto"/>
        </w:rPr>
        <w:tab/>
      </w:r>
      <w:r>
        <w:rPr>
          <w:rFonts w:ascii="Times New Roman" w:cs="Times New Roman" w:eastAsia="Times New Roman" w:hAnsi="Times New Roman"/>
          <w:sz w:val="19"/>
          <w:szCs w:val="19"/>
          <w:color w:val="auto"/>
        </w:rPr>
        <w:t>as Administrative Agent and Collateral Agent</w:t>
      </w: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Jeff 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-7620</wp:posOffset>
            </wp:positionV>
            <wp:extent cx="6883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688340" cy="8255"/>
                    </a:xfrm>
                    <a:prstGeom prst="rect">
                      <a:avLst/>
                    </a:prstGeom>
                    <a:noFill/>
                  </pic:spPr>
                </pic:pic>
              </a:graphicData>
            </a:graphic>
          </wp:anchor>
        </w:drawing>
      </w:r>
    </w:p>
    <w:p>
      <w:pPr>
        <w:ind w:left="3900"/>
        <w:spacing w:after="0" w:line="222" w:lineRule="auto"/>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Jeff Ard</w:t>
      </w: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 –</w:t>
      </w:r>
    </w:p>
    <w:p>
      <w:pPr>
        <w:jc w:val="center"/>
        <w:ind w:right="-1100"/>
        <w:spacing w:after="0"/>
        <w:rPr>
          <w:sz w:val="20"/>
          <w:szCs w:val="20"/>
          <w:color w:val="auto"/>
        </w:rPr>
      </w:pPr>
      <w:r>
        <w:rPr>
          <w:rFonts w:ascii="Times New Roman" w:cs="Times New Roman" w:eastAsia="Times New Roman" w:hAnsi="Times New Roman"/>
          <w:sz w:val="18"/>
          <w:szCs w:val="18"/>
          <w:color w:val="auto"/>
        </w:rPr>
        <w:t>California Resources Corporation]</w:t>
      </w:r>
    </w:p>
    <w:p>
      <w:pPr>
        <w:sectPr>
          <w:pgSz w:w="11900" w:h="16838" w:orient="portrait"/>
          <w:cols w:equalWidth="0" w:num="1">
            <w:col w:w="10139"/>
          </w:cols>
          <w:pgMar w:left="320" w:top="1394" w:right="1440" w:bottom="1440" w:gutter="0" w:footer="0" w:header="0"/>
        </w:sectPr>
      </w:pPr>
    </w:p>
    <w:bookmarkStart w:id="206" w:name="page207"/>
    <w:bookmarkEnd w:id="206"/>
    <w:p>
      <w:pPr>
        <w:spacing w:after="0"/>
        <w:tabs>
          <w:tab w:leader="none" w:pos="1140" w:val="left"/>
        </w:tabs>
        <w:rPr>
          <w:sz w:val="20"/>
          <w:szCs w:val="20"/>
          <w:color w:val="auto"/>
        </w:rPr>
      </w:pPr>
      <w:r>
        <w:rPr>
          <w:rFonts w:ascii="Times New Roman" w:cs="Times New Roman" w:eastAsia="Times New Roman" w:hAnsi="Times New Roman"/>
          <w:sz w:val="20"/>
          <w:szCs w:val="20"/>
          <w:color w:val="auto"/>
        </w:rPr>
        <w:t>LENDERS:</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 –</w:t>
      </w:r>
    </w:p>
    <w:p>
      <w:pPr>
        <w:jc w:val="center"/>
        <w:ind w:right="-1100"/>
        <w:spacing w:after="0"/>
        <w:rPr>
          <w:sz w:val="20"/>
          <w:szCs w:val="20"/>
          <w:color w:val="auto"/>
        </w:rPr>
      </w:pPr>
      <w:r>
        <w:rPr>
          <w:rFonts w:ascii="Times New Roman" w:cs="Times New Roman" w:eastAsia="Times New Roman" w:hAnsi="Times New Roman"/>
          <w:sz w:val="18"/>
          <w:szCs w:val="18"/>
          <w:color w:val="auto"/>
        </w:rPr>
        <w:t>California Resources Corporation]</w:t>
      </w:r>
    </w:p>
    <w:p>
      <w:pPr>
        <w:sectPr>
          <w:pgSz w:w="11900" w:h="16838" w:orient="portrait"/>
          <w:cols w:equalWidth="0" w:num="1">
            <w:col w:w="10139"/>
          </w:cols>
          <w:pgMar w:left="320" w:top="1399" w:right="1440"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I, Francisco J. Leon, certify that:</w:t>
      </w:r>
    </w:p>
    <w:p>
      <w:pPr>
        <w:spacing w:after="0" w:line="358" w:lineRule="exact"/>
        <w:rPr>
          <w:sz w:val="20"/>
          <w:szCs w:val="20"/>
          <w:color w:val="auto"/>
        </w:rPr>
      </w:pPr>
    </w:p>
    <w:p>
      <w:pPr>
        <w:ind w:left="640" w:hanging="308"/>
        <w:spacing w:after="0"/>
        <w:tabs>
          <w:tab w:leader="none" w:pos="64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20" w:hanging="328"/>
        <w:spacing w:after="0" w:line="274" w:lineRule="auto"/>
        <w:tabs>
          <w:tab w:leader="none" w:pos="654" w:val="left"/>
        </w:tabs>
        <w:numPr>
          <w:ilvl w:val="0"/>
          <w:numId w:val="25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7"/>
          <w:szCs w:val="17"/>
          <w:color w:val="auto"/>
        </w:rPr>
      </w:pPr>
    </w:p>
    <w:p>
      <w:pPr>
        <w:ind w:left="660" w:right="380" w:hanging="328"/>
        <w:spacing w:after="0" w:line="284" w:lineRule="auto"/>
        <w:tabs>
          <w:tab w:leader="none" w:pos="654" w:val="left"/>
        </w:tabs>
        <w:numPr>
          <w:ilvl w:val="0"/>
          <w:numId w:val="2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660" w:right="360" w:hanging="328"/>
        <w:spacing w:after="0" w:line="266" w:lineRule="auto"/>
        <w:tabs>
          <w:tab w:leader="none" w:pos="654"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34" w:lineRule="exact"/>
        <w:rPr>
          <w:rFonts w:ascii="Arial" w:cs="Arial" w:eastAsia="Arial" w:hAnsi="Arial"/>
          <w:sz w:val="17"/>
          <w:szCs w:val="17"/>
          <w:color w:val="auto"/>
        </w:rPr>
      </w:pPr>
    </w:p>
    <w:p>
      <w:pPr>
        <w:jc w:val="both"/>
        <w:ind w:left="1300" w:right="180" w:hanging="644"/>
        <w:spacing w:after="0" w:line="266" w:lineRule="auto"/>
        <w:tabs>
          <w:tab w:leader="none" w:pos="1293" w:val="left"/>
        </w:tabs>
        <w:numPr>
          <w:ilvl w:val="1"/>
          <w:numId w:val="2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300" w:right="20" w:hanging="644"/>
        <w:spacing w:after="0" w:line="274" w:lineRule="auto"/>
        <w:tabs>
          <w:tab w:leader="none" w:pos="1293" w:val="left"/>
        </w:tabs>
        <w:numPr>
          <w:ilvl w:val="1"/>
          <w:numId w:val="2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7"/>
          <w:szCs w:val="17"/>
          <w:color w:val="auto"/>
        </w:rPr>
      </w:pPr>
    </w:p>
    <w:p>
      <w:pPr>
        <w:ind w:left="1300" w:right="80" w:hanging="644"/>
        <w:spacing w:after="0" w:line="266" w:lineRule="auto"/>
        <w:tabs>
          <w:tab w:leader="none" w:pos="1297" w:val="left"/>
        </w:tabs>
        <w:numPr>
          <w:ilvl w:val="1"/>
          <w:numId w:val="2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4" w:lineRule="exact"/>
        <w:rPr>
          <w:rFonts w:ascii="Arial" w:cs="Arial" w:eastAsia="Arial" w:hAnsi="Arial"/>
          <w:sz w:val="17"/>
          <w:szCs w:val="17"/>
          <w:color w:val="auto"/>
        </w:rPr>
      </w:pPr>
    </w:p>
    <w:p>
      <w:pPr>
        <w:ind w:left="1300" w:right="260" w:hanging="644"/>
        <w:spacing w:after="0" w:line="266" w:lineRule="auto"/>
        <w:tabs>
          <w:tab w:leader="none" w:pos="1293" w:val="left"/>
        </w:tabs>
        <w:numPr>
          <w:ilvl w:val="1"/>
          <w:numId w:val="2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Arial" w:cs="Arial" w:eastAsia="Arial" w:hAnsi="Arial"/>
          <w:sz w:val="17"/>
          <w:szCs w:val="17"/>
          <w:color w:val="auto"/>
        </w:rPr>
      </w:pPr>
    </w:p>
    <w:p>
      <w:pPr>
        <w:ind w:left="660" w:right="360" w:hanging="328"/>
        <w:spacing w:after="0" w:line="274" w:lineRule="auto"/>
        <w:tabs>
          <w:tab w:leader="none" w:pos="654"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2" w:lineRule="exact"/>
        <w:rPr>
          <w:rFonts w:ascii="Arial" w:cs="Arial" w:eastAsia="Arial" w:hAnsi="Arial"/>
          <w:sz w:val="17"/>
          <w:szCs w:val="17"/>
          <w:color w:val="auto"/>
        </w:rPr>
      </w:pPr>
    </w:p>
    <w:p>
      <w:pPr>
        <w:ind w:left="1300" w:right="140" w:hanging="644"/>
        <w:spacing w:after="0" w:line="284" w:lineRule="auto"/>
        <w:tabs>
          <w:tab w:leader="none" w:pos="1293" w:val="left"/>
        </w:tabs>
        <w:numPr>
          <w:ilvl w:val="1"/>
          <w:numId w:val="2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284" w:lineRule="auto"/>
        <w:tabs>
          <w:tab w:leader="none" w:pos="1293" w:val="left"/>
        </w:tabs>
        <w:numPr>
          <w:ilvl w:val="1"/>
          <w:numId w:val="25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Date: May 2, 2023</w:t>
      </w:r>
    </w:p>
    <w:p>
      <w:pPr>
        <w:spacing w:after="0" w:line="14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27305</wp:posOffset>
            </wp:positionV>
            <wp:extent cx="28289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2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Francisco J. Leon</w:t>
      </w:r>
    </w:p>
    <w:p>
      <w:pPr>
        <w:spacing w:after="0" w:line="11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President and Chief Executive Officer</w:t>
      </w:r>
    </w:p>
    <w:p>
      <w:pPr>
        <w:spacing w:after="0" w:line="3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(Principal Executive Officer and Principal Financial Officer)</w:t>
      </w:r>
    </w:p>
    <w:p>
      <w:pPr>
        <w:sectPr>
          <w:pgSz w:w="11900" w:h="16838" w:orient="portrait"/>
          <w:cols w:equalWidth="0" w:num="1">
            <w:col w:w="11240"/>
          </w:cols>
          <w:pgMar w:left="320" w:top="1133"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1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In connection with the Quarterly Report on Form 10-Q of California Resources Corporation (the “Company”) for the fiscal period ended March 31, 2023, as filed with the Securities and Exchange Commission on May 2, 2023 (the “Report”), Francisco J. Leon, as Chief Executive Officer of the Company, hereby certifies, pursuant to 18 U.S.C. § 1350, as adopted pursuant to § 906 of the Sarbanes-Oxley Act of 2002, that, to the best of his or her knowledge, respectively:</w:t>
      </w:r>
    </w:p>
    <w:p>
      <w:pPr>
        <w:spacing w:after="0" w:line="392" w:lineRule="exact"/>
        <w:rPr>
          <w:sz w:val="20"/>
          <w:szCs w:val="20"/>
          <w:color w:val="auto"/>
        </w:rPr>
      </w:pPr>
    </w:p>
    <w:p>
      <w:pPr>
        <w:ind w:left="640" w:hanging="308"/>
        <w:spacing w:after="0"/>
        <w:tabs>
          <w:tab w:leader="none" w:pos="6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Francisco J. Leon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Francisco J. Leon</w:t>
            </w: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80" w:type="dxa"/>
            <w:vAlign w:val="bottom"/>
          </w:tcPr>
          <w:p>
            <w:pPr>
              <w:spacing w:after="0"/>
              <w:rPr>
                <w:sz w:val="19"/>
                <w:szCs w:val="19"/>
                <w:color w:val="auto"/>
              </w:rPr>
            </w:pPr>
          </w:p>
        </w:tc>
        <w:tc>
          <w:tcPr>
            <w:tcW w:w="6400" w:type="dxa"/>
            <w:vAlign w:val="bottom"/>
          </w:tcPr>
          <w:p>
            <w:pPr>
              <w:ind w:left="220"/>
              <w:spacing w:after="0"/>
              <w:rPr>
                <w:sz w:val="20"/>
                <w:szCs w:val="20"/>
                <w:color w:val="auto"/>
              </w:rPr>
            </w:pPr>
            <w:r>
              <w:rPr>
                <w:rFonts w:ascii="Arial" w:cs="Arial" w:eastAsia="Arial" w:hAnsi="Arial"/>
                <w:sz w:val="18"/>
                <w:szCs w:val="18"/>
                <w:color w:val="auto"/>
              </w:rPr>
              <w:t>(Principal Executive Officer and Principal Financial Officer)</w:t>
            </w:r>
          </w:p>
        </w:tc>
      </w:tr>
      <w:tr>
        <w:trPr>
          <w:trHeight w:val="239"/>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May 2, 2023</w:t>
            </w:r>
          </w:p>
        </w:tc>
      </w:tr>
    </w:tbl>
    <w:p>
      <w:pPr>
        <w:spacing w:after="0" w:line="200" w:lineRule="exact"/>
        <w:rPr>
          <w:sz w:val="20"/>
          <w:szCs w:val="20"/>
          <w:color w:val="auto"/>
        </w:rPr>
      </w:pPr>
    </w:p>
    <w:p>
      <w:pPr>
        <w:spacing w:after="0" w:line="209"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18"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E3149"/>
    <w:multiLevelType w:val="hybridMultilevel"/>
    <w:lvl w:ilvl="0">
      <w:lvlJc w:val="left"/>
      <w:lvlText w:val="☑"/>
      <w:numFmt w:val="bullet"/>
      <w:start w:val="1"/>
    </w:lvl>
  </w:abstractNum>
  <w:abstractNum w:abstractNumId="1">
    <w:nsid w:val="2C6E4AFD"/>
    <w:multiLevelType w:val="hybridMultilevel"/>
    <w:lvl w:ilvl="0">
      <w:lvlJc w:val="left"/>
      <w:lvlText w:val="☐"/>
      <w:numFmt w:val="bullet"/>
      <w:start w:val="1"/>
    </w:lvl>
  </w:abstractNum>
  <w:abstractNum w:abstractNumId="2">
    <w:nsid w:val="17A1B582"/>
    <w:multiLevelType w:val="hybridMultilevel"/>
    <w:lvl w:ilvl="0">
      <w:lvlJc w:val="left"/>
      <w:lvlText w:val="•"/>
      <w:numFmt w:val="bullet"/>
      <w:start w:val="1"/>
    </w:lvl>
  </w:abstractNum>
  <w:abstractNum w:abstractNumId="3">
    <w:nsid w:val="4DF72E4E"/>
    <w:multiLevelType w:val="hybridMultilevel"/>
    <w:lvl w:ilvl="0">
      <w:lvlJc w:val="left"/>
      <w:lvlText w:val="•"/>
      <w:numFmt w:val="bullet"/>
      <w:start w:val="1"/>
    </w:lvl>
  </w:abstractNum>
  <w:abstractNum w:abstractNumId="4">
    <w:nsid w:val="5046B5A9"/>
    <w:multiLevelType w:val="hybridMultilevel"/>
    <w:lvl w:ilvl="0">
      <w:lvlJc w:val="left"/>
      <w:lvlText w:val="(%1)"/>
      <w:numFmt w:val="lowerLetter"/>
      <w:start w:val="1"/>
    </w:lvl>
  </w:abstractNum>
  <w:abstractNum w:abstractNumId="5">
    <w:nsid w:val="5D888A08"/>
    <w:multiLevelType w:val="hybridMultilevel"/>
    <w:lvl w:ilvl="0">
      <w:lvlJc w:val="left"/>
      <w:lvlText w:val="•"/>
      <w:numFmt w:val="bullet"/>
      <w:start w:val="1"/>
    </w:lvl>
  </w:abstractNum>
  <w:abstractNum w:abstractNumId="6">
    <w:nsid w:val="2A082C70"/>
    <w:multiLevelType w:val="hybridMultilevel"/>
    <w:lvl w:ilvl="0">
      <w:lvlJc w:val="left"/>
      <w:lvlText w:val="(%1)"/>
      <w:numFmt w:val="lowerLetter"/>
      <w:start w:val="1"/>
    </w:lvl>
  </w:abstractNum>
  <w:abstractNum w:abstractNumId="7">
    <w:nsid w:val="5EC6AFD4"/>
    <w:multiLevelType w:val="hybridMultilevel"/>
    <w:lvl w:ilvl="0">
      <w:lvlJc w:val="left"/>
      <w:lvlText w:val="(%1)"/>
      <w:numFmt w:val="lowerLetter"/>
      <w:start w:val="1"/>
    </w:lvl>
  </w:abstractNum>
  <w:abstractNum w:abstractNumId="8">
    <w:nsid w:val="19E21BB2"/>
    <w:multiLevelType w:val="hybridMultilevel"/>
    <w:lvl w:ilvl="0">
      <w:lvlJc w:val="left"/>
      <w:lvlText w:val="•"/>
      <w:numFmt w:val="bullet"/>
      <w:start w:val="1"/>
    </w:lvl>
  </w:abstractNum>
  <w:abstractNum w:abstractNumId="9">
    <w:nsid w:val="75E0858A"/>
    <w:multiLevelType w:val="hybridMultilevel"/>
    <w:lvl w:ilvl="0">
      <w:lvlJc w:val="left"/>
      <w:lvlText w:val="%1."/>
      <w:numFmt w:val="lowerLetter"/>
      <w:start w:val="1"/>
    </w:lvl>
  </w:abstractNum>
  <w:abstractNum w:abstractNumId="10">
    <w:nsid w:val="57A61A29"/>
    <w:multiLevelType w:val="hybridMultilevel"/>
    <w:lvl w:ilvl="0">
      <w:lvlJc w:val="left"/>
      <w:lvlText w:val="•"/>
      <w:numFmt w:val="bullet"/>
      <w:start w:val="1"/>
    </w:lvl>
  </w:abstractNum>
  <w:abstractNum w:abstractNumId="11">
    <w:nsid w:val="5399C654"/>
    <w:multiLevelType w:val="hybridMultilevel"/>
    <w:lvl w:ilvl="0">
      <w:lvlJc w:val="left"/>
      <w:lvlText w:val="•"/>
      <w:numFmt w:val="bullet"/>
      <w:start w:val="1"/>
    </w:lvl>
  </w:abstractNum>
  <w:abstractNum w:abstractNumId="12">
    <w:nsid w:val="20EE1348"/>
    <w:multiLevelType w:val="hybridMultilevel"/>
    <w:lvl w:ilvl="0">
      <w:lvlJc w:val="left"/>
      <w:lvlText w:val="•"/>
      <w:numFmt w:val="bullet"/>
      <w:start w:val="1"/>
    </w:lvl>
  </w:abstractNum>
  <w:abstractNum w:abstractNumId="13">
    <w:nsid w:val="4427069A"/>
    <w:multiLevelType w:val="hybridMultilevel"/>
    <w:lvl w:ilvl="0">
      <w:lvlJc w:val="left"/>
      <w:lvlText w:val="•"/>
      <w:numFmt w:val="bullet"/>
      <w:start w:val="1"/>
    </w:lvl>
  </w:abstractNum>
  <w:abstractNum w:abstractNumId="14">
    <w:nsid w:val="B37E80A"/>
    <w:multiLevelType w:val="hybridMultilevel"/>
    <w:lvl w:ilvl="0">
      <w:lvlJc w:val="left"/>
      <w:lvlText w:val="*"/>
      <w:numFmt w:val="bullet"/>
      <w:start w:val="1"/>
    </w:lvl>
    <w:lvl w:ilvl="1">
      <w:lvlJc w:val="left"/>
      <w:lvlText w:val="%2"/>
      <w:numFmt w:val="decimal"/>
      <w:start w:val="104"/>
    </w:lvl>
  </w:abstractNum>
  <w:abstractNum w:abstractNumId="15">
    <w:nsid w:val="2157F6BC"/>
    <w:multiLevelType w:val="hybridMultilevel"/>
    <w:lvl w:ilvl="0">
      <w:lvlJc w:val="left"/>
      <w:lvlText w:val="(%1)"/>
      <w:numFmt w:val="lowerLetter"/>
      <w:start w:val="1"/>
    </w:lvl>
  </w:abstractNum>
  <w:abstractNum w:abstractNumId="16">
    <w:nsid w:val="704E1DD5"/>
    <w:multiLevelType w:val="hybridMultilevel"/>
    <w:lvl w:ilvl="0">
      <w:lvlJc w:val="left"/>
      <w:lvlText w:val="(%1)"/>
      <w:numFmt w:val="lowerLetter"/>
      <w:start w:val="3"/>
    </w:lvl>
  </w:abstractNum>
  <w:abstractNum w:abstractNumId="17">
    <w:nsid w:val="57D2F10E"/>
    <w:multiLevelType w:val="hybridMultilevel"/>
    <w:lvl w:ilvl="0">
      <w:lvlJc w:val="left"/>
      <w:lvlText w:val="(%1)"/>
      <w:numFmt w:val="lowerLetter"/>
      <w:start w:val="6"/>
    </w:lvl>
  </w:abstractNum>
  <w:abstractNum w:abstractNumId="18">
    <w:nsid w:val="BFFAE18"/>
    <w:multiLevelType w:val="hybridMultilevel"/>
    <w:lvl w:ilvl="0">
      <w:lvlJc w:val="left"/>
      <w:lvlText w:val="(%1)"/>
      <w:numFmt w:val="lowerRoman"/>
      <w:start w:val="1"/>
    </w:lvl>
  </w:abstractNum>
  <w:abstractNum w:abstractNumId="19">
    <w:nsid w:val="E3E47A8"/>
    <w:multiLevelType w:val="hybridMultilevel"/>
    <w:lvl w:ilvl="0">
      <w:lvlJc w:val="left"/>
      <w:lvlText w:val="(%1)"/>
      <w:numFmt w:val="upperLetter"/>
      <w:start w:val="1"/>
    </w:lvl>
  </w:abstractNum>
  <w:abstractNum w:abstractNumId="20">
    <w:nsid w:val="2E48F044"/>
    <w:multiLevelType w:val="hybridMultilevel"/>
    <w:lvl w:ilvl="0">
      <w:lvlJc w:val="left"/>
      <w:lvlText w:val="(%1)"/>
      <w:numFmt w:val="lowerLetter"/>
      <w:start w:val="1"/>
    </w:lvl>
  </w:abstractNum>
  <w:abstractNum w:abstractNumId="21">
    <w:nsid w:val="49D0FEAC"/>
    <w:multiLevelType w:val="hybridMultilevel"/>
    <w:lvl w:ilvl="0">
      <w:lvlJc w:val="left"/>
      <w:lvlText w:val="(%1)"/>
      <w:numFmt w:val="lowerLetter"/>
      <w:start w:val="2"/>
    </w:lvl>
  </w:abstractNum>
  <w:abstractNum w:abstractNumId="22">
    <w:nsid w:val="4BEE5A5B"/>
    <w:multiLevelType w:val="hybridMultilevel"/>
    <w:lvl w:ilvl="0">
      <w:lvlJc w:val="left"/>
      <w:lvlText w:val="(%1)"/>
      <w:numFmt w:val="lowerLetter"/>
      <w:start w:val="4"/>
    </w:lvl>
  </w:abstractNum>
  <w:abstractNum w:abstractNumId="23">
    <w:nsid w:val="5551B9F3"/>
    <w:multiLevelType w:val="hybridMultilevel"/>
    <w:lvl w:ilvl="0">
      <w:lvlJc w:val="left"/>
      <w:lvlText w:val="(%1)"/>
      <w:numFmt w:val="upperLetter"/>
      <w:start w:val="1"/>
    </w:lvl>
  </w:abstractNum>
  <w:abstractNum w:abstractNumId="24">
    <w:nsid w:val="24F6AB8E"/>
    <w:multiLevelType w:val="hybridMultilevel"/>
    <w:lvl w:ilvl="0">
      <w:lvlJc w:val="left"/>
      <w:lvlText w:val="(%1)"/>
      <w:numFmt w:val="decimal"/>
      <w:start w:val="2"/>
    </w:lvl>
  </w:abstractNum>
  <w:abstractNum w:abstractNumId="25">
    <w:nsid w:val="634C574C"/>
    <w:multiLevelType w:val="hybridMultilevel"/>
    <w:lvl w:ilvl="0">
      <w:lvlJc w:val="left"/>
      <w:lvlText w:val="(%1)"/>
      <w:numFmt w:val="lowerRoman"/>
      <w:start w:val="2"/>
    </w:lvl>
  </w:abstractNum>
  <w:abstractNum w:abstractNumId="26">
    <w:nsid w:val="24E99DD7"/>
    <w:multiLevelType w:val="hybridMultilevel"/>
    <w:lvl w:ilvl="0">
      <w:lvlJc w:val="left"/>
      <w:lvlText w:val="(%1)"/>
      <w:numFmt w:val="decimal"/>
      <w:start w:val="2"/>
    </w:lvl>
  </w:abstractNum>
  <w:abstractNum w:abstractNumId="27">
    <w:nsid w:val="2A31B62D"/>
    <w:multiLevelType w:val="hybridMultilevel"/>
    <w:lvl w:ilvl="0">
      <w:lvlJc w:val="left"/>
      <w:lvlText w:val="(%1)"/>
      <w:numFmt w:val="lowerLetter"/>
      <w:start w:val="3"/>
    </w:lvl>
  </w:abstractNum>
  <w:abstractNum w:abstractNumId="28">
    <w:nsid w:val="1849C29B"/>
    <w:multiLevelType w:val="hybridMultilevel"/>
    <w:lvl w:ilvl="0">
      <w:lvlJc w:val="left"/>
      <w:lvlText w:val="(%1)"/>
      <w:numFmt w:val="lowerLetter"/>
      <w:start w:val="2"/>
    </w:lvl>
  </w:abstractNum>
  <w:abstractNum w:abstractNumId="29">
    <w:nsid w:val="7DFF9D09"/>
    <w:multiLevelType w:val="hybridMultilevel"/>
    <w:lvl w:ilvl="0">
      <w:lvlJc w:val="left"/>
      <w:lvlText w:val="(%1)"/>
      <w:numFmt w:val="lowerLetter"/>
      <w:start w:val="1"/>
    </w:lvl>
  </w:abstractNum>
  <w:abstractNum w:abstractNumId="30">
    <w:nsid w:val="754342"/>
    <w:multiLevelType w:val="hybridMultilevel"/>
    <w:lvl w:ilvl="0">
      <w:lvlJc w:val="left"/>
      <w:lvlText w:val="%1"/>
      <w:numFmt w:val="lowerLetter"/>
      <w:start w:val="1"/>
    </w:lvl>
    <w:lvl w:ilvl="1">
      <w:lvlJc w:val="left"/>
      <w:lvlText w:val="(%2)"/>
      <w:numFmt w:val="lowerLetter"/>
      <w:start w:val="4"/>
    </w:lvl>
  </w:abstractNum>
  <w:abstractNum w:abstractNumId="31">
    <w:nsid w:val="69E7F3E5"/>
    <w:multiLevelType w:val="hybridMultilevel"/>
    <w:lvl w:ilvl="0">
      <w:lvlJc w:val="left"/>
      <w:lvlText w:val="(%1)"/>
      <w:numFmt w:val="lowerLetter"/>
      <w:start w:val="7"/>
    </w:lvl>
    <w:lvl w:ilvl="1">
      <w:lvlJc w:val="left"/>
      <w:lvlText w:val="(%2)"/>
      <w:numFmt w:val="lowerLetter"/>
      <w:start w:val="5"/>
    </w:lvl>
  </w:abstractNum>
  <w:abstractNum w:abstractNumId="32">
    <w:nsid w:val="2A6DE806"/>
    <w:multiLevelType w:val="hybridMultilevel"/>
    <w:lvl w:ilvl="0">
      <w:lvlJc w:val="left"/>
      <w:lvlText w:val="%1"/>
      <w:numFmt w:val="lowerLetter"/>
      <w:start w:val="1"/>
    </w:lvl>
    <w:lvl w:ilvl="1">
      <w:lvlJc w:val="left"/>
      <w:lvlText w:val="(%2)"/>
      <w:numFmt w:val="lowerLetter"/>
      <w:start w:val="1"/>
    </w:lvl>
  </w:abstractNum>
  <w:abstractNum w:abstractNumId="33">
    <w:nsid w:val="1816F8C4"/>
    <w:multiLevelType w:val="hybridMultilevel"/>
    <w:lvl w:ilvl="0">
      <w:lvlJc w:val="left"/>
      <w:lvlText w:val="(%1)"/>
      <w:numFmt w:val="lowerLetter"/>
      <w:start w:val="35"/>
    </w:lvl>
    <w:lvl w:ilvl="1">
      <w:lvlJc w:val="left"/>
      <w:lvlText w:val="(%2)"/>
      <w:numFmt w:val="lowerLetter"/>
      <w:start w:val="3"/>
    </w:lvl>
  </w:abstractNum>
  <w:abstractNum w:abstractNumId="34">
    <w:nsid w:val="37DF2233"/>
    <w:multiLevelType w:val="hybridMultilevel"/>
    <w:lvl w:ilvl="0">
      <w:lvlJc w:val="left"/>
      <w:lvlText w:val="(%1)"/>
      <w:numFmt w:val="lowerLetter"/>
      <w:start w:val="4"/>
    </w:lvl>
  </w:abstractNum>
  <w:abstractNum w:abstractNumId="35">
    <w:nsid w:val="7AB49DAF"/>
    <w:multiLevelType w:val="hybridMultilevel"/>
    <w:lvl w:ilvl="0">
      <w:lvlJc w:val="left"/>
      <w:lvlText w:val="(%1)"/>
      <w:numFmt w:val="lowerLetter"/>
      <w:start w:val="14"/>
    </w:lvl>
  </w:abstractNum>
  <w:abstractNum w:abstractNumId="36">
    <w:nsid w:val="759F82CD"/>
    <w:multiLevelType w:val="hybridMultilevel"/>
    <w:lvl w:ilvl="0">
      <w:lvlJc w:val="left"/>
      <w:lvlText w:val="(%1)"/>
      <w:numFmt w:val="lowerLetter"/>
      <w:start w:val="21"/>
    </w:lvl>
  </w:abstractNum>
  <w:abstractNum w:abstractNumId="37">
    <w:nsid w:val="61E74EA3"/>
    <w:multiLevelType w:val="hybridMultilevel"/>
    <w:lvl w:ilvl="0">
      <w:lvlJc w:val="left"/>
      <w:lvlText w:val="(%1)"/>
      <w:numFmt w:val="lowerLetter"/>
      <w:start w:val="23"/>
    </w:lvl>
  </w:abstractNum>
  <w:abstractNum w:abstractNumId="38">
    <w:nsid w:val="597B4D84"/>
    <w:multiLevelType w:val="hybridMultilevel"/>
    <w:lvl w:ilvl="0">
      <w:lvlJc w:val="left"/>
      <w:lvlText w:val="(%1)"/>
      <w:numFmt w:val="lowerRoman"/>
      <w:start w:val="10"/>
    </w:lvl>
  </w:abstractNum>
  <w:abstractNum w:abstractNumId="39">
    <w:nsid w:val="F819E7F"/>
    <w:multiLevelType w:val="hybridMultilevel"/>
    <w:lvl w:ilvl="0">
      <w:lvlJc w:val="left"/>
      <w:lvlText w:val="(%1)"/>
      <w:numFmt w:val="lowerLetter"/>
      <w:start w:val="4"/>
    </w:lvl>
  </w:abstractNum>
  <w:abstractNum w:abstractNumId="40">
    <w:nsid w:val="57C7D42D"/>
    <w:multiLevelType w:val="hybridMultilevel"/>
    <w:lvl w:ilvl="0">
      <w:lvlJc w:val="left"/>
      <w:lvlText w:val="(%1)"/>
      <w:numFmt w:val="lowerLetter"/>
      <w:start w:val="1"/>
    </w:lvl>
  </w:abstractNum>
  <w:abstractNum w:abstractNumId="41">
    <w:nsid w:val="312167AD"/>
    <w:multiLevelType w:val="hybridMultilevel"/>
    <w:lvl w:ilvl="0">
      <w:lvlJc w:val="left"/>
      <w:lvlText w:val="(%1)"/>
      <w:numFmt w:val="lowerLetter"/>
      <w:start w:val="9"/>
    </w:lvl>
  </w:abstractNum>
  <w:abstractNum w:abstractNumId="42">
    <w:nsid w:val="631B64D4"/>
    <w:multiLevelType w:val="hybridMultilevel"/>
    <w:lvl w:ilvl="0">
      <w:lvlJc w:val="left"/>
      <w:lvlText w:val="(%1)"/>
      <w:numFmt w:val="lowerLetter"/>
      <w:start w:val="1"/>
    </w:lvl>
  </w:abstractNum>
  <w:abstractNum w:abstractNumId="43">
    <w:nsid w:val="78B5E776"/>
    <w:multiLevelType w:val="hybridMultilevel"/>
    <w:lvl w:ilvl="0">
      <w:lvlJc w:val="left"/>
      <w:lvlText w:val="(%1)"/>
      <w:numFmt w:val="lowerLetter"/>
      <w:start w:val="1"/>
    </w:lvl>
  </w:abstractNum>
  <w:abstractNum w:abstractNumId="44">
    <w:nsid w:val="75486E47"/>
    <w:multiLevelType w:val="hybridMultilevel"/>
    <w:lvl w:ilvl="0">
      <w:lvlJc w:val="left"/>
      <w:lvlText w:val="(%1)"/>
      <w:numFmt w:val="lowerLetter"/>
      <w:start w:val="1"/>
    </w:lvl>
  </w:abstractNum>
  <w:abstractNum w:abstractNumId="45">
    <w:nsid w:val="6E534CDE"/>
    <w:multiLevelType w:val="hybridMultilevel"/>
    <w:lvl w:ilvl="0">
      <w:lvlJc w:val="left"/>
      <w:lvlText w:val="(%1)"/>
      <w:numFmt w:val="lowerLetter"/>
      <w:start w:val="1"/>
    </w:lvl>
  </w:abstractNum>
  <w:abstractNum w:abstractNumId="46">
    <w:nsid w:val="1A0DDE32"/>
    <w:multiLevelType w:val="hybridMultilevel"/>
    <w:lvl w:ilvl="0">
      <w:lvlJc w:val="left"/>
      <w:lvlText w:val="(%1)"/>
      <w:numFmt w:val="lowerLetter"/>
      <w:start w:val="1"/>
    </w:lvl>
  </w:abstractNum>
  <w:abstractNum w:abstractNumId="47">
    <w:nsid w:val="65968C1C"/>
    <w:multiLevelType w:val="hybridMultilevel"/>
    <w:lvl w:ilvl="0">
      <w:lvlJc w:val="left"/>
      <w:lvlText w:val="(%1)"/>
      <w:numFmt w:val="lowerLetter"/>
      <w:start w:val="2"/>
    </w:lvl>
  </w:abstractNum>
  <w:abstractNum w:abstractNumId="48">
    <w:nsid w:val="46263DEC"/>
    <w:multiLevelType w:val="hybridMultilevel"/>
    <w:lvl w:ilvl="0">
      <w:lvlJc w:val="left"/>
      <w:lvlText w:val="(%1)"/>
      <w:numFmt w:val="lowerLetter"/>
      <w:start w:val="1"/>
    </w:lvl>
  </w:abstractNum>
  <w:abstractNum w:abstractNumId="49">
    <w:nsid w:val="260D8C4A"/>
    <w:multiLevelType w:val="hybridMultilevel"/>
    <w:lvl w:ilvl="0">
      <w:lvlJc w:val="left"/>
      <w:lvlText w:val="(%1)"/>
      <w:numFmt w:val="lowerLetter"/>
      <w:start w:val="3"/>
    </w:lvl>
  </w:abstractNum>
  <w:abstractNum w:abstractNumId="50">
    <w:nsid w:val="73D4D3C4"/>
    <w:multiLevelType w:val="hybridMultilevel"/>
    <w:lvl w:ilvl="0">
      <w:lvlJc w:val="left"/>
      <w:lvlText w:val="(%1)"/>
      <w:numFmt w:val="lowerLetter"/>
      <w:start w:val="1"/>
    </w:lvl>
  </w:abstractNum>
  <w:abstractNum w:abstractNumId="51">
    <w:nsid w:val="746F2E30"/>
    <w:multiLevelType w:val="hybridMultilevel"/>
    <w:lvl w:ilvl="0">
      <w:lvlJc w:val="left"/>
      <w:lvlText w:val="(%1)"/>
      <w:numFmt w:val="lowerLetter"/>
      <w:start w:val="1"/>
    </w:lvl>
  </w:abstractNum>
  <w:abstractNum w:abstractNumId="52">
    <w:nsid w:val="6FDE8AF6"/>
    <w:multiLevelType w:val="hybridMultilevel"/>
    <w:lvl w:ilvl="0">
      <w:lvlJc w:val="left"/>
      <w:lvlText w:val="(%1)"/>
      <w:numFmt w:val="lowerLetter"/>
      <w:start w:val="1"/>
    </w:lvl>
  </w:abstractNum>
  <w:abstractNum w:abstractNumId="53">
    <w:nsid w:val="3FC32E20"/>
    <w:multiLevelType w:val="hybridMultilevel"/>
    <w:lvl w:ilvl="0">
      <w:lvlJc w:val="left"/>
      <w:lvlText w:val="(%1)"/>
      <w:numFmt w:val="lowerLetter"/>
      <w:start w:val="3"/>
    </w:lvl>
  </w:abstractNum>
  <w:abstractNum w:abstractNumId="54">
    <w:nsid w:val="49C0E823"/>
    <w:multiLevelType w:val="hybridMultilevel"/>
    <w:lvl w:ilvl="0">
      <w:lvlJc w:val="left"/>
      <w:lvlText w:val="(%1)"/>
      <w:numFmt w:val="decimal"/>
      <w:start w:val="1"/>
    </w:lvl>
    <w:lvl w:ilvl="1">
      <w:lvlJc w:val="left"/>
      <w:lvlText w:val="(%2)"/>
      <w:numFmt w:val="lowerLetter"/>
      <w:start w:val="5"/>
    </w:lvl>
  </w:abstractNum>
  <w:abstractNum w:abstractNumId="55">
    <w:nsid w:val="14D53685"/>
    <w:multiLevelType w:val="hybridMultilevel"/>
    <w:lvl w:ilvl="0">
      <w:lvlJc w:val="left"/>
      <w:lvlText w:val="(%1)"/>
      <w:numFmt w:val="lowerLetter"/>
      <w:start w:val="1"/>
    </w:lvl>
  </w:abstractNum>
  <w:abstractNum w:abstractNumId="56">
    <w:nsid w:val="230F856C"/>
    <w:multiLevelType w:val="hybridMultilevel"/>
    <w:lvl w:ilvl="0">
      <w:lvlJc w:val="left"/>
      <w:lvlText w:val="(%1)"/>
      <w:numFmt w:val="lowerLetter"/>
      <w:start w:val="4"/>
    </w:lvl>
  </w:abstractNum>
  <w:abstractNum w:abstractNumId="57">
    <w:nsid w:val="6EAA85FB"/>
    <w:multiLevelType w:val="hybridMultilevel"/>
    <w:lvl w:ilvl="0">
      <w:lvlJc w:val="left"/>
      <w:lvlText w:val="(%1)"/>
      <w:numFmt w:val="lowerLetter"/>
      <w:start w:val="1"/>
    </w:lvl>
    <w:lvl w:ilvl="1">
      <w:lvlJc w:val="left"/>
      <w:lvlText w:val="(%2)"/>
      <w:numFmt w:val="lowerRoman"/>
      <w:start w:val="1"/>
    </w:lvl>
  </w:abstractNum>
  <w:abstractNum w:abstractNumId="58">
    <w:nsid w:val="3F06ECB2"/>
    <w:multiLevelType w:val="hybridMultilevel"/>
    <w:lvl w:ilvl="0">
      <w:lvlJc w:val="left"/>
      <w:lvlText w:val="(%1)"/>
      <w:numFmt w:val="lowerLetter"/>
      <w:start w:val="2"/>
    </w:lvl>
  </w:abstractNum>
  <w:abstractNum w:abstractNumId="59">
    <w:nsid w:val="3B594807"/>
    <w:multiLevelType w:val="hybridMultilevel"/>
    <w:lvl w:ilvl="0">
      <w:lvlJc w:val="left"/>
      <w:lvlText w:val="(%1)"/>
      <w:numFmt w:val="lowerRoman"/>
      <w:start w:val="1"/>
    </w:lvl>
  </w:abstractNum>
  <w:abstractNum w:abstractNumId="60">
    <w:nsid w:val="6CAA2304"/>
    <w:multiLevelType w:val="hybridMultilevel"/>
    <w:lvl w:ilvl="0">
      <w:lvlJc w:val="left"/>
      <w:lvlText w:val="(%1)"/>
      <w:numFmt w:val="lowerRoman"/>
      <w:start w:val="4"/>
    </w:lvl>
  </w:abstractNum>
  <w:abstractNum w:abstractNumId="61">
    <w:nsid w:val="3F7C2FF4"/>
    <w:multiLevelType w:val="hybridMultilevel"/>
    <w:lvl w:ilvl="0">
      <w:lvlJc w:val="left"/>
      <w:lvlText w:val="(%1)"/>
      <w:numFmt w:val="lowerLetter"/>
      <w:start w:val="1"/>
    </w:lvl>
    <w:lvl w:ilvl="1">
      <w:lvlJc w:val="left"/>
      <w:lvlText w:val="(%2)"/>
      <w:numFmt w:val="lowerLetter"/>
      <w:start w:val="9"/>
    </w:lvl>
  </w:abstractNum>
  <w:abstractNum w:abstractNumId="62">
    <w:nsid w:val="25413BE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3">
    <w:nsid w:val="17180B0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4">
    <w:nsid w:val="579328B9"/>
    <w:multiLevelType w:val="hybridMultilevel"/>
    <w:lvl w:ilvl="0">
      <w:lvlJc w:val="left"/>
      <w:lvlText w:val="(%1)"/>
      <w:numFmt w:val="lowerRoman"/>
      <w:start w:val="2"/>
    </w:lvl>
  </w:abstractNum>
  <w:abstractNum w:abstractNumId="65">
    <w:nsid w:val="5D205E20"/>
    <w:multiLevelType w:val="hybridMultilevel"/>
    <w:lvl w:ilvl="0">
      <w:lvlJc w:val="left"/>
      <w:lvlText w:val="(%1)"/>
      <w:numFmt w:val="lowerLetter"/>
      <w:start w:val="5"/>
    </w:lvl>
    <w:lvl w:ilvl="1">
      <w:lvlJc w:val="left"/>
      <w:lvlText w:val="(%2)"/>
      <w:numFmt w:val="lowerRoman"/>
      <w:start w:val="1"/>
    </w:lvl>
  </w:abstractNum>
  <w:abstractNum w:abstractNumId="66">
    <w:nsid w:val="11CCA8BA"/>
    <w:multiLevelType w:val="hybridMultilevel"/>
    <w:lvl w:ilvl="0">
      <w:lvlJc w:val="left"/>
      <w:lvlText w:val="%1"/>
      <w:numFmt w:val="lowerLetter"/>
      <w:start w:val="1"/>
    </w:lvl>
    <w:lvl w:ilvl="1">
      <w:lvlJc w:val="left"/>
      <w:lvlText w:val="(%2)"/>
      <w:numFmt w:val="lowerRoman"/>
      <w:start w:val="4"/>
    </w:lvl>
  </w:abstractNum>
  <w:abstractNum w:abstractNumId="67">
    <w:nsid w:val="4D32AB86"/>
    <w:multiLevelType w:val="hybridMultilevel"/>
    <w:lvl w:ilvl="0">
      <w:lvlJc w:val="left"/>
      <w:lvlText w:val="(%1)"/>
      <w:numFmt w:val="lowerLetter"/>
      <w:start w:val="7"/>
    </w:lvl>
    <w:lvl w:ilvl="1">
      <w:lvlJc w:val="left"/>
      <w:lvlText w:val="%2"/>
      <w:numFmt w:val="lowerRoman"/>
      <w:start w:val="1"/>
    </w:lvl>
  </w:abstractNum>
  <w:abstractNum w:abstractNumId="68">
    <w:nsid w:val="3F07ACC3"/>
    <w:multiLevelType w:val="hybridMultilevel"/>
    <w:lvl w:ilvl="0">
      <w:lvlJc w:val="left"/>
      <w:lvlText w:val="%1"/>
      <w:numFmt w:val="lowerLetter"/>
      <w:start w:val="1"/>
    </w:lvl>
    <w:lvl w:ilvl="1">
      <w:lvlJc w:val="left"/>
      <w:lvlText w:val="(%2)"/>
      <w:numFmt w:val="lowerLetter"/>
      <w:start w:val="1"/>
    </w:lvl>
  </w:abstractNum>
  <w:abstractNum w:abstractNumId="69">
    <w:nsid w:val="6B47F63E"/>
    <w:multiLevelType w:val="hybridMultilevel"/>
    <w:lvl w:ilvl="0">
      <w:lvlJc w:val="left"/>
      <w:lvlText w:val="(%1)"/>
      <w:numFmt w:val="lowerLetter"/>
      <w:start w:val="9"/>
    </w:lvl>
    <w:lvl w:ilvl="1">
      <w:lvlJc w:val="left"/>
      <w:lvlText w:val="%2"/>
      <w:numFmt w:val="lowerLetter"/>
      <w:start w:val="1"/>
    </w:lvl>
  </w:abstractNum>
  <w:abstractNum w:abstractNumId="70">
    <w:nsid w:val="5CB44A05"/>
    <w:multiLevelType w:val="hybridMultilevel"/>
    <w:lvl w:ilvl="0">
      <w:lvlJc w:val="left"/>
      <w:lvlText w:val="%1"/>
      <w:numFmt w:val="lowerLetter"/>
      <w:start w:val="1"/>
    </w:lvl>
    <w:lvl w:ilvl="1">
      <w:lvlJc w:val="left"/>
      <w:lvlText w:val="(%2)"/>
      <w:numFmt w:val="lowerLetter"/>
      <w:start w:val="3"/>
    </w:lvl>
  </w:abstractNum>
  <w:abstractNum w:abstractNumId="71">
    <w:nsid w:val="16CF80F1"/>
    <w:multiLevelType w:val="hybridMultilevel"/>
    <w:lvl w:ilvl="0">
      <w:lvlJc w:val="left"/>
      <w:lvlText w:val="(%1)"/>
      <w:numFmt w:val="lowerLetter"/>
      <w:start w:val="9"/>
    </w:lvl>
    <w:lvl w:ilvl="1">
      <w:lvlJc w:val="left"/>
      <w:lvlText w:val="(%2)"/>
      <w:numFmt w:val="lowerLetter"/>
      <w:start w:val="5"/>
    </w:lvl>
  </w:abstractNum>
  <w:abstractNum w:abstractNumId="72">
    <w:nsid w:val="1C695DEC"/>
    <w:multiLevelType w:val="hybridMultilevel"/>
    <w:lvl w:ilvl="0">
      <w:lvlJc w:val="left"/>
      <w:lvlText w:val="(%1)"/>
      <w:numFmt w:val="lowerLetter"/>
      <w:start w:val="6"/>
    </w:lvl>
  </w:abstractNum>
  <w:abstractNum w:abstractNumId="73">
    <w:nsid w:val="3FCFAED9"/>
    <w:multiLevelType w:val="hybridMultilevel"/>
    <w:lvl w:ilvl="0">
      <w:lvlJc w:val="left"/>
      <w:lvlText w:val="(%1)"/>
      <w:numFmt w:val="lowerLetter"/>
      <w:start w:val="1"/>
    </w:lvl>
    <w:lvl w:ilvl="1">
      <w:lvlJc w:val="left"/>
      <w:lvlText w:val="(%2)"/>
      <w:numFmt w:val="lowerRoman"/>
      <w:start w:val="1"/>
    </w:lvl>
  </w:abstractNum>
  <w:abstractNum w:abstractNumId="74">
    <w:nsid w:val="F85686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5">
    <w:nsid w:val="11B1CC33"/>
    <w:multiLevelType w:val="hybridMultilevel"/>
    <w:lvl w:ilvl="0">
      <w:lvlJc w:val="left"/>
      <w:lvlText w:val="%1"/>
      <w:numFmt w:val="upperLetter"/>
      <w:start w:val="1"/>
    </w:lvl>
    <w:lvl w:ilvl="1">
      <w:lvlJc w:val="left"/>
      <w:lvlText w:val="(%2)"/>
      <w:numFmt w:val="lowerRoman"/>
      <w:start w:val="3"/>
    </w:lvl>
  </w:abstractNum>
  <w:abstractNum w:abstractNumId="76">
    <w:nsid w:val="2E22FBB7"/>
    <w:multiLevelType w:val="hybridMultilevel"/>
    <w:lvl w:ilvl="0">
      <w:lvlJc w:val="left"/>
      <w:lvlText w:val="(%1)"/>
      <w:numFmt w:val="upperLetter"/>
      <w:start w:val="1"/>
    </w:lvl>
    <w:lvl w:ilvl="1">
      <w:lvlJc w:val="left"/>
      <w:lvlText w:val="(%2)"/>
      <w:numFmt w:val="lowerRoman"/>
      <w:start w:val="7"/>
    </w:lvl>
  </w:abstractNum>
  <w:abstractNum w:abstractNumId="77">
    <w:nsid w:val="29934699"/>
    <w:multiLevelType w:val="hybridMultilevel"/>
    <w:lvl w:ilvl="0">
      <w:lvlJc w:val="left"/>
      <w:lvlText w:val="(%1)"/>
      <w:numFmt w:val="lowerRoman"/>
      <w:start w:val="8"/>
    </w:lvl>
  </w:abstractNum>
  <w:abstractNum w:abstractNumId="78">
    <w:nsid w:val="77485850"/>
    <w:multiLevelType w:val="hybridMultilevel"/>
    <w:lvl w:ilvl="0">
      <w:lvlJc w:val="left"/>
      <w:lvlText w:val="(%1)"/>
      <w:numFmt w:val="lowerLetter"/>
      <w:start w:val="1"/>
    </w:lvl>
  </w:abstractNum>
  <w:abstractNum w:abstractNumId="79">
    <w:nsid w:val="744939A3"/>
    <w:multiLevelType w:val="hybridMultilevel"/>
    <w:lvl w:ilvl="0">
      <w:lvlJc w:val="left"/>
      <w:lvlText w:val="(%1)"/>
      <w:numFmt w:val="lowerLetter"/>
      <w:start w:val="2"/>
    </w:lvl>
  </w:abstractNum>
  <w:abstractNum w:abstractNumId="80">
    <w:nsid w:val="4FA0D2E3"/>
    <w:multiLevelType w:val="hybridMultilevel"/>
    <w:lvl w:ilvl="0">
      <w:lvlJc w:val="left"/>
      <w:lvlText w:val="(%1)"/>
      <w:numFmt w:val="lowerLetter"/>
      <w:start w:val="1"/>
    </w:lvl>
  </w:abstractNum>
  <w:abstractNum w:abstractNumId="81">
    <w:nsid w:val="6B1D2C14"/>
    <w:multiLevelType w:val="hybridMultilevel"/>
    <w:lvl w:ilvl="0">
      <w:lvlJc w:val="left"/>
      <w:lvlText w:val="(%1)"/>
      <w:numFmt w:val="lowerLetter"/>
      <w:start w:val="3"/>
    </w:lvl>
  </w:abstractNum>
  <w:abstractNum w:abstractNumId="82">
    <w:nsid w:val="68B867D3"/>
    <w:multiLevelType w:val="hybridMultilevel"/>
    <w:lvl w:ilvl="0">
      <w:lvlJc w:val="left"/>
      <w:lvlText w:val="%1"/>
      <w:numFmt w:val="lowerLetter"/>
      <w:start w:val="1"/>
    </w:lvl>
    <w:lvl w:ilvl="1">
      <w:lvlJc w:val="left"/>
      <w:lvlText w:val="(%2)"/>
      <w:numFmt w:val="lowerLetter"/>
      <w:start w:val="1"/>
    </w:lvl>
  </w:abstractNum>
  <w:abstractNum w:abstractNumId="83">
    <w:nsid w:val="3F7F5DD9"/>
    <w:multiLevelType w:val="hybridMultilevel"/>
    <w:lvl w:ilvl="0">
      <w:lvlJc w:val="left"/>
      <w:lvlText w:val="(%1)"/>
      <w:numFmt w:val="lowerLetter"/>
      <w:start w:val="35"/>
    </w:lvl>
    <w:lvl w:ilvl="1">
      <w:lvlJc w:val="left"/>
      <w:lvlText w:val="(%2)"/>
      <w:numFmt w:val="lowerLetter"/>
      <w:start w:val="3"/>
    </w:lvl>
  </w:abstractNum>
  <w:abstractNum w:abstractNumId="84">
    <w:nsid w:val="2AE05A34"/>
    <w:multiLevelType w:val="hybridMultilevel"/>
    <w:lvl w:ilvl="0">
      <w:lvlJc w:val="left"/>
      <w:lvlText w:val="(%1)"/>
      <w:numFmt w:val="lowerLetter"/>
      <w:start w:val="4"/>
    </w:lvl>
    <w:lvl w:ilvl="1">
      <w:lvlJc w:val="left"/>
      <w:lvlText w:val="(%2)"/>
      <w:numFmt w:val="lowerRoman"/>
      <w:start w:val="1"/>
    </w:lvl>
  </w:abstractNum>
  <w:abstractNum w:abstractNumId="85">
    <w:nsid w:val="32794FF7"/>
    <w:multiLevelType w:val="hybridMultilevel"/>
    <w:lvl w:ilvl="0">
      <w:lvlJc w:val="left"/>
      <w:lvlText w:val="(%1)"/>
      <w:numFmt w:val="lowerLetter"/>
      <w:start w:val="1"/>
    </w:lvl>
  </w:abstractNum>
  <w:abstractNum w:abstractNumId="86">
    <w:nsid w:val="5454945E"/>
    <w:multiLevelType w:val="hybridMultilevel"/>
    <w:lvl w:ilvl="0">
      <w:lvlJc w:val="left"/>
      <w:lvlText w:val="(%1)"/>
      <w:numFmt w:val="lowerLetter"/>
      <w:start w:val="2"/>
    </w:lvl>
  </w:abstractNum>
  <w:abstractNum w:abstractNumId="87">
    <w:nsid w:val="4DEFDFA0"/>
    <w:multiLevelType w:val="hybridMultilevel"/>
    <w:lvl w:ilvl="0">
      <w:lvlJc w:val="left"/>
      <w:lvlText w:val="(%1)"/>
      <w:numFmt w:val="lowerLetter"/>
      <w:start w:val="1"/>
    </w:lvl>
  </w:abstractNum>
  <w:abstractNum w:abstractNumId="88">
    <w:nsid w:val="2123D5F2"/>
    <w:multiLevelType w:val="hybridMultilevel"/>
    <w:lvl w:ilvl="0">
      <w:lvlJc w:val="left"/>
      <w:lvlText w:val="%1"/>
      <w:numFmt w:val="lowerLetter"/>
      <w:start w:val="1"/>
    </w:lvl>
    <w:lvl w:ilvl="1">
      <w:lvlJc w:val="left"/>
      <w:lvlText w:val="(%2)"/>
      <w:numFmt w:val="lowerLetter"/>
      <w:start w:val="1"/>
    </w:lvl>
  </w:abstractNum>
  <w:abstractNum w:abstractNumId="89">
    <w:nsid w:val="135B8110"/>
    <w:multiLevelType w:val="hybridMultilevel"/>
    <w:lvl w:ilvl="0">
      <w:lvlJc w:val="left"/>
      <w:lvlText w:val="(%1)"/>
      <w:numFmt w:val="lowerLetter"/>
      <w:start w:val="35"/>
    </w:lvl>
    <w:lvl w:ilvl="1">
      <w:lvlJc w:val="left"/>
      <w:lvlText w:val="%2"/>
      <w:numFmt w:val="lowerLetter"/>
      <w:start w:val="1"/>
    </w:lvl>
  </w:abstractNum>
  <w:abstractNum w:abstractNumId="90">
    <w:nsid w:val="94927A8"/>
    <w:multiLevelType w:val="hybridMultilevel"/>
    <w:lvl w:ilvl="0">
      <w:lvlJc w:val="left"/>
      <w:lvlText w:val="(%1)"/>
      <w:numFmt w:val="lowerLetter"/>
      <w:start w:val="2"/>
    </w:lvl>
  </w:abstractNum>
  <w:abstractNum w:abstractNumId="91">
    <w:nsid w:val="DCDF8F6"/>
    <w:multiLevelType w:val="hybridMultilevel"/>
    <w:lvl w:ilvl="0">
      <w:lvlJc w:val="left"/>
      <w:lvlText w:val="(%1)"/>
      <w:numFmt w:val="lowerLetter"/>
      <w:start w:val="1"/>
    </w:lvl>
  </w:abstractNum>
  <w:abstractNum w:abstractNumId="92">
    <w:nsid w:val="52D7B105"/>
    <w:multiLevelType w:val="hybridMultilevel"/>
    <w:lvl w:ilvl="0">
      <w:lvlJc w:val="left"/>
      <w:lvlText w:val="(%1)"/>
      <w:numFmt w:val="lowerLetter"/>
      <w:start w:val="2"/>
    </w:lvl>
  </w:abstractNum>
  <w:abstractNum w:abstractNumId="93">
    <w:nsid w:val="2E8A6394"/>
    <w:multiLevelType w:val="hybridMultilevel"/>
    <w:lvl w:ilvl="0">
      <w:lvlJc w:val="left"/>
      <w:lvlText w:val="%1"/>
      <w:numFmt w:val="lowerLetter"/>
      <w:start w:val="1"/>
    </w:lvl>
    <w:lvl w:ilvl="1">
      <w:lvlJc w:val="left"/>
      <w:lvlText w:val="(%2)"/>
      <w:numFmt w:val="lowerLetter"/>
      <w:start w:val="1"/>
    </w:lvl>
  </w:abstractNum>
  <w:abstractNum w:abstractNumId="94">
    <w:nsid w:val="24E60401"/>
    <w:multiLevelType w:val="hybridMultilevel"/>
    <w:lvl w:ilvl="0">
      <w:lvlJc w:val="left"/>
      <w:lvlText w:val="(%1)"/>
      <w:numFmt w:val="lowerLetter"/>
      <w:start w:val="35"/>
    </w:lvl>
    <w:lvl w:ilvl="1">
      <w:lvlJc w:val="left"/>
      <w:lvlText w:val="%2"/>
      <w:numFmt w:val="lowerLetter"/>
      <w:start w:val="1"/>
    </w:lvl>
  </w:abstractNum>
  <w:abstractNum w:abstractNumId="95">
    <w:nsid w:val="2A6AD9BE"/>
    <w:multiLevelType w:val="hybridMultilevel"/>
    <w:lvl w:ilvl="0">
      <w:lvlJc w:val="left"/>
      <w:lvlText w:val="(%1)"/>
      <w:numFmt w:val="lowerLetter"/>
      <w:start w:val="3"/>
    </w:lvl>
  </w:abstractNum>
  <w:abstractNum w:abstractNumId="96">
    <w:nsid w:val="BAAC1B4"/>
    <w:multiLevelType w:val="hybridMultilevel"/>
    <w:lvl w:ilvl="0">
      <w:lvlJc w:val="left"/>
      <w:lvlText w:val="%1"/>
      <w:numFmt w:val="lowerLetter"/>
      <w:start w:val="1"/>
    </w:lvl>
    <w:lvl w:ilvl="1">
      <w:lvlJc w:val="left"/>
      <w:lvlText w:val="(%2)"/>
      <w:numFmt w:val="lowerLetter"/>
      <w:start w:val="1"/>
    </w:lvl>
  </w:abstractNum>
  <w:abstractNum w:abstractNumId="97">
    <w:nsid w:val="36B2ACBC"/>
    <w:multiLevelType w:val="hybridMultilevel"/>
    <w:lvl w:ilvl="0">
      <w:lvlJc w:val="left"/>
      <w:lvlText w:val="(%1)"/>
      <w:numFmt w:val="lowerLetter"/>
      <w:start w:val="35"/>
    </w:lvl>
    <w:lvl w:ilvl="1">
      <w:lvlJc w:val="left"/>
      <w:lvlText w:val="%2"/>
      <w:numFmt w:val="lowerLetter"/>
      <w:start w:val="1"/>
    </w:lvl>
  </w:abstractNum>
  <w:abstractNum w:abstractNumId="98">
    <w:nsid w:val="779D8544"/>
    <w:multiLevelType w:val="hybridMultilevel"/>
    <w:lvl w:ilvl="0">
      <w:lvlJc w:val="left"/>
      <w:lvlText w:val="(%1)"/>
      <w:numFmt w:val="lowerLetter"/>
      <w:start w:val="2"/>
    </w:lvl>
    <w:lvl w:ilvl="1">
      <w:lvlJc w:val="left"/>
      <w:lvlText w:val="(%2)"/>
      <w:numFmt w:val="lowerRoman"/>
      <w:start w:val="1"/>
    </w:lvl>
  </w:abstractNum>
  <w:abstractNum w:abstractNumId="99">
    <w:nsid w:val="4AB26E7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100">
    <w:nsid w:val="21FAA2FA"/>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101">
    <w:nsid w:val="5451CF49"/>
    <w:multiLevelType w:val="hybridMultilevel"/>
    <w:lvl w:ilvl="0">
      <w:lvlJc w:val="left"/>
      <w:lvlText w:val="(%1)"/>
      <w:numFmt w:val="upperLetter"/>
      <w:start w:val="2"/>
    </w:lvl>
    <w:lvl w:ilvl="1">
      <w:lvlJc w:val="left"/>
      <w:lvlText w:val="(%2)"/>
      <w:numFmt w:val="lowerLetter"/>
      <w:start w:val="4"/>
    </w:lvl>
    <w:lvl w:ilvl="2">
      <w:lvlJc w:val="left"/>
      <w:lvlText w:val="%3"/>
      <w:numFmt w:val="lowerLetter"/>
      <w:start w:val="1"/>
    </w:lvl>
  </w:abstractNum>
  <w:abstractNum w:abstractNumId="102">
    <w:nsid w:val="6181EF69"/>
    <w:multiLevelType w:val="hybridMultilevel"/>
    <w:lvl w:ilvl="0">
      <w:lvlJc w:val="left"/>
      <w:lvlText w:val="(%1)"/>
      <w:numFmt w:val="lowerLetter"/>
      <w:start w:val="1"/>
    </w:lvl>
  </w:abstractNum>
  <w:abstractNum w:abstractNumId="103">
    <w:nsid w:val="3E6400E6"/>
    <w:multiLevelType w:val="hybridMultilevel"/>
    <w:lvl w:ilvl="0">
      <w:lvlJc w:val="left"/>
      <w:lvlText w:val="(%1)"/>
      <w:numFmt w:val="lowerLetter"/>
      <w:start w:val="2"/>
    </w:lvl>
  </w:abstractNum>
  <w:abstractNum w:abstractNumId="104">
    <w:nsid w:val="14217E23"/>
    <w:multiLevelType w:val="hybridMultilevel"/>
    <w:lvl w:ilvl="0">
      <w:lvlJc w:val="left"/>
      <w:lvlText w:val="(%1)"/>
      <w:numFmt w:val="lowerLetter"/>
      <w:start w:val="1"/>
    </w:lvl>
  </w:abstractNum>
  <w:abstractNum w:abstractNumId="105">
    <w:nsid w:val="710757D0"/>
    <w:multiLevelType w:val="hybridMultilevel"/>
    <w:lvl w:ilvl="0">
      <w:lvlJc w:val="left"/>
      <w:lvlText w:val="(%1)"/>
      <w:numFmt w:val="lowerLetter"/>
      <w:start w:val="6"/>
    </w:lvl>
    <w:lvl w:ilvl="1">
      <w:lvlJc w:val="left"/>
      <w:lvlText w:val="(%2)"/>
      <w:numFmt w:val="lowerLetter"/>
      <w:start w:val="9"/>
    </w:lvl>
    <w:lvl w:ilvl="2">
      <w:lvlJc w:val="left"/>
      <w:lvlText w:val="(%3)"/>
      <w:numFmt w:val="upperLetter"/>
      <w:start w:val="1"/>
    </w:lvl>
    <w:lvl w:ilvl="3">
      <w:lvlJc w:val="left"/>
      <w:lvlText w:val="(%4)"/>
      <w:numFmt w:val="decimal"/>
      <w:start w:val="1"/>
    </w:lvl>
  </w:abstractNum>
  <w:abstractNum w:abstractNumId="106">
    <w:nsid w:val="5015CD1A"/>
    <w:multiLevelType w:val="hybridMultilevel"/>
    <w:lvl w:ilvl="0">
      <w:lvlJc w:val="left"/>
      <w:lvlText w:val="(%1)"/>
      <w:numFmt w:val="upperLetter"/>
      <w:start w:val="3"/>
    </w:lvl>
  </w:abstractNum>
  <w:abstractNum w:abstractNumId="107">
    <w:nsid w:val="424479DA"/>
    <w:multiLevelType w:val="hybridMultilevel"/>
    <w:lvl w:ilvl="0">
      <w:lvlJc w:val="left"/>
      <w:lvlText w:val="(%1)"/>
      <w:numFmt w:val="lowerLetter"/>
      <w:start w:val="7"/>
    </w:lvl>
  </w:abstractNum>
  <w:abstractNum w:abstractNumId="108">
    <w:nsid w:val="1A9A9E69"/>
    <w:multiLevelType w:val="hybridMultilevel"/>
    <w:lvl w:ilvl="0">
      <w:lvlJc w:val="left"/>
      <w:lvlText w:val="(%1)"/>
      <w:numFmt w:val="lowerLetter"/>
      <w:start w:val="8"/>
    </w:lvl>
  </w:abstractNum>
  <w:abstractNum w:abstractNumId="109">
    <w:nsid w:val="475E256A"/>
    <w:multiLevelType w:val="hybridMultilevel"/>
    <w:lvl w:ilvl="0">
      <w:lvlJc w:val="left"/>
      <w:lvlText w:val="(%1)"/>
      <w:numFmt w:val="lowerLetter"/>
      <w:start w:val="1"/>
    </w:lvl>
  </w:abstractNum>
  <w:abstractNum w:abstractNumId="110">
    <w:nsid w:val="368DB37E"/>
    <w:multiLevelType w:val="hybridMultilevel"/>
    <w:lvl w:ilvl="0">
      <w:lvlJc w:val="left"/>
      <w:lvlText w:val="(%1)"/>
      <w:numFmt w:val="lowerLetter"/>
      <w:start w:val="1"/>
    </w:lvl>
  </w:abstractNum>
  <w:abstractNum w:abstractNumId="111">
    <w:nsid w:val="6A3B714C"/>
    <w:multiLevelType w:val="hybridMultilevel"/>
    <w:lvl w:ilvl="0">
      <w:lvlJc w:val="left"/>
      <w:lvlText w:val="(%1)"/>
      <w:numFmt w:val="lowerLetter"/>
      <w:start w:val="1"/>
    </w:lvl>
  </w:abstractNum>
  <w:abstractNum w:abstractNumId="112">
    <w:nsid w:val="327B517E"/>
    <w:multiLevelType w:val="hybridMultilevel"/>
    <w:lvl w:ilvl="0">
      <w:lvlJc w:val="left"/>
      <w:lvlText w:val="(%1)"/>
      <w:numFmt w:val="lowerLetter"/>
      <w:start w:val="2"/>
    </w:lvl>
    <w:lvl w:ilvl="1">
      <w:lvlJc w:val="left"/>
      <w:lvlText w:val="(%2)"/>
      <w:numFmt w:val="lowerRoman"/>
      <w:start w:val="1"/>
    </w:lvl>
  </w:abstractNum>
  <w:abstractNum w:abstractNumId="113">
    <w:nsid w:val="1F461B51"/>
    <w:multiLevelType w:val="hybridMultilevel"/>
    <w:lvl w:ilvl="0">
      <w:lvlJc w:val="left"/>
      <w:lvlText w:val="(%1)"/>
      <w:numFmt w:val="lowerLetter"/>
      <w:start w:val="6"/>
    </w:lvl>
  </w:abstractNum>
  <w:abstractNum w:abstractNumId="114">
    <w:nsid w:val="29BACF25"/>
    <w:multiLevelType w:val="hybridMultilevel"/>
    <w:lvl w:ilvl="0">
      <w:lvlJc w:val="left"/>
      <w:lvlText w:val="(%1)"/>
      <w:numFmt w:val="lowerLetter"/>
      <w:start w:val="15"/>
    </w:lvl>
  </w:abstractNum>
  <w:abstractNum w:abstractNumId="115">
    <w:nsid w:val="5D5BABB3"/>
    <w:multiLevelType w:val="hybridMultilevel"/>
    <w:lvl w:ilvl="0">
      <w:lvlJc w:val="left"/>
      <w:lvlText w:val="(%1)"/>
      <w:numFmt w:val="lowerLetter"/>
      <w:start w:val="1"/>
    </w:lvl>
  </w:abstractNum>
  <w:abstractNum w:abstractNumId="116">
    <w:nsid w:val="51BF6B48"/>
    <w:multiLevelType w:val="hybridMultilevel"/>
    <w:lvl w:ilvl="0">
      <w:lvlJc w:val="left"/>
      <w:lvlText w:val="(%1)"/>
      <w:numFmt w:val="lowerLetter"/>
      <w:start w:val="1"/>
    </w:lvl>
  </w:abstractNum>
  <w:abstractNum w:abstractNumId="117">
    <w:nsid w:val="7E0F6384"/>
    <w:multiLevelType w:val="hybridMultilevel"/>
    <w:lvl w:ilvl="0">
      <w:lvlJc w:val="left"/>
      <w:lvlText w:val="(%1)"/>
      <w:numFmt w:val="lowerLetter"/>
      <w:start w:val="1"/>
    </w:lvl>
  </w:abstractNum>
  <w:abstractNum w:abstractNumId="118">
    <w:nsid w:val="2B4B8B53"/>
    <w:multiLevelType w:val="hybridMultilevel"/>
    <w:lvl w:ilvl="0">
      <w:lvlJc w:val="left"/>
      <w:lvlText w:val="(%1)"/>
      <w:numFmt w:val="lowerLetter"/>
      <w:start w:val="3"/>
    </w:lvl>
  </w:abstractNum>
  <w:abstractNum w:abstractNumId="119">
    <w:nsid w:val="72E3413A"/>
    <w:multiLevelType w:val="hybridMultilevel"/>
    <w:lvl w:ilvl="0">
      <w:lvlJc w:val="left"/>
      <w:lvlText w:val="(%1)"/>
      <w:numFmt w:val="lowerLetter"/>
      <w:start w:val="1"/>
    </w:lvl>
  </w:abstractNum>
  <w:abstractNum w:abstractNumId="120">
    <w:nsid w:val="116AE494"/>
    <w:multiLevelType w:val="hybridMultilevel"/>
    <w:lvl w:ilvl="0">
      <w:lvlJc w:val="left"/>
      <w:lvlText w:val="(%1)"/>
      <w:numFmt w:val="lowerLetter"/>
      <w:start w:val="2"/>
    </w:lvl>
  </w:abstractNum>
  <w:abstractNum w:abstractNumId="121">
    <w:nsid w:val="3494B2FB"/>
    <w:multiLevelType w:val="hybridMultilevel"/>
    <w:lvl w:ilvl="0">
      <w:lvlJc w:val="left"/>
      <w:lvlText w:val="(%1)"/>
      <w:numFmt w:val="lowerLetter"/>
      <w:start w:val="1"/>
    </w:lvl>
  </w:abstractNum>
  <w:abstractNum w:abstractNumId="122">
    <w:nsid w:val="B13A31"/>
    <w:multiLevelType w:val="hybridMultilevel"/>
    <w:lvl w:ilvl="0">
      <w:lvlJc w:val="left"/>
      <w:lvlText w:val="(%1)"/>
      <w:numFmt w:val="lowerLetter"/>
      <w:start w:val="1"/>
    </w:lvl>
  </w:abstractNum>
  <w:abstractNum w:abstractNumId="123">
    <w:nsid w:val="64429599"/>
    <w:multiLevelType w:val="hybridMultilevel"/>
    <w:lvl w:ilvl="0">
      <w:lvlJc w:val="left"/>
      <w:lvlText w:val="(%1)"/>
      <w:numFmt w:val="lowerLetter"/>
      <w:start w:val="1"/>
    </w:lvl>
  </w:abstractNum>
  <w:abstractNum w:abstractNumId="124">
    <w:nsid w:val="631F1690"/>
    <w:multiLevelType w:val="hybridMultilevel"/>
    <w:lvl w:ilvl="0">
      <w:lvlJc w:val="left"/>
      <w:lvlText w:val="(%1)"/>
      <w:numFmt w:val="lowerLetter"/>
      <w:start w:val="1"/>
    </w:lvl>
  </w:abstractNum>
  <w:abstractNum w:abstractNumId="125">
    <w:nsid w:val="25973E32"/>
    <w:multiLevelType w:val="hybridMultilevel"/>
    <w:lvl w:ilvl="0">
      <w:lvlJc w:val="left"/>
      <w:lvlText w:val="(%1)"/>
      <w:numFmt w:val="lowerLetter"/>
      <w:start w:val="1"/>
    </w:lvl>
  </w:abstractNum>
  <w:abstractNum w:abstractNumId="126">
    <w:nsid w:val="EAD6F57"/>
    <w:multiLevelType w:val="hybridMultilevel"/>
    <w:lvl w:ilvl="0">
      <w:lvlJc w:val="left"/>
      <w:lvlText w:val="(%1)"/>
      <w:numFmt w:val="lowerLetter"/>
      <w:start w:val="2"/>
    </w:lvl>
  </w:abstractNum>
  <w:abstractNum w:abstractNumId="127">
    <w:nsid w:val="6EC9D844"/>
    <w:multiLevelType w:val="hybridMultilevel"/>
    <w:lvl w:ilvl="0">
      <w:lvlJc w:val="left"/>
      <w:lvlText w:val="(%1)"/>
      <w:numFmt w:val="lowerLetter"/>
      <w:start w:val="5"/>
    </w:lvl>
    <w:lvl w:ilvl="1">
      <w:lvlJc w:val="left"/>
      <w:lvlText w:val="(%2)"/>
      <w:numFmt w:val="lowerRoman"/>
      <w:start w:val="1"/>
    </w:lvl>
  </w:abstractNum>
  <w:abstractNum w:abstractNumId="128">
    <w:nsid w:val="5C49EAEE"/>
    <w:multiLevelType w:val="hybridMultilevel"/>
    <w:lvl w:ilvl="0">
      <w:lvlJc w:val="left"/>
      <w:lvlText w:val="(%1)"/>
      <w:numFmt w:val="lowerLetter"/>
      <w:start w:val="6"/>
    </w:lvl>
  </w:abstractNum>
  <w:abstractNum w:abstractNumId="129">
    <w:nsid w:val="64AF49B"/>
    <w:multiLevelType w:val="hybridMultilevel"/>
    <w:lvl w:ilvl="0">
      <w:lvlJc w:val="left"/>
      <w:lvlText w:val="(%1)"/>
      <w:numFmt w:val="lowerLetter"/>
      <w:start w:val="8"/>
    </w:lvl>
    <w:lvl w:ilvl="1">
      <w:lvlJc w:val="left"/>
      <w:lvlText w:val="(%2)"/>
      <w:numFmt w:val="lowerRoman"/>
      <w:start w:val="1"/>
    </w:lvl>
  </w:abstractNum>
  <w:abstractNum w:abstractNumId="130">
    <w:nsid w:val="397C46BC"/>
    <w:multiLevelType w:val="hybridMultilevel"/>
    <w:lvl w:ilvl="0">
      <w:lvlJc w:val="left"/>
      <w:lvlText w:val="(%1)"/>
      <w:numFmt w:val="lowerLetter"/>
      <w:start w:val="12"/>
    </w:lvl>
    <w:lvl w:ilvl="1">
      <w:lvlJc w:val="left"/>
      <w:lvlText w:val="(%2)"/>
      <w:numFmt w:val="lowerRoman"/>
      <w:start w:val="1"/>
    </w:lvl>
  </w:abstractNum>
  <w:abstractNum w:abstractNumId="131">
    <w:nsid w:val="7E448DE9"/>
    <w:multiLevelType w:val="hybridMultilevel"/>
    <w:lvl w:ilvl="0">
      <w:lvlJc w:val="left"/>
      <w:lvlText w:val="(%1)"/>
      <w:numFmt w:val="upperLetter"/>
      <w:start w:val="1"/>
    </w:lvl>
  </w:abstractNum>
  <w:abstractNum w:abstractNumId="132">
    <w:nsid w:val="5A9CC3E5"/>
    <w:multiLevelType w:val="hybridMultilevel"/>
    <w:lvl w:ilvl="0">
      <w:lvlJc w:val="left"/>
      <w:lvlText w:val="(%1)"/>
      <w:numFmt w:val="lowerLetter"/>
      <w:start w:val="1"/>
    </w:lvl>
  </w:abstractNum>
  <w:abstractNum w:abstractNumId="133">
    <w:nsid w:val="1AFE3625"/>
    <w:multiLevelType w:val="hybridMultilevel"/>
    <w:lvl w:ilvl="0">
      <w:lvlJc w:val="left"/>
      <w:lvlText w:val="(%1)"/>
      <w:numFmt w:val="lowerLetter"/>
      <w:start w:val="1"/>
    </w:lvl>
  </w:abstractNum>
  <w:abstractNum w:abstractNumId="134">
    <w:nsid w:val="3CA88ECF"/>
    <w:multiLevelType w:val="hybridMultilevel"/>
    <w:lvl w:ilvl="0">
      <w:lvlJc w:val="left"/>
      <w:lvlText w:val="(%1)"/>
      <w:numFmt w:val="lowerLetter"/>
      <w:start w:val="1"/>
    </w:lvl>
  </w:abstractNum>
  <w:abstractNum w:abstractNumId="135">
    <w:nsid w:val="6EBE4208"/>
    <w:multiLevelType w:val="hybridMultilevel"/>
    <w:lvl w:ilvl="0">
      <w:lvlJc w:val="left"/>
      <w:lvlText w:val="(%1)"/>
      <w:numFmt w:val="lowerLetter"/>
      <w:start w:val="2"/>
    </w:lvl>
  </w:abstractNum>
  <w:abstractNum w:abstractNumId="136">
    <w:nsid w:val="C058DF5"/>
    <w:multiLevelType w:val="hybridMultilevel"/>
    <w:lvl w:ilvl="0">
      <w:lvlJc w:val="left"/>
      <w:lvlText w:val="(%1)"/>
      <w:numFmt w:val="lowerLetter"/>
      <w:start w:val="1"/>
    </w:lvl>
  </w:abstractNum>
  <w:abstractNum w:abstractNumId="137">
    <w:nsid w:val="CBE5BE9"/>
    <w:multiLevelType w:val="hybridMultilevel"/>
    <w:lvl w:ilvl="0">
      <w:lvlJc w:val="left"/>
      <w:lvlText w:val="(%1)"/>
      <w:numFmt w:val="lowerLetter"/>
      <w:start w:val="1"/>
    </w:lvl>
  </w:abstractNum>
  <w:abstractNum w:abstractNumId="138">
    <w:nsid w:val="3102BBE2"/>
    <w:multiLevelType w:val="hybridMultilevel"/>
    <w:lvl w:ilvl="0">
      <w:lvlJc w:val="left"/>
      <w:lvlText w:val="(%1)"/>
      <w:numFmt w:val="lowerLetter"/>
      <w:start w:val="2"/>
    </w:lvl>
  </w:abstractNum>
  <w:abstractNum w:abstractNumId="139">
    <w:nsid w:val="26A02C5E"/>
    <w:multiLevelType w:val="hybridMultilevel"/>
    <w:lvl w:ilvl="0">
      <w:lvlJc w:val="left"/>
      <w:lvlText w:val="(%1)"/>
      <w:numFmt w:val="lowerLetter"/>
      <w:start w:val="4"/>
    </w:lvl>
  </w:abstractNum>
  <w:abstractNum w:abstractNumId="140">
    <w:nsid w:val="541C8153"/>
    <w:multiLevelType w:val="hybridMultilevel"/>
    <w:lvl w:ilvl="0">
      <w:lvlJc w:val="left"/>
      <w:lvlText w:val="(%1)"/>
      <w:numFmt w:val="lowerLetter"/>
      <w:start w:val="1"/>
    </w:lvl>
  </w:abstractNum>
  <w:abstractNum w:abstractNumId="141">
    <w:nsid w:val="67906F60"/>
    <w:multiLevelType w:val="hybridMultilevel"/>
    <w:lvl w:ilvl="0">
      <w:lvlJc w:val="left"/>
      <w:lvlText w:val="(%1)"/>
      <w:numFmt w:val="lowerLetter"/>
      <w:start w:val="1"/>
    </w:lvl>
    <w:lvl w:ilvl="1">
      <w:lvlJc w:val="left"/>
      <w:lvlText w:val="(%2)"/>
      <w:numFmt w:val="lowerRoman"/>
      <w:start w:val="1"/>
    </w:lvl>
  </w:abstractNum>
  <w:abstractNum w:abstractNumId="142">
    <w:nsid w:val="10DB9DAA"/>
    <w:multiLevelType w:val="hybridMultilevel"/>
    <w:lvl w:ilvl="0">
      <w:lvlJc w:val="left"/>
      <w:lvlText w:val="(%1)"/>
      <w:numFmt w:val="lowerLetter"/>
      <w:start w:val="24"/>
    </w:lvl>
    <w:lvl w:ilvl="1">
      <w:lvlJc w:val="left"/>
      <w:lvlText w:val="(%2)"/>
      <w:numFmt w:val="lowerRoman"/>
      <w:start w:val="5"/>
    </w:lvl>
  </w:abstractNum>
  <w:abstractNum w:abstractNumId="143">
    <w:nsid w:val="697D2D2"/>
    <w:multiLevelType w:val="hybridMultilevel"/>
    <w:lvl w:ilvl="0">
      <w:lvlJc w:val="left"/>
      <w:lvlText w:val="(%1)"/>
      <w:numFmt w:val="lowerRoman"/>
      <w:start w:val="6"/>
    </w:lvl>
  </w:abstractNum>
  <w:abstractNum w:abstractNumId="144">
    <w:nsid w:val="6D68AB2"/>
    <w:multiLevelType w:val="hybridMultilevel"/>
    <w:lvl w:ilvl="0">
      <w:lvlJc w:val="left"/>
      <w:lvlText w:val="(%1)"/>
      <w:numFmt w:val="lowerLetter"/>
      <w:start w:val="1"/>
    </w:lvl>
    <w:lvl w:ilvl="1">
      <w:lvlJc w:val="left"/>
      <w:lvlText w:val="(%2)"/>
      <w:numFmt w:val="lowerRoman"/>
      <w:start w:val="1"/>
    </w:lvl>
  </w:abstractNum>
  <w:abstractNum w:abstractNumId="145">
    <w:nsid w:val="3A966CD0"/>
    <w:multiLevelType w:val="hybridMultilevel"/>
    <w:lvl w:ilvl="0">
      <w:lvlJc w:val="left"/>
      <w:lvlText w:val="(%1)"/>
      <w:numFmt w:val="lowerLetter"/>
      <w:start w:val="3"/>
    </w:lvl>
  </w:abstractNum>
  <w:abstractNum w:abstractNumId="146">
    <w:nsid w:val="63F37E85"/>
    <w:multiLevelType w:val="hybridMultilevel"/>
    <w:lvl w:ilvl="0">
      <w:lvlJc w:val="left"/>
      <w:lvlText w:val="(%1)"/>
      <w:numFmt w:val="lowerLetter"/>
      <w:start w:val="1"/>
    </w:lvl>
  </w:abstractNum>
  <w:abstractNum w:abstractNumId="147">
    <w:nsid w:val="5895F5FA"/>
    <w:multiLevelType w:val="hybridMultilevel"/>
    <w:lvl w:ilvl="0">
      <w:lvlJc w:val="left"/>
      <w:lvlText w:val="(%1)"/>
      <w:numFmt w:val="lowerLetter"/>
      <w:start w:val="1"/>
    </w:lvl>
  </w:abstractNum>
  <w:abstractNum w:abstractNumId="148">
    <w:nsid w:val="38A5D054"/>
    <w:multiLevelType w:val="hybridMultilevel"/>
    <w:lvl w:ilvl="0">
      <w:lvlJc w:val="left"/>
      <w:lvlText w:val="(%1)"/>
      <w:numFmt w:val="lowerLetter"/>
      <w:start w:val="1"/>
    </w:lvl>
  </w:abstractNum>
  <w:abstractNum w:abstractNumId="149">
    <w:nsid w:val="F3F09D8"/>
    <w:multiLevelType w:val="hybridMultilevel"/>
    <w:lvl w:ilvl="0">
      <w:lvlJc w:val="left"/>
      <w:lvlText w:val="(%1)"/>
      <w:numFmt w:val="lowerLetter"/>
      <w:start w:val="5"/>
    </w:lvl>
  </w:abstractNum>
  <w:abstractNum w:abstractNumId="150">
    <w:nsid w:val="4B793735"/>
    <w:multiLevelType w:val="hybridMultilevel"/>
    <w:lvl w:ilvl="0">
      <w:lvlJc w:val="left"/>
      <w:lvlText w:val="(%1)"/>
      <w:numFmt w:val="lowerLetter"/>
      <w:start w:val="11"/>
    </w:lvl>
  </w:abstractNum>
  <w:abstractNum w:abstractNumId="151">
    <w:nsid w:val="4A10B4E8"/>
    <w:multiLevelType w:val="hybridMultilevel"/>
    <w:lvl w:ilvl="0">
      <w:lvlJc w:val="left"/>
      <w:lvlText w:val="%1"/>
      <w:numFmt w:val="upperLetter"/>
      <w:start w:val="1"/>
    </w:lvl>
    <w:lvl w:ilvl="1">
      <w:lvlJc w:val="left"/>
      <w:lvlText w:val="(%2)"/>
      <w:numFmt w:val="lowerLetter"/>
      <w:start w:val="12"/>
    </w:lvl>
  </w:abstractNum>
  <w:abstractNum w:abstractNumId="152">
    <w:nsid w:val="43D3BCD4"/>
    <w:multiLevelType w:val="hybridMultilevel"/>
    <w:lvl w:ilvl="0">
      <w:lvlJc w:val="left"/>
      <w:lvlText w:val="(%1)"/>
      <w:numFmt w:val="upperLetter"/>
      <w:start w:val="2"/>
    </w:lvl>
    <w:lvl w:ilvl="1">
      <w:lvlJc w:val="left"/>
      <w:lvlText w:val="(%2)"/>
      <w:numFmt w:val="lowerLetter"/>
      <w:start w:val="14"/>
    </w:lvl>
  </w:abstractNum>
  <w:abstractNum w:abstractNumId="153">
    <w:nsid w:val="4C2A7166"/>
    <w:multiLevelType w:val="hybridMultilevel"/>
    <w:lvl w:ilvl="0">
      <w:lvlJc w:val="left"/>
      <w:lvlText w:val="(%1)"/>
      <w:numFmt w:val="lowerLetter"/>
      <w:start w:val="20"/>
    </w:lvl>
  </w:abstractNum>
  <w:abstractNum w:abstractNumId="154">
    <w:nsid w:val="2E534A82"/>
    <w:multiLevelType w:val="hybridMultilevel"/>
    <w:lvl w:ilvl="0">
      <w:lvlJc w:val="left"/>
      <w:lvlText w:val="%1"/>
      <w:numFmt w:val="decimal"/>
      <w:start w:val="1"/>
    </w:lvl>
    <w:lvl w:ilvl="1">
      <w:lvlJc w:val="left"/>
      <w:lvlText w:val="(%2)"/>
      <w:numFmt w:val="lowerLetter"/>
      <w:start w:val="1"/>
    </w:lvl>
  </w:abstractNum>
  <w:abstractNum w:abstractNumId="155">
    <w:nsid w:val="26F2D364"/>
    <w:multiLevelType w:val="hybridMultilevel"/>
    <w:lvl w:ilvl="0">
      <w:lvlJc w:val="left"/>
      <w:lvlText w:val="(%1)"/>
      <w:numFmt w:val="decimal"/>
      <w:start w:val="365"/>
    </w:lvl>
    <w:lvl w:ilvl="1">
      <w:lvlJc w:val="left"/>
      <w:lvlText w:val="(%2)"/>
      <w:numFmt w:val="lowerLetter"/>
      <w:start w:val="4"/>
    </w:lvl>
  </w:abstractNum>
  <w:abstractNum w:abstractNumId="156">
    <w:nsid w:val="71C1AF98"/>
    <w:multiLevelType w:val="hybridMultilevel"/>
    <w:lvl w:ilvl="0">
      <w:lvlJc w:val="left"/>
      <w:lvlText w:val="%1"/>
      <w:numFmt w:val="lowerLetter"/>
      <w:start w:val="1"/>
    </w:lvl>
    <w:lvl w:ilvl="1">
      <w:lvlJc w:val="left"/>
      <w:lvlText w:val="(%2)"/>
      <w:numFmt w:val="lowerLetter"/>
      <w:start w:val="6"/>
    </w:lvl>
  </w:abstractNum>
  <w:abstractNum w:abstractNumId="157">
    <w:nsid w:val="3D00B9D9"/>
    <w:multiLevelType w:val="hybridMultilevel"/>
    <w:lvl w:ilvl="0">
      <w:lvlJc w:val="left"/>
      <w:lvlText w:val="(%1)"/>
      <w:numFmt w:val="lowerLetter"/>
      <w:start w:val="35"/>
    </w:lvl>
    <w:lvl w:ilvl="1">
      <w:lvlJc w:val="left"/>
      <w:lvlText w:val="(%2)"/>
      <w:numFmt w:val="lowerLetter"/>
      <w:start w:val="8"/>
    </w:lvl>
  </w:abstractNum>
  <w:abstractNum w:abstractNumId="158">
    <w:nsid w:val="15BCABA8"/>
    <w:multiLevelType w:val="hybridMultilevel"/>
    <w:lvl w:ilvl="0">
      <w:lvlJc w:val="left"/>
      <w:lvlText w:val="%1"/>
      <w:numFmt w:val="lowerLetter"/>
      <w:start w:val="1"/>
    </w:lvl>
    <w:lvl w:ilvl="1">
      <w:lvlJc w:val="left"/>
      <w:lvlText w:val="(%2)"/>
      <w:numFmt w:val="lowerLetter"/>
      <w:start w:val="14"/>
    </w:lvl>
  </w:abstractNum>
  <w:abstractNum w:abstractNumId="159">
    <w:nsid w:val="4E0B9A87"/>
    <w:multiLevelType w:val="hybridMultilevel"/>
    <w:lvl w:ilvl="0">
      <w:lvlJc w:val="left"/>
      <w:lvlText w:val="(%1)"/>
      <w:numFmt w:val="lowerLetter"/>
      <w:start w:val="9"/>
    </w:lvl>
    <w:lvl w:ilvl="1">
      <w:lvlJc w:val="left"/>
      <w:lvlText w:val="(%2)"/>
      <w:numFmt w:val="lowerLetter"/>
      <w:start w:val="23"/>
    </w:lvl>
  </w:abstractNum>
  <w:abstractNum w:abstractNumId="160">
    <w:nsid w:val="434BAE75"/>
    <w:multiLevelType w:val="hybridMultilevel"/>
    <w:lvl w:ilvl="0">
      <w:lvlJc w:val="left"/>
      <w:lvlText w:val="%1"/>
      <w:numFmt w:val="upperLetter"/>
      <w:start w:val="1"/>
    </w:lvl>
    <w:lvl w:ilvl="1">
      <w:lvlJc w:val="left"/>
      <w:lvlText w:val="(%2)"/>
      <w:numFmt w:val="lowerLetter"/>
      <w:start w:val="1"/>
    </w:lvl>
  </w:abstractNum>
  <w:abstractNum w:abstractNumId="161">
    <w:nsid w:val="4F38F265"/>
    <w:multiLevelType w:val="hybridMultilevel"/>
    <w:lvl w:ilvl="0">
      <w:lvlJc w:val="left"/>
      <w:lvlText w:val="(%1)"/>
      <w:numFmt w:val="upperLetter"/>
      <w:start w:val="1"/>
    </w:lvl>
    <w:lvl w:ilvl="1">
      <w:lvlJc w:val="left"/>
      <w:lvlText w:val="%2"/>
      <w:numFmt w:val="lowerLetter"/>
      <w:start w:val="1"/>
    </w:lvl>
  </w:abstractNum>
  <w:abstractNum w:abstractNumId="162">
    <w:nsid w:val="4C502870"/>
    <w:multiLevelType w:val="hybridMultilevel"/>
    <w:lvl w:ilvl="0">
      <w:lvlJc w:val="left"/>
      <w:lvlText w:val="%1"/>
      <w:numFmt w:val="lowerLetter"/>
      <w:start w:val="1"/>
    </w:lvl>
    <w:lvl w:ilvl="1">
      <w:lvlJc w:val="left"/>
      <w:lvlText w:val="(%2)"/>
      <w:numFmt w:val="lowerLetter"/>
      <w:start w:val="2"/>
    </w:lvl>
  </w:abstractNum>
  <w:abstractNum w:abstractNumId="163">
    <w:nsid w:val="1DE8725A"/>
    <w:multiLevelType w:val="hybridMultilevel"/>
    <w:lvl w:ilvl="0">
      <w:lvlJc w:val="left"/>
      <w:lvlText w:val="(%1)"/>
      <w:numFmt w:val="lowerLetter"/>
      <w:start w:val="35"/>
    </w:lvl>
    <w:lvl w:ilvl="1">
      <w:lvlJc w:val="left"/>
      <w:lvlText w:val="(%2)"/>
      <w:numFmt w:val="lowerLetter"/>
      <w:start w:val="5"/>
    </w:lvl>
  </w:abstractNum>
  <w:abstractNum w:abstractNumId="164">
    <w:nsid w:val="6A37288A"/>
    <w:multiLevelType w:val="hybridMultilevel"/>
    <w:lvl w:ilvl="0">
      <w:lvlJc w:val="left"/>
      <w:lvlText w:val="(%1)"/>
      <w:numFmt w:val="lowerLetter"/>
      <w:start w:val="8"/>
    </w:lvl>
  </w:abstractNum>
  <w:abstractNum w:abstractNumId="165">
    <w:nsid w:val="8F8B73F"/>
    <w:multiLevelType w:val="hybridMultilevel"/>
    <w:lvl w:ilvl="0">
      <w:lvlJc w:val="left"/>
      <w:lvlText w:val="%1"/>
      <w:numFmt w:val="lowerRoman"/>
      <w:start w:val="1"/>
    </w:lvl>
    <w:lvl w:ilvl="1">
      <w:lvlJc w:val="left"/>
      <w:lvlText w:val="(%2)"/>
      <w:numFmt w:val="lowerLetter"/>
      <w:start w:val="1"/>
    </w:lvl>
  </w:abstractNum>
  <w:abstractNum w:abstractNumId="166">
    <w:nsid w:val="CA6B462"/>
    <w:multiLevelType w:val="hybridMultilevel"/>
    <w:lvl w:ilvl="0">
      <w:lvlJc w:val="left"/>
      <w:lvlText w:val="(%1)"/>
      <w:numFmt w:val="lowerRoman"/>
      <w:start w:val="4"/>
    </w:lvl>
    <w:lvl w:ilvl="1">
      <w:lvlJc w:val="left"/>
      <w:lvlText w:val="%2"/>
      <w:numFmt w:val="lowerLetter"/>
      <w:start w:val="1"/>
    </w:lvl>
  </w:abstractNum>
  <w:abstractNum w:abstractNumId="167">
    <w:nsid w:val="763CB680"/>
    <w:multiLevelType w:val="hybridMultilevel"/>
    <w:lvl w:ilvl="0">
      <w:lvlJc w:val="left"/>
      <w:lvlText w:val="(%1)"/>
      <w:numFmt w:val="lowerLetter"/>
      <w:start w:val="4"/>
    </w:lvl>
  </w:abstractNum>
  <w:abstractNum w:abstractNumId="168">
    <w:nsid w:val="15B71329"/>
    <w:multiLevelType w:val="hybridMultilevel"/>
    <w:lvl w:ilvl="0">
      <w:lvlJc w:val="left"/>
      <w:lvlText w:val="(%1)"/>
      <w:numFmt w:val="lowerLetter"/>
      <w:start w:val="13"/>
    </w:lvl>
  </w:abstractNum>
  <w:abstractNum w:abstractNumId="169">
    <w:nsid w:val="3DA97044"/>
    <w:multiLevelType w:val="hybridMultilevel"/>
    <w:lvl w:ilvl="0">
      <w:lvlJc w:val="left"/>
      <w:lvlText w:val="(%1)"/>
      <w:numFmt w:val="lowerRoman"/>
      <w:start w:val="2"/>
    </w:lvl>
  </w:abstractNum>
  <w:abstractNum w:abstractNumId="170">
    <w:nsid w:val="1CDCE2DE"/>
    <w:multiLevelType w:val="hybridMultilevel"/>
    <w:lvl w:ilvl="0">
      <w:lvlJc w:val="left"/>
      <w:lvlText w:val="%1"/>
      <w:numFmt w:val="lowerLetter"/>
      <w:start w:val="1"/>
    </w:lvl>
    <w:lvl w:ilvl="1">
      <w:lvlJc w:val="left"/>
      <w:lvlText w:val="(%2)"/>
      <w:numFmt w:val="lowerLetter"/>
      <w:start w:val="1"/>
    </w:lvl>
  </w:abstractNum>
  <w:abstractNum w:abstractNumId="171">
    <w:nsid w:val="69D3947C"/>
    <w:multiLevelType w:val="hybridMultilevel"/>
    <w:lvl w:ilvl="0">
      <w:lvlJc w:val="left"/>
      <w:lvlText w:val="(%1)"/>
      <w:numFmt w:val="lowerLetter"/>
      <w:start w:val="9"/>
    </w:lvl>
    <w:lvl w:ilvl="1">
      <w:lvlJc w:val="left"/>
      <w:lvlText w:val="(%2)"/>
      <w:numFmt w:val="lowerLetter"/>
      <w:start w:val="4"/>
    </w:lvl>
  </w:abstractNum>
  <w:abstractNum w:abstractNumId="172">
    <w:nsid w:val="2539DFA5"/>
    <w:multiLevelType w:val="hybridMultilevel"/>
    <w:lvl w:ilvl="0">
      <w:lvlJc w:val="left"/>
      <w:lvlText w:val="%1"/>
      <w:numFmt w:val="lowerLetter"/>
      <w:start w:val="1"/>
    </w:lvl>
    <w:lvl w:ilvl="1">
      <w:lvlJc w:val="left"/>
      <w:lvlText w:val="(%2)"/>
      <w:numFmt w:val="lowerLetter"/>
      <w:start w:val="13"/>
    </w:lvl>
  </w:abstractNum>
  <w:abstractNum w:abstractNumId="173">
    <w:nsid w:val="2DB88089"/>
    <w:multiLevelType w:val="hybridMultilevel"/>
    <w:lvl w:ilvl="0">
      <w:lvlJc w:val="left"/>
      <w:lvlText w:val="(%1)"/>
      <w:numFmt w:val="lowerLetter"/>
      <w:start w:val="3"/>
    </w:lvl>
    <w:lvl w:ilvl="1">
      <w:lvlJc w:val="left"/>
      <w:lvlText w:val="(%2)"/>
      <w:numFmt w:val="lowerLetter"/>
      <w:start w:val="21"/>
    </w:lvl>
  </w:abstractNum>
  <w:abstractNum w:abstractNumId="174">
    <w:nsid w:val="706B674E"/>
    <w:multiLevelType w:val="hybridMultilevel"/>
    <w:lvl w:ilvl="0">
      <w:lvlJc w:val="left"/>
      <w:lvlText w:val="(%1)"/>
      <w:numFmt w:val="lowerLetter"/>
      <w:start w:val="35"/>
    </w:lvl>
    <w:lvl w:ilvl="1">
      <w:lvlJc w:val="left"/>
      <w:lvlText w:val="(%2)"/>
      <w:numFmt w:val="lowerLetter"/>
      <w:start w:val="22"/>
    </w:lvl>
  </w:abstractNum>
  <w:abstractNum w:abstractNumId="175">
    <w:nsid w:val="2C106A57"/>
    <w:multiLevelType w:val="hybridMultilevel"/>
    <w:lvl w:ilvl="0">
      <w:lvlJc w:val="left"/>
      <w:lvlText w:val="(%1)"/>
      <w:numFmt w:val="lowerLetter"/>
      <w:start w:val="9"/>
    </w:lvl>
    <w:lvl w:ilvl="1">
      <w:lvlJc w:val="left"/>
      <w:lvlText w:val="%2"/>
      <w:numFmt w:val="lowerLetter"/>
      <w:start w:val="1"/>
    </w:lvl>
  </w:abstractNum>
  <w:abstractNum w:abstractNumId="176">
    <w:nsid w:val="684EED59"/>
    <w:multiLevelType w:val="hybridMultilevel"/>
    <w:lvl w:ilvl="0">
      <w:lvlJc w:val="left"/>
      <w:lvlText w:val="(%1)"/>
      <w:numFmt w:val="lowerLetter"/>
      <w:start w:val="27"/>
    </w:lvl>
  </w:abstractNum>
  <w:abstractNum w:abstractNumId="177">
    <w:nsid w:val="545EE5D3"/>
    <w:multiLevelType w:val="hybridMultilevel"/>
    <w:lvl w:ilvl="0">
      <w:lvlJc w:val="left"/>
      <w:lvlText w:val="%1"/>
      <w:numFmt w:val="lowerLetter"/>
      <w:start w:val="1"/>
    </w:lvl>
    <w:lvl w:ilvl="1">
      <w:lvlJc w:val="left"/>
      <w:lvlText w:val="(%2)"/>
      <w:numFmt w:val="lowerLetter"/>
      <w:start w:val="1"/>
    </w:lvl>
  </w:abstractNum>
  <w:abstractNum w:abstractNumId="178">
    <w:nsid w:val="4A66051"/>
    <w:multiLevelType w:val="hybridMultilevel"/>
    <w:lvl w:ilvl="0">
      <w:lvlJc w:val="left"/>
      <w:lvlText w:val="(%1)"/>
      <w:numFmt w:val="lowerLetter"/>
      <w:start w:val="61"/>
    </w:lvl>
    <w:lvl w:ilvl="1">
      <w:lvlJc w:val="left"/>
      <w:lvlText w:val="(%2)"/>
      <w:numFmt w:val="lowerLetter"/>
      <w:start w:val="2"/>
    </w:lvl>
  </w:abstractNum>
  <w:abstractNum w:abstractNumId="179">
    <w:nsid w:val="20F4BDAD"/>
    <w:multiLevelType w:val="hybridMultilevel"/>
    <w:lvl w:ilvl="0">
      <w:lvlJc w:val="left"/>
      <w:lvlText w:val="(%1)"/>
      <w:numFmt w:val="lowerLetter"/>
      <w:start w:val="8"/>
    </w:lvl>
  </w:abstractNum>
  <w:abstractNum w:abstractNumId="180">
    <w:nsid w:val="639DEFAC"/>
    <w:multiLevelType w:val="hybridMultilevel"/>
    <w:lvl w:ilvl="0">
      <w:lvlJc w:val="left"/>
      <w:lvlText w:val="(%1)"/>
      <w:numFmt w:val="lowerLetter"/>
      <w:start w:val="1"/>
    </w:lvl>
  </w:abstractNum>
  <w:abstractNum w:abstractNumId="181">
    <w:nsid w:val="501F9786"/>
    <w:multiLevelType w:val="hybridMultilevel"/>
    <w:lvl w:ilvl="0">
      <w:lvlJc w:val="left"/>
      <w:lvlText w:val="%1"/>
      <w:numFmt w:val="lowerLetter"/>
      <w:start w:val="1"/>
    </w:lvl>
    <w:lvl w:ilvl="1">
      <w:lvlJc w:val="left"/>
      <w:lvlText w:val="(%2)"/>
      <w:numFmt w:val="lowerLetter"/>
      <w:start w:val="2"/>
    </w:lvl>
  </w:abstractNum>
  <w:abstractNum w:abstractNumId="182">
    <w:nsid w:val="6B057295"/>
    <w:multiLevelType w:val="hybridMultilevel"/>
    <w:lvl w:ilvl="0">
      <w:lvlJc w:val="left"/>
      <w:lvlText w:val="(%1)"/>
      <w:numFmt w:val="lowerLetter"/>
      <w:start w:val="35"/>
    </w:lvl>
    <w:lvl w:ilvl="1">
      <w:lvlJc w:val="left"/>
      <w:lvlText w:val="(%2)"/>
      <w:numFmt w:val="lowerLetter"/>
      <w:start w:val="3"/>
    </w:lvl>
  </w:abstractNum>
  <w:abstractNum w:abstractNumId="183">
    <w:nsid w:val="2771AC80"/>
    <w:multiLevelType w:val="hybridMultilevel"/>
    <w:lvl w:ilvl="0">
      <w:lvlJc w:val="left"/>
      <w:lvlText w:val="%1"/>
      <w:numFmt w:val="lowerLetter"/>
      <w:start w:val="1"/>
    </w:lvl>
    <w:lvl w:ilvl="1">
      <w:lvlJc w:val="left"/>
      <w:lvlText w:val="(%2)"/>
      <w:numFmt w:val="lowerLetter"/>
      <w:start w:val="1"/>
    </w:lvl>
  </w:abstractNum>
  <w:abstractNum w:abstractNumId="184">
    <w:nsid w:val="1C4A08EC"/>
    <w:multiLevelType w:val="hybridMultilevel"/>
    <w:lvl w:ilvl="0">
      <w:lvlJc w:val="left"/>
      <w:lvlText w:val="(%1)"/>
      <w:numFmt w:val="lowerLetter"/>
      <w:start w:val="35"/>
    </w:lvl>
    <w:lvl w:ilvl="1">
      <w:lvlJc w:val="left"/>
      <w:lvlText w:val="%2"/>
      <w:numFmt w:val="lowerLetter"/>
      <w:start w:val="1"/>
    </w:lvl>
  </w:abstractNum>
  <w:abstractNum w:abstractNumId="185">
    <w:nsid w:val="1958BD17"/>
    <w:multiLevelType w:val="hybridMultilevel"/>
    <w:lvl w:ilvl="0">
      <w:lvlJc w:val="left"/>
      <w:lvlText w:val="(%1)"/>
      <w:numFmt w:val="lowerLetter"/>
      <w:start w:val="2"/>
    </w:lvl>
  </w:abstractNum>
  <w:abstractNum w:abstractNumId="186">
    <w:nsid w:val="4E647FE4"/>
    <w:multiLevelType w:val="hybridMultilevel"/>
    <w:lvl w:ilvl="0">
      <w:lvlJc w:val="left"/>
      <w:lvlText w:val="(%1)"/>
      <w:numFmt w:val="lowerLetter"/>
      <w:start w:val="14"/>
    </w:lvl>
  </w:abstractNum>
  <w:abstractNum w:abstractNumId="187">
    <w:nsid w:val="E0BB885"/>
    <w:multiLevelType w:val="hybridMultilevel"/>
    <w:lvl w:ilvl="0">
      <w:lvlJc w:val="left"/>
      <w:lvlText w:val="(%1)"/>
      <w:numFmt w:val="lowerLetter"/>
      <w:start w:val="1"/>
    </w:lvl>
  </w:abstractNum>
  <w:abstractNum w:abstractNumId="188">
    <w:nsid w:val="565976F1"/>
    <w:multiLevelType w:val="hybridMultilevel"/>
    <w:lvl w:ilvl="0">
      <w:lvlJc w:val="left"/>
      <w:lvlText w:val="(%1)"/>
      <w:numFmt w:val="lowerLetter"/>
      <w:start w:val="8"/>
    </w:lvl>
  </w:abstractNum>
  <w:abstractNum w:abstractNumId="189">
    <w:nsid w:val="64212B8C"/>
    <w:multiLevelType w:val="hybridMultilevel"/>
    <w:lvl w:ilvl="0">
      <w:lvlJc w:val="left"/>
      <w:lvlText w:val="%1"/>
      <w:numFmt w:val="lowerLetter"/>
      <w:start w:val="1"/>
    </w:lvl>
    <w:lvl w:ilvl="1">
      <w:lvlJc w:val="left"/>
      <w:lvlText w:val="(%2)"/>
      <w:numFmt w:val="lowerLetter"/>
      <w:start w:val="1"/>
    </w:lvl>
  </w:abstractNum>
  <w:abstractNum w:abstractNumId="190">
    <w:nsid w:val="5C17530C"/>
    <w:multiLevelType w:val="hybridMultilevel"/>
    <w:lvl w:ilvl="0">
      <w:lvlJc w:val="left"/>
      <w:lvlText w:val="(%1)"/>
      <w:numFmt w:val="lowerLetter"/>
      <w:start w:val="9"/>
    </w:lvl>
    <w:lvl w:ilvl="1">
      <w:lvlJc w:val="left"/>
      <w:lvlText w:val="%2"/>
      <w:numFmt w:val="lowerLetter"/>
      <w:start w:val="1"/>
    </w:lvl>
  </w:abstractNum>
  <w:abstractNum w:abstractNumId="191">
    <w:nsid w:val="19A52566"/>
    <w:multiLevelType w:val="hybridMultilevel"/>
    <w:lvl w:ilvl="0">
      <w:lvlJc w:val="left"/>
      <w:lvlText w:val="(%1)"/>
      <w:numFmt w:val="decimal"/>
      <w:start w:val="30"/>
    </w:lvl>
    <w:lvl w:ilvl="1">
      <w:lvlJc w:val="left"/>
      <w:lvlText w:val="(%2)"/>
      <w:numFmt w:val="lowerLetter"/>
      <w:start w:val="2"/>
    </w:lvl>
  </w:abstractNum>
  <w:abstractNum w:abstractNumId="192">
    <w:nsid w:val="335A1DF1"/>
    <w:multiLevelType w:val="hybridMultilevel"/>
    <w:lvl w:ilvl="0">
      <w:lvlJc w:val="left"/>
      <w:lvlText w:val="(%1)"/>
      <w:numFmt w:val="lowerLetter"/>
      <w:start w:val="1"/>
    </w:lvl>
  </w:abstractNum>
  <w:abstractNum w:abstractNumId="193">
    <w:nsid w:val="28677B7C"/>
    <w:multiLevelType w:val="hybridMultilevel"/>
    <w:lvl w:ilvl="0">
      <w:lvlJc w:val="left"/>
      <w:lvlText w:val="(%1)"/>
      <w:numFmt w:val="lowerLetter"/>
      <w:start w:val="1"/>
    </w:lvl>
  </w:abstractNum>
  <w:abstractNum w:abstractNumId="194">
    <w:nsid w:val="378D97C0"/>
    <w:multiLevelType w:val="hybridMultilevel"/>
    <w:lvl w:ilvl="0">
      <w:lvlJc w:val="left"/>
      <w:lvlText w:val="(%1)"/>
      <w:numFmt w:val="lowerLetter"/>
      <w:start w:val="11"/>
    </w:lvl>
  </w:abstractNum>
  <w:abstractNum w:abstractNumId="195">
    <w:nsid w:val="1D91467C"/>
    <w:multiLevelType w:val="hybridMultilevel"/>
    <w:lvl w:ilvl="0">
      <w:lvlJc w:val="left"/>
      <w:lvlText w:val="(%1)"/>
      <w:numFmt w:val="lowerLetter"/>
      <w:start w:val="1"/>
    </w:lvl>
  </w:abstractNum>
  <w:abstractNum w:abstractNumId="196">
    <w:nsid w:val="316032BB"/>
    <w:multiLevelType w:val="hybridMultilevel"/>
    <w:lvl w:ilvl="0">
      <w:lvlJc w:val="left"/>
      <w:lvlText w:val="(%1)"/>
      <w:numFmt w:val="lowerLetter"/>
      <w:start w:val="1"/>
    </w:lvl>
  </w:abstractNum>
  <w:abstractNum w:abstractNumId="197">
    <w:nsid w:val="44344C22"/>
    <w:multiLevelType w:val="hybridMultilevel"/>
    <w:lvl w:ilvl="0">
      <w:lvlJc w:val="left"/>
      <w:lvlText w:val="%1"/>
      <w:numFmt w:val="lowerLetter"/>
      <w:start w:val="1"/>
    </w:lvl>
    <w:lvl w:ilvl="1">
      <w:lvlJc w:val="left"/>
      <w:lvlText w:val="(%2)"/>
      <w:numFmt w:val="lowerRoman"/>
      <w:start w:val="1"/>
    </w:lvl>
  </w:abstractNum>
  <w:abstractNum w:abstractNumId="198">
    <w:nsid w:val="13CDFCFC"/>
    <w:multiLevelType w:val="hybridMultilevel"/>
    <w:lvl w:ilvl="0">
      <w:lvlJc w:val="left"/>
      <w:lvlText w:val="(%1)"/>
      <w:numFmt w:val="lowerLetter"/>
      <w:start w:val="2"/>
    </w:lvl>
    <w:lvl w:ilvl="1">
      <w:lvlJc w:val="left"/>
      <w:lvlText w:val="%2"/>
      <w:numFmt w:val="lowerRoman"/>
      <w:start w:val="1"/>
    </w:lvl>
  </w:abstractNum>
  <w:abstractNum w:abstractNumId="199">
    <w:nsid w:val="471745E4"/>
    <w:multiLevelType w:val="hybridMultilevel"/>
    <w:lvl w:ilvl="0">
      <w:lvlJc w:val="left"/>
      <w:lvlText w:val="(%1)"/>
      <w:numFmt w:val="lowerLetter"/>
      <w:start w:val="2"/>
    </w:lvl>
  </w:abstractNum>
  <w:abstractNum w:abstractNumId="200">
    <w:nsid w:val="1DDBC66"/>
    <w:multiLevelType w:val="hybridMultilevel"/>
    <w:lvl w:ilvl="0">
      <w:lvlJc w:val="left"/>
      <w:lvlText w:val="(%1)"/>
      <w:numFmt w:val="lowerLetter"/>
      <w:start w:val="1"/>
    </w:lvl>
  </w:abstractNum>
  <w:abstractNum w:abstractNumId="201">
    <w:nsid w:val="30AADFDA"/>
    <w:multiLevelType w:val="hybridMultilevel"/>
    <w:lvl w:ilvl="0">
      <w:lvlJc w:val="left"/>
      <w:lvlText w:val="(%1)"/>
      <w:numFmt w:val="lowerLetter"/>
      <w:start w:val="35"/>
    </w:lvl>
    <w:lvl w:ilvl="1">
      <w:lvlJc w:val="left"/>
      <w:lvlText w:val="(%2)"/>
      <w:numFmt w:val="lowerLetter"/>
      <w:start w:val="1"/>
    </w:lvl>
  </w:abstractNum>
  <w:abstractNum w:abstractNumId="202">
    <w:nsid w:val="30EADA61"/>
    <w:multiLevelType w:val="hybridMultilevel"/>
    <w:lvl w:ilvl="0">
      <w:lvlJc w:val="left"/>
      <w:lvlText w:val="(%1)"/>
      <w:numFmt w:val="lowerLetter"/>
      <w:start w:val="1"/>
    </w:lvl>
    <w:lvl w:ilvl="1">
      <w:lvlJc w:val="left"/>
      <w:lvlText w:val="(%2)"/>
      <w:numFmt w:val="lowerRoman"/>
      <w:start w:val="1"/>
    </w:lvl>
  </w:abstractNum>
  <w:abstractNum w:abstractNumId="203">
    <w:nsid w:val="27179C0B"/>
    <w:multiLevelType w:val="hybridMultilevel"/>
    <w:lvl w:ilvl="0">
      <w:lvlJc w:val="left"/>
      <w:lvlText w:val="%1"/>
      <w:numFmt w:val="lowerLetter"/>
      <w:start w:val="1"/>
    </w:lvl>
    <w:lvl w:ilvl="1">
      <w:lvlJc w:val="left"/>
      <w:lvlText w:val="(%2)"/>
      <w:numFmt w:val="lowerRoman"/>
      <w:start w:val="4"/>
    </w:lvl>
  </w:abstractNum>
  <w:abstractNum w:abstractNumId="204">
    <w:nsid w:val="5E636063"/>
    <w:multiLevelType w:val="hybridMultilevel"/>
    <w:lvl w:ilvl="0">
      <w:lvlJc w:val="left"/>
      <w:lvlText w:val="(%1)"/>
      <w:numFmt w:val="lowerLetter"/>
      <w:start w:val="2"/>
    </w:lvl>
    <w:lvl w:ilvl="1">
      <w:lvlJc w:val="left"/>
      <w:lvlText w:val="%2"/>
      <w:numFmt w:val="lowerRoman"/>
      <w:start w:val="1"/>
    </w:lvl>
  </w:abstractNum>
  <w:abstractNum w:abstractNumId="205">
    <w:nsid w:val="215641AF"/>
    <w:multiLevelType w:val="hybridMultilevel"/>
    <w:lvl w:ilvl="0">
      <w:lvlJc w:val="left"/>
      <w:lvlText w:val="(%1)"/>
      <w:numFmt w:val="lowerLetter"/>
      <w:start w:val="1"/>
    </w:lvl>
  </w:abstractNum>
  <w:abstractNum w:abstractNumId="206">
    <w:nsid w:val="53280662"/>
    <w:multiLevelType w:val="hybridMultilevel"/>
    <w:lvl w:ilvl="0">
      <w:lvlJc w:val="left"/>
      <w:lvlText w:val="(%1)"/>
      <w:numFmt w:val="lowerLetter"/>
      <w:start w:val="1"/>
    </w:lvl>
  </w:abstractNum>
  <w:abstractNum w:abstractNumId="207">
    <w:nsid w:val="46B24DBC"/>
    <w:multiLevelType w:val="hybridMultilevel"/>
    <w:lvl w:ilvl="0">
      <w:lvlJc w:val="left"/>
      <w:lvlText w:val="(%1)"/>
      <w:numFmt w:val="lowerLetter"/>
      <w:start w:val="1"/>
    </w:lvl>
    <w:lvl w:ilvl="1">
      <w:lvlJc w:val="left"/>
      <w:lvlText w:val="(%2)"/>
      <w:numFmt w:val="lowerRoman"/>
      <w:start w:val="1"/>
    </w:lvl>
  </w:abstractNum>
  <w:abstractNum w:abstractNumId="208">
    <w:nsid w:val="75B52783"/>
    <w:multiLevelType w:val="hybridMultilevel"/>
    <w:lvl w:ilvl="0">
      <w:lvlJc w:val="left"/>
      <w:lvlText w:val="%1"/>
      <w:numFmt w:val="lowerLetter"/>
      <w:start w:val="1"/>
    </w:lvl>
    <w:lvl w:ilvl="1">
      <w:lvlJc w:val="left"/>
      <w:lvlText w:val="(%2)"/>
      <w:numFmt w:val="lowerRoman"/>
      <w:start w:val="3"/>
    </w:lvl>
  </w:abstractNum>
  <w:abstractNum w:abstractNumId="209">
    <w:nsid w:val="57CE66B4"/>
    <w:multiLevelType w:val="hybridMultilevel"/>
    <w:lvl w:ilvl="0">
      <w:lvlJc w:val="left"/>
      <w:lvlText w:val="(%1)"/>
      <w:numFmt w:val="lowerLetter"/>
      <w:start w:val="2"/>
    </w:lvl>
    <w:lvl w:ilvl="1">
      <w:lvlJc w:val="left"/>
      <w:lvlText w:val="%2"/>
      <w:numFmt w:val="lowerRoman"/>
      <w:start w:val="1"/>
    </w:lvl>
  </w:abstractNum>
  <w:abstractNum w:abstractNumId="210">
    <w:nsid w:val="67A70B69"/>
    <w:multiLevelType w:val="hybridMultilevel"/>
    <w:lvl w:ilvl="0">
      <w:lvlJc w:val="left"/>
      <w:lvlText w:val="(%1)"/>
      <w:numFmt w:val="lowerLetter"/>
      <w:start w:val="1"/>
    </w:lvl>
    <w:lvl w:ilvl="1">
      <w:lvlJc w:val="left"/>
      <w:lvlText w:val="(%2)"/>
      <w:numFmt w:val="lowerLetter"/>
      <w:start w:val="9"/>
    </w:lvl>
  </w:abstractNum>
  <w:abstractNum w:abstractNumId="211">
    <w:nsid w:val="5953172F"/>
    <w:multiLevelType w:val="hybridMultilevel"/>
    <w:lvl w:ilvl="0">
      <w:lvlJc w:val="left"/>
      <w:lvlText w:val="(%1)"/>
      <w:numFmt w:val="lowerRoman"/>
      <w:start w:val="2"/>
    </w:lvl>
  </w:abstractNum>
  <w:abstractNum w:abstractNumId="212">
    <w:nsid w:val="27EDFE3A"/>
    <w:multiLevelType w:val="hybridMultilevel"/>
    <w:lvl w:ilvl="0">
      <w:lvlJc w:val="left"/>
      <w:lvlText w:val="(%1)"/>
      <w:numFmt w:val="lowerLetter"/>
      <w:start w:val="3"/>
    </w:lvl>
  </w:abstractNum>
  <w:abstractNum w:abstractNumId="213">
    <w:nsid w:val="52AC7DFF"/>
    <w:multiLevelType w:val="hybridMultilevel"/>
    <w:lvl w:ilvl="0">
      <w:lvlJc w:val="left"/>
      <w:lvlText w:val="%1"/>
      <w:numFmt w:val="upperLetter"/>
      <w:start w:val="1"/>
    </w:lvl>
    <w:lvl w:ilvl="1">
      <w:lvlJc w:val="left"/>
      <w:lvlText w:val="(%2)"/>
      <w:numFmt w:val="lowerRoman"/>
      <w:start w:val="1"/>
    </w:lvl>
  </w:abstractNum>
  <w:abstractNum w:abstractNumId="214">
    <w:nsid w:val="C4C3AF"/>
    <w:multiLevelType w:val="hybridMultilevel"/>
    <w:lvl w:ilvl="0">
      <w:lvlJc w:val="left"/>
      <w:lvlText w:val="(%1)"/>
      <w:numFmt w:val="upperLetter"/>
      <w:start w:val="1"/>
    </w:lvl>
    <w:lvl w:ilvl="1">
      <w:lvlJc w:val="left"/>
      <w:lvlText w:val="%2"/>
      <w:numFmt w:val="lowerRoman"/>
      <w:start w:val="1"/>
    </w:lvl>
  </w:abstractNum>
  <w:abstractNum w:abstractNumId="215">
    <w:nsid w:val="44380727"/>
    <w:multiLevelType w:val="hybridMultilevel"/>
    <w:lvl w:ilvl="0">
      <w:lvlJc w:val="left"/>
      <w:lvlText w:val="%1"/>
      <w:numFmt w:val="lowerLetter"/>
      <w:start w:val="1"/>
    </w:lvl>
    <w:lvl w:ilvl="1">
      <w:lvlJc w:val="left"/>
      <w:lvlText w:val="(%2)"/>
      <w:numFmt w:val="lowerLetter"/>
      <w:start w:val="35"/>
    </w:lvl>
  </w:abstractNum>
  <w:abstractNum w:abstractNumId="216">
    <w:nsid w:val="6C053B16"/>
    <w:multiLevelType w:val="hybridMultilevel"/>
    <w:lvl w:ilvl="0">
      <w:lvlJc w:val="left"/>
      <w:lvlText w:val="(%1)"/>
      <w:numFmt w:val="lowerLetter"/>
      <w:start w:val="5"/>
    </w:lvl>
    <w:lvl w:ilvl="1">
      <w:lvlJc w:val="left"/>
      <w:lvlText w:val="%2"/>
      <w:numFmt w:val="lowerLetter"/>
      <w:start w:val="1"/>
    </w:lvl>
  </w:abstractNum>
  <w:abstractNum w:abstractNumId="217">
    <w:nsid w:val="4F294393"/>
    <w:multiLevelType w:val="hybridMultilevel"/>
    <w:lvl w:ilvl="0">
      <w:lvlJc w:val="left"/>
      <w:lvlText w:val="%1"/>
      <w:numFmt w:val="lowerLetter"/>
      <w:start w:val="1"/>
    </w:lvl>
    <w:lvl w:ilvl="1">
      <w:lvlJc w:val="left"/>
      <w:lvlText w:val="(%2)"/>
      <w:numFmt w:val="lowerLetter"/>
      <w:start w:val="1"/>
    </w:lvl>
  </w:abstractNum>
  <w:abstractNum w:abstractNumId="218">
    <w:nsid w:val="5243BFAC"/>
    <w:multiLevelType w:val="hybridMultilevel"/>
    <w:lvl w:ilvl="0">
      <w:lvlJc w:val="left"/>
      <w:lvlText w:val="(%1)"/>
      <w:numFmt w:val="lowerLetter"/>
      <w:start w:val="1"/>
    </w:lvl>
    <w:lvl w:ilvl="1">
      <w:lvlJc w:val="left"/>
      <w:lvlText w:val="%2"/>
      <w:numFmt w:val="lowerLetter"/>
      <w:start w:val="1"/>
    </w:lvl>
  </w:abstractNum>
  <w:abstractNum w:abstractNumId="219">
    <w:nsid w:val="425EB207"/>
    <w:multiLevelType w:val="hybridMultilevel"/>
    <w:lvl w:ilvl="0">
      <w:lvlJc w:val="left"/>
      <w:lvlText w:val="(%1)"/>
      <w:numFmt w:val="lowerLetter"/>
      <w:start w:val="2"/>
    </w:lvl>
  </w:abstractNum>
  <w:abstractNum w:abstractNumId="220">
    <w:nsid w:val="334A6F1F"/>
    <w:multiLevelType w:val="hybridMultilevel"/>
    <w:lvl w:ilvl="0">
      <w:lvlJc w:val="left"/>
      <w:lvlText w:val="%1"/>
      <w:numFmt w:val="decimal"/>
      <w:start w:val="1"/>
    </w:lvl>
    <w:lvl w:ilvl="1">
      <w:lvlJc w:val="left"/>
      <w:lvlText w:val="(%2)"/>
      <w:numFmt w:val="lowerLetter"/>
      <w:start w:val="6"/>
    </w:lvl>
  </w:abstractNum>
  <w:abstractNum w:abstractNumId="221">
    <w:nsid w:val="2E5B12B8"/>
    <w:multiLevelType w:val="hybridMultilevel"/>
    <w:lvl w:ilvl="0">
      <w:lvlJc w:val="left"/>
      <w:lvlText w:val="(%1)"/>
      <w:numFmt w:val="decimal"/>
      <w:start w:val="5"/>
    </w:lvl>
    <w:lvl w:ilvl="1">
      <w:lvlJc w:val="left"/>
      <w:lvlText w:val="%2"/>
      <w:numFmt w:val="lowerLetter"/>
      <w:start w:val="1"/>
    </w:lvl>
  </w:abstractNum>
  <w:abstractNum w:abstractNumId="222">
    <w:nsid w:val="5C03D76D"/>
    <w:multiLevelType w:val="hybridMultilevel"/>
    <w:lvl w:ilvl="0">
      <w:lvlJc w:val="left"/>
      <w:lvlText w:val="(%1)"/>
      <w:numFmt w:val="lowerLetter"/>
      <w:start w:val="1"/>
    </w:lvl>
  </w:abstractNum>
  <w:abstractNum w:abstractNumId="223">
    <w:nsid w:val="66A48D11"/>
    <w:multiLevelType w:val="hybridMultilevel"/>
    <w:lvl w:ilvl="0">
      <w:lvlJc w:val="left"/>
      <w:lvlText w:val="(%1)"/>
      <w:numFmt w:val="lowerLetter"/>
      <w:start w:val="1"/>
    </w:lvl>
  </w:abstractNum>
  <w:abstractNum w:abstractNumId="224">
    <w:nsid w:val="56C28E34"/>
    <w:multiLevelType w:val="hybridMultilevel"/>
    <w:lvl w:ilvl="0">
      <w:lvlJc w:val="left"/>
      <w:lvlText w:val="%1"/>
      <w:numFmt w:val="lowerLetter"/>
      <w:start w:val="1"/>
    </w:lvl>
    <w:lvl w:ilvl="1">
      <w:lvlJc w:val="left"/>
      <w:lvlText w:val="(%2)"/>
      <w:numFmt w:val="lowerLetter"/>
      <w:start w:val="2"/>
    </w:lvl>
  </w:abstractNum>
  <w:abstractNum w:abstractNumId="225">
    <w:nsid w:val="13916F2D"/>
    <w:multiLevelType w:val="hybridMultilevel"/>
    <w:lvl w:ilvl="0">
      <w:lvlJc w:val="left"/>
      <w:lvlText w:val="(%1)"/>
      <w:numFmt w:val="lowerLetter"/>
      <w:start w:val="61"/>
    </w:lvl>
    <w:lvl w:ilvl="1">
      <w:lvlJc w:val="left"/>
      <w:lvlText w:val="%2"/>
      <w:numFmt w:val="lowerLetter"/>
      <w:start w:val="1"/>
    </w:lvl>
  </w:abstractNum>
  <w:abstractNum w:abstractNumId="226">
    <w:nsid w:val="435D38D"/>
    <w:multiLevelType w:val="hybridMultilevel"/>
    <w:lvl w:ilvl="0">
      <w:lvlJc w:val="left"/>
      <w:lvlText w:val="(%1)"/>
      <w:numFmt w:val="lowerLetter"/>
      <w:start w:val="1"/>
    </w:lvl>
    <w:lvl w:ilvl="1">
      <w:lvlJc w:val="left"/>
      <w:lvlText w:val="(%2)"/>
      <w:numFmt w:val="upperLetter"/>
      <w:start w:val="1"/>
    </w:lvl>
  </w:abstractNum>
  <w:abstractNum w:abstractNumId="227">
    <w:nsid w:val="822C0EF"/>
    <w:multiLevelType w:val="hybridMultilevel"/>
    <w:lvl w:ilvl="0">
      <w:lvlJc w:val="left"/>
      <w:lvlText w:val="%1"/>
      <w:numFmt w:val="lowerRoman"/>
      <w:start w:val="1"/>
    </w:lvl>
    <w:lvl w:ilvl="1">
      <w:lvlJc w:val="left"/>
      <w:lvlText w:val="(%2)"/>
      <w:numFmt w:val="upperLetter"/>
      <w:start w:val="2"/>
    </w:lvl>
  </w:abstractNum>
  <w:abstractNum w:abstractNumId="228">
    <w:nsid w:val="57C5BB4F"/>
    <w:multiLevelType w:val="hybridMultilevel"/>
    <w:lvl w:ilvl="0">
      <w:lvlJc w:val="left"/>
      <w:lvlText w:val="(%1)"/>
      <w:numFmt w:val="lowerRoman"/>
      <w:start w:val="1"/>
    </w:lvl>
    <w:lvl w:ilvl="1">
      <w:lvlJc w:val="left"/>
      <w:lvlText w:val="(%2)"/>
      <w:numFmt w:val="upperLetter"/>
      <w:start w:val="1"/>
    </w:lvl>
  </w:abstractNum>
  <w:abstractNum w:abstractNumId="229">
    <w:nsid w:val="1803D08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230">
    <w:nsid w:val="4F3A06D4"/>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31">
    <w:nsid w:val="59A377B6"/>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232">
    <w:nsid w:val="48AEB063"/>
    <w:multiLevelType w:val="hybridMultilevel"/>
    <w:lvl w:ilvl="0">
      <w:lvlJc w:val="left"/>
      <w:lvlText w:val="%1"/>
      <w:numFmt w:val="lowerLetter"/>
      <w:start w:val="1"/>
    </w:lvl>
    <w:lvl w:ilvl="1">
      <w:lvlJc w:val="left"/>
      <w:lvlText w:val="(%2)"/>
      <w:numFmt w:val="lowerLetter"/>
      <w:start w:val="9"/>
    </w:lvl>
  </w:abstractNum>
  <w:abstractNum w:abstractNumId="233">
    <w:nsid w:val="24E135"/>
    <w:multiLevelType w:val="hybridMultilevel"/>
    <w:lvl w:ilvl="0">
      <w:lvlJc w:val="left"/>
      <w:lvlText w:val="(%1)"/>
      <w:numFmt w:val="lowerLetter"/>
      <w:start w:val="1"/>
    </w:lvl>
    <w:lvl w:ilvl="1">
      <w:lvlJc w:val="left"/>
      <w:lvlText w:val="%2"/>
      <w:numFmt w:val="lowerLetter"/>
      <w:start w:val="1"/>
    </w:lvl>
  </w:abstractNum>
  <w:abstractNum w:abstractNumId="234">
    <w:nsid w:val="BB13C1"/>
    <w:multiLevelType w:val="hybridMultilevel"/>
    <w:lvl w:ilvl="0">
      <w:lvlJc w:val="left"/>
      <w:lvlText w:val="%1"/>
      <w:numFmt w:val="lowerLetter"/>
      <w:start w:val="1"/>
    </w:lvl>
    <w:lvl w:ilvl="1">
      <w:lvlJc w:val="left"/>
      <w:lvlText w:val="(%2)"/>
      <w:numFmt w:val="lowerLetter"/>
      <w:start w:val="4"/>
    </w:lvl>
  </w:abstractNum>
  <w:abstractNum w:abstractNumId="235">
    <w:nsid w:val="271210C7"/>
    <w:multiLevelType w:val="hybridMultilevel"/>
    <w:lvl w:ilvl="0">
      <w:lvlJc w:val="left"/>
      <w:lvlText w:val="(%1)"/>
      <w:numFmt w:val="lowerLetter"/>
      <w:start w:val="35"/>
    </w:lvl>
    <w:lvl w:ilvl="1">
      <w:lvlJc w:val="left"/>
      <w:lvlText w:val="%2"/>
      <w:numFmt w:val="lowerLetter"/>
      <w:start w:val="1"/>
    </w:lvl>
  </w:abstractNum>
  <w:abstractNum w:abstractNumId="236">
    <w:nsid w:val="217B22E4"/>
    <w:multiLevelType w:val="hybridMultilevel"/>
    <w:lvl w:ilvl="0">
      <w:lvlJc w:val="left"/>
      <w:lvlText w:val="(%1)"/>
      <w:numFmt w:val="lowerLetter"/>
      <w:start w:val="8"/>
    </w:lvl>
  </w:abstractNum>
  <w:abstractNum w:abstractNumId="237">
    <w:nsid w:val="53E31A24"/>
    <w:multiLevelType w:val="hybridMultilevel"/>
    <w:lvl w:ilvl="0">
      <w:lvlJc w:val="left"/>
      <w:lvlText w:val="(%1)"/>
      <w:numFmt w:val="lowerLetter"/>
      <w:start w:val="1"/>
    </w:lvl>
  </w:abstractNum>
  <w:abstractNum w:abstractNumId="238">
    <w:nsid w:val="6DC45E83"/>
    <w:multiLevelType w:val="hybridMultilevel"/>
    <w:lvl w:ilvl="0">
      <w:lvlJc w:val="left"/>
      <w:lvlText w:val="(%1)"/>
      <w:numFmt w:val="lowerLetter"/>
      <w:start w:val="1"/>
    </w:lvl>
  </w:abstractNum>
  <w:abstractNum w:abstractNumId="239">
    <w:nsid w:val="17304A67"/>
    <w:multiLevelType w:val="hybridMultilevel"/>
    <w:lvl w:ilvl="0">
      <w:lvlJc w:val="left"/>
      <w:lvlText w:val="(%1)"/>
      <w:numFmt w:val="upperLetter"/>
      <w:start w:val="2"/>
    </w:lvl>
    <w:lvl w:ilvl="1">
      <w:lvlJc w:val="left"/>
      <w:lvlText w:val="(%2)"/>
      <w:numFmt w:val="lowerLetter"/>
      <w:start w:val="2"/>
    </w:lvl>
  </w:abstractNum>
  <w:abstractNum w:abstractNumId="240">
    <w:nsid w:val="2BB180D8"/>
    <w:multiLevelType w:val="hybridMultilevel"/>
    <w:lvl w:ilvl="0">
      <w:lvlJc w:val="left"/>
      <w:lvlText w:val="(%1)"/>
      <w:numFmt w:val="lowerLetter"/>
      <w:start w:val="1"/>
    </w:lvl>
  </w:abstractNum>
  <w:abstractNum w:abstractNumId="241">
    <w:nsid w:val="556B69ED"/>
    <w:multiLevelType w:val="hybridMultilevel"/>
    <w:lvl w:ilvl="0">
      <w:lvlJc w:val="left"/>
      <w:lvlText w:val="%1"/>
      <w:numFmt w:val="lowerLetter"/>
      <w:start w:val="1"/>
    </w:lvl>
    <w:lvl w:ilvl="1">
      <w:lvlJc w:val="left"/>
      <w:lvlText w:val="(%2)"/>
      <w:numFmt w:val="lowerLetter"/>
      <w:start w:val="1"/>
    </w:lvl>
  </w:abstractNum>
  <w:abstractNum w:abstractNumId="242">
    <w:nsid w:val="70836196"/>
    <w:multiLevelType w:val="hybridMultilevel"/>
    <w:lvl w:ilvl="0">
      <w:lvlJc w:val="left"/>
      <w:lvlText w:val="(%1)"/>
      <w:numFmt w:val="lowerLetter"/>
      <w:start w:val="61"/>
    </w:lvl>
    <w:lvl w:ilvl="1">
      <w:lvlJc w:val="left"/>
      <w:lvlText w:val="%2"/>
      <w:numFmt w:val="lowerLetter"/>
      <w:start w:val="1"/>
    </w:lvl>
  </w:abstractNum>
  <w:abstractNum w:abstractNumId="243">
    <w:nsid w:val="539F7F12"/>
    <w:multiLevelType w:val="hybridMultilevel"/>
    <w:lvl w:ilvl="0">
      <w:lvlJc w:val="left"/>
      <w:lvlText w:val="(%1)"/>
      <w:numFmt w:val="lowerLetter"/>
      <w:start w:val="3"/>
    </w:lvl>
  </w:abstractNum>
  <w:abstractNum w:abstractNumId="244">
    <w:nsid w:val="2817E7EC"/>
    <w:multiLevelType w:val="hybridMultilevel"/>
    <w:lvl w:ilvl="0">
      <w:lvlJc w:val="left"/>
      <w:lvlText w:val="%1"/>
      <w:numFmt w:val="lowerLetter"/>
      <w:start w:val="1"/>
    </w:lvl>
    <w:lvl w:ilvl="1">
      <w:lvlJc w:val="left"/>
      <w:lvlText w:val="(%2)"/>
      <w:numFmt w:val="lowerLetter"/>
      <w:start w:val="1"/>
    </w:lvl>
  </w:abstractNum>
  <w:abstractNum w:abstractNumId="245">
    <w:nsid w:val="71482545"/>
    <w:multiLevelType w:val="hybridMultilevel"/>
    <w:lvl w:ilvl="0">
      <w:lvlJc w:val="left"/>
      <w:lvlText w:val="(%1)"/>
      <w:numFmt w:val="lowerLetter"/>
      <w:start w:val="61"/>
    </w:lvl>
    <w:lvl w:ilvl="1">
      <w:lvlJc w:val="left"/>
      <w:lvlText w:val="%2"/>
      <w:numFmt w:val="lowerLetter"/>
      <w:start w:val="1"/>
    </w:lvl>
  </w:abstractNum>
  <w:abstractNum w:abstractNumId="246">
    <w:nsid w:val="17D78639"/>
    <w:multiLevelType w:val="hybridMultilevel"/>
    <w:lvl w:ilvl="0">
      <w:lvlJc w:val="left"/>
      <w:lvlText w:val="(%1)"/>
      <w:numFmt w:val="lowerLetter"/>
      <w:start w:val="2"/>
    </w:lvl>
  </w:abstractNum>
  <w:abstractNum w:abstractNumId="247">
    <w:nsid w:val="141D2302"/>
    <w:multiLevelType w:val="hybridMultilevel"/>
    <w:lvl w:ilvl="0">
      <w:lvlJc w:val="left"/>
      <w:lvlText w:val="(%1)"/>
      <w:numFmt w:val="lowerLetter"/>
      <w:start w:val="1"/>
    </w:lvl>
    <w:lvl w:ilvl="1">
      <w:lvlJc w:val="left"/>
      <w:lvlText w:val="(%2)"/>
      <w:numFmt w:val="lowerRoman"/>
      <w:start w:val="1"/>
    </w:lvl>
  </w:abstractNum>
  <w:abstractNum w:abstractNumId="248">
    <w:nsid w:val="407168D8"/>
    <w:multiLevelType w:val="hybridMultilevel"/>
    <w:lvl w:ilvl="0">
      <w:lvlJc w:val="left"/>
      <w:lvlText w:val="(%1)"/>
      <w:numFmt w:val="lowerRoman"/>
      <w:start w:val="3"/>
    </w:lvl>
  </w:abstractNum>
  <w:abstractNum w:abstractNumId="249">
    <w:nsid w:val="6A1B45E5"/>
    <w:multiLevelType w:val="hybridMultilevel"/>
    <w:lvl w:ilvl="0">
      <w:lvlJc w:val="left"/>
      <w:lvlText w:val="%1."/>
      <w:numFmt w:val="decimal"/>
      <w:start w:val="1"/>
    </w:lvl>
    <w:lvl w:ilvl="1">
      <w:lvlJc w:val="left"/>
      <w:lvlText w:val="(%2)"/>
      <w:numFmt w:val="lowerLetter"/>
      <w:start w:val="1"/>
    </w:lvl>
  </w:abstractNum>
  <w:abstractNum w:abstractNumId="250">
    <w:nsid w:val="567BD5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54" Type="http://schemas.openxmlformats.org/officeDocument/2006/relationships/hyperlink" Target="http://www.sec.gov/Archives/edgar/data/1609253/000160925320000137/a8aex31.htm" TargetMode="External"/><Relationship Id="rId55" Type="http://schemas.openxmlformats.org/officeDocument/2006/relationships/hyperlink" Target="http://www.sec.gov/Archives/edgar/data/1609253/000160925322000036/a20220504ex31.htm" TargetMode="External"/><Relationship Id="rId56" Type="http://schemas.openxmlformats.org/officeDocument/2006/relationships/hyperlink" Target="http://www.sec.gov/Archives/edgar/data/1609253/000160925323000034/a20230428exhibit31.htm" TargetMode="External"/><Relationship Id="rId57" Type="http://schemas.openxmlformats.org/officeDocument/2006/relationships/hyperlink" Target="http://www.sec.gov/Archives/edgar/data/1609253/000160925320000137/a8aex32.htm" TargetMode="External"/><Relationship Id="rId58" Type="http://schemas.openxmlformats.org/officeDocument/2006/relationships/hyperlink" Target="http://www.sec.gov/Archives/edgar/data/1609253/000160925323000017/a2022yeex1025ceoemployment.htm" TargetMode="External"/><Relationship Id="rId59" Type="http://schemas.openxmlformats.org/officeDocument/2006/relationships/hyperlink" Target="http://www.sec.gov/Archives/edgar/data/1609253/000160925323000017/a2022yeex1026formofrestric.htm" TargetMode="External"/><Relationship Id="rId60" Type="http://schemas.openxmlformats.org/officeDocument/2006/relationships/hyperlink" Target="http://www.sec.gov/Archives/edgar/data/1609253/000160925323000017/a2022yeex1027formofperform.htm" TargetMode="External"/><Relationship Id="rId61" Type="http://schemas.openxmlformats.org/officeDocument/2006/relationships/hyperlink" Target="http://www.sec.gov/Archives/edgar/data/1609253/000160925323000017/a2022yeex1028formreten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2023-05-02T16:04:12Z</dcterms:created>
  <dcterms:modified xsi:type="dcterms:W3CDTF">2023-05-02T16:04:12Z</dcterms:modified>
</cp:coreProperties>
</file>