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-600710</wp:posOffset>
            </wp:positionV>
            <wp:extent cx="8255" cy="601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34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-608330</wp:posOffset>
            </wp:positionV>
            <wp:extent cx="825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96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-584200</wp:posOffset>
            </wp:positionV>
            <wp:extent cx="1267460" cy="56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607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34925</wp:posOffset>
            </wp:positionV>
            <wp:extent cx="6969125" cy="1730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037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Kerns Shawn M.</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California Resources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CRC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01/25/2021</w:t>
      </w:r>
    </w:p>
    <w:p>
      <w:pPr>
        <w:spacing w:after="0" w:line="20" w:lineRule="exact"/>
        <w:rPr>
          <w:sz w:val="24"/>
          <w:szCs w:val="24"/>
          <w:color w:val="auto"/>
        </w:rPr>
      </w:pPr>
      <w:r>
        <w:rPr>
          <w:sz w:val="24"/>
          <w:szCs w:val="24"/>
          <w:color w:val="auto"/>
        </w:rPr>
        <w:br w:type="column"/>
      </w:r>
    </w:p>
    <w:p>
      <w:pPr>
        <w:ind w:left="-9" w:right="660" w:firstLine="9"/>
        <w:spacing w:after="0" w:line="25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1"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91"/>
        <w:spacing w:after="0"/>
        <w:rPr>
          <w:sz w:val="20"/>
          <w:szCs w:val="20"/>
          <w:color w:val="auto"/>
        </w:rPr>
      </w:pPr>
      <w:r>
        <w:rPr>
          <w:rFonts w:ascii="Times New Roman" w:cs="Times New Roman" w:eastAsia="Times New Roman" w:hAnsi="Times New Roman"/>
          <w:sz w:val="17"/>
          <w:szCs w:val="17"/>
          <w:color w:val="0000FF"/>
        </w:rPr>
        <w:t>EVP - Operations &amp; Engineering</w:t>
      </w:r>
    </w:p>
    <w:p>
      <w:pPr>
        <w:spacing w:after="0" w:line="327"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0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1"/>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SANTA</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tcPr>
          <w:p>
            <w:pPr>
              <w:spacing w:after="0"/>
              <w:rPr>
                <w:sz w:val="8"/>
                <w:szCs w:val="8"/>
                <w:color w:val="auto"/>
              </w:rPr>
            </w:pP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91355</w:t>
            </w: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4"/>
              </w:rPr>
              <w:t>CLARITA</w:t>
            </w:r>
          </w:p>
        </w:tc>
        <w:tc>
          <w:tcPr>
            <w:tcW w:w="7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6"/>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gridSpan w:val="2"/>
          </w:tcPr>
          <w:p>
            <w:pPr>
              <w:ind w:left="840"/>
              <w:spacing w:after="0" w:line="12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7"/>
                <w:szCs w:val="17"/>
                <w:color w:val="0000FF"/>
              </w:rPr>
              <w:t>01/25/2021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83,123</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83,123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01/25/2021</w:t>
            </w: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83,124</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83,124</w:t>
            </w:r>
          </w:p>
        </w:tc>
        <w:tc>
          <w:tcPr>
            <w:tcW w:w="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83,124</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-2971800</wp:posOffset>
            </wp:positionV>
            <wp:extent cx="7034530" cy="2981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981325"/>
                    </a:xfrm>
                    <a:prstGeom prst="rect">
                      <a:avLst/>
                    </a:prstGeom>
                    <a:noFill/>
                  </pic:spPr>
                </pic:pic>
              </a:graphicData>
            </a:graphic>
          </wp:anchor>
        </w:drawing>
      </w:r>
    </w:p>
    <w:p>
      <w:pPr>
        <w:spacing w:after="0" w:line="1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38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in three equal installments on each of January 25, 2022, 2023 and 2024 and, subject to certain exceptions, will be settled in shares of Common Stock within 45 days following the third anniversary of the grant date.</w:t>
      </w:r>
    </w:p>
    <w:p>
      <w:pPr>
        <w:spacing w:after="0" w:line="18" w:lineRule="exact"/>
        <w:rPr>
          <w:rFonts w:ascii="Times New Roman" w:cs="Times New Roman" w:eastAsia="Times New Roman" w:hAnsi="Times New Roman"/>
          <w:sz w:val="13"/>
          <w:szCs w:val="13"/>
          <w:color w:val="008000"/>
        </w:rPr>
      </w:pPr>
    </w:p>
    <w:p>
      <w:pPr>
        <w:ind w:left="40" w:right="2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target number of performance stock units ("PSUs"). Each PSU represents a contingent right to receive one share of Common Stock. The actual number of PSUs that vest and become earned is based on the volume-weighted average price of a share of Common Stock as determined over any 60 consecutive trading days during the three-year performance period, and, subject to certain exceptions, will be settled in shares of Common Stock within 45 days following the end of the three-year performance period.</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3" w:lineRule="auto"/>
        <w:rPr>
          <w:sz w:val="20"/>
          <w:szCs w:val="20"/>
          <w:color w:val="auto"/>
        </w:rPr>
      </w:pPr>
      <w:r>
        <w:rPr>
          <w:rFonts w:ascii="Times New Roman" w:cs="Times New Roman" w:eastAsia="Times New Roman" w:hAnsi="Times New Roman"/>
          <w:sz w:val="17"/>
          <w:szCs w:val="17"/>
          <w:color w:val="0000FF"/>
        </w:rPr>
        <w:t xml:space="preserve">/s/ Ulrik Damborg, Attorney-in- </w:t>
      </w:r>
      <w:r>
        <w:rPr>
          <w:rFonts w:ascii="Times New Roman" w:cs="Times New Roman" w:eastAsia="Times New Roman" w:hAnsi="Times New Roman"/>
          <w:sz w:val="33"/>
          <w:szCs w:val="33"/>
          <w:color w:val="0000FF"/>
          <w:vertAlign w:val="subscript"/>
        </w:rPr>
        <w:t>01/27/2021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Shawn M. Kerns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070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061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1969"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2021-01-27T15:43:06Z</dcterms:created>
  <dcterms:modified xsi:type="dcterms:W3CDTF">2021-01-27T15:43:06Z</dcterms:modified>
</cp:coreProperties>
</file>