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Barnes Robert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9200 OAKDALE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EVP - Operations</w:t>
      </w:r>
    </w:p>
    <w:p>
      <w:pPr>
        <w:spacing w:after="0" w:line="406"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20" w:type="dxa"/>
            <w:vAlign w:val="bottom"/>
            <w:gridSpan w:val="8"/>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gridSpan w:val="3"/>
          </w:tcPr>
          <w:p>
            <w:pPr>
              <w:ind w:left="3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80" w:type="dxa"/>
            <w:vAlign w:val="bottom"/>
            <w:gridSpan w:val="7"/>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91311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8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0"/>
              </w:rPr>
              <w:t>Person</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07/08/2017</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96"/>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6"/>
              </w:rPr>
              <w:t>159</w:t>
            </w:r>
          </w:p>
        </w:tc>
        <w:tc>
          <w:tcPr>
            <w:tcW w:w="680" w:type="dxa"/>
            <w:vAlign w:val="bottom"/>
            <w:tcBorders>
              <w:bottom w:val="single" w:sz="8" w:color="2C2C2C"/>
            </w:tcBorders>
          </w:tcPr>
          <w:p>
            <w:pPr>
              <w:ind w:left="400"/>
              <w:spacing w:after="0" w:line="324" w:lineRule="exact"/>
              <w:rPr>
                <w:sz w:val="20"/>
                <w:szCs w:val="20"/>
                <w:color w:val="auto"/>
              </w:rPr>
            </w:pPr>
            <w:r>
              <w:rPr>
                <w:rFonts w:ascii="Arial" w:cs="Arial" w:eastAsia="Arial" w:hAnsi="Arial"/>
                <w:sz w:val="35"/>
                <w:szCs w:val="35"/>
                <w:color w:val="0000FF"/>
                <w:w w:val="89"/>
                <w:vertAlign w:val="subscript"/>
              </w:rPr>
              <w:t>A</w:t>
            </w:r>
            <w:r>
              <w:rPr>
                <w:rFonts w:ascii="Arial" w:cs="Arial" w:eastAsia="Arial" w:hAnsi="Arial"/>
                <w:sz w:val="11"/>
                <w:szCs w:val="11"/>
                <w:color w:val="008000"/>
                <w:w w:val="89"/>
              </w:rPr>
              <w:t>(1)</w:t>
            </w:r>
          </w:p>
        </w:tc>
        <w:tc>
          <w:tcPr>
            <w:tcW w:w="600" w:type="dxa"/>
            <w:vAlign w:val="bottom"/>
            <w:tcBorders>
              <w:bottom w:val="single" w:sz="8" w:color="2C2C2C"/>
            </w:tcBorders>
            <w:gridSpan w:val="2"/>
          </w:tcPr>
          <w:p>
            <w:pPr>
              <w:jc w:val="center"/>
              <w:ind w:left="212"/>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(1)</w:t>
            </w: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2,084.424</w:t>
            </w:r>
            <w:r>
              <w:rPr>
                <w:rFonts w:ascii="Arial" w:cs="Arial" w:eastAsia="Arial" w:hAnsi="Arial"/>
                <w:sz w:val="22"/>
                <w:szCs w:val="22"/>
                <w:color w:val="008000"/>
                <w:w w:val="85"/>
                <w:vertAlign w:val="superscript"/>
              </w:rPr>
              <w:t>(2)</w:t>
            </w:r>
          </w:p>
        </w:tc>
        <w:tc>
          <w:tcPr>
            <w:tcW w:w="940" w:type="dxa"/>
            <w:vAlign w:val="bottom"/>
            <w:tcBorders>
              <w:bottom w:val="single" w:sz="8" w:color="2C2C2C"/>
            </w:tcBorders>
          </w:tcPr>
          <w:p>
            <w:pPr>
              <w:jc w:val="center"/>
              <w:ind w:right="51"/>
              <w:spacing w:after="0"/>
              <w:rPr>
                <w:sz w:val="20"/>
                <w:szCs w:val="20"/>
                <w:color w:val="auto"/>
              </w:rPr>
            </w:pPr>
            <w:r>
              <w:rPr>
                <w:rFonts w:ascii="Arial" w:cs="Arial" w:eastAsia="Arial" w:hAnsi="Arial"/>
                <w:sz w:val="18"/>
                <w:szCs w:val="18"/>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By wife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07/08/2017</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6"/>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40" w:type="dxa"/>
            <w:vAlign w:val="bottom"/>
          </w:tcPr>
          <w:p>
            <w:pPr>
              <w:jc w:val="center"/>
              <w:ind w:left="128"/>
              <w:spacing w:after="0"/>
              <w:rPr>
                <w:sz w:val="20"/>
                <w:szCs w:val="20"/>
                <w:color w:val="auto"/>
              </w:rPr>
            </w:pPr>
            <w:r>
              <w:rPr>
                <w:rFonts w:ascii="Arial" w:cs="Arial" w:eastAsia="Arial" w:hAnsi="Arial"/>
                <w:sz w:val="18"/>
                <w:szCs w:val="18"/>
                <w:color w:val="0000FF"/>
                <w:w w:val="89"/>
              </w:rPr>
              <w:t>79</w:t>
            </w:r>
          </w:p>
        </w:tc>
        <w:tc>
          <w:tcPr>
            <w:tcW w:w="680" w:type="dxa"/>
            <w:vAlign w:val="bottom"/>
          </w:tcPr>
          <w:p>
            <w:pPr>
              <w:ind w:left="460"/>
              <w:spacing w:after="0"/>
              <w:rPr>
                <w:sz w:val="20"/>
                <w:szCs w:val="20"/>
                <w:color w:val="auto"/>
              </w:rPr>
            </w:pPr>
            <w:r>
              <w:rPr>
                <w:rFonts w:ascii="Arial" w:cs="Arial" w:eastAsia="Arial" w:hAnsi="Arial"/>
                <w:sz w:val="18"/>
                <w:szCs w:val="18"/>
                <w:color w:val="0000FF"/>
              </w:rPr>
              <w:t>D</w:t>
            </w:r>
          </w:p>
        </w:tc>
        <w:tc>
          <w:tcPr>
            <w:tcW w:w="760" w:type="dxa"/>
            <w:vAlign w:val="bottom"/>
            <w:gridSpan w:val="3"/>
          </w:tcPr>
          <w:p>
            <w:pPr>
              <w:jc w:val="center"/>
              <w:ind w:left="5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7.35</w:t>
            </w:r>
          </w:p>
        </w:tc>
        <w:tc>
          <w:tcPr>
            <w:tcW w:w="1260" w:type="dxa"/>
            <w:vAlign w:val="bottom"/>
            <w:gridSpan w:val="2"/>
          </w:tcPr>
          <w:p>
            <w:pPr>
              <w:jc w:val="center"/>
              <w:ind w:right="19"/>
              <w:spacing w:after="0"/>
              <w:rPr>
                <w:sz w:val="20"/>
                <w:szCs w:val="20"/>
                <w:color w:val="auto"/>
              </w:rPr>
            </w:pPr>
            <w:r>
              <w:rPr>
                <w:rFonts w:ascii="Arial" w:cs="Arial" w:eastAsia="Arial" w:hAnsi="Arial"/>
                <w:sz w:val="18"/>
                <w:szCs w:val="18"/>
                <w:color w:val="0000FF"/>
                <w:w w:val="87"/>
              </w:rPr>
              <w:t>2,005.424</w:t>
            </w:r>
          </w:p>
        </w:tc>
        <w:tc>
          <w:tcPr>
            <w:tcW w:w="940" w:type="dxa"/>
            <w:vAlign w:val="bottom"/>
          </w:tcPr>
          <w:p>
            <w:pPr>
              <w:jc w:val="center"/>
              <w:ind w:right="51"/>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07/08/2017</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96"/>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40" w:type="dxa"/>
            <w:vAlign w:val="bottom"/>
          </w:tcPr>
          <w:p>
            <w:pPr>
              <w:jc w:val="center"/>
              <w:ind w:left="128"/>
              <w:spacing w:after="0"/>
              <w:rPr>
                <w:sz w:val="20"/>
                <w:szCs w:val="20"/>
                <w:color w:val="auto"/>
              </w:rPr>
            </w:pPr>
            <w:r>
              <w:rPr>
                <w:rFonts w:ascii="Arial" w:cs="Arial" w:eastAsia="Arial" w:hAnsi="Arial"/>
                <w:sz w:val="18"/>
                <w:szCs w:val="18"/>
                <w:color w:val="0000FF"/>
                <w:w w:val="89"/>
              </w:rPr>
              <w:t>30</w:t>
            </w:r>
          </w:p>
        </w:tc>
        <w:tc>
          <w:tcPr>
            <w:tcW w:w="680" w:type="dxa"/>
            <w:vAlign w:val="bottom"/>
          </w:tcPr>
          <w:p>
            <w:pPr>
              <w:ind w:left="460"/>
              <w:spacing w:after="0"/>
              <w:rPr>
                <w:sz w:val="20"/>
                <w:szCs w:val="20"/>
                <w:color w:val="auto"/>
              </w:rPr>
            </w:pPr>
            <w:r>
              <w:rPr>
                <w:rFonts w:ascii="Arial" w:cs="Arial" w:eastAsia="Arial" w:hAnsi="Arial"/>
                <w:sz w:val="18"/>
                <w:szCs w:val="18"/>
                <w:color w:val="0000FF"/>
              </w:rPr>
              <w:t>D</w:t>
            </w:r>
          </w:p>
        </w:tc>
        <w:tc>
          <w:tcPr>
            <w:tcW w:w="760" w:type="dxa"/>
            <w:vAlign w:val="bottom"/>
            <w:gridSpan w:val="3"/>
          </w:tcPr>
          <w:p>
            <w:pPr>
              <w:jc w:val="center"/>
              <w:ind w:left="5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7.35</w:t>
            </w:r>
          </w:p>
        </w:tc>
        <w:tc>
          <w:tcPr>
            <w:tcW w:w="1260" w:type="dxa"/>
            <w:vAlign w:val="bottom"/>
            <w:gridSpan w:val="2"/>
          </w:tcPr>
          <w:p>
            <w:pPr>
              <w:jc w:val="center"/>
              <w:ind w:right="19"/>
              <w:spacing w:after="0"/>
              <w:rPr>
                <w:sz w:val="20"/>
                <w:szCs w:val="20"/>
                <w:color w:val="auto"/>
              </w:rPr>
            </w:pPr>
            <w:r>
              <w:rPr>
                <w:rFonts w:ascii="Arial" w:cs="Arial" w:eastAsia="Arial" w:hAnsi="Arial"/>
                <w:sz w:val="18"/>
                <w:szCs w:val="18"/>
                <w:color w:val="0000FF"/>
                <w:w w:val="87"/>
              </w:rPr>
              <w:t>1,975.424</w:t>
            </w:r>
          </w:p>
        </w:tc>
        <w:tc>
          <w:tcPr>
            <w:tcW w:w="940" w:type="dxa"/>
            <w:vAlign w:val="bottom"/>
          </w:tcPr>
          <w:p>
            <w:pPr>
              <w:jc w:val="center"/>
              <w:ind w:right="51"/>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72,829</w:t>
            </w:r>
          </w:p>
        </w:tc>
        <w:tc>
          <w:tcPr>
            <w:tcW w:w="940" w:type="dxa"/>
            <w:vAlign w:val="bottom"/>
          </w:tcPr>
          <w:p>
            <w:pPr>
              <w:jc w:val="center"/>
              <w:ind w:right="51"/>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Long-</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Term</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ind w:left="240"/>
              <w:spacing w:after="0" w:line="20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2"/>
                <w:szCs w:val="22"/>
                <w:color w:val="008000"/>
                <w:vertAlign w:val="superscript"/>
              </w:rPr>
              <w:t>(1)</w:t>
            </w:r>
          </w:p>
        </w:tc>
        <w:tc>
          <w:tcPr>
            <w:tcW w:w="1080" w:type="dxa"/>
            <w:vAlign w:val="bottom"/>
          </w:tcPr>
          <w:p>
            <w:pPr>
              <w:ind w:left="260"/>
              <w:spacing w:after="0"/>
              <w:rPr>
                <w:sz w:val="20"/>
                <w:szCs w:val="20"/>
                <w:color w:val="auto"/>
              </w:rPr>
            </w:pPr>
            <w:r>
              <w:rPr>
                <w:rFonts w:ascii="Arial" w:cs="Arial" w:eastAsia="Arial" w:hAnsi="Arial"/>
                <w:sz w:val="14"/>
                <w:szCs w:val="14"/>
                <w:color w:val="0000FF"/>
              </w:rPr>
              <w:t>07/08/2017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17"/>
                <w:szCs w:val="17"/>
                <w:color w:val="auto"/>
              </w:rPr>
            </w:pPr>
          </w:p>
        </w:tc>
        <w:tc>
          <w:tcPr>
            <w:tcW w:w="820" w:type="dxa"/>
            <w:vAlign w:val="bottom"/>
          </w:tcPr>
          <w:p>
            <w:pPr>
              <w:ind w:left="460"/>
              <w:spacing w:after="0"/>
              <w:rPr>
                <w:sz w:val="20"/>
                <w:szCs w:val="20"/>
                <w:color w:val="auto"/>
              </w:rPr>
            </w:pPr>
            <w:r>
              <w:rPr>
                <w:rFonts w:ascii="Arial" w:cs="Arial" w:eastAsia="Arial" w:hAnsi="Arial"/>
                <w:sz w:val="14"/>
                <w:szCs w:val="14"/>
                <w:color w:val="0000FF"/>
              </w:rPr>
              <w:t>159</w:t>
            </w:r>
          </w:p>
        </w:tc>
        <w:tc>
          <w:tcPr>
            <w:tcW w:w="780" w:type="dxa"/>
            <w:vAlign w:val="bottom"/>
            <w:gridSpan w:val="2"/>
          </w:tcPr>
          <w:p>
            <w:pPr>
              <w:ind w:left="40"/>
              <w:spacing w:after="0"/>
              <w:rPr>
                <w:sz w:val="20"/>
                <w:szCs w:val="20"/>
                <w:color w:val="auto"/>
              </w:rPr>
            </w:pPr>
            <w:r>
              <w:rPr>
                <w:rFonts w:ascii="Arial" w:cs="Arial" w:eastAsia="Arial" w:hAnsi="Arial"/>
                <w:sz w:val="14"/>
                <w:szCs w:val="14"/>
                <w:color w:val="0000FF"/>
              </w:rPr>
              <w:t>07/08/2017</w:t>
            </w:r>
          </w:p>
        </w:tc>
        <w:tc>
          <w:tcPr>
            <w:tcW w:w="760" w:type="dxa"/>
            <w:vAlign w:val="bottom"/>
            <w:gridSpan w:val="2"/>
          </w:tcPr>
          <w:p>
            <w:pPr>
              <w:ind w:left="40"/>
              <w:spacing w:after="0"/>
              <w:rPr>
                <w:sz w:val="20"/>
                <w:szCs w:val="20"/>
                <w:color w:val="auto"/>
              </w:rPr>
            </w:pPr>
            <w:r>
              <w:rPr>
                <w:rFonts w:ascii="Arial" w:cs="Arial" w:eastAsia="Arial" w:hAnsi="Arial"/>
                <w:sz w:val="14"/>
                <w:szCs w:val="14"/>
                <w:color w:val="0000FF"/>
                <w:w w:val="99"/>
              </w:rPr>
              <w:t>07/08/2017</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ind w:left="120"/>
              <w:spacing w:after="0" w:line="200" w:lineRule="exact"/>
              <w:rPr>
                <w:sz w:val="20"/>
                <w:szCs w:val="20"/>
                <w:color w:val="auto"/>
              </w:rPr>
            </w:pPr>
            <w:r>
              <w:rPr>
                <w:rFonts w:ascii="Arial" w:cs="Arial" w:eastAsia="Arial" w:hAnsi="Arial"/>
                <w:sz w:val="18"/>
                <w:szCs w:val="18"/>
                <w:color w:val="0000FF"/>
              </w:rPr>
              <w:t>159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20"/>
              <w:spacing w:after="0" w:line="200" w:lineRule="exact"/>
              <w:rPr>
                <w:sz w:val="20"/>
                <w:szCs w:val="20"/>
                <w:color w:val="auto"/>
              </w:rPr>
            </w:pPr>
            <w:r>
              <w:rPr>
                <w:rFonts w:ascii="Arial" w:cs="Arial" w:eastAsia="Arial" w:hAnsi="Arial"/>
                <w:sz w:val="21"/>
                <w:szCs w:val="21"/>
                <w:color w:val="000000"/>
                <w:vertAlign w:val="subscript"/>
              </w:rPr>
              <w:t>$</w:t>
            </w:r>
            <w:r>
              <w:rPr>
                <w:rFonts w:ascii="Arial" w:cs="Arial" w:eastAsia="Arial" w:hAnsi="Arial"/>
                <w:sz w:val="23"/>
                <w:szCs w:val="23"/>
                <w:color w:val="0000FF"/>
                <w:vertAlign w:val="subscript"/>
              </w:rPr>
              <w:t>0</w:t>
            </w:r>
            <w:r>
              <w:rPr>
                <w:rFonts w:ascii="Arial" w:cs="Arial" w:eastAsia="Arial" w:hAnsi="Arial"/>
                <w:sz w:val="10"/>
                <w:szCs w:val="10"/>
                <w:color w:val="008000"/>
              </w:rPr>
              <w:t>(1)</w:t>
            </w:r>
          </w:p>
        </w:tc>
        <w:tc>
          <w:tcPr>
            <w:tcW w:w="680" w:type="dxa"/>
            <w:vAlign w:val="bottom"/>
          </w:tcPr>
          <w:p>
            <w:pPr>
              <w:ind w:left="380"/>
              <w:spacing w:after="0"/>
              <w:rPr>
                <w:sz w:val="20"/>
                <w:szCs w:val="20"/>
                <w:color w:val="auto"/>
              </w:rPr>
            </w:pPr>
            <w:r>
              <w:rPr>
                <w:rFonts w:ascii="Arial" w:cs="Arial" w:eastAsia="Arial" w:hAnsi="Arial"/>
                <w:sz w:val="14"/>
                <w:szCs w:val="14"/>
                <w:color w:val="0000FF"/>
              </w:rPr>
              <w:t>0</w:t>
            </w:r>
          </w:p>
        </w:tc>
        <w:tc>
          <w:tcPr>
            <w:tcW w:w="940" w:type="dxa"/>
            <w:vAlign w:val="bottom"/>
          </w:tcPr>
          <w:p>
            <w:pPr>
              <w:ind w:left="600"/>
              <w:spacing w:after="0"/>
              <w:rPr>
                <w:sz w:val="20"/>
                <w:szCs w:val="20"/>
                <w:color w:val="auto"/>
              </w:rPr>
            </w:pPr>
            <w:r>
              <w:rPr>
                <w:rFonts w:ascii="Arial" w:cs="Arial" w:eastAsia="Arial" w:hAnsi="Arial"/>
                <w:sz w:val="14"/>
                <w:szCs w:val="14"/>
                <w:color w:val="0000FF"/>
              </w:rPr>
              <w:t>I</w:t>
            </w:r>
          </w:p>
        </w:tc>
        <w:tc>
          <w:tcPr>
            <w:tcW w:w="760" w:type="dxa"/>
            <w:vAlign w:val="bottom"/>
            <w:gridSpan w:val="2"/>
          </w:tcPr>
          <w:p>
            <w:pPr>
              <w:ind w:left="120"/>
              <w:spacing w:after="0"/>
              <w:rPr>
                <w:sz w:val="20"/>
                <w:szCs w:val="20"/>
                <w:color w:val="auto"/>
              </w:rPr>
            </w:pPr>
            <w:r>
              <w:rPr>
                <w:rFonts w:ascii="Arial" w:cs="Arial" w:eastAsia="Arial" w:hAnsi="Arial"/>
                <w:sz w:val="14"/>
                <w:szCs w:val="14"/>
                <w:color w:val="0000FF"/>
              </w:rPr>
              <w:t>By wife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Award</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vesting of one-third of 477 (post-split) long-term incentive units granted to the Reporting Person's wife on July 9, 2014, which were converted in connection with the spin-off of California Resources Corporation (CRC) from Occidental Petroleum Corporation in a manner intended to preserve the pre-spin off value of the units. Each unit was the economic equivalent of one share of CRC's common stock. Half of the award was settled for shares of CRC's common stock and half was settled for cash.</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250 shares acquired by the Reporting Person's wife under CRC's Employee Stock Purchase Plan on June 30,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7"/>
              </w:rPr>
              <w:t>/s/ Ulrik Damborg, Attorney-</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07/11/2017</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1"/>
              </w:rPr>
              <w:t>in-Fact for Robert A. Barnes</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2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8"/>
              </w:rPr>
              <w:t>** Signature of Reporting Person</w:t>
            </w:r>
          </w:p>
        </w:tc>
        <w:tc>
          <w:tcPr>
            <w:tcW w:w="160" w:type="dxa"/>
            <w:vAlign w:val="bottom"/>
            <w:gridSpan w:val="2"/>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207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2019-12-04T02:32:32Z</dcterms:created>
  <dcterms:modified xsi:type="dcterms:W3CDTF">2019-12-04T02:32:32Z</dcterms:modified>
</cp:coreProperties>
</file>