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7"/>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OCCIDENTAL PETROLEUM CORP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60" w:type="dxa"/>
            <w:vAlign w:val="bottom"/>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78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vMerge w:val="restart"/>
          </w:tcPr>
          <w:p>
            <w:pPr>
              <w:ind w:left="6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78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top w:val="single" w:sz="8" w:color="0000EE"/>
            </w:tcBorders>
            <w:vMerge w:val="restart"/>
          </w:tcPr>
          <w:p>
            <w:pPr>
              <w:spacing w:after="0" w:line="209" w:lineRule="exact"/>
              <w:rPr>
                <w:rFonts w:ascii="Arial" w:cs="Arial" w:eastAsia="Arial" w:hAnsi="Arial"/>
                <w:sz w:val="22"/>
                <w:szCs w:val="22"/>
                <w:color w:val="0000EE"/>
                <w:w w:val="88"/>
              </w:rPr>
            </w:pPr>
            <w:hyperlink r:id="rId12">
              <w:r>
                <w:rPr>
                  <w:rFonts w:ascii="Arial" w:cs="Arial" w:eastAsia="Arial" w:hAnsi="Arial"/>
                  <w:sz w:val="22"/>
                  <w:szCs w:val="22"/>
                  <w:color w:val="0000EE"/>
                  <w:w w:val="88"/>
                </w:rPr>
                <w:t>/DE/</w:t>
              </w:r>
            </w:hyperlink>
          </w:p>
        </w:tc>
        <w:tc>
          <w:tcPr>
            <w:tcW w:w="420" w:type="dxa"/>
            <w:vAlign w:val="bottom"/>
            <w:tcBorders>
              <w:top w:val="single" w:sz="8" w:color="0000EE"/>
            </w:tcBorders>
          </w:tcPr>
          <w:p>
            <w:pPr>
              <w:spacing w:after="0"/>
              <w:rPr>
                <w:sz w:val="8"/>
                <w:szCs w:val="8"/>
                <w:color w:val="auto"/>
              </w:rPr>
            </w:pPr>
          </w:p>
        </w:tc>
        <w:tc>
          <w:tcPr>
            <w:tcW w:w="1260" w:type="dxa"/>
            <w:vAlign w:val="bottom"/>
            <w:tcBorders>
              <w:top w:val="single" w:sz="8" w:color="0000EE"/>
            </w:tcBorders>
          </w:tcPr>
          <w:p>
            <w:pPr>
              <w:spacing w:after="0"/>
              <w:rPr>
                <w:sz w:val="8"/>
                <w:szCs w:val="8"/>
                <w:color w:val="auto"/>
              </w:rPr>
            </w:pPr>
          </w:p>
        </w:tc>
        <w:tc>
          <w:tcPr>
            <w:tcW w:w="124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400" w:type="dxa"/>
            <w:vAlign w:val="bottom"/>
            <w:tcBorders>
              <w:bottom w:val="single" w:sz="8" w:color="0000EE"/>
            </w:tcBorders>
            <w:vMerge w:val="continue"/>
          </w:tcPr>
          <w:p>
            <w:pPr>
              <w:spacing w:after="0"/>
              <w:rPr>
                <w:sz w:val="11"/>
                <w:szCs w:val="11"/>
                <w:color w:val="auto"/>
              </w:rPr>
            </w:pPr>
          </w:p>
        </w:tc>
        <w:tc>
          <w:tcPr>
            <w:tcW w:w="4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760" w:type="dxa"/>
            <w:vAlign w:val="bottom"/>
            <w:vMerge w:val="restart"/>
          </w:tcPr>
          <w:p>
            <w:pPr>
              <w:ind w:left="6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2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2C2C2C"/>
            </w:tcBorders>
          </w:tcPr>
          <w:p>
            <w:pPr>
              <w:spacing w:after="0"/>
              <w:rPr>
                <w:sz w:val="4"/>
                <w:szCs w:val="4"/>
                <w:color w:val="auto"/>
              </w:rPr>
            </w:pPr>
          </w:p>
        </w:tc>
        <w:tc>
          <w:tcPr>
            <w:tcW w:w="390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176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1760" w:type="dxa"/>
            <w:vAlign w:val="bottom"/>
          </w:tcPr>
          <w:p>
            <w:pPr>
              <w:ind w:left="620"/>
              <w:spacing w:after="0" w:line="102" w:lineRule="exact"/>
              <w:rPr>
                <w:sz w:val="20"/>
                <w:szCs w:val="20"/>
                <w:color w:val="auto"/>
              </w:rPr>
            </w:pPr>
            <w:r>
              <w:rPr>
                <w:rFonts w:ascii="Arial" w:cs="Arial" w:eastAsia="Arial" w:hAnsi="Arial"/>
                <w:sz w:val="11"/>
                <w:szCs w:val="11"/>
                <w:color w:val="auto"/>
              </w:rPr>
              <w:t>below)</w:t>
            </w:r>
          </w:p>
        </w:tc>
        <w:tc>
          <w:tcPr>
            <w:tcW w:w="1660" w:type="dxa"/>
            <w:vAlign w:val="bottom"/>
          </w:tcPr>
          <w:p>
            <w:pPr>
              <w:ind w:left="50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color w:val="auto"/>
              </w:rPr>
              <w:t>(Last)</w:t>
            </w:r>
          </w:p>
        </w:tc>
        <w:tc>
          <w:tcPr>
            <w:tcW w:w="1260" w:type="dxa"/>
            <w:vAlign w:val="bottom"/>
            <w:vMerge w:val="restart"/>
          </w:tcPr>
          <w:p>
            <w:pPr>
              <w:ind w:left="44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460" w:type="dxa"/>
            <w:vAlign w:val="bottom"/>
            <w:gridSpan w:val="3"/>
          </w:tcPr>
          <w:p>
            <w:pPr>
              <w:ind w:left="160"/>
              <w:spacing w:after="0"/>
              <w:rPr>
                <w:sz w:val="20"/>
                <w:szCs w:val="20"/>
                <w:color w:val="auto"/>
              </w:rPr>
            </w:pPr>
            <w:r>
              <w:rPr>
                <w:rFonts w:ascii="Arial" w:cs="Arial" w:eastAsia="Arial" w:hAnsi="Arial"/>
                <w:sz w:val="18"/>
                <w:szCs w:val="18"/>
                <w:color w:val="0000FF"/>
              </w:rPr>
              <w:t>11/28/2014</w:t>
            </w:r>
          </w:p>
        </w:tc>
        <w:tc>
          <w:tcPr>
            <w:tcW w:w="1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3780" w:type="dxa"/>
            <w:vAlign w:val="bottom"/>
            <w:gridSpan w:val="5"/>
            <w:vMerge w:val="restart"/>
          </w:tcPr>
          <w:p>
            <w:pPr>
              <w:spacing w:after="0"/>
              <w:rPr>
                <w:sz w:val="20"/>
                <w:szCs w:val="20"/>
                <w:color w:val="auto"/>
              </w:rPr>
            </w:pPr>
            <w:r>
              <w:rPr>
                <w:rFonts w:ascii="Arial" w:cs="Arial" w:eastAsia="Arial" w:hAnsi="Arial"/>
                <w:sz w:val="18"/>
                <w:szCs w:val="18"/>
                <w:color w:val="0000FF"/>
              </w:rPr>
              <w:t>5 GREENWAY PLAZA, SUITE 110</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300" w:type="dxa"/>
            <w:vAlign w:val="bottom"/>
            <w:tcBorders>
              <w:bottom w:val="single" w:sz="8" w:color="2C2C2C"/>
            </w:tcBorders>
          </w:tcPr>
          <w:p>
            <w:pPr>
              <w:spacing w:after="0"/>
              <w:rPr>
                <w:sz w:val="17"/>
                <w:szCs w:val="17"/>
                <w:color w:val="auto"/>
              </w:rPr>
            </w:pPr>
          </w:p>
        </w:tc>
        <w:tc>
          <w:tcPr>
            <w:tcW w:w="1600" w:type="dxa"/>
            <w:vAlign w:val="bottom"/>
            <w:tcBorders>
              <w:bottom w:val="single" w:sz="8" w:color="2C2C2C"/>
            </w:tcBorders>
          </w:tcPr>
          <w:p>
            <w:pPr>
              <w:spacing w:after="0"/>
              <w:rPr>
                <w:sz w:val="17"/>
                <w:szCs w:val="17"/>
                <w:color w:val="auto"/>
              </w:rPr>
            </w:pPr>
          </w:p>
        </w:tc>
        <w:tc>
          <w:tcPr>
            <w:tcW w:w="1760" w:type="dxa"/>
            <w:vAlign w:val="bottom"/>
            <w:tcBorders>
              <w:bottom w:val="single" w:sz="8" w:color="2C2C2C"/>
            </w:tcBorders>
          </w:tcPr>
          <w:p>
            <w:pPr>
              <w:spacing w:after="0"/>
              <w:rPr>
                <w:sz w:val="17"/>
                <w:szCs w:val="17"/>
                <w:color w:val="auto"/>
              </w:rPr>
            </w:pPr>
          </w:p>
        </w:tc>
        <w:tc>
          <w:tcPr>
            <w:tcW w:w="166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78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00" w:type="dxa"/>
            <w:vAlign w:val="bottom"/>
            <w:gridSpan w:val="2"/>
            <w:vMerge w:val="continue"/>
          </w:tcPr>
          <w:p>
            <w:pPr>
              <w:spacing w:after="0"/>
              <w:rPr>
                <w:sz w:val="11"/>
                <w:szCs w:val="11"/>
                <w:color w:val="auto"/>
              </w:rPr>
            </w:pPr>
          </w:p>
        </w:tc>
        <w:tc>
          <w:tcPr>
            <w:tcW w:w="3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76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77046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1"/>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79"/>
              <w:spacing w:after="0"/>
              <w:rPr>
                <w:sz w:val="20"/>
                <w:szCs w:val="20"/>
                <w:color w:val="auto"/>
              </w:rPr>
            </w:pPr>
            <w:r>
              <w:rPr>
                <w:rFonts w:ascii="Arial" w:cs="Arial" w:eastAsia="Arial" w:hAnsi="Arial"/>
                <w:sz w:val="12"/>
                <w:szCs w:val="12"/>
                <w:b w:val="1"/>
                <w:bCs w:val="1"/>
                <w:color w:val="auto"/>
                <w:w w:val="95"/>
              </w:rPr>
              <w:t>Price</w:t>
            </w: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11/28/2014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4"/>
              </w:rPr>
              <w:t>381,388,779</w:t>
            </w:r>
            <w:r>
              <w:rPr>
                <w:rFonts w:ascii="Arial" w:cs="Arial" w:eastAsia="Arial" w:hAnsi="Arial"/>
                <w:sz w:val="22"/>
                <w:szCs w:val="22"/>
                <w:color w:val="008000"/>
                <w:w w:val="94"/>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8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93"/>
              </w:rPr>
              <w:t>381,389,779</w:t>
            </w:r>
            <w:r>
              <w:rPr>
                <w:rFonts w:ascii="Arial" w:cs="Arial" w:eastAsia="Arial" w:hAnsi="Arial"/>
                <w:sz w:val="22"/>
                <w:szCs w:val="22"/>
                <w:color w:val="008000"/>
                <w:w w:val="93"/>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11/30/2014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11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4"/>
              </w:rPr>
              <w:t>309,889,779</w:t>
            </w:r>
            <w:r>
              <w:rPr>
                <w:rFonts w:ascii="Arial" w:cs="Arial" w:eastAsia="Arial" w:hAnsi="Arial"/>
                <w:sz w:val="22"/>
                <w:szCs w:val="22"/>
                <w:color w:val="008000"/>
                <w:w w:val="94"/>
                <w:vertAlign w:val="superscript"/>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80" w:type="dxa"/>
            <w:vAlign w:val="bottom"/>
            <w:tcBorders>
              <w:bottom w:val="single" w:sz="8" w:color="2C2C2C"/>
            </w:tcBorders>
            <w:gridSpan w:val="2"/>
          </w:tcPr>
          <w:p>
            <w:pPr>
              <w:jc w:val="right"/>
              <w:ind w:right="199"/>
              <w:spacing w:after="0"/>
              <w:rPr>
                <w:sz w:val="20"/>
                <w:szCs w:val="20"/>
                <w:color w:val="auto"/>
              </w:rPr>
            </w:pPr>
            <w:r>
              <w:rPr>
                <w:rFonts w:ascii="Arial" w:cs="Arial" w:eastAsia="Arial" w:hAnsi="Arial"/>
                <w:sz w:val="18"/>
                <w:szCs w:val="18"/>
                <w:color w:val="0000FF"/>
              </w:rPr>
              <w:t>71,500,000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28, 2014, California Resources Corporation ("CRC") issued these shares of its common stock to its sole stockholder, Occidental Petroleum Corporation ("Occidental"), in a stock dividend exempt pursuant to Rule 16a-9.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Prior to the stock dividend of these shares, Occidental owned 1,000 shares of CRC common stock.</w:t>
      </w:r>
    </w:p>
    <w:p>
      <w:pPr>
        <w:spacing w:after="0" w:line="41" w:lineRule="exact"/>
        <w:rPr>
          <w:rFonts w:ascii="Arial" w:cs="Arial" w:eastAsia="Arial" w:hAnsi="Arial"/>
          <w:sz w:val="14"/>
          <w:szCs w:val="14"/>
          <w:color w:val="008000"/>
        </w:rPr>
      </w:pPr>
    </w:p>
    <w:p>
      <w:pPr>
        <w:ind w:left="40" w:right="22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November 30, 2014, Occidental made a pro rata distribution of approximately 80.5% of the outstanding shares of CRC common stock to Occidental's stockholders as of November 17, 2014, the record date for the transaction. Additional information about this transaction can be found in CRC's filings with the Securities and Exchange Commission, including a registration statement on Form 10.</w:t>
      </w:r>
    </w:p>
    <w:tbl>
      <w:tblPr>
        <w:tblLayout w:type="fixed"/>
        <w:tblInd w:w="6860" w:type="dxa"/>
        <w:tblCellMar>
          <w:top w:w="0" w:type="dxa"/>
          <w:left w:w="0" w:type="dxa"/>
          <w:bottom w:w="0" w:type="dxa"/>
          <w:right w:w="0" w:type="dxa"/>
        </w:tblCellMar>
      </w:tblPr>
      <w:tr>
        <w:trPr>
          <w:trHeight w:val="199"/>
        </w:trPr>
        <w:tc>
          <w:tcPr>
            <w:tcW w:w="156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0000FF"/>
                <w:w w:val="91"/>
              </w:rPr>
              <w:t>/s/ Jennifer Kirk, Vice</w:t>
            </w:r>
          </w:p>
        </w:tc>
        <w:tc>
          <w:tcPr>
            <w:tcW w:w="560" w:type="dxa"/>
            <w:vAlign w:val="bottom"/>
            <w:gridSpan w:val="2"/>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12/02/2014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President and Controller</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79746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2019-12-05T23:13:24Z</dcterms:created>
  <dcterms:modified xsi:type="dcterms:W3CDTF">2019-12-05T23:13:24Z</dcterms:modified>
</cp:coreProperties>
</file>