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306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0669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Helm Michael S.</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10889 WILSHIRE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12/04/2014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16"/>
        <w:spacing w:after="0"/>
        <w:rPr>
          <w:sz w:val="20"/>
          <w:szCs w:val="20"/>
          <w:color w:val="auto"/>
        </w:rPr>
      </w:pPr>
      <w:r>
        <w:rPr>
          <w:rFonts w:ascii="Arial" w:cs="Arial" w:eastAsia="Arial" w:hAnsi="Arial"/>
          <w:sz w:val="17"/>
          <w:szCs w:val="17"/>
          <w:color w:val="0000FF"/>
        </w:rPr>
        <w:t>Vice President and Controller</w:t>
      </w:r>
    </w:p>
    <w:p>
      <w:pPr>
        <w:spacing w:after="0" w:line="32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86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60" w:type="dxa"/>
            <w:vAlign w:val="bottom"/>
            <w:gridSpan w:val="8"/>
            <w:vMerge w:val="continue"/>
          </w:tcPr>
          <w:p>
            <w:pPr>
              <w:spacing w:after="0"/>
              <w:rPr>
                <w:sz w:val="7"/>
                <w:szCs w:val="7"/>
                <w:color w:val="auto"/>
              </w:rPr>
            </w:pPr>
          </w:p>
        </w:tc>
        <w:tc>
          <w:tcPr>
            <w:tcW w:w="37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gridSpan w:val="3"/>
          </w:tcPr>
          <w:p>
            <w:pPr>
              <w:ind w:left="280"/>
              <w:spacing w:after="0" w:line="187" w:lineRule="exact"/>
              <w:rPr>
                <w:sz w:val="20"/>
                <w:szCs w:val="20"/>
                <w:color w:val="auto"/>
              </w:rPr>
            </w:pPr>
            <w:r>
              <w:rPr>
                <w:rFonts w:ascii="Arial" w:cs="Arial" w:eastAsia="Arial" w:hAnsi="Arial"/>
                <w:sz w:val="17"/>
                <w:szCs w:val="17"/>
                <w:color w:val="0000FF"/>
              </w:rPr>
              <w:t>12/08/2014</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LOS ANGELES CA</w:t>
            </w:r>
          </w:p>
        </w:tc>
        <w:tc>
          <w:tcPr>
            <w:tcW w:w="1160" w:type="dxa"/>
            <w:vAlign w:val="bottom"/>
          </w:tcPr>
          <w:p>
            <w:pPr>
              <w:ind w:left="40"/>
              <w:spacing w:after="0"/>
              <w:rPr>
                <w:sz w:val="20"/>
                <w:szCs w:val="20"/>
                <w:color w:val="auto"/>
              </w:rPr>
            </w:pPr>
            <w:r>
              <w:rPr>
                <w:rFonts w:ascii="Arial" w:cs="Arial" w:eastAsia="Arial" w:hAnsi="Arial"/>
                <w:sz w:val="17"/>
                <w:szCs w:val="17"/>
                <w:color w:val="0000FF"/>
              </w:rPr>
              <w:t>90024</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60" w:type="dxa"/>
            <w:vAlign w:val="bottom"/>
            <w:gridSpan w:val="10"/>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60" w:type="dxa"/>
            <w:vAlign w:val="bottom"/>
            <w:gridSpan w:val="7"/>
          </w:tcPr>
          <w:p>
            <w:pPr>
              <w:ind w:left="140"/>
              <w:spacing w:after="0" w:line="142"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jc w:val="right"/>
              <w:ind w:right="8"/>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12/04/2014</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63,924</w:t>
            </w:r>
            <w:r>
              <w:rPr>
                <w:rFonts w:ascii="Arial" w:cs="Arial" w:eastAsia="Arial" w:hAnsi="Arial"/>
                <w:sz w:val="22"/>
                <w:szCs w:val="22"/>
                <w:color w:val="008000"/>
                <w:vertAlign w:val="superscript"/>
              </w:rPr>
              <w:t>(1)</w:t>
            </w:r>
          </w:p>
        </w:tc>
        <w:tc>
          <w:tcPr>
            <w:tcW w:w="56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67,775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3"/>
          </w:tcPr>
          <w:p>
            <w:pPr>
              <w:ind w:left="920"/>
              <w:spacing w:after="0"/>
              <w:rPr>
                <w:sz w:val="20"/>
                <w:szCs w:val="20"/>
                <w:color w:val="auto"/>
              </w:rPr>
            </w:pPr>
            <w:r>
              <w:rPr>
                <w:rFonts w:ascii="Arial" w:cs="Arial" w:eastAsia="Arial" w:hAnsi="Arial"/>
                <w:sz w:val="17"/>
                <w:szCs w:val="17"/>
                <w:color w:val="0000FF"/>
              </w:rPr>
              <w:t>12/05/2014</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center"/>
              <w:ind w:right="239"/>
              <w:spacing w:after="0"/>
              <w:rPr>
                <w:sz w:val="20"/>
                <w:szCs w:val="20"/>
                <w:color w:val="auto"/>
              </w:rPr>
            </w:pPr>
            <w:r>
              <w:rPr>
                <w:rFonts w:ascii="Arial" w:cs="Arial" w:eastAsia="Arial" w:hAnsi="Arial"/>
                <w:sz w:val="13"/>
                <w:szCs w:val="13"/>
                <w:color w:val="0000FF"/>
                <w:w w:val="91"/>
              </w:rPr>
              <w:t>P</w:t>
            </w:r>
          </w:p>
        </w:tc>
        <w:tc>
          <w:tcPr>
            <w:tcW w:w="720" w:type="dxa"/>
            <w:vAlign w:val="bottom"/>
          </w:tcPr>
          <w:p>
            <w:pPr>
              <w:jc w:val="right"/>
              <w:spacing w:after="0"/>
              <w:rPr>
                <w:sz w:val="20"/>
                <w:szCs w:val="20"/>
                <w:color w:val="auto"/>
              </w:rPr>
            </w:pPr>
            <w:r>
              <w:rPr>
                <w:rFonts w:ascii="Arial" w:cs="Arial" w:eastAsia="Arial" w:hAnsi="Arial"/>
                <w:sz w:val="17"/>
                <w:szCs w:val="17"/>
                <w:color w:val="0000FF"/>
              </w:rPr>
              <w:t>5,500</w:t>
            </w:r>
          </w:p>
        </w:tc>
        <w:tc>
          <w:tcPr>
            <w:tcW w:w="120" w:type="dxa"/>
            <w:vAlign w:val="bottom"/>
          </w:tcPr>
          <w:p>
            <w:pPr>
              <w:spacing w:after="0"/>
              <w:rPr>
                <w:sz w:val="23"/>
                <w:szCs w:val="23"/>
                <w:color w:val="auto"/>
              </w:rPr>
            </w:pPr>
          </w:p>
        </w:tc>
        <w:tc>
          <w:tcPr>
            <w:tcW w:w="560" w:type="dxa"/>
            <w:vAlign w:val="bottom"/>
          </w:tcPr>
          <w:p>
            <w:pPr>
              <w:jc w:val="right"/>
              <w:ind w:right="68"/>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6.75</w:t>
            </w:r>
          </w:p>
        </w:tc>
        <w:tc>
          <w:tcPr>
            <w:tcW w:w="1320" w:type="dxa"/>
            <w:vAlign w:val="bottom"/>
            <w:gridSpan w:val="3"/>
          </w:tcPr>
          <w:p>
            <w:pPr>
              <w:ind w:left="440"/>
              <w:spacing w:after="0"/>
              <w:rPr>
                <w:sz w:val="20"/>
                <w:szCs w:val="20"/>
                <w:color w:val="auto"/>
              </w:rPr>
            </w:pPr>
            <w:r>
              <w:rPr>
                <w:rFonts w:ascii="Arial" w:cs="Arial" w:eastAsia="Arial" w:hAnsi="Arial"/>
                <w:sz w:val="17"/>
                <w:szCs w:val="17"/>
                <w:color w:val="0000FF"/>
              </w:rPr>
              <w:t>73,275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2"/>
          </w:tcPr>
          <w:p>
            <w:pPr>
              <w:jc w:val="right"/>
              <w:ind w:right="2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6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3"/>
                <w:szCs w:val="13"/>
                <w:color w:val="0000FF"/>
              </w:rPr>
              <w:t>11/30/2015</w:t>
            </w:r>
            <w:r>
              <w:rPr>
                <w:rFonts w:ascii="Arial" w:cs="Arial" w:eastAsia="Arial" w:hAnsi="Arial"/>
                <w:sz w:val="22"/>
                <w:szCs w:val="22"/>
                <w:color w:val="008000"/>
                <w:vertAlign w:val="superscript"/>
              </w:rPr>
              <w:t>(2)</w:t>
            </w:r>
          </w:p>
        </w:tc>
        <w:tc>
          <w:tcPr>
            <w:tcW w:w="72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50,506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8.11</w:t>
            </w:r>
          </w:p>
        </w:tc>
        <w:tc>
          <w:tcPr>
            <w:tcW w:w="1080" w:type="dxa"/>
            <w:vAlign w:val="bottom"/>
          </w:tcPr>
          <w:p>
            <w:pPr>
              <w:ind w:left="260"/>
              <w:spacing w:after="0" w:line="144" w:lineRule="exact"/>
              <w:rPr>
                <w:sz w:val="20"/>
                <w:szCs w:val="20"/>
                <w:color w:val="auto"/>
              </w:rPr>
            </w:pPr>
            <w:r>
              <w:rPr>
                <w:rFonts w:ascii="Arial" w:cs="Arial" w:eastAsia="Arial" w:hAnsi="Arial"/>
                <w:sz w:val="13"/>
                <w:szCs w:val="13"/>
                <w:color w:val="0000FF"/>
              </w:rPr>
              <w:t>12/04/2014</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4"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4" w:lineRule="exact"/>
              <w:rPr>
                <w:sz w:val="20"/>
                <w:szCs w:val="20"/>
                <w:color w:val="auto"/>
              </w:rPr>
            </w:pPr>
            <w:r>
              <w:rPr>
                <w:rFonts w:ascii="Arial" w:cs="Arial" w:eastAsia="Arial" w:hAnsi="Arial"/>
                <w:sz w:val="13"/>
                <w:szCs w:val="13"/>
                <w:color w:val="0000FF"/>
              </w:rPr>
              <w:t>50,506</w:t>
            </w:r>
          </w:p>
        </w:tc>
        <w:tc>
          <w:tcPr>
            <w:tcW w:w="3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20" w:type="dxa"/>
            <w:vAlign w:val="bottom"/>
          </w:tcPr>
          <w:p>
            <w:pPr>
              <w:ind w:left="20"/>
              <w:spacing w:after="0" w:line="144" w:lineRule="exact"/>
              <w:rPr>
                <w:sz w:val="20"/>
                <w:szCs w:val="20"/>
                <w:color w:val="auto"/>
              </w:rPr>
            </w:pPr>
            <w:r>
              <w:rPr>
                <w:rFonts w:ascii="Arial" w:cs="Arial" w:eastAsia="Arial" w:hAnsi="Arial"/>
                <w:sz w:val="13"/>
                <w:szCs w:val="13"/>
                <w:color w:val="0000FF"/>
              </w:rPr>
              <w:t>11/30/2021</w:t>
            </w:r>
          </w:p>
        </w:tc>
        <w:tc>
          <w:tcPr>
            <w:tcW w:w="68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20"/>
              <w:spacing w:after="0" w:line="144" w:lineRule="exact"/>
              <w:rPr>
                <w:sz w:val="20"/>
                <w:szCs w:val="20"/>
                <w:color w:val="auto"/>
              </w:rPr>
            </w:pPr>
            <w:r>
              <w:rPr>
                <w:rFonts w:ascii="Arial" w:cs="Arial" w:eastAsia="Arial" w:hAnsi="Arial"/>
                <w:sz w:val="13"/>
                <w:szCs w:val="13"/>
                <w:color w:val="0000FF"/>
                <w:w w:val="90"/>
              </w:rPr>
              <w:t>50,506</w:t>
            </w:r>
          </w:p>
        </w:tc>
        <w:tc>
          <w:tcPr>
            <w:tcW w:w="280" w:type="dxa"/>
            <w:vAlign w:val="bottom"/>
          </w:tcPr>
          <w:p>
            <w:pPr>
              <w:spacing w:after="0"/>
              <w:rPr>
                <w:sz w:val="12"/>
                <w:szCs w:val="12"/>
                <w:color w:val="auto"/>
              </w:rPr>
            </w:pPr>
          </w:p>
        </w:tc>
        <w:tc>
          <w:tcPr>
            <w:tcW w:w="70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68"/>
              <w:spacing w:after="0" w:line="134"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80" w:firstLine="7"/>
        <w:spacing w:after="0" w:line="24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Amount reflects Occidental restricted stock awards that were converted into CRC restricted stock awards effective November 30, 2014 as a result of the spin-off of CRC from Occidental that remain subject to the original time-based vesting schedules, as follows: (i) 16,479 shares will vest in two equal installments on July 21, 2015 and July 21, 2016; (ii) 17,769 shares will vest on December 31, 2016 and (iii) 29,723 shares will vest on July 8, 2017. Occidental restricted stock awards converted into CRC restricted stock awards based on the volume weighted average per share prices of Occidental and CRC common stock on the four-day trading periods ended November 28, 2014, and December 4, 2014, respectively, and certain other performance assumptions set forth in to Employee Matters Agreement between Occidental and CRC dated November 25, 2014.</w:t>
      </w:r>
    </w:p>
    <w:p>
      <w:pPr>
        <w:spacing w:after="0" w:line="27" w:lineRule="exact"/>
        <w:rPr>
          <w:rFonts w:ascii="Arial" w:cs="Arial" w:eastAsia="Arial" w:hAnsi="Arial"/>
          <w:sz w:val="13"/>
          <w:szCs w:val="13"/>
          <w:color w:val="008000"/>
        </w:rPr>
      </w:pPr>
    </w:p>
    <w:p>
      <w:pPr>
        <w:ind w:left="40" w:right="140" w:firstLine="7"/>
        <w:spacing w:after="0" w:line="259"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will vest in three equal annual installments beginning on November 30, 2015. The original Form 4, filed December 8, 2014, inadvertently indicated a 2017 initial vesting date, which is corrected in this amendment. The remainder of the original Form 4 remains unchanged.</w:t>
      </w:r>
    </w:p>
    <w:p>
      <w:pPr>
        <w:ind w:left="6860"/>
        <w:spacing w:after="0" w:line="183" w:lineRule="auto"/>
        <w:rPr>
          <w:sz w:val="20"/>
          <w:szCs w:val="20"/>
          <w:color w:val="auto"/>
        </w:rPr>
      </w:pPr>
      <w:r>
        <w:rPr>
          <w:rFonts w:ascii="Arial" w:cs="Arial" w:eastAsia="Arial" w:hAnsi="Arial"/>
          <w:sz w:val="17"/>
          <w:szCs w:val="17"/>
          <w:color w:val="0000FF"/>
        </w:rPr>
        <w:t xml:space="preserve">/s/Kendrick F. Royer, Attorney- </w:t>
      </w:r>
      <w:r>
        <w:rPr>
          <w:rFonts w:ascii="Arial" w:cs="Arial" w:eastAsia="Arial" w:hAnsi="Arial"/>
          <w:sz w:val="32"/>
          <w:szCs w:val="32"/>
          <w:color w:val="0000FF"/>
          <w:vertAlign w:val="subscript"/>
        </w:rPr>
        <w:t>12/10/2014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76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763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 for Michael S. Helm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245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5235"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-84455</wp:posOffset>
            </wp:positionV>
            <wp:extent cx="502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4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068"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2019-12-18T15:54:46Z</dcterms:created>
  <dcterms:modified xsi:type="dcterms:W3CDTF">2019-12-18T15:54:46Z</dcterms:modified>
</cp:coreProperties>
</file>