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611505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 8-K</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3" w:lineRule="exact"/>
        <w:rPr>
          <w:sz w:val="24"/>
          <w:szCs w:val="24"/>
          <w:color w:val="auto"/>
        </w:rPr>
      </w:pPr>
    </w:p>
    <w:p>
      <w:pPr>
        <w:ind w:left="4780"/>
        <w:spacing w:after="0"/>
        <w:rPr>
          <w:sz w:val="20"/>
          <w:szCs w:val="20"/>
          <w:color w:val="auto"/>
        </w:rPr>
      </w:pPr>
      <w:r>
        <w:rPr>
          <w:rFonts w:ascii="Arial" w:cs="Arial" w:eastAsia="Arial" w:hAnsi="Arial"/>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SECURITIES EXCHANGE ACT OF 1934</w:t>
      </w:r>
    </w:p>
    <w:p>
      <w:pPr>
        <w:spacing w:after="0" w:line="153" w:lineRule="exact"/>
        <w:rPr>
          <w:sz w:val="24"/>
          <w:szCs w:val="24"/>
          <w:color w:val="auto"/>
        </w:rPr>
      </w:pPr>
    </w:p>
    <w:p>
      <w:pPr>
        <w:jc w:val="center"/>
        <w:ind w:right="-159"/>
        <w:spacing w:after="0"/>
        <w:rPr>
          <w:sz w:val="20"/>
          <w:szCs w:val="20"/>
          <w:color w:val="auto"/>
        </w:rPr>
      </w:pPr>
      <w:r>
        <w:rPr>
          <w:rFonts w:ascii="Arial" w:cs="Arial" w:eastAsia="Arial" w:hAnsi="Arial"/>
          <w:sz w:val="16"/>
          <w:szCs w:val="16"/>
          <w:b w:val="1"/>
          <w:bCs w:val="1"/>
          <w:color w:val="auto"/>
        </w:rPr>
        <w:t>Date of report (Date of earliest event reported): May 12, 2021</w:t>
      </w:r>
    </w:p>
    <w:p>
      <w:pPr>
        <w:spacing w:after="0" w:line="198"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99" w:lineRule="exact"/>
        <w:rPr>
          <w:sz w:val="24"/>
          <w:szCs w:val="24"/>
          <w:color w:val="auto"/>
        </w:rPr>
      </w:pPr>
    </w:p>
    <w:p>
      <w:pPr>
        <w:jc w:val="center"/>
        <w:ind w:right="-159"/>
        <w:spacing w:after="0"/>
        <w:rPr>
          <w:sz w:val="20"/>
          <w:szCs w:val="20"/>
          <w:color w:val="auto"/>
        </w:rPr>
      </w:pPr>
      <w:r>
        <w:rPr>
          <w:rFonts w:ascii="Arial" w:cs="Arial" w:eastAsia="Arial" w:hAnsi="Arial"/>
          <w:sz w:val="29"/>
          <w:szCs w:val="29"/>
          <w:b w:val="1"/>
          <w:bCs w:val="1"/>
          <w:color w:val="auto"/>
        </w:rPr>
        <w:t>California Resources Corporation</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100"/>
          </w:cols>
          <w:pgMar w:left="320" w:top="1417" w:right="479" w:bottom="1440" w:gutter="0" w:footer="0" w:header="0"/>
        </w:sectPr>
      </w:pPr>
    </w:p>
    <w:p>
      <w:pPr>
        <w:spacing w:after="0" w:line="124" w:lineRule="exact"/>
        <w:rPr>
          <w:sz w:val="24"/>
          <w:szCs w:val="24"/>
          <w:color w:val="auto"/>
        </w:rPr>
      </w:pPr>
    </w:p>
    <w:p>
      <w:pPr>
        <w:ind w:left="15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760"/>
        <w:spacing w:after="0"/>
        <w:rPr>
          <w:sz w:val="20"/>
          <w:szCs w:val="20"/>
          <w:color w:val="auto"/>
        </w:rPr>
      </w:pPr>
      <w:r>
        <w:rPr>
          <w:rFonts w:ascii="Arial" w:cs="Arial" w:eastAsia="Arial" w:hAnsi="Arial"/>
          <w:sz w:val="16"/>
          <w:szCs w:val="16"/>
          <w:color w:val="auto"/>
        </w:rPr>
        <w:t>(State or Other Jurisdiction of</w:t>
      </w:r>
    </w:p>
    <w:p>
      <w:pPr>
        <w:spacing w:after="0" w:line="7" w:lineRule="exact"/>
        <w:rPr>
          <w:sz w:val="24"/>
          <w:szCs w:val="24"/>
          <w:color w:val="auto"/>
        </w:rPr>
      </w:pPr>
    </w:p>
    <w:p>
      <w:pPr>
        <w:ind w:left="134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1880"/>
        <w:spacing w:after="0"/>
        <w:rPr>
          <w:sz w:val="20"/>
          <w:szCs w:val="20"/>
          <w:color w:val="auto"/>
        </w:rPr>
      </w:pPr>
      <w:r>
        <w:rPr>
          <w:rFonts w:ascii="Arial" w:cs="Arial" w:eastAsia="Arial" w:hAnsi="Arial"/>
          <w:sz w:val="18"/>
          <w:szCs w:val="18"/>
          <w:b w:val="1"/>
          <w:bCs w:val="1"/>
          <w:color w:val="auto"/>
        </w:rPr>
        <w:t>001-36478</w:t>
      </w:r>
    </w:p>
    <w:p>
      <w:pPr>
        <w:spacing w:after="0" w:line="2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(Commission</w:t>
      </w:r>
    </w:p>
    <w:p>
      <w:pPr>
        <w:spacing w:after="0" w:line="7" w:lineRule="exact"/>
        <w:rPr>
          <w:sz w:val="24"/>
          <w:szCs w:val="24"/>
          <w:color w:val="auto"/>
        </w:rPr>
      </w:pPr>
    </w:p>
    <w:p>
      <w:pPr>
        <w:jc w:val="center"/>
        <w:ind w:right="18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ind w:left="240"/>
        <w:spacing w:after="0"/>
        <w:rPr>
          <w:sz w:val="20"/>
          <w:szCs w:val="20"/>
          <w:color w:val="auto"/>
        </w:rPr>
      </w:pPr>
      <w:r>
        <w:rPr>
          <w:rFonts w:ascii="Arial" w:cs="Arial" w:eastAsia="Arial" w:hAnsi="Arial"/>
          <w:sz w:val="18"/>
          <w:szCs w:val="18"/>
          <w:b w:val="1"/>
          <w:bCs w:val="1"/>
          <w:color w:val="auto"/>
        </w:rPr>
        <w:t>46-5670947</w:t>
      </w:r>
    </w:p>
    <w:p>
      <w:pPr>
        <w:spacing w:after="0" w:line="11" w:lineRule="exact"/>
        <w:rPr>
          <w:sz w:val="24"/>
          <w:szCs w:val="24"/>
          <w:color w:val="auto"/>
        </w:rPr>
      </w:pPr>
    </w:p>
    <w:p>
      <w:pPr>
        <w:ind w:left="100"/>
        <w:spacing w:after="0"/>
        <w:rPr>
          <w:sz w:val="20"/>
          <w:szCs w:val="20"/>
          <w:color w:val="auto"/>
        </w:rPr>
      </w:pPr>
      <w:r>
        <w:rPr>
          <w:rFonts w:ascii="Arial" w:cs="Arial" w:eastAsia="Arial" w:hAnsi="Arial"/>
          <w:sz w:val="18"/>
          <w:szCs w:val="18"/>
          <w:color w:val="auto"/>
        </w:rPr>
        <w:t>(IRS Employer</w:t>
      </w:r>
    </w:p>
    <w:p>
      <w:pPr>
        <w:spacing w:after="0"/>
        <w:rPr>
          <w:sz w:val="20"/>
          <w:szCs w:val="20"/>
          <w:color w:val="auto"/>
        </w:rPr>
      </w:pPr>
      <w:r>
        <w:rPr>
          <w:rFonts w:ascii="Arial" w:cs="Arial" w:eastAsia="Arial" w:hAnsi="Arial"/>
          <w:sz w:val="17"/>
          <w:szCs w:val="17"/>
          <w:color w:val="auto"/>
        </w:rPr>
        <w:t>Identification No.)</w:t>
      </w:r>
    </w:p>
    <w:p>
      <w:pPr>
        <w:spacing w:after="0" w:line="108" w:lineRule="exact"/>
        <w:rPr>
          <w:sz w:val="24"/>
          <w:szCs w:val="24"/>
          <w:color w:val="auto"/>
        </w:rPr>
      </w:pPr>
    </w:p>
    <w:p>
      <w:pPr>
        <w:sectPr>
          <w:pgSz w:w="11900" w:h="16838" w:orient="portrait"/>
          <w:cols w:equalWidth="0" w:num="3">
            <w:col w:w="4380" w:space="720"/>
            <w:col w:w="2860" w:space="720"/>
            <w:col w:w="2420"/>
          </w:cols>
          <w:pgMar w:left="320" w:top="1417" w:right="479" w:bottom="1440" w:gutter="0" w:footer="0" w:header="0"/>
          <w:type w:val="continuous"/>
        </w:sectPr>
      </w:pPr>
    </w:p>
    <w:p>
      <w:pPr>
        <w:jc w:val="center"/>
        <w:ind w:right="1680"/>
        <w:spacing w:after="0"/>
        <w:rPr>
          <w:sz w:val="20"/>
          <w:szCs w:val="20"/>
          <w:color w:val="auto"/>
        </w:rPr>
      </w:pPr>
      <w:r>
        <w:rPr>
          <w:rFonts w:ascii="Arial" w:cs="Arial" w:eastAsia="Arial" w:hAnsi="Arial"/>
          <w:sz w:val="18"/>
          <w:szCs w:val="18"/>
          <w:b w:val="1"/>
          <w:bCs w:val="1"/>
          <w:color w:val="auto"/>
        </w:rPr>
        <w:t>27200 Tourney Road</w:t>
      </w:r>
    </w:p>
    <w:p>
      <w:pPr>
        <w:spacing w:after="0" w:line="27"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Arial" w:cs="Arial" w:eastAsia="Arial" w:hAnsi="Arial"/>
          <w:sz w:val="18"/>
          <w:szCs w:val="18"/>
          <w:b w:val="1"/>
          <w:bCs w:val="1"/>
          <w:color w:val="auto"/>
        </w:rPr>
        <w:t>91355</w:t>
      </w:r>
    </w:p>
    <w:p>
      <w:pPr>
        <w:spacing w:after="0" w:line="27" w:lineRule="exact"/>
        <w:rPr>
          <w:sz w:val="24"/>
          <w:szCs w:val="24"/>
          <w:color w:val="auto"/>
        </w:rPr>
      </w:pPr>
    </w:p>
    <w:p>
      <w:pPr>
        <w:jc w:val="center"/>
        <w:ind w:right="2300"/>
        <w:spacing w:after="0"/>
        <w:rPr>
          <w:sz w:val="20"/>
          <w:szCs w:val="20"/>
          <w:color w:val="auto"/>
        </w:rPr>
      </w:pPr>
      <w:r>
        <w:rPr>
          <w:rFonts w:ascii="Arial" w:cs="Arial" w:eastAsia="Arial" w:hAnsi="Arial"/>
          <w:sz w:val="16"/>
          <w:szCs w:val="16"/>
          <w:color w:val="auto"/>
        </w:rPr>
        <w:t>(Zip Code)</w:t>
      </w:r>
    </w:p>
    <w:p>
      <w:pPr>
        <w:spacing w:after="0" w:line="189" w:lineRule="exact"/>
        <w:rPr>
          <w:sz w:val="24"/>
          <w:szCs w:val="24"/>
          <w:color w:val="auto"/>
        </w:rPr>
      </w:pPr>
    </w:p>
    <w:p>
      <w:pPr>
        <w:sectPr>
          <w:pgSz w:w="11900" w:h="16838" w:orient="portrait"/>
          <w:cols w:equalWidth="0" w:num="2">
            <w:col w:w="7300" w:space="720"/>
            <w:col w:w="3080"/>
          </w:cols>
          <w:pgMar w:left="320" w:top="1417" w:right="479" w:bottom="1440" w:gutter="0" w:footer="0" w:header="0"/>
          <w:type w:val="continuous"/>
        </w:sectPr>
      </w:pPr>
    </w:p>
    <w:p>
      <w:pPr>
        <w:ind w:left="2940"/>
        <w:spacing w:after="0"/>
        <w:rPr>
          <w:sz w:val="20"/>
          <w:szCs w:val="20"/>
          <w:color w:val="auto"/>
        </w:rPr>
      </w:pPr>
      <w:r>
        <w:rPr>
          <w:rFonts w:ascii="Arial" w:cs="Arial" w:eastAsia="Arial" w:hAnsi="Arial"/>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Arial" w:cs="Arial" w:eastAsia="Arial" w:hAnsi="Arial"/>
          <w:sz w:val="18"/>
          <w:szCs w:val="18"/>
          <w:color w:val="auto"/>
        </w:rPr>
        <w:t>_____________________</w:t>
      </w:r>
    </w:p>
    <w:p>
      <w:pPr>
        <w:spacing w:after="0" w:line="157"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Written communications pursuant to Rule 425 under the Securities Act (17 CFR 230.425)</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Soliciting material pursuant to Rule 14a-12 under the Exchange Act (17 CFR 240.14a-12)</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14d-2(b) under the Exchange Act (17 CFR 240.14d-2(b))</w:t>
      </w:r>
    </w:p>
    <w:p>
      <w:pPr>
        <w:spacing w:after="0" w:line="127"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Arial" w:cs="Arial" w:eastAsia="Arial" w:hAnsi="Arial"/>
          <w:sz w:val="18"/>
          <w:szCs w:val="18"/>
          <w:color w:val="auto"/>
        </w:rPr>
        <w:t>Pre-commencement communications pursuant to Rule 13e-4(c) under the Exchange Act (17 CFR 240.13e-4(c))</w:t>
      </w:r>
    </w:p>
    <w:p>
      <w:pPr>
        <w:spacing w:after="0" w:line="168"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00"/>
          </w:cols>
          <w:pgMar w:left="320" w:top="1417" w:right="479" w:bottom="1440" w:gutter="0" w:footer="0" w:header="0"/>
          <w:type w:val="continuous"/>
        </w:sectPr>
      </w:pPr>
    </w:p>
    <w:p>
      <w:pPr>
        <w:spacing w:after="0" w:line="127" w:lineRule="exact"/>
        <w:rPr>
          <w:sz w:val="24"/>
          <w:szCs w:val="24"/>
          <w:color w:val="auto"/>
        </w:rPr>
      </w:pPr>
    </w:p>
    <w:p>
      <w:pPr>
        <w:jc w:val="center"/>
        <w:ind w:right="80"/>
        <w:spacing w:after="0"/>
        <w:rPr>
          <w:sz w:val="20"/>
          <w:szCs w:val="20"/>
          <w:color w:val="auto"/>
        </w:rPr>
      </w:pPr>
      <w:r>
        <w:rPr>
          <w:rFonts w:ascii="Arial" w:cs="Arial" w:eastAsia="Arial" w:hAnsi="Arial"/>
          <w:sz w:val="15"/>
          <w:szCs w:val="15"/>
          <w:b w:val="1"/>
          <w:bCs w:val="1"/>
          <w:color w:val="auto"/>
        </w:rPr>
        <w:t>Title of each class</w:t>
      </w:r>
    </w:p>
    <w:p>
      <w:pPr>
        <w:spacing w:after="0" w:line="62"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Common Stock</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82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CRC</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80"/>
        <w:spacing w:after="0"/>
        <w:rPr>
          <w:sz w:val="20"/>
          <w:szCs w:val="20"/>
          <w:color w:val="auto"/>
        </w:rPr>
      </w:pPr>
      <w:r>
        <w:rPr>
          <w:rFonts w:ascii="Arial" w:cs="Arial" w:eastAsia="Arial" w:hAnsi="Arial"/>
          <w:sz w:val="18"/>
          <w:szCs w:val="18"/>
          <w:color w:val="auto"/>
        </w:rPr>
        <w:t>New York Stock Exchange</w:t>
      </w:r>
    </w:p>
    <w:p>
      <w:pPr>
        <w:spacing w:after="0" w:line="170" w:lineRule="exact"/>
        <w:rPr>
          <w:sz w:val="24"/>
          <w:szCs w:val="24"/>
          <w:color w:val="auto"/>
        </w:rPr>
      </w:pPr>
    </w:p>
    <w:p>
      <w:pPr>
        <w:sectPr>
          <w:pgSz w:w="11900" w:h="16838" w:orient="portrait"/>
          <w:cols w:equalWidth="0" w:num="3">
            <w:col w:w="3480" w:space="720"/>
            <w:col w:w="2260" w:space="720"/>
            <w:col w:w="3920"/>
          </w:cols>
          <w:pgMar w:left="320" w:top="1417" w:right="479" w:bottom="1440" w:gutter="0" w:footer="0" w:header="0"/>
          <w:type w:val="continuous"/>
        </w:sect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6" w:lineRule="exact"/>
        <w:rPr>
          <w:sz w:val="24"/>
          <w:szCs w:val="24"/>
          <w:color w:val="auto"/>
        </w:rPr>
      </w:pPr>
    </w:p>
    <w:p>
      <w:pPr>
        <w:spacing w:after="0" w:line="219"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9"/>
          <w:szCs w:val="19"/>
          <w:color w:val="auto"/>
        </w:rPr>
        <w:t>☐</w:t>
      </w:r>
    </w:p>
    <w:p>
      <w:pPr>
        <w:spacing w:after="0" w:line="213" w:lineRule="exact"/>
        <w:rPr>
          <w:sz w:val="24"/>
          <w:szCs w:val="24"/>
          <w:color w:val="auto"/>
        </w:rPr>
      </w:pPr>
    </w:p>
    <w:p>
      <w:pPr>
        <w:ind w:right="20"/>
        <w:spacing w:after="0" w:line="24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776605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240665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17" w:right="479" w:bottom="1440" w:gutter="0" w:footer="0" w:header="0"/>
          <w:type w:val="continuous"/>
        </w:sectPr>
      </w:pPr>
    </w:p>
    <w:bookmarkStart w:id="1" w:name="page2"/>
    <w:bookmarkEnd w:id="1"/>
    <w:p>
      <w:pPr>
        <w:spacing w:after="0" w:line="342"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189" w:lineRule="exact"/>
        <w:rPr>
          <w:sz w:val="20"/>
          <w:szCs w:val="20"/>
          <w:color w:val="auto"/>
        </w:rPr>
      </w:pPr>
    </w:p>
    <w:p>
      <w:pPr>
        <w:ind w:left="100"/>
        <w:spacing w:after="0" w:line="263" w:lineRule="auto"/>
        <w:rPr>
          <w:sz w:val="20"/>
          <w:szCs w:val="20"/>
          <w:color w:val="auto"/>
        </w:rPr>
      </w:pPr>
      <w:r>
        <w:rPr>
          <w:rFonts w:ascii="Arial" w:cs="Arial" w:eastAsia="Arial" w:hAnsi="Arial"/>
          <w:sz w:val="18"/>
          <w:szCs w:val="18"/>
          <w:color w:val="auto"/>
        </w:rPr>
        <w:t>On May 13, 2021, California Resources Corporation (the “Company”) issued a press release announcing its financial condition and results of operations for the three months ended March 31, 2021. A copy of the press release is furnished as Exhibit 99.1 to this report on Form 8-K, and is incorporated herein by reference.</w:t>
      </w:r>
    </w:p>
    <w:p>
      <w:pPr>
        <w:spacing w:after="0" w:line="143" w:lineRule="exact"/>
        <w:rPr>
          <w:sz w:val="20"/>
          <w:szCs w:val="20"/>
          <w:color w:val="auto"/>
        </w:rPr>
      </w:pPr>
    </w:p>
    <w:p>
      <w:pPr>
        <w:jc w:val="both"/>
        <w:ind w:left="100" w:right="80"/>
        <w:spacing w:after="0" w:line="311" w:lineRule="auto"/>
        <w:rPr>
          <w:sz w:val="20"/>
          <w:szCs w:val="20"/>
          <w:color w:val="auto"/>
        </w:rPr>
      </w:pPr>
      <w:r>
        <w:rPr>
          <w:rFonts w:ascii="Arial" w:cs="Arial" w:eastAsia="Arial" w:hAnsi="Arial"/>
          <w:sz w:val="16"/>
          <w:szCs w:val="16"/>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22" w:lineRule="exact"/>
        <w:rPr>
          <w:sz w:val="20"/>
          <w:szCs w:val="20"/>
          <w:color w:val="auto"/>
        </w:rPr>
      </w:pPr>
    </w:p>
    <w:p>
      <w:pPr>
        <w:ind w:left="100"/>
        <w:spacing w:after="0" w:line="279" w:lineRule="auto"/>
        <w:rPr>
          <w:sz w:val="20"/>
          <w:szCs w:val="20"/>
          <w:color w:val="auto"/>
        </w:rPr>
      </w:pPr>
      <w:r>
        <w:rPr>
          <w:rFonts w:ascii="Arial" w:cs="Arial" w:eastAsia="Arial" w:hAnsi="Arial"/>
          <w:sz w:val="17"/>
          <w:szCs w:val="17"/>
          <w:color w:val="auto"/>
        </w:rPr>
        <w:t>Statements contained in the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31" w:lineRule="exact"/>
        <w:rPr>
          <w:sz w:val="20"/>
          <w:szCs w:val="20"/>
          <w:color w:val="auto"/>
        </w:rPr>
      </w:pPr>
    </w:p>
    <w:p>
      <w:pPr>
        <w:jc w:val="both"/>
        <w:ind w:left="100" w:right="20"/>
        <w:spacing w:after="0" w:line="286" w:lineRule="auto"/>
        <w:rPr>
          <w:sz w:val="20"/>
          <w:szCs w:val="20"/>
          <w:color w:val="auto"/>
        </w:rPr>
      </w:pPr>
      <w:r>
        <w:rPr>
          <w:rFonts w:ascii="Arial" w:cs="Arial" w:eastAsia="Arial" w:hAnsi="Arial"/>
          <w:sz w:val="17"/>
          <w:szCs w:val="17"/>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10" w:lineRule="exact"/>
        <w:rPr>
          <w:sz w:val="20"/>
          <w:szCs w:val="20"/>
          <w:color w:val="auto"/>
        </w:rPr>
      </w:pPr>
    </w:p>
    <w:p>
      <w:pPr>
        <w:ind w:left="100"/>
        <w:spacing w:after="0"/>
        <w:tabs>
          <w:tab w:leader="none" w:pos="98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mpany held its 2021 Annual Meeting of Stockholders (the “Annual Meeting”) on May 12, 2021.</w:t>
      </w:r>
    </w:p>
    <w:p>
      <w:pPr>
        <w:spacing w:after="0" w:line="293" w:lineRule="exact"/>
        <w:rPr>
          <w:sz w:val="20"/>
          <w:szCs w:val="20"/>
          <w:color w:val="auto"/>
        </w:rPr>
      </w:pPr>
    </w:p>
    <w:p>
      <w:pPr>
        <w:ind w:left="760" w:right="1360" w:hanging="759"/>
        <w:spacing w:after="0" w:line="289" w:lineRule="auto"/>
        <w:rPr>
          <w:sz w:val="20"/>
          <w:szCs w:val="20"/>
          <w:color w:val="auto"/>
        </w:rPr>
      </w:pPr>
      <w:r>
        <w:rPr>
          <w:rFonts w:ascii="Arial" w:cs="Arial" w:eastAsia="Arial" w:hAnsi="Arial"/>
          <w:sz w:val="16"/>
          <w:szCs w:val="16"/>
          <w:color w:val="auto"/>
        </w:rPr>
        <w:t>lowing actions were taken at the Annual Meeting, for which proxies were solicited pursuant to Regulation 14A under the Exchange Act, and the final number of votes cast for, against or withheld, abstentions and broker non-votes for each matter are set forth below:</w:t>
      </w:r>
    </w:p>
    <w:p>
      <w:pPr>
        <w:spacing w:after="0" w:line="232" w:lineRule="exact"/>
        <w:rPr>
          <w:sz w:val="20"/>
          <w:szCs w:val="20"/>
          <w:color w:val="auto"/>
        </w:rPr>
      </w:pPr>
    </w:p>
    <w:p>
      <w:pPr>
        <w:ind w:left="80"/>
        <w:spacing w:after="0"/>
        <w:rPr>
          <w:sz w:val="20"/>
          <w:szCs w:val="20"/>
          <w:color w:val="auto"/>
        </w:rPr>
      </w:pPr>
      <w:r>
        <w:rPr>
          <w:rFonts w:ascii="Arial" w:cs="Arial" w:eastAsia="Arial" w:hAnsi="Arial"/>
          <w:sz w:val="18"/>
          <w:szCs w:val="18"/>
          <w:color w:val="auto"/>
        </w:rPr>
        <w:t>The seven director nominees named in the Company’s proxy statement were elected with the following votes:</w:t>
      </w:r>
    </w:p>
    <w:p>
      <w:pPr>
        <w:spacing w:after="0" w:line="275" w:lineRule="exact"/>
        <w:rPr>
          <w:sz w:val="20"/>
          <w:szCs w:val="20"/>
          <w:color w:val="auto"/>
        </w:rPr>
      </w:pPr>
    </w:p>
    <w:tbl>
      <w:tblPr>
        <w:tblLayout w:type="fixed"/>
        <w:tblInd w:w="80" w:type="dxa"/>
        <w:tblCellMar>
          <w:top w:w="0" w:type="dxa"/>
          <w:left w:w="0" w:type="dxa"/>
          <w:bottom w:w="0" w:type="dxa"/>
          <w:right w:w="0" w:type="dxa"/>
        </w:tblCellMar>
      </w:tblPr>
      <w:tr>
        <w:trPr>
          <w:trHeight w:val="207"/>
        </w:trPr>
        <w:tc>
          <w:tcPr>
            <w:tcW w:w="68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80" w:type="dxa"/>
            <w:vAlign w:val="bottom"/>
            <w:gridSpan w:val="3"/>
          </w:tcPr>
          <w:p>
            <w:pPr>
              <w:jc w:val="right"/>
              <w:ind w:right="1040"/>
              <w:spacing w:after="0"/>
              <w:rPr>
                <w:sz w:val="20"/>
                <w:szCs w:val="20"/>
                <w:color w:val="auto"/>
              </w:rPr>
            </w:pPr>
            <w:r>
              <w:rPr>
                <w:rFonts w:ascii="Arial" w:cs="Arial" w:eastAsia="Arial" w:hAnsi="Arial"/>
                <w:sz w:val="18"/>
                <w:szCs w:val="18"/>
                <w:b w:val="1"/>
                <w:bCs w:val="1"/>
                <w:color w:val="auto"/>
                <w:w w:val="89"/>
              </w:rPr>
              <w:t>Broker</w:t>
            </w:r>
          </w:p>
        </w:tc>
      </w:tr>
      <w:tr>
        <w:trPr>
          <w:trHeight w:val="155"/>
        </w:trPr>
        <w:tc>
          <w:tcPr>
            <w:tcW w:w="296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Nominee</w:t>
            </w:r>
          </w:p>
        </w:tc>
        <w:tc>
          <w:tcPr>
            <w:tcW w:w="1480" w:type="dxa"/>
            <w:vAlign w:val="bottom"/>
            <w:gridSpan w:val="3"/>
          </w:tcPr>
          <w:p>
            <w:pPr>
              <w:ind w:left="1020"/>
              <w:spacing w:after="0" w:line="156" w:lineRule="exact"/>
              <w:rPr>
                <w:sz w:val="20"/>
                <w:szCs w:val="20"/>
                <w:color w:val="auto"/>
              </w:rPr>
            </w:pPr>
            <w:r>
              <w:rPr>
                <w:rFonts w:ascii="Arial" w:cs="Arial" w:eastAsia="Arial" w:hAnsi="Arial"/>
                <w:sz w:val="18"/>
                <w:szCs w:val="18"/>
                <w:b w:val="1"/>
                <w:bCs w:val="1"/>
                <w:color w:val="auto"/>
              </w:rPr>
              <w:t>For</w:t>
            </w:r>
          </w:p>
        </w:tc>
        <w:tc>
          <w:tcPr>
            <w:tcW w:w="800" w:type="dxa"/>
            <w:vAlign w:val="bottom"/>
          </w:tcPr>
          <w:p>
            <w:pPr>
              <w:spacing w:after="0"/>
              <w:rPr>
                <w:sz w:val="13"/>
                <w:szCs w:val="13"/>
                <w:color w:val="auto"/>
              </w:rPr>
            </w:pPr>
          </w:p>
        </w:tc>
        <w:tc>
          <w:tcPr>
            <w:tcW w:w="840" w:type="dxa"/>
            <w:vAlign w:val="bottom"/>
            <w:gridSpan w:val="2"/>
          </w:tcPr>
          <w:p>
            <w:pPr>
              <w:spacing w:after="0" w:line="156" w:lineRule="exact"/>
              <w:rPr>
                <w:sz w:val="20"/>
                <w:szCs w:val="20"/>
                <w:color w:val="auto"/>
              </w:rPr>
            </w:pPr>
            <w:r>
              <w:rPr>
                <w:rFonts w:ascii="Arial" w:cs="Arial" w:eastAsia="Arial" w:hAnsi="Arial"/>
                <w:sz w:val="18"/>
                <w:szCs w:val="18"/>
                <w:b w:val="1"/>
                <w:bCs w:val="1"/>
                <w:color w:val="auto"/>
              </w:rPr>
              <w:t>Withheld</w:t>
            </w:r>
          </w:p>
        </w:tc>
        <w:tc>
          <w:tcPr>
            <w:tcW w:w="740" w:type="dxa"/>
            <w:vAlign w:val="bottom"/>
          </w:tcPr>
          <w:p>
            <w:pPr>
              <w:spacing w:after="0"/>
              <w:rPr>
                <w:sz w:val="13"/>
                <w:szCs w:val="13"/>
                <w:color w:val="auto"/>
              </w:rPr>
            </w:pPr>
          </w:p>
        </w:tc>
        <w:tc>
          <w:tcPr>
            <w:tcW w:w="540" w:type="dxa"/>
            <w:vAlign w:val="bottom"/>
            <w:tcBorders>
              <w:top w:val="single" w:sz="8" w:color="auto"/>
            </w:tcBorders>
          </w:tcPr>
          <w:p>
            <w:pPr>
              <w:spacing w:after="0"/>
              <w:rPr>
                <w:sz w:val="13"/>
                <w:szCs w:val="13"/>
                <w:color w:val="auto"/>
              </w:rPr>
            </w:pPr>
          </w:p>
        </w:tc>
        <w:tc>
          <w:tcPr>
            <w:tcW w:w="1040" w:type="dxa"/>
            <w:vAlign w:val="bottom"/>
            <w:gridSpan w:val="2"/>
          </w:tcPr>
          <w:p>
            <w:pPr>
              <w:jc w:val="right"/>
              <w:ind w:right="260"/>
              <w:spacing w:after="0" w:line="156" w:lineRule="exact"/>
              <w:rPr>
                <w:sz w:val="20"/>
                <w:szCs w:val="20"/>
                <w:color w:val="auto"/>
              </w:rPr>
            </w:pPr>
            <w:r>
              <w:rPr>
                <w:rFonts w:ascii="Arial" w:cs="Arial" w:eastAsia="Arial" w:hAnsi="Arial"/>
                <w:sz w:val="18"/>
                <w:szCs w:val="18"/>
                <w:b w:val="1"/>
                <w:bCs w:val="1"/>
                <w:color w:val="auto"/>
                <w:w w:val="84"/>
              </w:rPr>
              <w:t>Non-Votes</w:t>
            </w:r>
          </w:p>
        </w:tc>
      </w:tr>
      <w:tr>
        <w:trPr>
          <w:trHeight w:val="20"/>
        </w:trPr>
        <w:tc>
          <w:tcPr>
            <w:tcW w:w="680" w:type="dxa"/>
            <w:vAlign w:val="bottom"/>
            <w:shd w:val="clear" w:color="auto" w:fill="000000"/>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540" w:type="dxa"/>
            <w:vAlign w:val="bottom"/>
            <w:tcBorders>
              <w:right w:val="single" w:sz="8" w:color="auto"/>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249"/>
        </w:trPr>
        <w:tc>
          <w:tcPr>
            <w:tcW w:w="2960" w:type="dxa"/>
            <w:vAlign w:val="bottom"/>
            <w:gridSpan w:val="2"/>
          </w:tcPr>
          <w:p>
            <w:pPr>
              <w:spacing w:after="0"/>
              <w:rPr>
                <w:sz w:val="20"/>
                <w:szCs w:val="20"/>
                <w:color w:val="auto"/>
              </w:rPr>
            </w:pPr>
            <w:r>
              <w:rPr>
                <w:rFonts w:ascii="Arial" w:cs="Arial" w:eastAsia="Arial" w:hAnsi="Arial"/>
                <w:sz w:val="18"/>
                <w:szCs w:val="18"/>
                <w:color w:val="auto"/>
              </w:rPr>
              <w:t>Andrew Bremner</w:t>
            </w:r>
          </w:p>
        </w:tc>
        <w:tc>
          <w:tcPr>
            <w:tcW w:w="10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65,624,486</w:t>
            </w:r>
          </w:p>
        </w:tc>
        <w:tc>
          <w:tcPr>
            <w:tcW w:w="120" w:type="dxa"/>
            <w:vAlign w:val="bottom"/>
          </w:tcPr>
          <w:p>
            <w:pPr>
              <w:spacing w:after="0"/>
              <w:rPr>
                <w:sz w:val="21"/>
                <w:szCs w:val="21"/>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174,419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r>
        <w:trPr>
          <w:trHeight w:val="229"/>
        </w:trPr>
        <w:tc>
          <w:tcPr>
            <w:tcW w:w="2960" w:type="dxa"/>
            <w:vAlign w:val="bottom"/>
            <w:gridSpan w:val="2"/>
          </w:tcPr>
          <w:p>
            <w:pPr>
              <w:spacing w:after="0"/>
              <w:rPr>
                <w:sz w:val="20"/>
                <w:szCs w:val="20"/>
                <w:color w:val="auto"/>
              </w:rPr>
            </w:pPr>
            <w:r>
              <w:rPr>
                <w:rFonts w:ascii="Arial" w:cs="Arial" w:eastAsia="Arial" w:hAnsi="Arial"/>
                <w:sz w:val="18"/>
                <w:szCs w:val="18"/>
                <w:color w:val="auto"/>
              </w:rPr>
              <w:t>Douglas E. Brooks</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65,631,800</w:t>
            </w:r>
          </w:p>
        </w:tc>
        <w:tc>
          <w:tcPr>
            <w:tcW w:w="120" w:type="dxa"/>
            <w:vAlign w:val="bottom"/>
          </w:tcPr>
          <w:p>
            <w:pPr>
              <w:spacing w:after="0"/>
              <w:rPr>
                <w:sz w:val="19"/>
                <w:szCs w:val="19"/>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167,105</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Tiffany (TJ) Thom Cepak</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65,636,389</w:t>
            </w:r>
          </w:p>
        </w:tc>
        <w:tc>
          <w:tcPr>
            <w:tcW w:w="120" w:type="dxa"/>
            <w:vAlign w:val="bottom"/>
          </w:tcPr>
          <w:p>
            <w:pPr>
              <w:spacing w:after="0"/>
              <w:rPr>
                <w:sz w:val="19"/>
                <w:szCs w:val="19"/>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162,516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James N. Chapman</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65,548,258</w:t>
            </w:r>
          </w:p>
        </w:tc>
        <w:tc>
          <w:tcPr>
            <w:tcW w:w="120" w:type="dxa"/>
            <w:vAlign w:val="bottom"/>
          </w:tcPr>
          <w:p>
            <w:pPr>
              <w:spacing w:after="0"/>
              <w:rPr>
                <w:sz w:val="19"/>
                <w:szCs w:val="19"/>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250,647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Mark A. (Mac) McFarland</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65,636,779</w:t>
            </w:r>
          </w:p>
        </w:tc>
        <w:tc>
          <w:tcPr>
            <w:tcW w:w="120" w:type="dxa"/>
            <w:vAlign w:val="bottom"/>
          </w:tcPr>
          <w:p>
            <w:pPr>
              <w:spacing w:after="0"/>
              <w:rPr>
                <w:sz w:val="19"/>
                <w:szCs w:val="19"/>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162,126</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r>
        <w:trPr>
          <w:trHeight w:val="229"/>
        </w:trPr>
        <w:tc>
          <w:tcPr>
            <w:tcW w:w="2960" w:type="dxa"/>
            <w:vAlign w:val="bottom"/>
            <w:gridSpan w:val="2"/>
          </w:tcPr>
          <w:p>
            <w:pPr>
              <w:spacing w:after="0"/>
              <w:rPr>
                <w:sz w:val="20"/>
                <w:szCs w:val="20"/>
                <w:color w:val="auto"/>
              </w:rPr>
            </w:pPr>
            <w:r>
              <w:rPr>
                <w:rFonts w:ascii="Arial" w:cs="Arial" w:eastAsia="Arial" w:hAnsi="Arial"/>
                <w:sz w:val="18"/>
                <w:szCs w:val="18"/>
                <w:color w:val="auto"/>
              </w:rPr>
              <w:t>Julio M. Quintana</w:t>
            </w:r>
          </w:p>
        </w:tc>
        <w:tc>
          <w:tcPr>
            <w:tcW w:w="10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64,634,156</w:t>
            </w:r>
          </w:p>
        </w:tc>
        <w:tc>
          <w:tcPr>
            <w:tcW w:w="120" w:type="dxa"/>
            <w:vAlign w:val="bottom"/>
          </w:tcPr>
          <w:p>
            <w:pPr>
              <w:spacing w:after="0"/>
              <w:rPr>
                <w:sz w:val="19"/>
                <w:szCs w:val="19"/>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1,164,749</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r>
        <w:trPr>
          <w:trHeight w:val="230"/>
        </w:trPr>
        <w:tc>
          <w:tcPr>
            <w:tcW w:w="2960" w:type="dxa"/>
            <w:vAlign w:val="bottom"/>
            <w:gridSpan w:val="2"/>
          </w:tcPr>
          <w:p>
            <w:pPr>
              <w:spacing w:after="0"/>
              <w:rPr>
                <w:sz w:val="20"/>
                <w:szCs w:val="20"/>
                <w:color w:val="auto"/>
              </w:rPr>
            </w:pPr>
            <w:r>
              <w:rPr>
                <w:rFonts w:ascii="Arial" w:cs="Arial" w:eastAsia="Arial" w:hAnsi="Arial"/>
                <w:sz w:val="18"/>
                <w:szCs w:val="18"/>
                <w:color w:val="auto"/>
              </w:rPr>
              <w:t>William B. Roby</w:t>
            </w:r>
          </w:p>
        </w:tc>
        <w:tc>
          <w:tcPr>
            <w:tcW w:w="10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gridSpan w:val="2"/>
          </w:tcPr>
          <w:p>
            <w:pPr>
              <w:jc w:val="right"/>
              <w:ind w:right="430"/>
              <w:spacing w:after="0"/>
              <w:rPr>
                <w:sz w:val="20"/>
                <w:szCs w:val="20"/>
                <w:color w:val="auto"/>
              </w:rPr>
            </w:pPr>
            <w:r>
              <w:rPr>
                <w:rFonts w:ascii="Arial" w:cs="Arial" w:eastAsia="Arial" w:hAnsi="Arial"/>
                <w:sz w:val="18"/>
                <w:szCs w:val="18"/>
                <w:color w:val="auto"/>
              </w:rPr>
              <w:t>65,548,218</w:t>
            </w:r>
          </w:p>
        </w:tc>
        <w:tc>
          <w:tcPr>
            <w:tcW w:w="120" w:type="dxa"/>
            <w:vAlign w:val="bottom"/>
          </w:tcPr>
          <w:p>
            <w:pPr>
              <w:spacing w:after="0"/>
              <w:rPr>
                <w:sz w:val="20"/>
                <w:szCs w:val="20"/>
                <w:color w:val="auto"/>
              </w:rPr>
            </w:pPr>
          </w:p>
        </w:tc>
        <w:tc>
          <w:tcPr>
            <w:tcW w:w="1280" w:type="dxa"/>
            <w:vAlign w:val="bottom"/>
            <w:gridSpan w:val="2"/>
          </w:tcPr>
          <w:p>
            <w:pPr>
              <w:jc w:val="right"/>
              <w:ind w:right="350"/>
              <w:spacing w:after="0"/>
              <w:rPr>
                <w:sz w:val="20"/>
                <w:szCs w:val="20"/>
                <w:color w:val="auto"/>
              </w:rPr>
            </w:pPr>
            <w:r>
              <w:rPr>
                <w:rFonts w:ascii="Arial" w:cs="Arial" w:eastAsia="Arial" w:hAnsi="Arial"/>
                <w:sz w:val="18"/>
                <w:szCs w:val="18"/>
                <w:color w:val="auto"/>
              </w:rPr>
              <w:t>250,687</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2,367,409</w:t>
            </w:r>
          </w:p>
        </w:tc>
      </w:tr>
    </w:tbl>
    <w:p>
      <w:pPr>
        <w:spacing w:after="0" w:line="269" w:lineRule="exact"/>
        <w:rPr>
          <w:sz w:val="20"/>
          <w:szCs w:val="20"/>
          <w:color w:val="auto"/>
        </w:rPr>
      </w:pPr>
    </w:p>
    <w:p>
      <w:pPr>
        <w:ind w:left="1380" w:right="1320" w:hanging="1295"/>
        <w:spacing w:after="0" w:line="224" w:lineRule="auto"/>
        <w:rPr>
          <w:sz w:val="20"/>
          <w:szCs w:val="20"/>
          <w:color w:val="auto"/>
        </w:rPr>
      </w:pPr>
      <w:r>
        <w:rPr>
          <w:rFonts w:ascii="Arial" w:cs="Arial" w:eastAsia="Arial" w:hAnsi="Arial"/>
          <w:sz w:val="18"/>
          <w:szCs w:val="18"/>
          <w:color w:val="auto"/>
        </w:rPr>
        <w:t>The ratification of the selection of KPMG LLP as the Company’s independent registered public accounting firm for the fiscal year ending December 31, 2021 was approved. The proposal received 68,159,666 votes for; 604 votes against; and 6,044 abstentions.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wp:posOffset>
            </wp:positionH>
            <wp:positionV relativeFrom="paragraph">
              <wp:posOffset>931545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20"/>
          </w:cols>
          <w:pgMar w:left="220" w:top="1440" w:right="359" w:bottom="1440" w:gutter="0" w:footer="0" w:header="0"/>
        </w:sectPr>
      </w:pPr>
    </w:p>
    <w:bookmarkStart w:id="2" w:name="page3"/>
    <w:bookmarkEnd w:id="2"/>
    <w:p>
      <w:pPr>
        <w:spacing w:after="0" w:line="22" w:lineRule="exact"/>
        <w:rPr>
          <w:sz w:val="20"/>
          <w:szCs w:val="20"/>
          <w:color w:val="auto"/>
        </w:rPr>
      </w:pPr>
    </w:p>
    <w:p>
      <w:pPr>
        <w:ind w:left="1280" w:right="899" w:hanging="1295"/>
        <w:spacing w:after="0" w:line="258" w:lineRule="auto"/>
        <w:rPr>
          <w:sz w:val="20"/>
          <w:szCs w:val="20"/>
          <w:color w:val="auto"/>
        </w:rPr>
      </w:pPr>
      <w:r>
        <w:rPr>
          <w:rFonts w:ascii="Arial" w:cs="Arial" w:eastAsia="Arial" w:hAnsi="Arial"/>
          <w:sz w:val="17"/>
          <w:szCs w:val="17"/>
          <w:color w:val="auto"/>
        </w:rPr>
        <w:t>The advisory vote to approve named executive officer compensation was approved. The proposal received 45,126,809 votes for; 20,671,054 votes against; 1,042 abstentions; and 2,367,409 broker non-votes.</w:t>
      </w:r>
    </w:p>
    <w:p>
      <w:pPr>
        <w:spacing w:after="0" w:line="255" w:lineRule="exact"/>
        <w:rPr>
          <w:sz w:val="20"/>
          <w:szCs w:val="20"/>
          <w:color w:val="auto"/>
        </w:rPr>
      </w:pPr>
    </w:p>
    <w:p>
      <w:pPr>
        <w:ind w:left="1280" w:right="399" w:hanging="1295"/>
        <w:spacing w:after="0" w:line="232" w:lineRule="auto"/>
        <w:rPr>
          <w:sz w:val="20"/>
          <w:szCs w:val="20"/>
          <w:color w:val="auto"/>
        </w:rPr>
      </w:pPr>
      <w:r>
        <w:rPr>
          <w:rFonts w:ascii="Arial" w:cs="Arial" w:eastAsia="Arial" w:hAnsi="Arial"/>
          <w:sz w:val="17"/>
          <w:szCs w:val="17"/>
          <w:color w:val="auto"/>
        </w:rPr>
        <w:t>A majority of the votes cast by stockholders voted, on an advisory basis, to hold an advisory vote to approve named executive officer compensation every year. The proposal received the following votes: 65,768,610 (one year); 5,142 (two years); 9,847 (three years); 15,306 (abstentions); and 2,367,409 (broker non-votes). A stockholder advisory vote on executive compensation will be taken annually until another vote on frequency by the stockholders occurs.</w:t>
      </w:r>
    </w:p>
    <w:p>
      <w:pPr>
        <w:spacing w:after="0" w:line="200" w:lineRule="exact"/>
        <w:rPr>
          <w:sz w:val="20"/>
          <w:szCs w:val="20"/>
          <w:color w:val="auto"/>
        </w:rPr>
      </w:pPr>
    </w:p>
    <w:p>
      <w:pPr>
        <w:spacing w:after="0" w:line="22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180" w:type="dxa"/>
            <w:vAlign w:val="bottom"/>
          </w:tcPr>
          <w:p>
            <w:pPr>
              <w:spacing w:after="0"/>
              <w:rPr>
                <w:sz w:val="20"/>
                <w:szCs w:val="20"/>
                <w:color w:val="auto"/>
              </w:rPr>
            </w:pPr>
            <w:r>
              <w:rPr>
                <w:rFonts w:ascii="Arial" w:cs="Arial" w:eastAsia="Arial" w:hAnsi="Arial"/>
                <w:sz w:val="18"/>
                <w:szCs w:val="18"/>
                <w:color w:val="auto"/>
              </w:rPr>
              <w:t>(d)  Exhibits</w:t>
            </w:r>
          </w:p>
        </w:tc>
        <w:tc>
          <w:tcPr>
            <w:tcW w:w="2520" w:type="dxa"/>
            <w:vAlign w:val="bottom"/>
          </w:tcPr>
          <w:p>
            <w:pPr>
              <w:spacing w:after="0"/>
              <w:rPr>
                <w:sz w:val="20"/>
                <w:szCs w:val="20"/>
                <w:color w:val="auto"/>
              </w:rPr>
            </w:pPr>
          </w:p>
        </w:tc>
        <w:tc>
          <w:tcPr>
            <w:tcW w:w="2440" w:type="dxa"/>
            <w:vAlign w:val="bottom"/>
          </w:tcPr>
          <w:p>
            <w:pPr>
              <w:spacing w:after="0"/>
              <w:rPr>
                <w:sz w:val="20"/>
                <w:szCs w:val="20"/>
                <w:color w:val="auto"/>
              </w:rPr>
            </w:pPr>
          </w:p>
        </w:tc>
      </w:tr>
      <w:tr>
        <w:trPr>
          <w:trHeight w:val="378"/>
        </w:trPr>
        <w:tc>
          <w:tcPr>
            <w:tcW w:w="2180" w:type="dxa"/>
            <w:vAlign w:val="bottom"/>
          </w:tcPr>
          <w:p>
            <w:pPr>
              <w:jc w:val="center"/>
              <w:ind w:right="170"/>
              <w:spacing w:after="0"/>
              <w:rPr>
                <w:sz w:val="20"/>
                <w:szCs w:val="20"/>
                <w:color w:val="auto"/>
              </w:rPr>
            </w:pPr>
            <w:r>
              <w:rPr>
                <w:rFonts w:ascii="Arial" w:cs="Arial" w:eastAsia="Arial" w:hAnsi="Arial"/>
                <w:sz w:val="18"/>
                <w:szCs w:val="18"/>
                <w:b w:val="1"/>
                <w:bCs w:val="1"/>
                <w:color w:val="auto"/>
                <w:w w:val="93"/>
              </w:rPr>
              <w:t>Exhibit No.</w:t>
            </w:r>
          </w:p>
        </w:tc>
        <w:tc>
          <w:tcPr>
            <w:tcW w:w="2520" w:type="dxa"/>
            <w:vAlign w:val="bottom"/>
          </w:tcPr>
          <w:p>
            <w:pPr>
              <w:spacing w:after="0"/>
              <w:rPr>
                <w:sz w:val="24"/>
                <w:szCs w:val="24"/>
                <w:color w:val="auto"/>
              </w:rPr>
            </w:pPr>
          </w:p>
        </w:tc>
        <w:tc>
          <w:tcPr>
            <w:tcW w:w="2440" w:type="dxa"/>
            <w:vAlign w:val="bottom"/>
          </w:tcPr>
          <w:p>
            <w:pPr>
              <w:ind w:left="1560"/>
              <w:spacing w:after="0"/>
              <w:rPr>
                <w:sz w:val="20"/>
                <w:szCs w:val="20"/>
                <w:color w:val="auto"/>
              </w:rPr>
            </w:pPr>
            <w:r>
              <w:rPr>
                <w:rFonts w:ascii="Arial" w:cs="Arial" w:eastAsia="Arial" w:hAnsi="Arial"/>
                <w:sz w:val="18"/>
                <w:szCs w:val="18"/>
                <w:b w:val="1"/>
                <w:bCs w:val="1"/>
                <w:color w:val="auto"/>
                <w:w w:val="86"/>
              </w:rPr>
              <w:t>Description</w:t>
            </w:r>
          </w:p>
        </w:tc>
      </w:tr>
      <w:tr>
        <w:trPr>
          <w:trHeight w:val="229"/>
        </w:trPr>
        <w:tc>
          <w:tcPr>
            <w:tcW w:w="2180" w:type="dxa"/>
            <w:vAlign w:val="bottom"/>
          </w:tcPr>
          <w:p>
            <w:pPr>
              <w:jc w:val="right"/>
              <w:ind w:right="970"/>
              <w:spacing w:after="0"/>
              <w:rPr>
                <w:sz w:val="20"/>
                <w:szCs w:val="20"/>
                <w:color w:val="auto"/>
              </w:rPr>
            </w:pPr>
            <w:r>
              <w:rPr>
                <w:rFonts w:ascii="Arial" w:cs="Arial" w:eastAsia="Arial" w:hAnsi="Arial"/>
                <w:sz w:val="18"/>
                <w:szCs w:val="18"/>
                <w:color w:val="auto"/>
              </w:rPr>
              <w:t>99.1</w:t>
            </w:r>
          </w:p>
        </w:tc>
        <w:tc>
          <w:tcPr>
            <w:tcW w:w="2520" w:type="dxa"/>
            <w:vAlign w:val="bottom"/>
            <w:tcBorders>
              <w:bottom w:val="single" w:sz="8" w:color="0000FF"/>
            </w:tcBorders>
          </w:tcPr>
          <w:p>
            <w:pPr>
              <w:spacing w:after="0"/>
              <w:rPr>
                <w:rFonts w:ascii="Arial" w:cs="Arial" w:eastAsia="Arial" w:hAnsi="Arial"/>
                <w:sz w:val="18"/>
                <w:szCs w:val="18"/>
                <w:color w:val="0000FF"/>
                <w:w w:val="87"/>
              </w:rPr>
            </w:pPr>
            <w:hyperlink w:anchor="page5">
              <w:r>
                <w:rPr>
                  <w:rFonts w:ascii="Arial" w:cs="Arial" w:eastAsia="Arial" w:hAnsi="Arial"/>
                  <w:sz w:val="18"/>
                  <w:szCs w:val="18"/>
                  <w:color w:val="0000FF"/>
                  <w:w w:val="87"/>
                </w:rPr>
                <w:t>Press Release dated May 13, 2021.</w:t>
              </w:r>
            </w:hyperlink>
          </w:p>
        </w:tc>
        <w:tc>
          <w:tcPr>
            <w:tcW w:w="2440" w:type="dxa"/>
            <w:vAlign w:val="bottom"/>
          </w:tcPr>
          <w:p>
            <w:pPr>
              <w:spacing w:after="0"/>
              <w:rPr>
                <w:sz w:val="19"/>
                <w:szCs w:val="19"/>
                <w:color w:val="auto"/>
              </w:rPr>
            </w:pPr>
          </w:p>
        </w:tc>
      </w:tr>
    </w:tbl>
    <w:p>
      <w:pPr>
        <w:spacing w:after="0" w:line="67" w:lineRule="exact"/>
        <w:rPr>
          <w:sz w:val="20"/>
          <w:szCs w:val="20"/>
          <w:color w:val="auto"/>
        </w:rPr>
      </w:pPr>
    </w:p>
    <w:p>
      <w:pPr>
        <w:ind w:left="2180" w:hanging="1349"/>
        <w:spacing w:after="0"/>
        <w:tabs>
          <w:tab w:leader="none" w:pos="218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348"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3" w:lineRule="exact"/>
        <w:rPr>
          <w:sz w:val="20"/>
          <w:szCs w:val="20"/>
          <w:color w:val="auto"/>
        </w:rPr>
      </w:pPr>
    </w:p>
    <w:p>
      <w:pPr>
        <w:ind w:left="4820"/>
        <w:spacing w:after="0"/>
        <w:rPr>
          <w:sz w:val="20"/>
          <w:szCs w:val="20"/>
          <w:color w:val="auto"/>
        </w:rPr>
      </w:pPr>
      <w:r>
        <w:rPr>
          <w:rFonts w:ascii="Arial" w:cs="Arial" w:eastAsia="Arial" w:hAnsi="Arial"/>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 Michael L. Preston</w:t>
      </w:r>
    </w:p>
    <w:p>
      <w:pPr>
        <w:spacing w:after="0" w:line="23" w:lineRule="exact"/>
        <w:rPr>
          <w:sz w:val="20"/>
          <w:szCs w:val="20"/>
          <w:color w:val="auto"/>
        </w:rPr>
      </w:pPr>
    </w:p>
    <w:tbl>
      <w:tblPr>
        <w:tblLayout w:type="fixed"/>
        <w:tblInd w:w="4800" w:type="dxa"/>
        <w:tblCellMar>
          <w:top w:w="0" w:type="dxa"/>
          <w:left w:w="0" w:type="dxa"/>
          <w:bottom w:w="0" w:type="dxa"/>
          <w:right w:w="0" w:type="dxa"/>
        </w:tblCellMar>
      </w:tblPr>
      <w:tr>
        <w:trPr>
          <w:trHeight w:val="222"/>
        </w:trPr>
        <w:tc>
          <w:tcPr>
            <w:tcW w:w="7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Arial" w:cs="Arial" w:eastAsia="Arial" w:hAnsi="Arial"/>
                <w:sz w:val="18"/>
                <w:szCs w:val="18"/>
                <w:color w:val="auto"/>
              </w:rPr>
              <w:t>Michael L. Preston</w:t>
            </w:r>
          </w:p>
        </w:tc>
      </w:tr>
      <w:tr>
        <w:trPr>
          <w:trHeight w:val="216"/>
        </w:trPr>
        <w:tc>
          <w:tcPr>
            <w:tcW w:w="740" w:type="dxa"/>
            <w:vAlign w:val="bottom"/>
          </w:tcPr>
          <w:p>
            <w:pPr>
              <w:ind w:left="20"/>
              <w:spacing w:after="0"/>
              <w:rPr>
                <w:sz w:val="20"/>
                <w:szCs w:val="20"/>
                <w:color w:val="auto"/>
              </w:rPr>
            </w:pPr>
            <w:r>
              <w:rPr>
                <w:rFonts w:ascii="Arial" w:cs="Arial" w:eastAsia="Arial" w:hAnsi="Arial"/>
                <w:sz w:val="18"/>
                <w:szCs w:val="18"/>
                <w:color w:val="auto"/>
              </w:rPr>
              <w:t>Title:</w:t>
            </w:r>
          </w:p>
        </w:tc>
        <w:tc>
          <w:tcPr>
            <w:tcW w:w="5700" w:type="dxa"/>
            <w:vAlign w:val="bottom"/>
          </w:tcPr>
          <w:p>
            <w:pPr>
              <w:ind w:left="240"/>
              <w:spacing w:after="0"/>
              <w:rPr>
                <w:sz w:val="20"/>
                <w:szCs w:val="20"/>
                <w:color w:val="auto"/>
              </w:rPr>
            </w:pPr>
            <w:r>
              <w:rPr>
                <w:rFonts w:ascii="Arial" w:cs="Arial" w:eastAsia="Arial" w:hAnsi="Arial"/>
                <w:sz w:val="18"/>
                <w:szCs w:val="18"/>
                <w:color w:val="auto"/>
                <w:w w:val="92"/>
              </w:rPr>
              <w:t>Senior Executive Vice President, Chief Administrative Officer and General</w:t>
            </w:r>
          </w:p>
        </w:tc>
      </w:tr>
      <w:tr>
        <w:trPr>
          <w:trHeight w:val="230"/>
        </w:trPr>
        <w:tc>
          <w:tcPr>
            <w:tcW w:w="740" w:type="dxa"/>
            <w:vAlign w:val="bottom"/>
          </w:tcPr>
          <w:p>
            <w:pPr>
              <w:spacing w:after="0"/>
              <w:rPr>
                <w:sz w:val="20"/>
                <w:szCs w:val="20"/>
                <w:color w:val="auto"/>
              </w:rPr>
            </w:pPr>
          </w:p>
        </w:tc>
        <w:tc>
          <w:tcPr>
            <w:tcW w:w="5700" w:type="dxa"/>
            <w:vAlign w:val="bottom"/>
          </w:tcPr>
          <w:p>
            <w:pPr>
              <w:ind w:left="240"/>
              <w:spacing w:after="0"/>
              <w:rPr>
                <w:sz w:val="20"/>
                <w:szCs w:val="20"/>
                <w:color w:val="auto"/>
              </w:rPr>
            </w:pPr>
            <w:r>
              <w:rPr>
                <w:rFonts w:ascii="Arial" w:cs="Arial" w:eastAsia="Arial" w:hAnsi="Arial"/>
                <w:sz w:val="18"/>
                <w:szCs w:val="18"/>
                <w:color w:val="auto"/>
              </w:rPr>
              <w:t>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DATED: May 13, 2021</w:t>
      </w:r>
    </w:p>
    <w:p>
      <w:pPr>
        <w:sectPr>
          <w:pgSz w:w="11900" w:h="16838" w:orient="portrait"/>
          <w:cols w:equalWidth="0" w:num="1">
            <w:col w:w="11240"/>
          </w:cols>
          <w:pgMar w:left="320" w:top="141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732155</wp:posOffset>
            </wp:positionV>
            <wp:extent cx="202311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65785"/>
                    </a:xfrm>
                    <a:prstGeom prst="rect">
                      <a:avLst/>
                    </a:prstGeom>
                    <a:noFill/>
                  </pic:spPr>
                </pic:pic>
              </a:graphicData>
            </a:graphic>
          </wp:anchor>
        </w:drawing>
      </w: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California Resources Corporation Announces First Quarter 2021 Results</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and $150 Million Share Repurchase Program</w:t>
      </w:r>
    </w:p>
    <w:p>
      <w:pPr>
        <w:spacing w:after="0" w:line="233"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Santa Clarita, May 13, 2021 - California Resources Corporation (NYSE: CRC), an independent oil and natural gas exploration and production company, today reported first quarter 2021 operational and financial results.</w:t>
      </w:r>
    </w:p>
    <w:p>
      <w:pPr>
        <w:spacing w:after="0" w:line="227" w:lineRule="exact"/>
        <w:rPr>
          <w:sz w:val="20"/>
          <w:szCs w:val="20"/>
          <w:color w:val="auto"/>
        </w:rPr>
      </w:pPr>
    </w:p>
    <w:p>
      <w:pPr>
        <w:jc w:val="both"/>
        <w:ind w:firstLine="324"/>
        <w:spacing w:after="0" w:line="224" w:lineRule="auto"/>
        <w:rPr>
          <w:sz w:val="20"/>
          <w:szCs w:val="20"/>
          <w:color w:val="auto"/>
        </w:rPr>
      </w:pPr>
      <w:r>
        <w:rPr>
          <w:rFonts w:ascii="Arial" w:cs="Arial" w:eastAsia="Arial" w:hAnsi="Arial"/>
          <w:sz w:val="22"/>
          <w:szCs w:val="22"/>
          <w:color w:val="auto"/>
        </w:rPr>
        <w:t>“CRC delivered on its strategy with strong first quarter results while maintaining solid environmental and safety records,” said Mac McFarland, President and Chief Executive Officer. "Given the positive first quarter results, supported by the previously announced capital structure simplification through a senior debt offering and the recent amendment to our Revolving Credit Facility, CRC’s Board of Directors authorized a $150 million Share Repurchase Program. This promising step underpins our robust financial fundamentals which are further strengthened by CRC's 2021 projected free cash flow</w:t>
      </w:r>
      <w:r>
        <w:rPr>
          <w:rFonts w:ascii="Arial" w:cs="Arial" w:eastAsia="Arial" w:hAnsi="Arial"/>
          <w:sz w:val="28"/>
          <w:szCs w:val="28"/>
          <w:color w:val="auto"/>
          <w:vertAlign w:val="superscript"/>
        </w:rPr>
        <w:t>1</w:t>
      </w:r>
      <w:r>
        <w:rPr>
          <w:rFonts w:ascii="Arial" w:cs="Arial" w:eastAsia="Arial" w:hAnsi="Arial"/>
          <w:sz w:val="22"/>
          <w:szCs w:val="22"/>
          <w:color w:val="auto"/>
        </w:rPr>
        <w:t>. As CRC is tracking to the high end of 2021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guidance, we will look for additional ways to return capital to our shareholders as the year progresses.”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2021 Highlights</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Financial</w:t>
      </w:r>
    </w:p>
    <w:p>
      <w:pPr>
        <w:spacing w:after="0" w:line="17" w:lineRule="exact"/>
        <w:rPr>
          <w:sz w:val="20"/>
          <w:szCs w:val="20"/>
          <w:color w:val="auto"/>
        </w:rPr>
      </w:pPr>
    </w:p>
    <w:p>
      <w:pPr>
        <w:ind w:left="340" w:hanging="211"/>
        <w:spacing w:after="0" w:line="219"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Reported a net loss attributable to common stock of $94 million, or $1.13 per diluted share.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$102 million, or $1.22 per diluted share</w:t>
      </w:r>
    </w:p>
    <w:p>
      <w:pPr>
        <w:ind w:left="280" w:hanging="151"/>
        <w:spacing w:after="0" w:line="191" w:lineRule="auto"/>
        <w:tabs>
          <w:tab w:leader="none" w:pos="280"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$189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$120 million</w:t>
      </w:r>
    </w:p>
    <w:p>
      <w:pPr>
        <w:ind w:left="340" w:hanging="211"/>
        <w:spacing w:after="0" w:line="214"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Reaffirmed 2021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guidance and optimized CRC investment dollars by shifting $15 million from drilling and completions to downhole maintenance projects which provide efficiencies and faster payouts</w:t>
      </w:r>
    </w:p>
    <w:p>
      <w:pPr>
        <w:ind w:left="280" w:hanging="151"/>
        <w:spacing w:after="0" w:line="191" w:lineRule="auto"/>
        <w:tabs>
          <w:tab w:leader="none" w:pos="280" w:val="left"/>
        </w:tabs>
        <w:numPr>
          <w:ilvl w:val="0"/>
          <w:numId w:val="3"/>
        </w:numPr>
        <w:rPr>
          <w:rFonts w:ascii="Arial" w:cs="Arial" w:eastAsia="Arial" w:hAnsi="Arial"/>
          <w:sz w:val="22"/>
          <w:szCs w:val="22"/>
          <w:color w:val="auto"/>
        </w:rPr>
      </w:pPr>
      <w:r>
        <w:rPr>
          <w:rFonts w:ascii="Arial" w:cs="Arial" w:eastAsia="Arial" w:hAnsi="Arial"/>
          <w:sz w:val="22"/>
          <w:szCs w:val="22"/>
          <w:color w:val="auto"/>
        </w:rPr>
        <w:t>Closed the quarter with $130 million of cash on hand, an undrawn credit facility and $545 million of liquidity</w:t>
      </w:r>
      <w:r>
        <w:rPr>
          <w:rFonts w:ascii="Arial" w:cs="Arial" w:eastAsia="Arial" w:hAnsi="Arial"/>
          <w:sz w:val="28"/>
          <w:szCs w:val="28"/>
          <w:color w:val="auto"/>
          <w:vertAlign w:val="superscript"/>
        </w:rPr>
        <w:t>2</w:t>
      </w:r>
    </w:p>
    <w:p>
      <w:pPr>
        <w:ind w:left="280" w:hanging="151"/>
        <w:spacing w:after="0"/>
        <w:tabs>
          <w:tab w:leader="none" w:pos="280" w:val="left"/>
        </w:tabs>
        <w:numPr>
          <w:ilvl w:val="0"/>
          <w:numId w:val="3"/>
        </w:numPr>
        <w:rPr>
          <w:rFonts w:ascii="Arial" w:cs="Arial" w:eastAsia="Arial" w:hAnsi="Arial"/>
          <w:sz w:val="22"/>
          <w:szCs w:val="22"/>
          <w:color w:val="auto"/>
        </w:rPr>
      </w:pPr>
      <w:r>
        <w:rPr>
          <w:rFonts w:ascii="Arial" w:cs="Arial" w:eastAsia="Arial" w:hAnsi="Arial"/>
          <w:sz w:val="22"/>
          <w:szCs w:val="22"/>
          <w:color w:val="auto"/>
        </w:rPr>
        <w:t>Simplified CRC's capital structure with a senior unsecured $600 million debt offering</w:t>
      </w:r>
    </w:p>
    <w:p>
      <w:pPr>
        <w:spacing w:after="0" w:line="3" w:lineRule="exact"/>
        <w:rPr>
          <w:rFonts w:ascii="Arial" w:cs="Arial" w:eastAsia="Arial" w:hAnsi="Arial"/>
          <w:sz w:val="22"/>
          <w:szCs w:val="22"/>
          <w:color w:val="auto"/>
        </w:rPr>
      </w:pPr>
    </w:p>
    <w:p>
      <w:pPr>
        <w:jc w:val="both"/>
        <w:ind w:left="340" w:hanging="211"/>
        <w:spacing w:after="0" w:line="243"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Subsequent to quarter end, signed an amendment to its Revolving Credit Facility which provides CRC with additional strategic flexibility with regard to returning capital to shareholders and to future hedging levels, and completed the borrowing base review which set the borrowing base at $1.2 billion</w:t>
      </w:r>
    </w:p>
    <w:p>
      <w:pPr>
        <w:spacing w:after="0" w:line="1" w:lineRule="exact"/>
        <w:rPr>
          <w:rFonts w:ascii="Arial" w:cs="Arial" w:eastAsia="Arial" w:hAnsi="Arial"/>
          <w:sz w:val="22"/>
          <w:szCs w:val="22"/>
          <w:color w:val="auto"/>
        </w:rPr>
      </w:pPr>
    </w:p>
    <w:p>
      <w:pPr>
        <w:ind w:left="340" w:right="20" w:hanging="211"/>
        <w:spacing w:after="0" w:line="243"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Quarterly operating costs were $164 million and general and administrative (G&amp;A) expenses were $48 million, a reduction of 15% and 20%, respectively, as compared to 1Q20</w:t>
      </w:r>
    </w:p>
    <w:p>
      <w:pPr>
        <w:ind w:left="340" w:right="20" w:hanging="211"/>
        <w:spacing w:after="0" w:line="249" w:lineRule="auto"/>
        <w:tabs>
          <w:tab w:leader="none" w:pos="281" w:val="left"/>
        </w:tabs>
        <w:numPr>
          <w:ilvl w:val="0"/>
          <w:numId w:val="3"/>
        </w:numPr>
        <w:rPr>
          <w:rFonts w:ascii="Arial" w:cs="Arial" w:eastAsia="Arial" w:hAnsi="Arial"/>
          <w:sz w:val="22"/>
          <w:szCs w:val="22"/>
          <w:color w:val="auto"/>
        </w:rPr>
      </w:pPr>
      <w:r>
        <w:rPr>
          <w:rFonts w:ascii="Arial" w:cs="Arial" w:eastAsia="Arial" w:hAnsi="Arial"/>
          <w:sz w:val="22"/>
          <w:szCs w:val="22"/>
          <w:color w:val="auto"/>
        </w:rPr>
        <w:t>Generated net cash provided by operating activities of $147 million with quarterly capital expenditures of $27 million</w:t>
      </w:r>
    </w:p>
    <w:p>
      <w:pPr>
        <w:spacing w:after="0" w:line="245" w:lineRule="exact"/>
        <w:rPr>
          <w:sz w:val="20"/>
          <w:szCs w:val="20"/>
          <w:color w:val="auto"/>
        </w:rPr>
      </w:pPr>
    </w:p>
    <w:p>
      <w:pPr>
        <w:ind w:left="280" w:hanging="151"/>
        <w:spacing w:after="0"/>
        <w:tabs>
          <w:tab w:leader="none" w:pos="280" w:val="left"/>
        </w:tabs>
        <w:numPr>
          <w:ilvl w:val="0"/>
          <w:numId w:val="4"/>
        </w:numPr>
        <w:rPr>
          <w:rFonts w:ascii="Arial" w:cs="Arial" w:eastAsia="Arial" w:hAnsi="Arial"/>
          <w:sz w:val="21"/>
          <w:szCs w:val="21"/>
          <w:color w:val="auto"/>
        </w:rPr>
      </w:pPr>
      <w:r>
        <w:rPr>
          <w:rFonts w:ascii="Arial" w:cs="Arial" w:eastAsia="Arial" w:hAnsi="Arial"/>
          <w:sz w:val="21"/>
          <w:szCs w:val="21"/>
          <w:color w:val="auto"/>
        </w:rPr>
        <w:t>Produced an average of 99,000 net barrels of oil equivalent (BOE) per day, including 60,000 barrels per day of oil</w:t>
      </w:r>
    </w:p>
    <w:p>
      <w:pPr>
        <w:spacing w:after="0" w:line="15" w:lineRule="exact"/>
        <w:rPr>
          <w:rFonts w:ascii="Arial" w:cs="Arial" w:eastAsia="Arial" w:hAnsi="Arial"/>
          <w:sz w:val="21"/>
          <w:szCs w:val="21"/>
          <w:color w:val="auto"/>
        </w:rPr>
      </w:pPr>
    </w:p>
    <w:p>
      <w:pPr>
        <w:ind w:left="280" w:hanging="151"/>
        <w:spacing w:after="0"/>
        <w:tabs>
          <w:tab w:leader="none" w:pos="280" w:val="left"/>
        </w:tabs>
        <w:numPr>
          <w:ilvl w:val="0"/>
          <w:numId w:val="4"/>
        </w:numPr>
        <w:rPr>
          <w:rFonts w:ascii="Arial" w:cs="Arial" w:eastAsia="Arial" w:hAnsi="Arial"/>
          <w:sz w:val="22"/>
          <w:szCs w:val="22"/>
          <w:color w:val="auto"/>
        </w:rPr>
      </w:pPr>
      <w:r>
        <w:rPr>
          <w:rFonts w:ascii="Arial" w:cs="Arial" w:eastAsia="Arial" w:hAnsi="Arial"/>
          <w:sz w:val="22"/>
          <w:szCs w:val="22"/>
          <w:color w:val="auto"/>
        </w:rPr>
        <w:t>Maintained industry leading HSE standards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 w:name="page6"/>
    <w:bookmarkEnd w:id="5"/>
    <w:p>
      <w:pPr>
        <w:ind w:left="340" w:hanging="211"/>
        <w:spacing w:after="0" w:line="249" w:lineRule="auto"/>
        <w:tabs>
          <w:tab w:leader="none" w:pos="281" w:val="left"/>
        </w:tabs>
        <w:numPr>
          <w:ilvl w:val="0"/>
          <w:numId w:val="5"/>
        </w:numPr>
        <w:rPr>
          <w:rFonts w:ascii="Arial" w:cs="Arial" w:eastAsia="Arial" w:hAnsi="Arial"/>
          <w:sz w:val="22"/>
          <w:szCs w:val="22"/>
          <w:color w:val="auto"/>
        </w:rPr>
      </w:pPr>
      <w:r>
        <w:rPr>
          <w:rFonts w:ascii="Arial" w:cs="Arial" w:eastAsia="Arial" w:hAnsi="Arial"/>
          <w:sz w:val="22"/>
          <w:szCs w:val="22"/>
          <w:color w:val="auto"/>
        </w:rPr>
        <w:t>Operated one drilling rig in the San Joaquin Basin; operated 30 maintenance rigs; drilled 17 wells (15 online in 1Q21, final two online in 2Q21); and completed 40 capital workovers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2021 Guidance</w:t>
      </w:r>
    </w:p>
    <w:p>
      <w:pPr>
        <w:spacing w:after="0" w:line="260" w:lineRule="exact"/>
        <w:rPr>
          <w:sz w:val="20"/>
          <w:szCs w:val="20"/>
          <w:color w:val="auto"/>
        </w:rPr>
      </w:pPr>
    </w:p>
    <w:p>
      <w:pPr>
        <w:jc w:val="both"/>
        <w:ind w:firstLine="324"/>
        <w:spacing w:after="0" w:line="241" w:lineRule="auto"/>
        <w:rPr>
          <w:sz w:val="20"/>
          <w:szCs w:val="20"/>
          <w:color w:val="auto"/>
        </w:rPr>
      </w:pPr>
      <w:r>
        <w:rPr>
          <w:rFonts w:ascii="Arial" w:cs="Arial" w:eastAsia="Arial" w:hAnsi="Arial"/>
          <w:sz w:val="21"/>
          <w:szCs w:val="21"/>
          <w:color w:val="auto"/>
        </w:rPr>
        <w:t>Given the strength of the first quarter results, CRC reaffirmed previously issued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guidance of $250 to $350 million and it sees 2021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trending towards the high end of the stated guidance range. Recognizing capital efficiency improvements and faster payouts on downhole maintenance projects, CRC revised its operating and capital guidance by shifting $15 million of drilling and completions capital to these opportunities. CRC made $27 million of capital investments in the first quarter of 2021. The current capital program anticipates CRC to gradually increase quarterly investment throughout the year if the commodity environment continues to strengthen. If commodity prices decline significantly from current levels, CRC may need to adjust its capital program in response to market conditions. The Company's capital program will be dynamic in response to oil market volatility while focusing on maintaining its oil production, strong liquidity and maximizing its free cash flow.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637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06374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158750</wp:posOffset>
            </wp:positionV>
            <wp:extent cx="70637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063740" cy="8255"/>
                    </a:xfrm>
                    <a:prstGeom prst="rect">
                      <a:avLst/>
                    </a:prstGeom>
                    <a:noFill/>
                  </pic:spPr>
                </pic:pic>
              </a:graphicData>
            </a:graphic>
          </wp:anchor>
        </w:drawing>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1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2021E TOTAL YEAR GUIDANCE</w:t>
            </w:r>
          </w:p>
        </w:tc>
        <w:tc>
          <w:tcPr>
            <w:tcW w:w="340" w:type="dxa"/>
            <w:vAlign w:val="bottom"/>
          </w:tcPr>
          <w:p>
            <w:pPr>
              <w:spacing w:after="0"/>
              <w:rPr>
                <w:sz w:val="16"/>
                <w:szCs w:val="16"/>
                <w:color w:val="auto"/>
              </w:rPr>
            </w:pPr>
          </w:p>
        </w:tc>
        <w:tc>
          <w:tcPr>
            <w:tcW w:w="162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Total Year 2021E</w:t>
            </w:r>
          </w:p>
        </w:tc>
      </w:tr>
      <w:tr>
        <w:trPr>
          <w:trHeight w:val="425"/>
        </w:trPr>
        <w:tc>
          <w:tcPr>
            <w:tcW w:w="9520" w:type="dxa"/>
            <w:vAlign w:val="bottom"/>
            <w:gridSpan w:val="2"/>
          </w:tcPr>
          <w:p>
            <w:pPr>
              <w:ind w:left="140"/>
              <w:spacing w:after="0"/>
              <w:rPr>
                <w:sz w:val="20"/>
                <w:szCs w:val="20"/>
                <w:color w:val="auto"/>
              </w:rPr>
            </w:pPr>
            <w:r>
              <w:rPr>
                <w:rFonts w:ascii="Arial" w:cs="Arial" w:eastAsia="Arial" w:hAnsi="Arial"/>
                <w:sz w:val="14"/>
                <w:szCs w:val="14"/>
                <w:color w:val="auto"/>
              </w:rPr>
              <w:t>Total Production (Mboe/d)</w:t>
            </w:r>
          </w:p>
        </w:tc>
        <w:tc>
          <w:tcPr>
            <w:tcW w:w="760" w:type="dxa"/>
            <w:vAlign w:val="bottom"/>
          </w:tcPr>
          <w:p>
            <w:pPr>
              <w:jc w:val="right"/>
              <w:spacing w:after="0"/>
              <w:rPr>
                <w:sz w:val="20"/>
                <w:szCs w:val="20"/>
                <w:color w:val="auto"/>
              </w:rPr>
            </w:pPr>
            <w:r>
              <w:rPr>
                <w:rFonts w:ascii="Arial" w:cs="Arial" w:eastAsia="Arial" w:hAnsi="Arial"/>
                <w:sz w:val="14"/>
                <w:szCs w:val="14"/>
                <w:color w:val="auto"/>
              </w:rPr>
              <w:t>96</w:t>
            </w:r>
          </w:p>
        </w:tc>
        <w:tc>
          <w:tcPr>
            <w:tcW w:w="860" w:type="dxa"/>
            <w:vAlign w:val="bottom"/>
          </w:tcPr>
          <w:p>
            <w:pPr>
              <w:ind w:left="20"/>
              <w:spacing w:after="0"/>
              <w:rPr>
                <w:sz w:val="20"/>
                <w:szCs w:val="20"/>
                <w:color w:val="auto"/>
              </w:rPr>
            </w:pPr>
            <w:r>
              <w:rPr>
                <w:rFonts w:ascii="Arial" w:cs="Arial" w:eastAsia="Arial" w:hAnsi="Arial"/>
                <w:sz w:val="14"/>
                <w:szCs w:val="14"/>
                <w:color w:val="auto"/>
              </w:rPr>
              <w:t>- 99</w:t>
            </w:r>
          </w:p>
        </w:tc>
      </w:tr>
      <w:tr>
        <w:trPr>
          <w:trHeight w:val="189"/>
        </w:trPr>
        <w:tc>
          <w:tcPr>
            <w:tcW w:w="9520" w:type="dxa"/>
            <w:vAlign w:val="bottom"/>
            <w:gridSpan w:val="2"/>
            <w:shd w:val="clear" w:color="auto" w:fill="DBDBDB"/>
          </w:tcPr>
          <w:p>
            <w:pPr>
              <w:ind w:left="140"/>
              <w:spacing w:after="0"/>
              <w:rPr>
                <w:sz w:val="20"/>
                <w:szCs w:val="20"/>
                <w:color w:val="auto"/>
              </w:rPr>
            </w:pPr>
            <w:r>
              <w:rPr>
                <w:rFonts w:ascii="Arial" w:cs="Arial" w:eastAsia="Arial" w:hAnsi="Arial"/>
                <w:sz w:val="14"/>
                <w:szCs w:val="14"/>
                <w:color w:val="auto"/>
              </w:rPr>
              <w:t>Oil Production (Mbo/d)</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60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- 62</w:t>
            </w:r>
          </w:p>
        </w:tc>
      </w:tr>
      <w:tr>
        <w:trPr>
          <w:trHeight w:val="189"/>
        </w:trPr>
        <w:tc>
          <w:tcPr>
            <w:tcW w:w="952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$615</w:t>
            </w:r>
          </w:p>
        </w:tc>
        <w:tc>
          <w:tcPr>
            <w:tcW w:w="860" w:type="dxa"/>
            <w:vAlign w:val="bottom"/>
          </w:tcPr>
          <w:p>
            <w:pPr>
              <w:ind w:left="20"/>
              <w:spacing w:after="0"/>
              <w:rPr>
                <w:sz w:val="20"/>
                <w:szCs w:val="20"/>
                <w:color w:val="auto"/>
              </w:rPr>
            </w:pPr>
            <w:r>
              <w:rPr>
                <w:rFonts w:ascii="Arial" w:cs="Arial" w:eastAsia="Arial" w:hAnsi="Arial"/>
                <w:sz w:val="14"/>
                <w:szCs w:val="14"/>
                <w:color w:val="auto"/>
              </w:rPr>
              <w:t>- $630</w:t>
            </w:r>
          </w:p>
        </w:tc>
      </w:tr>
      <w:tr>
        <w:trPr>
          <w:trHeight w:val="189"/>
        </w:trPr>
        <w:tc>
          <w:tcPr>
            <w:tcW w:w="9520" w:type="dxa"/>
            <w:vAlign w:val="bottom"/>
            <w:gridSpan w:val="2"/>
            <w:shd w:val="clear" w:color="auto" w:fill="DBDBDB"/>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$180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$190</w:t>
            </w:r>
          </w:p>
        </w:tc>
      </w:tr>
      <w:tr>
        <w:trPr>
          <w:trHeight w:val="189"/>
        </w:trPr>
        <w:tc>
          <w:tcPr>
            <w:tcW w:w="9520" w:type="dxa"/>
            <w:vAlign w:val="bottom"/>
            <w:gridSpan w:val="2"/>
          </w:tcPr>
          <w:p>
            <w:pPr>
              <w:ind w:left="140"/>
              <w:spacing w:after="0"/>
              <w:rPr>
                <w:sz w:val="20"/>
                <w:szCs w:val="20"/>
                <w:color w:val="auto"/>
              </w:rPr>
            </w:pPr>
            <w:r>
              <w:rPr>
                <w:rFonts w:ascii="Arial" w:cs="Arial" w:eastAsia="Arial" w:hAnsi="Arial"/>
                <w:sz w:val="14"/>
                <w:szCs w:val="14"/>
                <w:color w:val="auto"/>
              </w:rPr>
              <w:t>Capital ($ millions)</w:t>
            </w:r>
          </w:p>
        </w:tc>
        <w:tc>
          <w:tcPr>
            <w:tcW w:w="760" w:type="dxa"/>
            <w:vAlign w:val="bottom"/>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$210</w:t>
            </w:r>
          </w:p>
        </w:tc>
      </w:tr>
      <w:tr>
        <w:trPr>
          <w:trHeight w:val="189"/>
        </w:trPr>
        <w:tc>
          <w:tcPr>
            <w:tcW w:w="9520" w:type="dxa"/>
            <w:vAlign w:val="bottom"/>
            <w:gridSpan w:val="2"/>
            <w:shd w:val="clear" w:color="auto" w:fill="DBDBDB"/>
          </w:tcPr>
          <w:p>
            <w:pPr>
              <w:ind w:left="140"/>
              <w:spacing w:after="0" w:line="189" w:lineRule="exact"/>
              <w:rPr>
                <w:sz w:val="20"/>
                <w:szCs w:val="20"/>
                <w:color w:val="auto"/>
              </w:rPr>
            </w:pPr>
            <w:r>
              <w:rPr>
                <w:rFonts w:ascii="Arial" w:cs="Arial" w:eastAsia="Arial" w:hAnsi="Arial"/>
                <w:sz w:val="14"/>
                <w:szCs w:val="14"/>
                <w:color w:val="auto"/>
              </w:rPr>
              <w:t>Free cash flow ($ millions)</w:t>
            </w:r>
            <w:r>
              <w:rPr>
                <w:rFonts w:ascii="Arial" w:cs="Arial" w:eastAsia="Arial" w:hAnsi="Arial"/>
                <w:sz w:val="18"/>
                <w:szCs w:val="18"/>
                <w:color w:val="auto"/>
                <w:vertAlign w:val="superscript"/>
              </w:rPr>
              <w:t>1</w:t>
            </w:r>
          </w:p>
        </w:tc>
        <w:tc>
          <w:tcPr>
            <w:tcW w:w="760" w:type="dxa"/>
            <w:vAlign w:val="bottom"/>
            <w:shd w:val="clear" w:color="auto" w:fill="DBDBDB"/>
          </w:tcPr>
          <w:p>
            <w:pPr>
              <w:jc w:val="right"/>
              <w:spacing w:after="0"/>
              <w:rPr>
                <w:sz w:val="20"/>
                <w:szCs w:val="20"/>
                <w:color w:val="auto"/>
              </w:rPr>
            </w:pPr>
            <w:r>
              <w:rPr>
                <w:rFonts w:ascii="Arial" w:cs="Arial" w:eastAsia="Arial" w:hAnsi="Arial"/>
                <w:sz w:val="14"/>
                <w:szCs w:val="14"/>
                <w:color w:val="auto"/>
              </w:rPr>
              <w:t>$250</w:t>
            </w:r>
          </w:p>
        </w:tc>
        <w:tc>
          <w:tcPr>
            <w:tcW w:w="860" w:type="dxa"/>
            <w:vAlign w:val="bottom"/>
            <w:shd w:val="clear" w:color="auto" w:fill="DBDBDB"/>
          </w:tcPr>
          <w:p>
            <w:pPr>
              <w:ind w:left="20"/>
              <w:spacing w:after="0"/>
              <w:rPr>
                <w:sz w:val="20"/>
                <w:szCs w:val="20"/>
                <w:color w:val="auto"/>
              </w:rPr>
            </w:pPr>
            <w:r>
              <w:rPr>
                <w:rFonts w:ascii="Arial" w:cs="Arial" w:eastAsia="Arial" w:hAnsi="Arial"/>
                <w:sz w:val="14"/>
                <w:szCs w:val="14"/>
                <w:color w:val="auto"/>
              </w:rPr>
              <w:t>- $350</w:t>
            </w:r>
          </w:p>
        </w:tc>
      </w:tr>
    </w:tbl>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Initiating a Share Repurchase Program</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May 2021, CRC's Board of Directors authorized a Share Repurchase Program (SRP) to acquire up to $150 million of CRC's common stock through March 31, 2022. The repurchases may be affected from time-to-time through open market purchases, privately negotiated transactions, Rule 10b5-1 plans, accelerated stock repurchases, derivative contracts or otherwise in compliance with Rule 10b-18, subject to market conditions. The SRP does not obligate CRC to repurchase any dollar amount or number of shares and CRC's Board of Directors may modify, suspend, or discontinue authorization of the program at any time. The Share Repurchase Program expires on March 31, 2022.</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Sustainability Update</w:t>
      </w:r>
    </w:p>
    <w:p>
      <w:pPr>
        <w:spacing w:after="0" w:line="259" w:lineRule="exact"/>
        <w:rPr>
          <w:sz w:val="20"/>
          <w:szCs w:val="20"/>
          <w:color w:val="auto"/>
        </w:rPr>
      </w:pPr>
    </w:p>
    <w:p>
      <w:pPr>
        <w:jc w:val="both"/>
        <w:ind w:firstLine="324"/>
        <w:spacing w:after="0" w:line="245" w:lineRule="auto"/>
        <w:rPr>
          <w:sz w:val="20"/>
          <w:szCs w:val="20"/>
          <w:color w:val="auto"/>
        </w:rPr>
      </w:pPr>
      <w:r>
        <w:rPr>
          <w:rFonts w:ascii="Arial" w:cs="Arial" w:eastAsia="Arial" w:hAnsi="Arial"/>
          <w:sz w:val="21"/>
          <w:szCs w:val="21"/>
          <w:color w:val="auto"/>
        </w:rPr>
        <w:t>CRC remains dedicated to environmental stewardship and will continue to deliver on its 2030 Sustainability Goals. Given significant progress on CRC's Water and Methane goals, management and the Board are reviewing the current ESG initiatives to enhance them with a strengthened decarbonization strategy. This review will focus particularly on actionable energy transition opportunities including carbon capture, utilization and storage (CCUS), solar power and other renewable projects. The Company expects to provide additional details about this approach next quarter.</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916" w:right="339" w:bottom="1440" w:gutter="0" w:footer="0" w:header="0"/>
        </w:sectPr>
      </w:pPr>
    </w:p>
    <w:bookmarkStart w:id="6" w:name="page7"/>
    <w:bookmarkEnd w:id="6"/>
    <w:p>
      <w:pPr>
        <w:jc w:val="both"/>
        <w:ind w:firstLine="324"/>
        <w:spacing w:after="0" w:line="233" w:lineRule="auto"/>
        <w:rPr>
          <w:sz w:val="20"/>
          <w:szCs w:val="20"/>
          <w:color w:val="auto"/>
        </w:rPr>
      </w:pPr>
      <w:r>
        <w:rPr>
          <w:rFonts w:ascii="Arial" w:cs="Arial" w:eastAsia="Arial" w:hAnsi="Arial"/>
          <w:sz w:val="22"/>
          <w:szCs w:val="22"/>
          <w:color w:val="auto"/>
        </w:rPr>
        <w:t>Underscoring CRC’s commitment to safe and responsible production, the Company’s ESG performance and progress on its 2030 Sustainability Goals, which align with California’s climate goals toward carbon neutrality in accordance with the Paris Climate Accord, are directly tied to the performance-based compensation of its executives, senior managers and employees. The Board, through its Operations and Sustainability Committee, will continue to highlight, monitor and provide guidance to CRC's efforts to serve as a responsible steward of California’s natural resources, safeguard people and the environment, and advance California’s long-term goals.</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Fresh Start Accounting and Predecessor and Successor Periods</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Upon emergence from Chapter 11 bankruptcy proceedings on October 27, 2020, CRC adopted and applied fresh start accounting at which point we became a new entity for financial reporting purposes. We adopted an accounting convenience date of October 31, 2020 for the application of fresh start accounting. As a result of the application of fresh start accounting and the effects of the implementation of the plan of reorganization, the financial statements after October 31, 2020 may not be comparable to the financial statements prior to that date. References to "Predecessor” refer to the Company for periods ended on or prior to October 31, 2020 and references to “Successor” refer to the Company for periods subsequent to October 31, 2020.</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First Quarter 2021 Results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Borders>
              <w:top w:val="single" w:sz="8" w:color="DBDBDB"/>
              <w:bottom w:val="single" w:sz="8" w:color="DBDBDB"/>
            </w:tcBorders>
            <w:shd w:val="clear" w:color="auto" w:fill="DBDBDB"/>
          </w:tcPr>
          <w:p>
            <w:pPr>
              <w:spacing w:after="0"/>
              <w:rPr>
                <w:sz w:val="17"/>
                <w:szCs w:val="17"/>
                <w:color w:val="auto"/>
              </w:rPr>
            </w:pPr>
          </w:p>
        </w:tc>
        <w:tc>
          <w:tcPr>
            <w:tcW w:w="1120" w:type="dxa"/>
            <w:vAlign w:val="bottom"/>
            <w:tcBorders>
              <w:top w:val="single" w:sz="8" w:color="DBDBDB"/>
              <w:bottom w:val="single" w:sz="8" w:color="DBDBDB"/>
            </w:tcBorders>
            <w:shd w:val="clear" w:color="auto" w:fill="DBDBDB"/>
          </w:tcPr>
          <w:p>
            <w:pPr>
              <w:spacing w:after="0"/>
              <w:rPr>
                <w:sz w:val="17"/>
                <w:szCs w:val="17"/>
                <w:color w:val="auto"/>
              </w:rPr>
            </w:pPr>
          </w:p>
        </w:tc>
        <w:tc>
          <w:tcPr>
            <w:tcW w:w="680" w:type="dxa"/>
            <w:vAlign w:val="bottom"/>
            <w:tcBorders>
              <w:top w:val="single" w:sz="8" w:color="DBDBDB"/>
              <w:bottom w:val="single" w:sz="8" w:color="DBDBDB"/>
            </w:tcBorders>
            <w:shd w:val="clear" w:color="auto" w:fill="DBDBDB"/>
          </w:tcPr>
          <w:p>
            <w:pPr>
              <w:spacing w:after="0"/>
              <w:rPr>
                <w:sz w:val="17"/>
                <w:szCs w:val="17"/>
                <w:color w:val="auto"/>
              </w:rPr>
            </w:pPr>
          </w:p>
        </w:tc>
        <w:tc>
          <w:tcPr>
            <w:tcW w:w="6700" w:type="dxa"/>
            <w:vAlign w:val="bottom"/>
            <w:tcBorders>
              <w:top w:val="single" w:sz="8" w:color="DBDBDB"/>
              <w:bottom w:val="single" w:sz="8" w:color="DBDBDB"/>
            </w:tcBorders>
            <w:shd w:val="clear" w:color="auto" w:fill="DBDBDB"/>
          </w:tcPr>
          <w:p>
            <w:pPr>
              <w:spacing w:after="0"/>
              <w:rPr>
                <w:sz w:val="17"/>
                <w:szCs w:val="17"/>
                <w:color w:val="auto"/>
              </w:rPr>
            </w:pPr>
          </w:p>
        </w:tc>
        <w:tc>
          <w:tcPr>
            <w:tcW w:w="20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940" w:type="dxa"/>
            <w:vAlign w:val="bottom"/>
            <w:tcBorders>
              <w:top w:val="single" w:sz="8" w:color="auto"/>
              <w:bottom w:val="single" w:sz="8" w:color="auto"/>
            </w:tcBorders>
            <w:gridSpan w:val="2"/>
            <w:shd w:val="clear" w:color="auto" w:fill="DBDBDB"/>
          </w:tcPr>
          <w:p>
            <w:pPr>
              <w:jc w:val="center"/>
              <w:ind w:right="100"/>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top w:val="single" w:sz="8" w:color="DBDBDB"/>
              <w:bottom w:val="single" w:sz="8" w:color="DBDBDB"/>
              <w:right w:val="single" w:sz="8" w:color="DBDBDB"/>
            </w:tcBorders>
            <w:shd w:val="clear" w:color="auto" w:fill="DBDBDB"/>
          </w:tcPr>
          <w:p>
            <w:pPr>
              <w:spacing w:after="0"/>
              <w:rPr>
                <w:sz w:val="17"/>
                <w:szCs w:val="17"/>
                <w:color w:val="auto"/>
              </w:rPr>
            </w:pP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67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40" w:type="dxa"/>
            <w:vAlign w:val="bottom"/>
            <w:gridSpan w:val="2"/>
            <w:shd w:val="clear" w:color="auto" w:fill="DBDBDB"/>
          </w:tcPr>
          <w:p>
            <w:pPr>
              <w:jc w:val="center"/>
              <w:ind w:right="10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Borders>
              <w:right w:val="single" w:sz="8" w:color="DBDBDB"/>
            </w:tcBorders>
            <w:shd w:val="clear" w:color="auto" w:fill="DBDBDB"/>
          </w:tcPr>
          <w:p>
            <w:pPr>
              <w:spacing w:after="0"/>
              <w:rPr>
                <w:sz w:val="15"/>
                <w:szCs w:val="15"/>
                <w:color w:val="auto"/>
              </w:rPr>
            </w:pP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1st Quarter</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DBDBDB"/>
          </w:tcPr>
          <w:p>
            <w:pPr>
              <w:spacing w:after="0"/>
              <w:rPr>
                <w:sz w:val="16"/>
                <w:szCs w:val="16"/>
                <w:color w:val="auto"/>
              </w:rPr>
            </w:pPr>
          </w:p>
        </w:tc>
        <w:tc>
          <w:tcPr>
            <w:tcW w:w="850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and shares in millions, except per share amounts)</w:t>
            </w:r>
          </w:p>
        </w:tc>
        <w:tc>
          <w:tcPr>
            <w:tcW w:w="2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center"/>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auto"/>
            </w:tcBorders>
            <w:shd w:val="clear" w:color="auto" w:fill="DBDBDB"/>
          </w:tcPr>
          <w:p>
            <w:pPr>
              <w:spacing w:after="0"/>
              <w:rPr>
                <w:sz w:val="16"/>
                <w:szCs w:val="16"/>
                <w:color w:val="auto"/>
              </w:rPr>
            </w:pPr>
          </w:p>
        </w:tc>
        <w:tc>
          <w:tcPr>
            <w:tcW w:w="180" w:type="dxa"/>
            <w:vAlign w:val="bottom"/>
            <w:tcBorders>
              <w:right w:val="single" w:sz="8" w:color="DBDBDB"/>
            </w:tcBorders>
            <w:shd w:val="clear" w:color="auto" w:fill="DBDBDB"/>
          </w:tcPr>
          <w:p>
            <w:pPr>
              <w:spacing w:after="0"/>
              <w:rPr>
                <w:sz w:val="16"/>
                <w:szCs w:val="16"/>
                <w:color w:val="auto"/>
              </w:rPr>
            </w:pP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850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Borders>
              <w:bottom w:val="single" w:sz="8" w:color="DBDBDB"/>
            </w:tcBorders>
          </w:tcPr>
          <w:p>
            <w:pPr>
              <w:spacing w:after="0"/>
              <w:rPr>
                <w:sz w:val="17"/>
                <w:szCs w:val="17"/>
                <w:color w:val="auto"/>
              </w:rPr>
            </w:pPr>
          </w:p>
        </w:tc>
        <w:tc>
          <w:tcPr>
            <w:tcW w:w="1800" w:type="dxa"/>
            <w:vAlign w:val="bottom"/>
            <w:tcBorders>
              <w:top w:val="single" w:sz="8" w:color="auto"/>
              <w:bottom w:val="single" w:sz="8" w:color="DBDBDB"/>
            </w:tcBorders>
            <w:gridSpan w:val="2"/>
          </w:tcPr>
          <w:p>
            <w:pPr>
              <w:spacing w:after="0"/>
              <w:rPr>
                <w:sz w:val="20"/>
                <w:szCs w:val="20"/>
                <w:color w:val="auto"/>
              </w:rPr>
            </w:pPr>
            <w:r>
              <w:rPr>
                <w:rFonts w:ascii="Arial" w:cs="Arial" w:eastAsia="Arial" w:hAnsi="Arial"/>
                <w:sz w:val="14"/>
                <w:szCs w:val="14"/>
                <w:b w:val="1"/>
                <w:bCs w:val="1"/>
                <w:color w:val="auto"/>
              </w:rPr>
              <w:t>Revenues</w:t>
            </w:r>
          </w:p>
        </w:tc>
        <w:tc>
          <w:tcPr>
            <w:tcW w:w="6700" w:type="dxa"/>
            <w:vAlign w:val="bottom"/>
            <w:tcBorders>
              <w:bottom w:val="single" w:sz="8" w:color="DBDBDB"/>
            </w:tcBorders>
          </w:tcPr>
          <w:p>
            <w:pPr>
              <w:spacing w:after="0"/>
              <w:rPr>
                <w:sz w:val="17"/>
                <w:szCs w:val="17"/>
                <w:color w:val="auto"/>
              </w:rPr>
            </w:pPr>
          </w:p>
        </w:tc>
        <w:tc>
          <w:tcPr>
            <w:tcW w:w="20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Borders>
              <w:bottom w:val="single" w:sz="8" w:color="DBDBDB"/>
            </w:tcBorders>
          </w:tcPr>
          <w:p>
            <w:pPr>
              <w:spacing w:after="0"/>
              <w:rPr>
                <w:sz w:val="17"/>
                <w:szCs w:val="17"/>
                <w:color w:val="auto"/>
              </w:rPr>
            </w:pPr>
          </w:p>
        </w:tc>
        <w:tc>
          <w:tcPr>
            <w:tcW w:w="120" w:type="dxa"/>
            <w:vAlign w:val="bottom"/>
            <w:tcBorders>
              <w:bottom w:val="single" w:sz="8" w:color="DBDBDB"/>
              <w:right w:val="single" w:sz="8" w:color="auto"/>
            </w:tcBorders>
          </w:tcPr>
          <w:p>
            <w:pPr>
              <w:spacing w:after="0"/>
              <w:rPr>
                <w:sz w:val="17"/>
                <w:szCs w:val="17"/>
                <w:color w:val="auto"/>
              </w:rPr>
            </w:pPr>
          </w:p>
        </w:tc>
        <w:tc>
          <w:tcPr>
            <w:tcW w:w="60" w:type="dxa"/>
            <w:vAlign w:val="bottom"/>
            <w:tcBorders>
              <w:bottom w:val="single" w:sz="8" w:color="DBDBDB"/>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850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revenues</w:t>
            </w:r>
          </w:p>
        </w:tc>
        <w:tc>
          <w:tcPr>
            <w:tcW w:w="20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363</w:t>
            </w:r>
          </w:p>
        </w:tc>
        <w:tc>
          <w:tcPr>
            <w:tcW w:w="180" w:type="dxa"/>
            <w:vAlign w:val="bottom"/>
            <w:tcBorders>
              <w:right w:val="single" w:sz="8" w:color="DBDBDB"/>
            </w:tcBorders>
            <w:shd w:val="clear" w:color="auto" w:fill="DBDBDB"/>
          </w:tcPr>
          <w:p>
            <w:pPr>
              <w:spacing w:after="0"/>
              <w:rPr>
                <w:sz w:val="15"/>
                <w:szCs w:val="15"/>
                <w:color w:val="auto"/>
              </w:rPr>
            </w:pP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77"/>
        </w:trPr>
        <w:tc>
          <w:tcPr>
            <w:tcW w:w="20" w:type="dxa"/>
            <w:vAlign w:val="bottom"/>
            <w:tcBorders>
              <w:bottom w:val="single" w:sz="8" w:color="DBDBDB"/>
            </w:tcBorders>
          </w:tcPr>
          <w:p>
            <w:pPr>
              <w:spacing w:after="0"/>
              <w:rPr>
                <w:sz w:val="24"/>
                <w:szCs w:val="24"/>
                <w:color w:val="auto"/>
              </w:rPr>
            </w:pPr>
          </w:p>
        </w:tc>
        <w:tc>
          <w:tcPr>
            <w:tcW w:w="85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b w:val="1"/>
                <w:bCs w:val="1"/>
                <w:color w:val="auto"/>
              </w:rPr>
              <w:t>Costs and Other</w:t>
            </w:r>
          </w:p>
        </w:tc>
        <w:tc>
          <w:tcPr>
            <w:tcW w:w="200" w:type="dxa"/>
            <w:vAlign w:val="bottom"/>
            <w:tcBorders>
              <w:bottom w:val="single" w:sz="8" w:color="DBDBDB"/>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right w:val="single" w:sz="8" w:color="auto"/>
            </w:tcBorders>
          </w:tcPr>
          <w:p>
            <w:pPr>
              <w:spacing w:after="0"/>
              <w:rPr>
                <w:sz w:val="24"/>
                <w:szCs w:val="24"/>
                <w:color w:val="auto"/>
              </w:rPr>
            </w:pPr>
          </w:p>
        </w:tc>
        <w:tc>
          <w:tcPr>
            <w:tcW w:w="60" w:type="dxa"/>
            <w:vAlign w:val="bottom"/>
            <w:tcBorders>
              <w:bottom w:val="single" w:sz="8" w:color="DBDBDB"/>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8500" w:type="dxa"/>
            <w:vAlign w:val="bottom"/>
            <w:gridSpan w:val="3"/>
            <w:shd w:val="clear" w:color="auto" w:fill="DBDBDB"/>
          </w:tcPr>
          <w:p>
            <w:pPr>
              <w:ind w:left="200"/>
              <w:spacing w:after="0"/>
              <w:rPr>
                <w:sz w:val="20"/>
                <w:szCs w:val="20"/>
                <w:color w:val="auto"/>
              </w:rPr>
            </w:pPr>
            <w:r>
              <w:rPr>
                <w:rFonts w:ascii="Arial" w:cs="Arial" w:eastAsia="Arial" w:hAnsi="Arial"/>
                <w:sz w:val="14"/>
                <w:szCs w:val="14"/>
                <w:color w:val="auto"/>
              </w:rPr>
              <w:t>Total costs and other</w:t>
            </w:r>
          </w:p>
        </w:tc>
        <w:tc>
          <w:tcPr>
            <w:tcW w:w="20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40" w:type="dxa"/>
            <w:vAlign w:val="bottom"/>
            <w:tcBorders>
              <w:bottom w:val="single" w:sz="8" w:color="auto"/>
            </w:tcBorders>
            <w:gridSpan w:val="2"/>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436</w:t>
            </w:r>
          </w:p>
        </w:tc>
        <w:tc>
          <w:tcPr>
            <w:tcW w:w="180" w:type="dxa"/>
            <w:vAlign w:val="bottom"/>
            <w:tcBorders>
              <w:right w:val="single" w:sz="8" w:color="DBDBDB"/>
            </w:tcBorders>
            <w:shd w:val="clear" w:color="auto" w:fill="DBDBDB"/>
          </w:tcPr>
          <w:p>
            <w:pPr>
              <w:spacing w:after="0"/>
              <w:rPr>
                <w:sz w:val="15"/>
                <w:szCs w:val="15"/>
                <w:color w:val="auto"/>
              </w:rPr>
            </w:pP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20" w:type="dxa"/>
            <w:vAlign w:val="bottom"/>
            <w:tcBorders>
              <w:bottom w:val="single" w:sz="8" w:color="auto"/>
            </w:tcBorders>
            <w:shd w:val="clear" w:color="auto" w:fill="DBDBDB"/>
          </w:tcPr>
          <w:p>
            <w:pPr>
              <w:spacing w:after="0"/>
              <w:rPr>
                <w:sz w:val="15"/>
                <w:szCs w:val="15"/>
                <w:color w:val="auto"/>
              </w:rPr>
            </w:pP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2,222</w:t>
            </w:r>
          </w:p>
        </w:tc>
        <w:tc>
          <w:tcPr>
            <w:tcW w:w="0" w:type="dxa"/>
            <w:vAlign w:val="bottom"/>
          </w:tcPr>
          <w:p>
            <w:pPr>
              <w:spacing w:after="0"/>
              <w:rPr>
                <w:sz w:val="1"/>
                <w:szCs w:val="1"/>
                <w:color w:val="auto"/>
              </w:rPr>
            </w:pPr>
          </w:p>
        </w:tc>
      </w:tr>
      <w:tr>
        <w:trPr>
          <w:trHeight w:val="183"/>
        </w:trPr>
        <w:tc>
          <w:tcPr>
            <w:tcW w:w="20" w:type="dxa"/>
            <w:vAlign w:val="bottom"/>
            <w:tcBorders>
              <w:bottom w:val="single" w:sz="8" w:color="DBDBDB"/>
            </w:tcBorders>
          </w:tcPr>
          <w:p>
            <w:pPr>
              <w:spacing w:after="0"/>
              <w:rPr>
                <w:sz w:val="15"/>
                <w:szCs w:val="15"/>
                <w:color w:val="auto"/>
              </w:rPr>
            </w:pPr>
          </w:p>
        </w:tc>
        <w:tc>
          <w:tcPr>
            <w:tcW w:w="8500" w:type="dxa"/>
            <w:vAlign w:val="bottom"/>
            <w:tcBorders>
              <w:bottom w:val="single" w:sz="8" w:color="DBDBDB"/>
            </w:tcBorders>
            <w:gridSpan w:val="3"/>
          </w:tcPr>
          <w:p>
            <w:pPr>
              <w:spacing w:after="0"/>
              <w:rPr>
                <w:sz w:val="20"/>
                <w:szCs w:val="20"/>
                <w:color w:val="auto"/>
              </w:rPr>
            </w:pPr>
            <w:r>
              <w:rPr>
                <w:rFonts w:ascii="Arial" w:cs="Arial" w:eastAsia="Arial" w:hAnsi="Arial"/>
                <w:sz w:val="14"/>
                <w:szCs w:val="14"/>
                <w:b w:val="1"/>
                <w:bCs w:val="1"/>
                <w:color w:val="auto"/>
              </w:rPr>
              <w:t>Operating Loss</w:t>
            </w:r>
          </w:p>
        </w:tc>
        <w:tc>
          <w:tcPr>
            <w:tcW w:w="20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(73)</w:t>
            </w:r>
          </w:p>
        </w:tc>
        <w:tc>
          <w:tcPr>
            <w:tcW w:w="180" w:type="dxa"/>
            <w:vAlign w:val="bottom"/>
            <w:tcBorders>
              <w:bottom w:val="single" w:sz="8" w:color="DBDBDB"/>
            </w:tcBorders>
          </w:tcPr>
          <w:p>
            <w:pPr>
              <w:spacing w:after="0"/>
              <w:rPr>
                <w:sz w:val="15"/>
                <w:szCs w:val="15"/>
                <w:color w:val="auto"/>
              </w:rPr>
            </w:pPr>
          </w:p>
        </w:tc>
        <w:tc>
          <w:tcPr>
            <w:tcW w:w="120" w:type="dxa"/>
            <w:vAlign w:val="bottom"/>
            <w:tcBorders>
              <w:bottom w:val="single" w:sz="8" w:color="DBDBDB"/>
              <w:right w:val="single" w:sz="8" w:color="auto"/>
            </w:tcBorders>
          </w:tcPr>
          <w:p>
            <w:pPr>
              <w:spacing w:after="0"/>
              <w:rPr>
                <w:sz w:val="15"/>
                <w:szCs w:val="15"/>
                <w:color w:val="auto"/>
              </w:rPr>
            </w:pPr>
          </w:p>
        </w:tc>
        <w:tc>
          <w:tcPr>
            <w:tcW w:w="60" w:type="dxa"/>
            <w:vAlign w:val="bottom"/>
            <w:tcBorders>
              <w:bottom w:val="single" w:sz="8" w:color="DBDBDB"/>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(1,649)</w:t>
            </w:r>
          </w:p>
        </w:tc>
        <w:tc>
          <w:tcPr>
            <w:tcW w:w="0" w:type="dxa"/>
            <w:vAlign w:val="bottom"/>
          </w:tcPr>
          <w:p>
            <w:pPr>
              <w:spacing w:after="0"/>
              <w:rPr>
                <w:sz w:val="1"/>
                <w:szCs w:val="1"/>
                <w:color w:val="auto"/>
              </w:rPr>
            </w:pPr>
          </w:p>
        </w:tc>
      </w:tr>
      <w:tr>
        <w:trPr>
          <w:trHeight w:val="203"/>
        </w:trPr>
        <w:tc>
          <w:tcPr>
            <w:tcW w:w="20" w:type="dxa"/>
            <w:vAlign w:val="bottom"/>
            <w:tcBorders>
              <w:bottom w:val="single" w:sz="8" w:color="DBDBDB"/>
            </w:tcBorders>
            <w:shd w:val="clear" w:color="auto" w:fill="DBDBDB"/>
          </w:tcPr>
          <w:p>
            <w:pPr>
              <w:spacing w:after="0"/>
              <w:rPr>
                <w:sz w:val="17"/>
                <w:szCs w:val="17"/>
                <w:color w:val="auto"/>
              </w:rPr>
            </w:pPr>
          </w:p>
        </w:tc>
        <w:tc>
          <w:tcPr>
            <w:tcW w:w="8500" w:type="dxa"/>
            <w:vAlign w:val="bottom"/>
            <w:tcBorders>
              <w:bottom w:val="single" w:sz="8" w:color="DBDBDB"/>
            </w:tcBorders>
            <w:gridSpan w:val="3"/>
            <w:shd w:val="clear" w:color="auto" w:fill="DBDBDB"/>
          </w:tcPr>
          <w:p>
            <w:pPr>
              <w:spacing w:after="0"/>
              <w:rPr>
                <w:sz w:val="20"/>
                <w:szCs w:val="20"/>
                <w:color w:val="auto"/>
              </w:rPr>
            </w:pPr>
            <w:r>
              <w:rPr>
                <w:rFonts w:ascii="Arial" w:cs="Arial" w:eastAsia="Arial" w:hAnsi="Arial"/>
                <w:sz w:val="14"/>
                <w:szCs w:val="14"/>
                <w:b w:val="1"/>
                <w:bCs w:val="1"/>
                <w:color w:val="auto"/>
              </w:rPr>
              <w:t>Net Loss Attributable to Common Stock</w:t>
            </w:r>
          </w:p>
        </w:tc>
        <w:tc>
          <w:tcPr>
            <w:tcW w:w="20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gridSpan w:val="2"/>
            <w:shd w:val="clear" w:color="auto" w:fill="DBDBDB"/>
          </w:tcPr>
          <w:p>
            <w:pPr>
              <w:jc w:val="right"/>
              <w:ind w:right="20"/>
              <w:spacing w:after="0"/>
              <w:rPr>
                <w:sz w:val="20"/>
                <w:szCs w:val="20"/>
                <w:color w:val="auto"/>
              </w:rPr>
            </w:pPr>
            <w:r>
              <w:rPr>
                <w:rFonts w:ascii="Arial" w:cs="Arial" w:eastAsia="Arial" w:hAnsi="Arial"/>
                <w:sz w:val="14"/>
                <w:szCs w:val="14"/>
                <w:b w:val="1"/>
                <w:bCs w:val="1"/>
                <w:color w:val="auto"/>
              </w:rPr>
              <w:t>(94)</w:t>
            </w:r>
          </w:p>
        </w:tc>
        <w:tc>
          <w:tcPr>
            <w:tcW w:w="180" w:type="dxa"/>
            <w:vAlign w:val="bottom"/>
            <w:tcBorders>
              <w:bottom w:val="single" w:sz="8" w:color="DBDBDB"/>
              <w:right w:val="single" w:sz="8" w:color="DBDBDB"/>
            </w:tcBorders>
            <w:shd w:val="clear" w:color="auto" w:fill="DBDBDB"/>
          </w:tcPr>
          <w:p>
            <w:pPr>
              <w:spacing w:after="0"/>
              <w:rPr>
                <w:sz w:val="17"/>
                <w:szCs w:val="17"/>
                <w:color w:val="auto"/>
              </w:rPr>
            </w:pPr>
          </w:p>
        </w:tc>
        <w:tc>
          <w:tcPr>
            <w:tcW w:w="120" w:type="dxa"/>
            <w:vAlign w:val="bottom"/>
            <w:tcBorders>
              <w:bottom w:val="single" w:sz="8" w:color="DBDBDB"/>
              <w:right w:val="single" w:sz="8" w:color="auto"/>
            </w:tcBorders>
            <w:shd w:val="clear" w:color="auto" w:fill="DBDBDB"/>
          </w:tcPr>
          <w:p>
            <w:pPr>
              <w:spacing w:after="0"/>
              <w:rPr>
                <w:sz w:val="17"/>
                <w:szCs w:val="17"/>
                <w:color w:val="auto"/>
              </w:rPr>
            </w:pPr>
          </w:p>
        </w:tc>
        <w:tc>
          <w:tcPr>
            <w:tcW w:w="60" w:type="dxa"/>
            <w:vAlign w:val="bottom"/>
            <w:tcBorders>
              <w:bottom w:val="single" w:sz="8" w:color="DBDBDB"/>
            </w:tcBorders>
            <w:shd w:val="clear" w:color="auto" w:fill="DBDBDB"/>
          </w:tcPr>
          <w:p>
            <w:pPr>
              <w:spacing w:after="0"/>
              <w:rPr>
                <w:sz w:val="17"/>
                <w:szCs w:val="17"/>
                <w:color w:val="auto"/>
              </w:rPr>
            </w:pPr>
          </w:p>
        </w:tc>
        <w:tc>
          <w:tcPr>
            <w:tcW w:w="12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(1,796)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0" w:type="dxa"/>
            <w:vAlign w:val="bottom"/>
          </w:tcPr>
          <w:p>
            <w:pPr>
              <w:spacing w:after="0"/>
              <w:rPr>
                <w:sz w:val="21"/>
                <w:szCs w:val="21"/>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Net loss attributable to common stock per share - basic and diluted</w:t>
            </w:r>
          </w:p>
        </w:tc>
        <w:tc>
          <w:tcPr>
            <w:tcW w:w="3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(1.13)</w:t>
            </w:r>
          </w:p>
        </w:tc>
        <w:tc>
          <w:tcPr>
            <w:tcW w:w="180" w:type="dxa"/>
            <w:vAlign w:val="bottom"/>
          </w:tcPr>
          <w:p>
            <w:pPr>
              <w:spacing w:after="0"/>
              <w:rPr>
                <w:sz w:val="21"/>
                <w:szCs w:val="21"/>
                <w:color w:val="auto"/>
              </w:rPr>
            </w:pPr>
          </w:p>
        </w:tc>
        <w:tc>
          <w:tcPr>
            <w:tcW w:w="120" w:type="dxa"/>
            <w:vAlign w:val="bottom"/>
            <w:tcBorders>
              <w:right w:val="single" w:sz="8" w:color="auto"/>
            </w:tcBorders>
          </w:tcPr>
          <w:p>
            <w:pPr>
              <w:spacing w:after="0"/>
              <w:rPr>
                <w:sz w:val="21"/>
                <w:szCs w:val="21"/>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(36.43)</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850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Adjusted net income (loss)</w:t>
            </w:r>
          </w:p>
        </w:tc>
        <w:tc>
          <w:tcPr>
            <w:tcW w:w="320" w:type="dxa"/>
            <w:vAlign w:val="bottom"/>
            <w:gridSpan w:val="2"/>
            <w:shd w:val="clear" w:color="auto" w:fill="DBDBDB"/>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102</w:t>
            </w:r>
          </w:p>
        </w:tc>
        <w:tc>
          <w:tcPr>
            <w:tcW w:w="180" w:type="dxa"/>
            <w:vAlign w:val="bottom"/>
            <w:tcBorders>
              <w:right w:val="single" w:sz="8" w:color="DBDBDB"/>
            </w:tcBorders>
            <w:shd w:val="clear" w:color="auto" w:fill="DBDBDB"/>
          </w:tcPr>
          <w:p>
            <w:pPr>
              <w:spacing w:after="0"/>
              <w:rPr>
                <w:sz w:val="16"/>
                <w:szCs w:val="16"/>
                <w:color w:val="auto"/>
              </w:rPr>
            </w:pPr>
          </w:p>
        </w:tc>
        <w:tc>
          <w:tcPr>
            <w:tcW w:w="120" w:type="dxa"/>
            <w:vAlign w:val="bottom"/>
            <w:tcBorders>
              <w:right w:val="single" w:sz="8" w:color="auto"/>
            </w:tcBorders>
            <w:shd w:val="clear" w:color="auto" w:fill="DBDBDB"/>
          </w:tcPr>
          <w:p>
            <w:pPr>
              <w:spacing w:after="0"/>
              <w:rPr>
                <w:sz w:val="16"/>
                <w:szCs w:val="16"/>
                <w:color w:val="auto"/>
              </w:rPr>
            </w:pPr>
          </w:p>
        </w:tc>
        <w:tc>
          <w:tcPr>
            <w:tcW w:w="180" w:type="dxa"/>
            <w:vAlign w:val="bottom"/>
            <w:gridSpan w:val="2"/>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Adjusted net income (loss) per share - basic and diluted</w:t>
            </w:r>
          </w:p>
        </w:tc>
        <w:tc>
          <w:tcPr>
            <w:tcW w:w="3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1.22</w:t>
            </w: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850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Weighted-average common shares outstanding - basic and diluted</w:t>
            </w:r>
          </w:p>
        </w:tc>
        <w:tc>
          <w:tcPr>
            <w:tcW w:w="20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40" w:type="dxa"/>
            <w:vAlign w:val="bottom"/>
            <w:gridSpan w:val="2"/>
            <w:shd w:val="clear" w:color="auto" w:fill="DBDBDB"/>
          </w:tcPr>
          <w:p>
            <w:pPr>
              <w:jc w:val="right"/>
              <w:ind w:right="60"/>
              <w:spacing w:after="0"/>
              <w:rPr>
                <w:sz w:val="20"/>
                <w:szCs w:val="20"/>
                <w:color w:val="auto"/>
              </w:rPr>
            </w:pPr>
            <w:r>
              <w:rPr>
                <w:rFonts w:ascii="Arial" w:cs="Arial" w:eastAsia="Arial" w:hAnsi="Arial"/>
                <w:sz w:val="14"/>
                <w:szCs w:val="14"/>
                <w:b w:val="1"/>
                <w:bCs w:val="1"/>
                <w:color w:val="auto"/>
              </w:rPr>
              <w:t>83.3</w:t>
            </w:r>
          </w:p>
        </w:tc>
        <w:tc>
          <w:tcPr>
            <w:tcW w:w="180" w:type="dxa"/>
            <w:vAlign w:val="bottom"/>
            <w:tcBorders>
              <w:right w:val="single" w:sz="8" w:color="DBDBDB"/>
            </w:tcBorders>
            <w:shd w:val="clear" w:color="auto" w:fill="DBDBDB"/>
          </w:tcPr>
          <w:p>
            <w:pPr>
              <w:spacing w:after="0"/>
              <w:rPr>
                <w:sz w:val="16"/>
                <w:szCs w:val="16"/>
                <w:color w:val="auto"/>
              </w:rPr>
            </w:pP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49.3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320" w:type="dxa"/>
            <w:vAlign w:val="bottom"/>
            <w:gridSpan w:val="2"/>
          </w:tcPr>
          <w:p>
            <w:pPr>
              <w:ind w:left="220"/>
              <w:spacing w:after="0"/>
              <w:rPr>
                <w:sz w:val="20"/>
                <w:szCs w:val="20"/>
                <w:color w:val="auto"/>
              </w:rPr>
            </w:pPr>
            <w:r>
              <w:rPr>
                <w:rFonts w:ascii="Arial" w:cs="Arial" w:eastAsia="Arial" w:hAnsi="Arial"/>
                <w:sz w:val="14"/>
                <w:szCs w:val="14"/>
                <w:b w:val="1"/>
                <w:bCs w:val="1"/>
                <w:color w:val="auto"/>
              </w:rPr>
              <w:t>$</w:t>
            </w:r>
          </w:p>
        </w:tc>
        <w:tc>
          <w:tcPr>
            <w:tcW w:w="9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189</w:t>
            </w:r>
          </w:p>
        </w:tc>
        <w:tc>
          <w:tcPr>
            <w:tcW w:w="18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8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378"/>
        </w:trPr>
        <w:tc>
          <w:tcPr>
            <w:tcW w:w="20" w:type="dxa"/>
            <w:vAlign w:val="bottom"/>
            <w:tcBorders>
              <w:bottom w:val="single" w:sz="8" w:color="DBDBDB"/>
            </w:tcBorders>
          </w:tcPr>
          <w:p>
            <w:pPr>
              <w:spacing w:after="0"/>
              <w:rPr>
                <w:sz w:val="24"/>
                <w:szCs w:val="24"/>
                <w:color w:val="auto"/>
              </w:rPr>
            </w:pPr>
          </w:p>
        </w:tc>
        <w:tc>
          <w:tcPr>
            <w:tcW w:w="1120" w:type="dxa"/>
            <w:vAlign w:val="bottom"/>
            <w:tcBorders>
              <w:bottom w:val="single" w:sz="8" w:color="DBDBDB"/>
            </w:tcBorders>
          </w:tcPr>
          <w:p>
            <w:pPr>
              <w:spacing w:after="0"/>
              <w:rPr>
                <w:sz w:val="24"/>
                <w:szCs w:val="24"/>
                <w:color w:val="auto"/>
              </w:rPr>
            </w:pPr>
          </w:p>
        </w:tc>
        <w:tc>
          <w:tcPr>
            <w:tcW w:w="680" w:type="dxa"/>
            <w:vAlign w:val="bottom"/>
            <w:tcBorders>
              <w:bottom w:val="single" w:sz="8" w:color="DBDBDB"/>
            </w:tcBorders>
          </w:tcPr>
          <w:p>
            <w:pPr>
              <w:spacing w:after="0"/>
              <w:rPr>
                <w:sz w:val="24"/>
                <w:szCs w:val="24"/>
                <w:color w:val="auto"/>
              </w:rPr>
            </w:pPr>
          </w:p>
        </w:tc>
        <w:tc>
          <w:tcPr>
            <w:tcW w:w="6700" w:type="dxa"/>
            <w:vAlign w:val="bottom"/>
            <w:tcBorders>
              <w:bottom w:val="single" w:sz="8" w:color="DBDBDB"/>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gridSpan w:val="2"/>
          </w:tcPr>
          <w:p>
            <w:pPr>
              <w:spacing w:after="0"/>
              <w:rPr>
                <w:sz w:val="24"/>
                <w:szCs w:val="24"/>
                <w:color w:val="auto"/>
              </w:rPr>
            </w:pPr>
          </w:p>
        </w:tc>
        <w:tc>
          <w:tcPr>
            <w:tcW w:w="80" w:type="dxa"/>
            <w:vAlign w:val="bottom"/>
            <w:tcBorders>
              <w:bottom w:val="single" w:sz="8" w:color="DBDBDB"/>
            </w:tcBorders>
          </w:tcPr>
          <w:p>
            <w:pPr>
              <w:spacing w:after="0"/>
              <w:rPr>
                <w:sz w:val="24"/>
                <w:szCs w:val="24"/>
                <w:color w:val="auto"/>
              </w:rPr>
            </w:pPr>
          </w:p>
        </w:tc>
        <w:tc>
          <w:tcPr>
            <w:tcW w:w="180" w:type="dxa"/>
            <w:vAlign w:val="bottom"/>
            <w:tcBorders>
              <w:bottom w:val="single" w:sz="8" w:color="DBDBDB"/>
            </w:tcBorders>
          </w:tcPr>
          <w:p>
            <w:pPr>
              <w:spacing w:after="0"/>
              <w:rPr>
                <w:sz w:val="24"/>
                <w:szCs w:val="24"/>
                <w:color w:val="auto"/>
              </w:rPr>
            </w:pPr>
          </w:p>
        </w:tc>
        <w:tc>
          <w:tcPr>
            <w:tcW w:w="120" w:type="dxa"/>
            <w:vAlign w:val="bottom"/>
            <w:tcBorders>
              <w:bottom w:val="single" w:sz="8" w:color="DBDBDB"/>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DBDBDB"/>
          </w:tcPr>
          <w:p>
            <w:pPr>
              <w:spacing w:after="0"/>
              <w:rPr>
                <w:sz w:val="15"/>
                <w:szCs w:val="15"/>
                <w:color w:val="auto"/>
              </w:rPr>
            </w:pPr>
          </w:p>
        </w:tc>
        <w:tc>
          <w:tcPr>
            <w:tcW w:w="1120" w:type="dxa"/>
            <w:vAlign w:val="bottom"/>
            <w:shd w:val="clear" w:color="auto" w:fill="DBDBDB"/>
          </w:tcPr>
          <w:p>
            <w:pPr>
              <w:spacing w:after="0"/>
              <w:rPr>
                <w:sz w:val="15"/>
                <w:szCs w:val="15"/>
                <w:color w:val="auto"/>
              </w:rPr>
            </w:pPr>
          </w:p>
        </w:tc>
        <w:tc>
          <w:tcPr>
            <w:tcW w:w="680" w:type="dxa"/>
            <w:vAlign w:val="bottom"/>
            <w:shd w:val="clear" w:color="auto" w:fill="DBDBDB"/>
          </w:tcPr>
          <w:p>
            <w:pPr>
              <w:spacing w:after="0"/>
              <w:rPr>
                <w:sz w:val="15"/>
                <w:szCs w:val="15"/>
                <w:color w:val="auto"/>
              </w:rPr>
            </w:pPr>
          </w:p>
        </w:tc>
        <w:tc>
          <w:tcPr>
            <w:tcW w:w="6700" w:type="dxa"/>
            <w:vAlign w:val="bottom"/>
            <w:shd w:val="clear" w:color="auto" w:fill="DBDBDB"/>
          </w:tcPr>
          <w:p>
            <w:pPr>
              <w:spacing w:after="0"/>
              <w:rPr>
                <w:sz w:val="15"/>
                <w:szCs w:val="15"/>
                <w:color w:val="auto"/>
              </w:rPr>
            </w:pPr>
          </w:p>
        </w:tc>
        <w:tc>
          <w:tcPr>
            <w:tcW w:w="200" w:type="dxa"/>
            <w:vAlign w:val="bottom"/>
            <w:shd w:val="clear" w:color="auto" w:fill="DBDBDB"/>
          </w:tcPr>
          <w:p>
            <w:pPr>
              <w:spacing w:after="0"/>
              <w:rPr>
                <w:sz w:val="15"/>
                <w:szCs w:val="15"/>
                <w:color w:val="auto"/>
              </w:rPr>
            </w:pPr>
          </w:p>
        </w:tc>
        <w:tc>
          <w:tcPr>
            <w:tcW w:w="1060" w:type="dxa"/>
            <w:vAlign w:val="bottom"/>
            <w:gridSpan w:val="3"/>
            <w:shd w:val="clear" w:color="auto" w:fill="DBDBDB"/>
          </w:tcPr>
          <w:p>
            <w:pPr>
              <w:ind w:left="20"/>
              <w:spacing w:after="0"/>
              <w:rPr>
                <w:sz w:val="20"/>
                <w:szCs w:val="20"/>
                <w:color w:val="auto"/>
              </w:rPr>
            </w:pPr>
            <w:r>
              <w:rPr>
                <w:rFonts w:ascii="Arial" w:cs="Arial" w:eastAsia="Arial" w:hAnsi="Arial"/>
                <w:sz w:val="14"/>
                <w:szCs w:val="14"/>
                <w:b w:val="1"/>
                <w:bCs w:val="1"/>
                <w:color w:val="auto"/>
              </w:rPr>
              <w:t>Successor</w:t>
            </w:r>
          </w:p>
        </w:tc>
        <w:tc>
          <w:tcPr>
            <w:tcW w:w="180" w:type="dxa"/>
            <w:vAlign w:val="bottom"/>
            <w:tcBorders>
              <w:right w:val="single" w:sz="8" w:color="auto"/>
            </w:tcBorders>
            <w:shd w:val="clear" w:color="auto" w:fill="DBDBDB"/>
          </w:tcPr>
          <w:p>
            <w:pPr>
              <w:spacing w:after="0"/>
              <w:rPr>
                <w:sz w:val="15"/>
                <w:szCs w:val="15"/>
                <w:color w:val="auto"/>
              </w:rPr>
            </w:pPr>
          </w:p>
        </w:tc>
        <w:tc>
          <w:tcPr>
            <w:tcW w:w="120" w:type="dxa"/>
            <w:vAlign w:val="bottom"/>
            <w:tcBorders>
              <w:right w:val="single" w:sz="8" w:color="DBDBDB"/>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10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83"/>
        </w:trPr>
        <w:tc>
          <w:tcPr>
            <w:tcW w:w="20" w:type="dxa"/>
            <w:vAlign w:val="bottom"/>
            <w:tcBorders>
              <w:top w:val="single" w:sz="8" w:color="DBDBDB"/>
            </w:tcBorders>
            <w:shd w:val="clear" w:color="auto" w:fill="DBDBDB"/>
          </w:tcPr>
          <w:p>
            <w:pPr>
              <w:spacing w:after="0"/>
              <w:rPr>
                <w:sz w:val="15"/>
                <w:szCs w:val="15"/>
                <w:color w:val="auto"/>
              </w:rPr>
            </w:pPr>
          </w:p>
        </w:tc>
        <w:tc>
          <w:tcPr>
            <w:tcW w:w="1120" w:type="dxa"/>
            <w:vAlign w:val="bottom"/>
            <w:tcBorders>
              <w:top w:val="single" w:sz="8" w:color="DBDBDB"/>
            </w:tcBorders>
            <w:shd w:val="clear" w:color="auto" w:fill="DBDBDB"/>
          </w:tcPr>
          <w:p>
            <w:pPr>
              <w:spacing w:after="0"/>
              <w:rPr>
                <w:sz w:val="15"/>
                <w:szCs w:val="15"/>
                <w:color w:val="auto"/>
              </w:rPr>
            </w:pPr>
          </w:p>
        </w:tc>
        <w:tc>
          <w:tcPr>
            <w:tcW w:w="680" w:type="dxa"/>
            <w:vAlign w:val="bottom"/>
            <w:tcBorders>
              <w:top w:val="single" w:sz="8" w:color="DBDBDB"/>
            </w:tcBorders>
            <w:shd w:val="clear" w:color="auto" w:fill="DBDBDB"/>
          </w:tcPr>
          <w:p>
            <w:pPr>
              <w:spacing w:after="0"/>
              <w:rPr>
                <w:sz w:val="15"/>
                <w:szCs w:val="15"/>
                <w:color w:val="auto"/>
              </w:rPr>
            </w:pPr>
          </w:p>
        </w:tc>
        <w:tc>
          <w:tcPr>
            <w:tcW w:w="6700" w:type="dxa"/>
            <w:vAlign w:val="bottom"/>
            <w:tcBorders>
              <w:top w:val="single" w:sz="8" w:color="DBDBDB"/>
            </w:tcBorders>
            <w:shd w:val="clear" w:color="auto" w:fill="DBDBDB"/>
          </w:tcPr>
          <w:p>
            <w:pPr>
              <w:spacing w:after="0"/>
              <w:rPr>
                <w:sz w:val="15"/>
                <w:szCs w:val="15"/>
                <w:color w:val="auto"/>
              </w:rPr>
            </w:pPr>
          </w:p>
        </w:tc>
        <w:tc>
          <w:tcPr>
            <w:tcW w:w="200" w:type="dxa"/>
            <w:vAlign w:val="bottom"/>
            <w:tcBorders>
              <w:top w:val="single" w:sz="8" w:color="auto"/>
            </w:tcBorders>
            <w:shd w:val="clear" w:color="auto" w:fill="DBDBDB"/>
          </w:tcPr>
          <w:p>
            <w:pPr>
              <w:spacing w:after="0"/>
              <w:rPr>
                <w:sz w:val="15"/>
                <w:szCs w:val="15"/>
                <w:color w:val="auto"/>
              </w:rPr>
            </w:pPr>
          </w:p>
        </w:tc>
        <w:tc>
          <w:tcPr>
            <w:tcW w:w="980" w:type="dxa"/>
            <w:vAlign w:val="bottom"/>
            <w:tcBorders>
              <w:top w:val="single" w:sz="8" w:color="auto"/>
            </w:tcBorders>
            <w:gridSpan w:val="2"/>
            <w:shd w:val="clear" w:color="auto" w:fill="DBDBDB"/>
          </w:tcPr>
          <w:p>
            <w:pPr>
              <w:ind w:left="20"/>
              <w:spacing w:after="0"/>
              <w:rPr>
                <w:sz w:val="20"/>
                <w:szCs w:val="20"/>
                <w:color w:val="auto"/>
              </w:rPr>
            </w:pPr>
            <w:r>
              <w:rPr>
                <w:rFonts w:ascii="Arial" w:cs="Arial" w:eastAsia="Arial" w:hAnsi="Arial"/>
                <w:sz w:val="14"/>
                <w:szCs w:val="14"/>
                <w:b w:val="1"/>
                <w:bCs w:val="1"/>
                <w:color w:val="auto"/>
              </w:rPr>
              <w:t>1st Quarter</w:t>
            </w:r>
          </w:p>
        </w:tc>
        <w:tc>
          <w:tcPr>
            <w:tcW w:w="80" w:type="dxa"/>
            <w:vAlign w:val="bottom"/>
            <w:tcBorders>
              <w:top w:val="single" w:sz="8" w:color="DBDBDB"/>
            </w:tcBorders>
            <w:shd w:val="clear" w:color="auto" w:fill="DBDBDB"/>
          </w:tcPr>
          <w:p>
            <w:pPr>
              <w:spacing w:after="0"/>
              <w:rPr>
                <w:sz w:val="15"/>
                <w:szCs w:val="15"/>
                <w:color w:val="auto"/>
              </w:rPr>
            </w:pPr>
          </w:p>
        </w:tc>
        <w:tc>
          <w:tcPr>
            <w:tcW w:w="180" w:type="dxa"/>
            <w:vAlign w:val="bottom"/>
            <w:tcBorders>
              <w:top w:val="single" w:sz="8" w:color="DBDBDB"/>
              <w:right w:val="single" w:sz="8" w:color="auto"/>
            </w:tcBorders>
            <w:shd w:val="clear" w:color="auto" w:fill="DBDBDB"/>
          </w:tcPr>
          <w:p>
            <w:pPr>
              <w:spacing w:after="0"/>
              <w:rPr>
                <w:sz w:val="15"/>
                <w:szCs w:val="15"/>
                <w:color w:val="auto"/>
              </w:rPr>
            </w:pPr>
          </w:p>
        </w:tc>
        <w:tc>
          <w:tcPr>
            <w:tcW w:w="120" w:type="dxa"/>
            <w:vAlign w:val="bottom"/>
            <w:tcBorders>
              <w:top w:val="single" w:sz="8" w:color="DBDBDB"/>
              <w:right w:val="single" w:sz="8" w:color="DBDBDB"/>
            </w:tcBorders>
            <w:shd w:val="clear" w:color="auto" w:fill="DBDBDB"/>
          </w:tcPr>
          <w:p>
            <w:pPr>
              <w:spacing w:after="0"/>
              <w:rPr>
                <w:sz w:val="15"/>
                <w:szCs w:val="15"/>
                <w:color w:val="auto"/>
              </w:rPr>
            </w:pPr>
          </w:p>
        </w:tc>
        <w:tc>
          <w:tcPr>
            <w:tcW w:w="60" w:type="dxa"/>
            <w:vAlign w:val="bottom"/>
            <w:tcBorders>
              <w:top w:val="single" w:sz="8" w:color="auto"/>
            </w:tcBorders>
            <w:shd w:val="clear" w:color="auto" w:fill="DBDBDB"/>
          </w:tcPr>
          <w:p>
            <w:pPr>
              <w:spacing w:after="0"/>
              <w:rPr>
                <w:sz w:val="15"/>
                <w:szCs w:val="15"/>
                <w:color w:val="auto"/>
              </w:rPr>
            </w:pPr>
          </w:p>
        </w:tc>
        <w:tc>
          <w:tcPr>
            <w:tcW w:w="120" w:type="dxa"/>
            <w:vAlign w:val="bottom"/>
            <w:tcBorders>
              <w:top w:val="single" w:sz="8" w:color="auto"/>
            </w:tcBorders>
            <w:shd w:val="clear" w:color="auto" w:fill="DBDBDB"/>
          </w:tcPr>
          <w:p>
            <w:pPr>
              <w:spacing w:after="0"/>
              <w:rPr>
                <w:sz w:val="15"/>
                <w:szCs w:val="15"/>
                <w:color w:val="auto"/>
              </w:rPr>
            </w:pPr>
          </w:p>
        </w:tc>
        <w:tc>
          <w:tcPr>
            <w:tcW w:w="980" w:type="dxa"/>
            <w:vAlign w:val="bottom"/>
            <w:tcBorders>
              <w:top w:val="single" w:sz="8" w:color="auto"/>
            </w:tcBorders>
            <w:shd w:val="clear" w:color="auto" w:fill="DBDBDB"/>
          </w:tcPr>
          <w:p>
            <w:pPr>
              <w:jc w:val="center"/>
              <w:ind w:right="108"/>
              <w:spacing w:after="0"/>
              <w:rPr>
                <w:sz w:val="20"/>
                <w:szCs w:val="20"/>
                <w:color w:val="auto"/>
              </w:rPr>
            </w:pPr>
            <w:r>
              <w:rPr>
                <w:rFonts w:ascii="Arial" w:cs="Arial" w:eastAsia="Arial" w:hAnsi="Arial"/>
                <w:sz w:val="14"/>
                <w:szCs w:val="14"/>
                <w:color w:val="auto"/>
              </w:rPr>
              <w:t>1st Quarter</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shd w:val="clear" w:color="auto" w:fill="DBDBDB"/>
          </w:tcPr>
          <w:p>
            <w:pPr>
              <w:spacing w:after="0"/>
              <w:rPr>
                <w:sz w:val="16"/>
                <w:szCs w:val="16"/>
                <w:color w:val="auto"/>
              </w:rPr>
            </w:pPr>
          </w:p>
        </w:tc>
        <w:tc>
          <w:tcPr>
            <w:tcW w:w="8500" w:type="dxa"/>
            <w:vAlign w:val="bottom"/>
            <w:tcBorders>
              <w:bottom w:val="single" w:sz="8" w:color="auto"/>
            </w:tcBorders>
            <w:gridSpan w:val="3"/>
            <w:shd w:val="clear" w:color="auto" w:fill="DBDBDB"/>
          </w:tcPr>
          <w:p>
            <w:pPr>
              <w:spacing w:after="0"/>
              <w:rPr>
                <w:sz w:val="20"/>
                <w:szCs w:val="20"/>
                <w:color w:val="auto"/>
              </w:rPr>
            </w:pPr>
            <w:r>
              <w:rPr>
                <w:rFonts w:ascii="Arial" w:cs="Arial" w:eastAsia="Arial" w:hAnsi="Arial"/>
                <w:sz w:val="14"/>
                <w:szCs w:val="14"/>
                <w:color w:val="auto"/>
              </w:rPr>
              <w:t>($ in millions)</w:t>
            </w:r>
          </w:p>
        </w:tc>
        <w:tc>
          <w:tcPr>
            <w:tcW w:w="20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860" w:type="dxa"/>
            <w:vAlign w:val="bottom"/>
            <w:tcBorders>
              <w:bottom w:val="single" w:sz="8" w:color="auto"/>
            </w:tcBorders>
            <w:shd w:val="clear" w:color="auto" w:fill="DBDBDB"/>
          </w:tcPr>
          <w:p>
            <w:pPr>
              <w:jc w:val="right"/>
              <w:ind w:right="348"/>
              <w:spacing w:after="0"/>
              <w:rPr>
                <w:sz w:val="20"/>
                <w:szCs w:val="20"/>
                <w:color w:val="auto"/>
              </w:rPr>
            </w:pPr>
            <w:r>
              <w:rPr>
                <w:rFonts w:ascii="Arial" w:cs="Arial" w:eastAsia="Arial" w:hAnsi="Arial"/>
                <w:sz w:val="14"/>
                <w:szCs w:val="14"/>
                <w:b w:val="1"/>
                <w:bCs w:val="1"/>
                <w:color w:val="auto"/>
              </w:rPr>
              <w:t>2021</w:t>
            </w:r>
          </w:p>
        </w:tc>
        <w:tc>
          <w:tcPr>
            <w:tcW w:w="80" w:type="dxa"/>
            <w:vAlign w:val="bottom"/>
            <w:shd w:val="clear" w:color="auto" w:fill="DBDBDB"/>
          </w:tcPr>
          <w:p>
            <w:pPr>
              <w:spacing w:after="0"/>
              <w:rPr>
                <w:sz w:val="16"/>
                <w:szCs w:val="16"/>
                <w:color w:val="auto"/>
              </w:rPr>
            </w:pPr>
          </w:p>
        </w:tc>
        <w:tc>
          <w:tcPr>
            <w:tcW w:w="180" w:type="dxa"/>
            <w:vAlign w:val="bottom"/>
            <w:tcBorders>
              <w:right w:val="single" w:sz="8" w:color="auto"/>
            </w:tcBorders>
            <w:shd w:val="clear" w:color="auto" w:fill="DBDBDB"/>
          </w:tcPr>
          <w:p>
            <w:pPr>
              <w:spacing w:after="0"/>
              <w:rPr>
                <w:sz w:val="16"/>
                <w:szCs w:val="16"/>
                <w:color w:val="auto"/>
              </w:rPr>
            </w:pPr>
          </w:p>
        </w:tc>
        <w:tc>
          <w:tcPr>
            <w:tcW w:w="120" w:type="dxa"/>
            <w:vAlign w:val="bottom"/>
            <w:tcBorders>
              <w:right w:val="single" w:sz="8" w:color="DBDBDB"/>
            </w:tcBorders>
            <w:shd w:val="clear" w:color="auto" w:fill="DBDBDB"/>
          </w:tcPr>
          <w:p>
            <w:pPr>
              <w:spacing w:after="0"/>
              <w:rPr>
                <w:sz w:val="16"/>
                <w:szCs w:val="16"/>
                <w:color w:val="auto"/>
              </w:rPr>
            </w:pPr>
          </w:p>
        </w:tc>
        <w:tc>
          <w:tcPr>
            <w:tcW w:w="60" w:type="dxa"/>
            <w:vAlign w:val="bottom"/>
            <w:tcBorders>
              <w:bottom w:val="single" w:sz="8" w:color="auto"/>
            </w:tcBorders>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10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500" w:type="dxa"/>
            <w:vAlign w:val="bottom"/>
            <w:gridSpan w:val="3"/>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147</w:t>
            </w:r>
          </w:p>
        </w:tc>
        <w:tc>
          <w:tcPr>
            <w:tcW w:w="8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7380" w:type="dxa"/>
            <w:vAlign w:val="bottom"/>
            <w:gridSpan w:val="2"/>
          </w:tcPr>
          <w:p>
            <w:pPr>
              <w:spacing w:after="0" w:line="20" w:lineRule="exact"/>
              <w:rPr>
                <w:sz w:val="1"/>
                <w:szCs w:val="1"/>
                <w:color w:val="auto"/>
              </w:rPr>
            </w:pPr>
          </w:p>
        </w:tc>
        <w:tc>
          <w:tcPr>
            <w:tcW w:w="20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300" w:type="dxa"/>
            <w:vAlign w:val="bottom"/>
            <w:gridSpan w:val="3"/>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2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right w:val="single" w:sz="8" w:color="auto"/>
            </w:tcBorders>
          </w:tcPr>
          <w:p>
            <w:pPr>
              <w:spacing w:after="0"/>
              <w:rPr>
                <w:sz w:val="17"/>
                <w:szCs w:val="17"/>
                <w:color w:val="auto"/>
              </w:rPr>
            </w:pP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228</w:t>
            </w:r>
          </w:p>
        </w:tc>
        <w:tc>
          <w:tcPr>
            <w:tcW w:w="0" w:type="dxa"/>
            <w:vAlign w:val="bottom"/>
          </w:tcPr>
          <w:p>
            <w:pPr>
              <w:spacing w:after="0"/>
              <w:rPr>
                <w:sz w:val="1"/>
                <w:szCs w:val="1"/>
                <w:color w:val="auto"/>
              </w:rPr>
            </w:pPr>
          </w:p>
        </w:tc>
      </w:tr>
      <w:tr>
        <w:trPr>
          <w:trHeight w:val="189"/>
        </w:trPr>
        <w:tc>
          <w:tcPr>
            <w:tcW w:w="20" w:type="dxa"/>
            <w:vAlign w:val="bottom"/>
            <w:shd w:val="clear" w:color="auto" w:fill="DBDBDB"/>
          </w:tcPr>
          <w:p>
            <w:pPr>
              <w:spacing w:after="0"/>
              <w:rPr>
                <w:sz w:val="16"/>
                <w:szCs w:val="16"/>
                <w:color w:val="auto"/>
              </w:rPr>
            </w:pPr>
          </w:p>
        </w:tc>
        <w:tc>
          <w:tcPr>
            <w:tcW w:w="8500" w:type="dxa"/>
            <w:vAlign w:val="bottom"/>
            <w:gridSpan w:val="3"/>
            <w:shd w:val="clear" w:color="auto" w:fill="DBDBDB"/>
          </w:tcPr>
          <w:p>
            <w:pPr>
              <w:spacing w:after="0"/>
              <w:rPr>
                <w:sz w:val="20"/>
                <w:szCs w:val="20"/>
                <w:color w:val="auto"/>
              </w:rPr>
            </w:pPr>
            <w:r>
              <w:rPr>
                <w:rFonts w:ascii="Arial" w:cs="Arial" w:eastAsia="Arial" w:hAnsi="Arial"/>
                <w:sz w:val="14"/>
                <w:szCs w:val="14"/>
                <w:color w:val="auto"/>
              </w:rPr>
              <w:t>Net cash used by investing activities</w:t>
            </w:r>
          </w:p>
        </w:tc>
        <w:tc>
          <w:tcPr>
            <w:tcW w:w="200" w:type="dxa"/>
            <w:vAlign w:val="bottom"/>
            <w:shd w:val="clear" w:color="auto" w:fill="DBDBDB"/>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DBDBDB"/>
          </w:tcPr>
          <w:p>
            <w:pPr>
              <w:spacing w:after="0"/>
              <w:rPr>
                <w:sz w:val="16"/>
                <w:szCs w:val="16"/>
                <w:color w:val="auto"/>
              </w:rPr>
            </w:pPr>
          </w:p>
        </w:tc>
        <w:tc>
          <w:tcPr>
            <w:tcW w:w="86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(20)</w:t>
            </w:r>
          </w:p>
        </w:tc>
        <w:tc>
          <w:tcPr>
            <w:tcW w:w="80" w:type="dxa"/>
            <w:vAlign w:val="bottom"/>
            <w:shd w:val="clear" w:color="auto" w:fill="DBDBDB"/>
          </w:tcPr>
          <w:p>
            <w:pPr>
              <w:spacing w:after="0"/>
              <w:rPr>
                <w:sz w:val="16"/>
                <w:szCs w:val="16"/>
                <w:color w:val="auto"/>
              </w:rPr>
            </w:pPr>
          </w:p>
        </w:tc>
        <w:tc>
          <w:tcPr>
            <w:tcW w:w="180" w:type="dxa"/>
            <w:vAlign w:val="bottom"/>
            <w:tcBorders>
              <w:right w:val="single" w:sz="8" w:color="auto"/>
            </w:tcBorders>
            <w:shd w:val="clear" w:color="auto" w:fill="DBDBDB"/>
          </w:tcPr>
          <w:p>
            <w:pPr>
              <w:spacing w:after="0"/>
              <w:rPr>
                <w:sz w:val="16"/>
                <w:szCs w:val="16"/>
                <w:color w:val="auto"/>
              </w:rPr>
            </w:pPr>
          </w:p>
        </w:tc>
        <w:tc>
          <w:tcPr>
            <w:tcW w:w="300" w:type="dxa"/>
            <w:vAlign w:val="bottom"/>
            <w:gridSpan w:val="3"/>
            <w:shd w:val="clear" w:color="auto" w:fill="DBDBDB"/>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500" w:type="dxa"/>
            <w:vAlign w:val="bottom"/>
            <w:gridSpan w:val="3"/>
          </w:tcPr>
          <w:p>
            <w:pPr>
              <w:spacing w:after="0"/>
              <w:rPr>
                <w:sz w:val="20"/>
                <w:szCs w:val="20"/>
                <w:color w:val="auto"/>
              </w:rPr>
            </w:pPr>
            <w:r>
              <w:rPr>
                <w:rFonts w:ascii="Arial" w:cs="Arial" w:eastAsia="Arial" w:hAnsi="Arial"/>
                <w:sz w:val="14"/>
                <w:szCs w:val="14"/>
                <w:color w:val="auto"/>
              </w:rPr>
              <w:t>Net cash used by financing activities</w:t>
            </w: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300" w:type="dxa"/>
            <w:vAlign w:val="bottom"/>
            <w:gridSpan w:val="3"/>
          </w:tcPr>
          <w:p>
            <w:pPr>
              <w:jc w:val="right"/>
              <w:ind w:right="8"/>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903"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b w:val="1"/>
          <w:bCs w:val="1"/>
          <w:u w:val="single" w:color="auto"/>
          <w:color w:val="auto"/>
        </w:rPr>
        <w:t>Review of Operating and Financial Results</w:t>
      </w:r>
    </w:p>
    <w:p>
      <w:pPr>
        <w:spacing w:after="0" w:line="200" w:lineRule="exact"/>
        <w:rPr>
          <w:sz w:val="20"/>
          <w:szCs w:val="20"/>
          <w:color w:val="auto"/>
        </w:rPr>
      </w:pPr>
    </w:p>
    <w:p>
      <w:pPr>
        <w:spacing w:after="0" w:line="302" w:lineRule="exact"/>
        <w:rPr>
          <w:sz w:val="20"/>
          <w:szCs w:val="20"/>
          <w:color w:val="auto"/>
        </w:rPr>
      </w:pPr>
    </w:p>
    <w:p>
      <w:pPr>
        <w:jc w:val="both"/>
        <w:ind w:firstLine="324"/>
        <w:spacing w:after="0" w:line="232" w:lineRule="auto"/>
        <w:rPr>
          <w:sz w:val="20"/>
          <w:szCs w:val="20"/>
          <w:color w:val="auto"/>
        </w:rPr>
      </w:pPr>
      <w:r>
        <w:rPr>
          <w:rFonts w:ascii="Arial" w:cs="Arial" w:eastAsia="Arial" w:hAnsi="Arial"/>
          <w:sz w:val="22"/>
          <w:szCs w:val="22"/>
          <w:color w:val="auto"/>
        </w:rPr>
        <w:t>Total daily net production volumes decreased 18% from 121,000 BOE per day for the first quarter of 2020 to 99,000 BOE per day for the first quarter of 2021. The decrease from the same period in 2020 was primarily due to limited drilling activity and capital investment during the prior twelve months. Production was also negatively impacted by approximately 1,000 BOE per day in the first quarter of 2021 due to downtime at one of CRC's gas processing plants. Production sharing type contracts (PSC-type) at CRC's Long Beach assets negatively impacted oil production by approximately 2,600 BOE per day in the first quarter of 2021 compared to the same prior-year period. CRC's total daily production decreased by approximately 15% compared to the same period in 2020 after excluding the impact of PSC-type contracts and unscheduled downtime at one of its gas processing plants. See Attachment 3 for further information on production.</w:t>
      </w:r>
    </w:p>
    <w:p>
      <w:pPr>
        <w:spacing w:after="0" w:line="24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Realized oil prices, including the effect of settled hedges, decreased by $1.77 per barrel from $55.50 per barrel in the first quarter of 2020 to $53.73 per barrel in the first quarter of 2021. Realized oil prices were lower in the first quarter of 2021 compared to the same prior-year period primarily due to settlement payments on commodity contracts, compared to receipts from commodity contracts in the first quarter of 2020, despite an increase in benchmark prices between comparative periods. See Attachment 4 for further information on prices.</w:t>
      </w:r>
    </w:p>
    <w:p>
      <w:pPr>
        <w:spacing w:after="0" w:line="227" w:lineRule="exact"/>
        <w:rPr>
          <w:sz w:val="20"/>
          <w:szCs w:val="20"/>
          <w:color w:val="auto"/>
        </w:rPr>
      </w:pPr>
    </w:p>
    <w:p>
      <w:pPr>
        <w:jc w:val="both"/>
        <w:ind w:firstLine="324"/>
        <w:spacing w:after="0" w:line="205"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quarter of 2021 was $189 million and net cash provided by operating activities was $147 million. Internally funded capital invested during the first quarter of 2021 was $27 million.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$120 million. CRC’s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is not reduced by the one-time restructuring charge of $14 million related to its workforce reductions during the three months ended 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FREE CASH FLOW</w:t>
      </w:r>
    </w:p>
    <w:p>
      <w:pPr>
        <w:spacing w:after="0" w:line="141" w:lineRule="exact"/>
        <w:rPr>
          <w:sz w:val="20"/>
          <w:szCs w:val="20"/>
          <w:color w:val="auto"/>
        </w:rPr>
      </w:pPr>
    </w:p>
    <w:p>
      <w:pPr>
        <w:ind w:left="20" w:right="160"/>
        <w:spacing w:after="0" w:line="219"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 We have excluded one-time costs for bankruptcy related fees during 2021 and 2020 as a supplemental measure of our free cash flow.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46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80" w:type="dxa"/>
            <w:vAlign w:val="bottom"/>
            <w:tcBorders>
              <w:top w:val="single" w:sz="8" w:color="auto"/>
              <w:bottom w:val="single" w:sz="8" w:color="auto"/>
            </w:tcBorders>
            <w:shd w:val="clear" w:color="auto" w:fill="DBDBDB"/>
          </w:tcPr>
          <w:p>
            <w:pPr>
              <w:spacing w:after="0"/>
              <w:rPr>
                <w:sz w:val="17"/>
                <w:szCs w:val="17"/>
                <w:color w:val="auto"/>
              </w:rPr>
            </w:pPr>
          </w:p>
        </w:tc>
        <w:tc>
          <w:tcPr>
            <w:tcW w:w="1060" w:type="dxa"/>
            <w:vAlign w:val="bottom"/>
            <w:tcBorders>
              <w:top w:val="single" w:sz="8" w:color="auto"/>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80" w:type="dxa"/>
            <w:vAlign w:val="bottom"/>
            <w:tcBorders>
              <w:top w:val="single" w:sz="8" w:color="DBDBDB"/>
              <w:bottom w:val="single" w:sz="8" w:color="DBDBDB"/>
            </w:tcBorders>
            <w:shd w:val="clear" w:color="auto" w:fill="DBDBDB"/>
          </w:tcPr>
          <w:p>
            <w:pPr>
              <w:spacing w:after="0"/>
              <w:rPr>
                <w:sz w:val="17"/>
                <w:szCs w:val="17"/>
                <w:color w:val="auto"/>
              </w:rPr>
            </w:pPr>
          </w:p>
        </w:tc>
        <w:tc>
          <w:tcPr>
            <w:tcW w:w="160" w:type="dxa"/>
            <w:vAlign w:val="bottom"/>
            <w:tcBorders>
              <w:top w:val="single" w:sz="8" w:color="auto"/>
              <w:bottom w:val="single" w:sz="8" w:color="auto"/>
            </w:tcBorders>
            <w:shd w:val="clear" w:color="auto" w:fill="DBDBDB"/>
          </w:tcPr>
          <w:p>
            <w:pPr>
              <w:spacing w:after="0"/>
              <w:rPr>
                <w:sz w:val="17"/>
                <w:szCs w:val="17"/>
                <w:color w:val="auto"/>
              </w:rPr>
            </w:pPr>
          </w:p>
        </w:tc>
        <w:tc>
          <w:tcPr>
            <w:tcW w:w="1080" w:type="dxa"/>
            <w:vAlign w:val="bottom"/>
            <w:tcBorders>
              <w:top w:val="single" w:sz="8" w:color="auto"/>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color w:val="auto"/>
              </w:rPr>
              <w:t>Predecessor</w:t>
            </w:r>
          </w:p>
        </w:tc>
      </w:tr>
      <w:tr>
        <w:trPr>
          <w:trHeight w:val="183"/>
        </w:trPr>
        <w:tc>
          <w:tcPr>
            <w:tcW w:w="846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80" w:type="dxa"/>
            <w:vAlign w:val="bottom"/>
            <w:shd w:val="clear" w:color="auto" w:fill="DBDBDB"/>
          </w:tcPr>
          <w:p>
            <w:pPr>
              <w:spacing w:after="0"/>
              <w:rPr>
                <w:sz w:val="15"/>
                <w:szCs w:val="15"/>
                <w:color w:val="auto"/>
              </w:rPr>
            </w:pPr>
          </w:p>
        </w:tc>
        <w:tc>
          <w:tcPr>
            <w:tcW w:w="1180" w:type="dxa"/>
            <w:vAlign w:val="bottom"/>
            <w:tcBorders>
              <w:right w:val="single" w:sz="8" w:color="auto"/>
            </w:tcBorders>
            <w:gridSpan w:val="2"/>
            <w:shd w:val="clear" w:color="auto" w:fill="DBDBDB"/>
          </w:tcPr>
          <w:p>
            <w:pPr>
              <w:jc w:val="center"/>
              <w:ind w:right="280"/>
              <w:spacing w:after="0"/>
              <w:rPr>
                <w:sz w:val="20"/>
                <w:szCs w:val="20"/>
                <w:color w:val="auto"/>
              </w:rPr>
            </w:pPr>
            <w:r>
              <w:rPr>
                <w:rFonts w:ascii="Arial" w:cs="Arial" w:eastAsia="Arial" w:hAnsi="Arial"/>
                <w:sz w:val="14"/>
                <w:szCs w:val="14"/>
                <w:b w:val="1"/>
                <w:bCs w:val="1"/>
                <w:color w:val="auto"/>
              </w:rPr>
              <w:t>1st Quarter</w:t>
            </w:r>
          </w:p>
        </w:tc>
        <w:tc>
          <w:tcPr>
            <w:tcW w:w="80" w:type="dxa"/>
            <w:vAlign w:val="bottom"/>
            <w:shd w:val="clear" w:color="auto" w:fill="DBDBDB"/>
          </w:tcPr>
          <w:p>
            <w:pPr>
              <w:spacing w:after="0"/>
              <w:rPr>
                <w:sz w:val="15"/>
                <w:szCs w:val="15"/>
                <w:color w:val="auto"/>
              </w:rPr>
            </w:pPr>
          </w:p>
        </w:tc>
        <w:tc>
          <w:tcPr>
            <w:tcW w:w="160" w:type="dxa"/>
            <w:vAlign w:val="bottom"/>
            <w:shd w:val="clear" w:color="auto" w:fill="DBDBDB"/>
          </w:tcPr>
          <w:p>
            <w:pPr>
              <w:spacing w:after="0"/>
              <w:rPr>
                <w:sz w:val="15"/>
                <w:szCs w:val="15"/>
                <w:color w:val="auto"/>
              </w:rPr>
            </w:pPr>
          </w:p>
        </w:tc>
        <w:tc>
          <w:tcPr>
            <w:tcW w:w="1080" w:type="dxa"/>
            <w:vAlign w:val="bottom"/>
            <w:shd w:val="clear" w:color="auto" w:fill="DBDBDB"/>
          </w:tcPr>
          <w:p>
            <w:pPr>
              <w:jc w:val="center"/>
              <w:ind w:right="88"/>
              <w:spacing w:after="0"/>
              <w:rPr>
                <w:sz w:val="20"/>
                <w:szCs w:val="20"/>
                <w:color w:val="auto"/>
              </w:rPr>
            </w:pPr>
            <w:r>
              <w:rPr>
                <w:rFonts w:ascii="Arial" w:cs="Arial" w:eastAsia="Arial" w:hAnsi="Arial"/>
                <w:sz w:val="14"/>
                <w:szCs w:val="14"/>
                <w:color w:val="auto"/>
              </w:rPr>
              <w:t>1st Quarter</w:t>
            </w:r>
          </w:p>
        </w:tc>
      </w:tr>
      <w:tr>
        <w:trPr>
          <w:trHeight w:val="189"/>
        </w:trPr>
        <w:tc>
          <w:tcPr>
            <w:tcW w:w="846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center"/>
              <w:ind w:right="10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center"/>
              <w:ind w:right="88"/>
              <w:spacing w:after="0"/>
              <w:rPr>
                <w:sz w:val="20"/>
                <w:szCs w:val="20"/>
                <w:color w:val="auto"/>
              </w:rPr>
            </w:pPr>
            <w:r>
              <w:rPr>
                <w:rFonts w:ascii="Arial" w:cs="Arial" w:eastAsia="Arial" w:hAnsi="Arial"/>
                <w:sz w:val="14"/>
                <w:szCs w:val="14"/>
                <w:color w:val="auto"/>
              </w:rPr>
              <w:t>2020</w:t>
            </w:r>
          </w:p>
        </w:tc>
      </w:tr>
      <w:tr>
        <w:trPr>
          <w:trHeight w:val="385"/>
        </w:trPr>
        <w:tc>
          <w:tcPr>
            <w:tcW w:w="846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228</w:t>
            </w:r>
          </w:p>
        </w:tc>
      </w:tr>
      <w:tr>
        <w:trPr>
          <w:trHeight w:val="189"/>
        </w:trPr>
        <w:tc>
          <w:tcPr>
            <w:tcW w:w="8460" w:type="dxa"/>
            <w:vAlign w:val="bottom"/>
            <w:shd w:val="clear" w:color="auto" w:fill="DBDBDB"/>
          </w:tcPr>
          <w:p>
            <w:pPr>
              <w:ind w:left="100"/>
              <w:spacing w:after="0"/>
              <w:rPr>
                <w:sz w:val="20"/>
                <w:szCs w:val="20"/>
                <w:color w:val="auto"/>
              </w:rPr>
            </w:pPr>
            <w:r>
              <w:rPr>
                <w:rFonts w:ascii="Arial" w:cs="Arial" w:eastAsia="Arial" w:hAnsi="Arial"/>
                <w:sz w:val="14"/>
                <w:szCs w:val="14"/>
                <w:color w:val="auto"/>
              </w:rPr>
              <w:t>Capital investments</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(30)</w:t>
            </w:r>
          </w:p>
        </w:tc>
      </w:tr>
      <w:tr>
        <w:trPr>
          <w:trHeight w:val="183"/>
        </w:trPr>
        <w:tc>
          <w:tcPr>
            <w:tcW w:w="8460" w:type="dxa"/>
            <w:vAlign w:val="bottom"/>
          </w:tcPr>
          <w:p>
            <w:pPr>
              <w:ind w:left="20"/>
              <w:spacing w:after="0"/>
              <w:rPr>
                <w:sz w:val="20"/>
                <w:szCs w:val="20"/>
                <w:color w:val="auto"/>
              </w:rPr>
            </w:pPr>
            <w:r>
              <w:rPr>
                <w:rFonts w:ascii="Arial" w:cs="Arial" w:eastAsia="Arial" w:hAnsi="Arial"/>
                <w:sz w:val="14"/>
                <w:szCs w:val="14"/>
                <w:color w:val="auto"/>
              </w:rPr>
              <w:t>Free cash flow</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198</w:t>
            </w:r>
          </w:p>
        </w:tc>
      </w:tr>
      <w:tr>
        <w:trPr>
          <w:trHeight w:val="189"/>
        </w:trPr>
        <w:tc>
          <w:tcPr>
            <w:tcW w:w="8460" w:type="dxa"/>
            <w:vAlign w:val="bottom"/>
            <w:shd w:val="clear" w:color="auto" w:fill="DBDBDB"/>
          </w:tcPr>
          <w:p>
            <w:pPr>
              <w:ind w:left="140"/>
              <w:spacing w:after="0"/>
              <w:rPr>
                <w:sz w:val="20"/>
                <w:szCs w:val="20"/>
                <w:color w:val="auto"/>
              </w:rPr>
            </w:pPr>
            <w:r>
              <w:rPr>
                <w:rFonts w:ascii="Arial" w:cs="Arial" w:eastAsia="Arial" w:hAnsi="Arial"/>
                <w:sz w:val="14"/>
                <w:szCs w:val="14"/>
                <w:color w:val="auto"/>
              </w:rPr>
              <w:t>One-time bankruptcy related fees</w:t>
            </w:r>
          </w:p>
        </w:tc>
        <w:tc>
          <w:tcPr>
            <w:tcW w:w="100" w:type="dxa"/>
            <w:vAlign w:val="bottom"/>
            <w:shd w:val="clear" w:color="auto" w:fill="DBDBDB"/>
          </w:tcPr>
          <w:p>
            <w:pPr>
              <w:spacing w:after="0"/>
              <w:rPr>
                <w:sz w:val="16"/>
                <w:szCs w:val="16"/>
                <w:color w:val="auto"/>
              </w:rPr>
            </w:pPr>
          </w:p>
        </w:tc>
        <w:tc>
          <w:tcPr>
            <w:tcW w:w="180" w:type="dxa"/>
            <w:vAlign w:val="bottom"/>
            <w:tcBorders>
              <w:bottom w:val="single" w:sz="8" w:color="auto"/>
            </w:tcBorders>
            <w:shd w:val="clear" w:color="auto" w:fill="DBDBDB"/>
          </w:tcPr>
          <w:p>
            <w:pPr>
              <w:spacing w:after="0"/>
              <w:rPr>
                <w:sz w:val="16"/>
                <w:szCs w:val="16"/>
                <w:color w:val="auto"/>
              </w:rPr>
            </w:pPr>
          </w:p>
        </w:tc>
        <w:tc>
          <w:tcPr>
            <w:tcW w:w="106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shd w:val="clear" w:color="auto" w:fill="DBDBDB"/>
          </w:tcPr>
          <w:p>
            <w:pPr>
              <w:spacing w:after="0"/>
              <w:rPr>
                <w:sz w:val="16"/>
                <w:szCs w:val="16"/>
                <w:color w:val="auto"/>
              </w:rPr>
            </w:pPr>
          </w:p>
        </w:tc>
        <w:tc>
          <w:tcPr>
            <w:tcW w:w="80" w:type="dxa"/>
            <w:vAlign w:val="bottom"/>
            <w:shd w:val="clear" w:color="auto" w:fill="DBDBDB"/>
          </w:tcPr>
          <w:p>
            <w:pPr>
              <w:spacing w:after="0"/>
              <w:rPr>
                <w:sz w:val="16"/>
                <w:szCs w:val="16"/>
                <w:color w:val="auto"/>
              </w:rPr>
            </w:pPr>
          </w:p>
        </w:tc>
        <w:tc>
          <w:tcPr>
            <w:tcW w:w="160" w:type="dxa"/>
            <w:vAlign w:val="bottom"/>
            <w:tcBorders>
              <w:bottom w:val="single" w:sz="8" w:color="auto"/>
            </w:tcBorders>
            <w:shd w:val="clear" w:color="auto" w:fill="DBDBDB"/>
          </w:tcPr>
          <w:p>
            <w:pPr>
              <w:spacing w:after="0"/>
              <w:rPr>
                <w:sz w:val="16"/>
                <w:szCs w:val="16"/>
                <w:color w:val="auto"/>
              </w:rPr>
            </w:pPr>
          </w:p>
        </w:tc>
        <w:tc>
          <w:tcPr>
            <w:tcW w:w="1080" w:type="dxa"/>
            <w:vAlign w:val="bottom"/>
            <w:tcBorders>
              <w:bottom w:val="single" w:sz="8" w:color="auto"/>
            </w:tcBorders>
            <w:shd w:val="clear" w:color="auto" w:fill="DBDBDB"/>
          </w:tcPr>
          <w:p>
            <w:pPr>
              <w:jc w:val="right"/>
              <w:spacing w:after="0"/>
              <w:rPr>
                <w:sz w:val="20"/>
                <w:szCs w:val="20"/>
                <w:color w:val="auto"/>
              </w:rPr>
            </w:pPr>
            <w:r>
              <w:rPr>
                <w:rFonts w:ascii="Arial" w:cs="Arial" w:eastAsia="Arial" w:hAnsi="Arial"/>
                <w:sz w:val="14"/>
                <w:szCs w:val="14"/>
                <w:color w:val="auto"/>
              </w:rPr>
              <w:t>5</w:t>
            </w:r>
          </w:p>
        </w:tc>
      </w:tr>
      <w:tr>
        <w:trPr>
          <w:trHeight w:val="223"/>
        </w:trPr>
        <w:tc>
          <w:tcPr>
            <w:tcW w:w="8460" w:type="dxa"/>
            <w:vAlign w:val="bottom"/>
          </w:tcPr>
          <w:p>
            <w:pPr>
              <w:ind w:left="20"/>
              <w:spacing w:after="0"/>
              <w:rPr>
                <w:sz w:val="20"/>
                <w:szCs w:val="20"/>
                <w:color w:val="auto"/>
              </w:rPr>
            </w:pPr>
            <w:r>
              <w:rPr>
                <w:rFonts w:ascii="Arial" w:cs="Arial" w:eastAsia="Arial" w:hAnsi="Arial"/>
                <w:sz w:val="14"/>
                <w:szCs w:val="14"/>
                <w:color w:val="auto"/>
              </w:rPr>
              <w:t>Free cash flow, after special items</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203</w:t>
            </w:r>
          </w:p>
        </w:tc>
      </w:tr>
    </w:tbl>
    <w:p>
      <w:pPr>
        <w:spacing w:after="0" w:line="345"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Operating costs for the first quarter of 2021 were $164 million, compared to $192 million for the first quarter of 2020. The decrease was primarily attributable to efficiencies and streamlining of CRC's operations, including headcount reductions in the second half of 2020 and in the first quarter of 2021. Operating costs per BOE are presented below:</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1133" w:right="339" w:bottom="1440" w:gutter="0" w:footer="0" w:header="0"/>
        </w:sectPr>
      </w:pPr>
    </w:p>
    <w:bookmarkStart w:id="8" w:name="page9"/>
    <w:bookmarkEnd w:id="8"/>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594360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t>OPERATING COSTS PER BOE</w:t>
      </w:r>
    </w:p>
    <w:p>
      <w:pPr>
        <w:spacing w:after="0" w:line="141" w:lineRule="exact"/>
        <w:rPr>
          <w:sz w:val="20"/>
          <w:szCs w:val="20"/>
          <w:color w:val="auto"/>
        </w:rPr>
      </w:pPr>
    </w:p>
    <w:p>
      <w:pPr>
        <w:ind w:left="20" w:right="80"/>
        <w:spacing w:after="0" w:line="229" w:lineRule="auto"/>
        <w:rPr>
          <w:sz w:val="20"/>
          <w:szCs w:val="20"/>
          <w:color w:val="auto"/>
        </w:rPr>
      </w:pPr>
      <w:r>
        <w:rPr>
          <w:rFonts w:ascii="Arial" w:cs="Arial" w:eastAsia="Arial" w:hAnsi="Arial"/>
          <w:sz w:val="14"/>
          <w:szCs w:val="14"/>
          <w:color w:val="auto"/>
        </w:rPr>
        <w:t>The reporting of our PSC- 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720" w:type="dxa"/>
            <w:vAlign w:val="bottom"/>
            <w:tcBorders>
              <w:top w:val="single" w:sz="8" w:color="DBDBDB"/>
              <w:bottom w:val="single" w:sz="8" w:color="DBDBDB"/>
            </w:tcBorders>
            <w:shd w:val="clear" w:color="auto" w:fill="DBDBDB"/>
          </w:tcPr>
          <w:p>
            <w:pPr>
              <w:spacing w:after="0"/>
              <w:rPr>
                <w:sz w:val="17"/>
                <w:szCs w:val="17"/>
                <w:color w:val="auto"/>
              </w:rPr>
            </w:pPr>
          </w:p>
        </w:tc>
        <w:tc>
          <w:tcPr>
            <w:tcW w:w="100" w:type="dxa"/>
            <w:vAlign w:val="bottom"/>
            <w:tcBorders>
              <w:top w:val="single" w:sz="8" w:color="DBDBDB"/>
              <w:bottom w:val="single" w:sz="8" w:color="DBDBDB"/>
            </w:tcBorders>
            <w:shd w:val="clear" w:color="auto" w:fill="DBDBDB"/>
          </w:tcPr>
          <w:p>
            <w:pPr>
              <w:spacing w:after="0"/>
              <w:rPr>
                <w:sz w:val="17"/>
                <w:szCs w:val="17"/>
                <w:color w:val="auto"/>
              </w:rPr>
            </w:pPr>
          </w:p>
        </w:tc>
        <w:tc>
          <w:tcPr>
            <w:tcW w:w="140" w:type="dxa"/>
            <w:vAlign w:val="bottom"/>
            <w:tcBorders>
              <w:top w:val="single" w:sz="8" w:color="auto"/>
              <w:bottom w:val="single" w:sz="8" w:color="auto"/>
            </w:tcBorders>
            <w:shd w:val="clear" w:color="auto" w:fill="DBDBDB"/>
          </w:tcPr>
          <w:p>
            <w:pPr>
              <w:spacing w:after="0"/>
              <w:rPr>
                <w:sz w:val="17"/>
                <w:szCs w:val="17"/>
                <w:color w:val="auto"/>
              </w:rPr>
            </w:pPr>
          </w:p>
        </w:tc>
        <w:tc>
          <w:tcPr>
            <w:tcW w:w="1000" w:type="dxa"/>
            <w:vAlign w:val="bottom"/>
            <w:tcBorders>
              <w:top w:val="single" w:sz="8" w:color="auto"/>
              <w:bottom w:val="single" w:sz="8" w:color="auto"/>
            </w:tcBorders>
            <w:shd w:val="clear" w:color="auto" w:fill="DBDBDB"/>
          </w:tcPr>
          <w:p>
            <w:pPr>
              <w:jc w:val="center"/>
              <w:ind w:right="6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DBDBDB"/>
              <w:bottom w:val="single" w:sz="8" w:color="DBDBDB"/>
              <w:right w:val="single" w:sz="8" w:color="auto"/>
            </w:tcBorders>
            <w:shd w:val="clear" w:color="auto" w:fill="DBDBDB"/>
          </w:tcPr>
          <w:p>
            <w:pPr>
              <w:spacing w:after="0"/>
              <w:rPr>
                <w:sz w:val="17"/>
                <w:szCs w:val="17"/>
                <w:color w:val="auto"/>
              </w:rPr>
            </w:pPr>
          </w:p>
        </w:tc>
        <w:tc>
          <w:tcPr>
            <w:tcW w:w="60" w:type="dxa"/>
            <w:vAlign w:val="bottom"/>
            <w:tcBorders>
              <w:top w:val="single" w:sz="8" w:color="DBDBDB"/>
              <w:bottom w:val="single" w:sz="8" w:color="DBDBDB"/>
            </w:tcBorders>
            <w:shd w:val="clear" w:color="auto" w:fill="DBDBDB"/>
          </w:tcPr>
          <w:p>
            <w:pPr>
              <w:spacing w:after="0"/>
              <w:rPr>
                <w:sz w:val="17"/>
                <w:szCs w:val="17"/>
                <w:color w:val="auto"/>
              </w:rPr>
            </w:pPr>
          </w:p>
        </w:tc>
        <w:tc>
          <w:tcPr>
            <w:tcW w:w="120" w:type="dxa"/>
            <w:vAlign w:val="bottom"/>
            <w:tcBorders>
              <w:top w:val="single" w:sz="8" w:color="auto"/>
              <w:bottom w:val="single" w:sz="8" w:color="auto"/>
            </w:tcBorders>
            <w:shd w:val="clear" w:color="auto" w:fill="DBDBDB"/>
          </w:tcPr>
          <w:p>
            <w:pPr>
              <w:spacing w:after="0"/>
              <w:rPr>
                <w:sz w:val="17"/>
                <w:szCs w:val="17"/>
                <w:color w:val="auto"/>
              </w:rPr>
            </w:pPr>
          </w:p>
        </w:tc>
        <w:tc>
          <w:tcPr>
            <w:tcW w:w="980" w:type="dxa"/>
            <w:vAlign w:val="bottom"/>
            <w:tcBorders>
              <w:top w:val="single" w:sz="8" w:color="auto"/>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color w:val="auto"/>
              </w:rPr>
              <w:t>Predecessor</w:t>
            </w:r>
          </w:p>
        </w:tc>
      </w:tr>
      <w:tr>
        <w:trPr>
          <w:trHeight w:val="183"/>
        </w:trPr>
        <w:tc>
          <w:tcPr>
            <w:tcW w:w="8720" w:type="dxa"/>
            <w:vAlign w:val="bottom"/>
            <w:shd w:val="clear" w:color="auto" w:fill="DBDBDB"/>
          </w:tcPr>
          <w:p>
            <w:pPr>
              <w:spacing w:after="0"/>
              <w:rPr>
                <w:sz w:val="15"/>
                <w:szCs w:val="15"/>
                <w:color w:val="auto"/>
              </w:rPr>
            </w:pPr>
          </w:p>
        </w:tc>
        <w:tc>
          <w:tcPr>
            <w:tcW w:w="100" w:type="dxa"/>
            <w:vAlign w:val="bottom"/>
            <w:shd w:val="clear" w:color="auto" w:fill="DBDBDB"/>
          </w:tcPr>
          <w:p>
            <w:pPr>
              <w:spacing w:after="0"/>
              <w:rPr>
                <w:sz w:val="15"/>
                <w:szCs w:val="15"/>
                <w:color w:val="auto"/>
              </w:rPr>
            </w:pPr>
          </w:p>
        </w:tc>
        <w:tc>
          <w:tcPr>
            <w:tcW w:w="140" w:type="dxa"/>
            <w:vAlign w:val="bottom"/>
            <w:shd w:val="clear" w:color="auto" w:fill="DBDBDB"/>
          </w:tcPr>
          <w:p>
            <w:pPr>
              <w:spacing w:after="0"/>
              <w:rPr>
                <w:sz w:val="15"/>
                <w:szCs w:val="15"/>
                <w:color w:val="auto"/>
              </w:rPr>
            </w:pPr>
          </w:p>
        </w:tc>
        <w:tc>
          <w:tcPr>
            <w:tcW w:w="1120" w:type="dxa"/>
            <w:vAlign w:val="bottom"/>
            <w:tcBorders>
              <w:right w:val="single" w:sz="8" w:color="auto"/>
            </w:tcBorders>
            <w:gridSpan w:val="2"/>
            <w:shd w:val="clear" w:color="auto" w:fill="DBDBDB"/>
          </w:tcPr>
          <w:p>
            <w:pPr>
              <w:jc w:val="center"/>
              <w:ind w:right="260"/>
              <w:spacing w:after="0"/>
              <w:rPr>
                <w:sz w:val="20"/>
                <w:szCs w:val="20"/>
                <w:color w:val="auto"/>
              </w:rPr>
            </w:pPr>
            <w:r>
              <w:rPr>
                <w:rFonts w:ascii="Arial" w:cs="Arial" w:eastAsia="Arial" w:hAnsi="Arial"/>
                <w:sz w:val="14"/>
                <w:szCs w:val="14"/>
                <w:b w:val="1"/>
                <w:bCs w:val="1"/>
                <w:color w:val="auto"/>
              </w:rPr>
              <w:t>1st Quarter</w:t>
            </w:r>
          </w:p>
        </w:tc>
        <w:tc>
          <w:tcPr>
            <w:tcW w:w="60" w:type="dxa"/>
            <w:vAlign w:val="bottom"/>
            <w:shd w:val="clear" w:color="auto" w:fill="DBDBDB"/>
          </w:tcPr>
          <w:p>
            <w:pPr>
              <w:spacing w:after="0"/>
              <w:rPr>
                <w:sz w:val="15"/>
                <w:szCs w:val="15"/>
                <w:color w:val="auto"/>
              </w:rPr>
            </w:pPr>
          </w:p>
        </w:tc>
        <w:tc>
          <w:tcPr>
            <w:tcW w:w="120" w:type="dxa"/>
            <w:vAlign w:val="bottom"/>
            <w:shd w:val="clear" w:color="auto" w:fill="DBDBDB"/>
          </w:tcPr>
          <w:p>
            <w:pPr>
              <w:spacing w:after="0"/>
              <w:rPr>
                <w:sz w:val="15"/>
                <w:szCs w:val="15"/>
                <w:color w:val="auto"/>
              </w:rPr>
            </w:pPr>
          </w:p>
        </w:tc>
        <w:tc>
          <w:tcPr>
            <w:tcW w:w="980" w:type="dxa"/>
            <w:vAlign w:val="bottom"/>
            <w:shd w:val="clear" w:color="auto" w:fill="DBDBDB"/>
          </w:tcPr>
          <w:p>
            <w:pPr>
              <w:jc w:val="center"/>
              <w:ind w:right="28"/>
              <w:spacing w:after="0"/>
              <w:rPr>
                <w:sz w:val="20"/>
                <w:szCs w:val="20"/>
                <w:color w:val="auto"/>
              </w:rPr>
            </w:pPr>
            <w:r>
              <w:rPr>
                <w:rFonts w:ascii="Arial" w:cs="Arial" w:eastAsia="Arial" w:hAnsi="Arial"/>
                <w:sz w:val="14"/>
                <w:szCs w:val="14"/>
                <w:color w:val="auto"/>
              </w:rPr>
              <w:t>1st Quarter</w:t>
            </w:r>
          </w:p>
        </w:tc>
      </w:tr>
      <w:tr>
        <w:trPr>
          <w:trHeight w:val="189"/>
        </w:trPr>
        <w:tc>
          <w:tcPr>
            <w:tcW w:w="8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 per Boe)</w:t>
            </w:r>
          </w:p>
        </w:tc>
        <w:tc>
          <w:tcPr>
            <w:tcW w:w="100" w:type="dxa"/>
            <w:vAlign w:val="bottom"/>
            <w:shd w:val="clear" w:color="auto" w:fill="DBDBDB"/>
          </w:tcPr>
          <w:p>
            <w:pPr>
              <w:spacing w:after="0"/>
              <w:rPr>
                <w:sz w:val="16"/>
                <w:szCs w:val="16"/>
                <w:color w:val="auto"/>
              </w:rPr>
            </w:pPr>
          </w:p>
        </w:tc>
        <w:tc>
          <w:tcPr>
            <w:tcW w:w="140" w:type="dxa"/>
            <w:vAlign w:val="bottom"/>
            <w:tcBorders>
              <w:bottom w:val="single" w:sz="8" w:color="auto"/>
            </w:tcBorders>
            <w:shd w:val="clear" w:color="auto" w:fill="DBDBDB"/>
          </w:tcPr>
          <w:p>
            <w:pPr>
              <w:spacing w:after="0"/>
              <w:rPr>
                <w:sz w:val="16"/>
                <w:szCs w:val="16"/>
                <w:color w:val="auto"/>
              </w:rPr>
            </w:pPr>
          </w:p>
        </w:tc>
        <w:tc>
          <w:tcPr>
            <w:tcW w:w="1000" w:type="dxa"/>
            <w:vAlign w:val="bottom"/>
            <w:tcBorders>
              <w:bottom w:val="single" w:sz="8" w:color="auto"/>
            </w:tcBorders>
            <w:shd w:val="clear" w:color="auto" w:fill="DBDBDB"/>
          </w:tcPr>
          <w:p>
            <w:pPr>
              <w:jc w:val="center"/>
              <w:ind w:right="4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20" w:type="dxa"/>
            <w:vAlign w:val="bottom"/>
            <w:tcBorders>
              <w:bottom w:val="single" w:sz="8" w:color="auto"/>
            </w:tcBorders>
            <w:shd w:val="clear" w:color="auto" w:fill="DBDBDB"/>
          </w:tcPr>
          <w:p>
            <w:pPr>
              <w:spacing w:after="0"/>
              <w:rPr>
                <w:sz w:val="16"/>
                <w:szCs w:val="16"/>
                <w:color w:val="auto"/>
              </w:rPr>
            </w:pPr>
          </w:p>
        </w:tc>
        <w:tc>
          <w:tcPr>
            <w:tcW w:w="980" w:type="dxa"/>
            <w:vAlign w:val="bottom"/>
            <w:tcBorders>
              <w:bottom w:val="single" w:sz="8" w:color="auto"/>
            </w:tcBorders>
            <w:shd w:val="clear" w:color="auto" w:fill="DBDBDB"/>
          </w:tcPr>
          <w:p>
            <w:pPr>
              <w:jc w:val="center"/>
              <w:ind w:right="28"/>
              <w:spacing w:after="0"/>
              <w:rPr>
                <w:sz w:val="20"/>
                <w:szCs w:val="20"/>
                <w:color w:val="auto"/>
              </w:rPr>
            </w:pPr>
            <w:r>
              <w:rPr>
                <w:rFonts w:ascii="Arial" w:cs="Arial" w:eastAsia="Arial" w:hAnsi="Arial"/>
                <w:sz w:val="14"/>
                <w:szCs w:val="14"/>
                <w:color w:val="auto"/>
              </w:rPr>
              <w:t>2020</w:t>
            </w:r>
          </w:p>
        </w:tc>
      </w:tr>
      <w:tr>
        <w:trPr>
          <w:trHeight w:val="183"/>
        </w:trPr>
        <w:tc>
          <w:tcPr>
            <w:tcW w:w="8720" w:type="dxa"/>
            <w:vAlign w:val="bottom"/>
          </w:tcPr>
          <w:p>
            <w:pPr>
              <w:ind w:left="20"/>
              <w:spacing w:after="0" w:line="182"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(a)</w:t>
            </w:r>
          </w:p>
        </w:tc>
        <w:tc>
          <w:tcPr>
            <w:tcW w:w="240" w:type="dxa"/>
            <w:vAlign w:val="bottom"/>
            <w:gridSpan w:val="2"/>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4.70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189"/>
        </w:trPr>
        <w:tc>
          <w:tcPr>
            <w:tcW w:w="8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Gas processing costs</w:t>
            </w:r>
          </w:p>
        </w:tc>
        <w:tc>
          <w:tcPr>
            <w:tcW w:w="100" w:type="dxa"/>
            <w:vAlign w:val="bottom"/>
            <w:shd w:val="clear" w:color="auto" w:fill="DBDBDB"/>
          </w:tcPr>
          <w:p>
            <w:pPr>
              <w:spacing w:after="0"/>
              <w:rPr>
                <w:sz w:val="16"/>
                <w:szCs w:val="16"/>
                <w:color w:val="auto"/>
              </w:rPr>
            </w:pPr>
          </w:p>
        </w:tc>
        <w:tc>
          <w:tcPr>
            <w:tcW w:w="140" w:type="dxa"/>
            <w:vAlign w:val="bottom"/>
            <w:shd w:val="clear" w:color="auto" w:fill="DBDBDB"/>
          </w:tcPr>
          <w:p>
            <w:pPr>
              <w:spacing w:after="0"/>
              <w:rPr>
                <w:sz w:val="16"/>
                <w:szCs w:val="16"/>
                <w:color w:val="auto"/>
              </w:rPr>
            </w:pP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0.53</w:t>
            </w:r>
          </w:p>
        </w:tc>
        <w:tc>
          <w:tcPr>
            <w:tcW w:w="120" w:type="dxa"/>
            <w:vAlign w:val="bottom"/>
            <w:tcBorders>
              <w:right w:val="single" w:sz="8" w:color="auto"/>
            </w:tcBorders>
            <w:shd w:val="clear" w:color="auto" w:fill="DBDBDB"/>
          </w:tcPr>
          <w:p>
            <w:pPr>
              <w:spacing w:after="0"/>
              <w:rPr>
                <w:sz w:val="16"/>
                <w:szCs w:val="16"/>
                <w:color w:val="auto"/>
              </w:rPr>
            </w:pPr>
          </w:p>
        </w:tc>
        <w:tc>
          <w:tcPr>
            <w:tcW w:w="60" w:type="dxa"/>
            <w:vAlign w:val="bottom"/>
            <w:shd w:val="clear" w:color="auto" w:fill="DBDBDB"/>
          </w:tcPr>
          <w:p>
            <w:pPr>
              <w:spacing w:after="0"/>
              <w:rPr>
                <w:sz w:val="16"/>
                <w:szCs w:val="16"/>
                <w:color w:val="auto"/>
              </w:rPr>
            </w:pPr>
          </w:p>
        </w:tc>
        <w:tc>
          <w:tcPr>
            <w:tcW w:w="120" w:type="dxa"/>
            <w:vAlign w:val="bottom"/>
            <w:shd w:val="clear" w:color="auto" w:fill="DBDBDB"/>
          </w:tcPr>
          <w:p>
            <w:pPr>
              <w:spacing w:after="0"/>
              <w:rPr>
                <w:sz w:val="16"/>
                <w:szCs w:val="16"/>
                <w:color w:val="auto"/>
              </w:rPr>
            </w:pP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0.67</w:t>
            </w:r>
          </w:p>
        </w:tc>
      </w:tr>
      <w:tr>
        <w:trPr>
          <w:trHeight w:val="189"/>
        </w:trPr>
        <w:tc>
          <w:tcPr>
            <w:tcW w:w="8720" w:type="dxa"/>
            <w:vAlign w:val="bottom"/>
            <w:tcBorders>
              <w:bottom w:val="single" w:sz="8" w:color="DBDBDB"/>
            </w:tcBorders>
          </w:tcPr>
          <w:p>
            <w:pPr>
              <w:ind w:left="20"/>
              <w:spacing w:after="0" w:line="189"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(b)</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13.10</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r>
      <w:tr>
        <w:trPr>
          <w:trHeight w:val="183"/>
        </w:trPr>
        <w:tc>
          <w:tcPr>
            <w:tcW w:w="8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18.33</w:t>
            </w:r>
          </w:p>
        </w:tc>
        <w:tc>
          <w:tcPr>
            <w:tcW w:w="120" w:type="dxa"/>
            <w:vAlign w:val="bottom"/>
            <w:tcBorders>
              <w:right w:val="single" w:sz="8" w:color="auto"/>
            </w:tcBorders>
            <w:shd w:val="clear" w:color="auto" w:fill="DBDBDB"/>
          </w:tcPr>
          <w:p>
            <w:pPr>
              <w:spacing w:after="0"/>
              <w:rPr>
                <w:sz w:val="15"/>
                <w:szCs w:val="15"/>
                <w:color w:val="auto"/>
              </w:rPr>
            </w:pPr>
          </w:p>
        </w:tc>
        <w:tc>
          <w:tcPr>
            <w:tcW w:w="60" w:type="dxa"/>
            <w:vAlign w:val="bottom"/>
            <w:shd w:val="clear" w:color="auto" w:fill="DBDBDB"/>
          </w:tcPr>
          <w:p>
            <w:pPr>
              <w:spacing w:after="0"/>
              <w:rPr>
                <w:sz w:val="15"/>
                <w:szCs w:val="15"/>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17.38</w:t>
            </w:r>
          </w:p>
        </w:tc>
      </w:tr>
      <w:tr>
        <w:trPr>
          <w:trHeight w:val="189"/>
        </w:trPr>
        <w:tc>
          <w:tcPr>
            <w:tcW w:w="8720" w:type="dxa"/>
            <w:vAlign w:val="bottom"/>
            <w:tcBorders>
              <w:bottom w:val="single" w:sz="8" w:color="DBDBDB"/>
            </w:tcBorders>
          </w:tcPr>
          <w:p>
            <w:pPr>
              <w:ind w:left="140"/>
              <w:spacing w:after="0"/>
              <w:rPr>
                <w:sz w:val="20"/>
                <w:szCs w:val="20"/>
                <w:color w:val="auto"/>
              </w:rPr>
            </w:pPr>
            <w:r>
              <w:rPr>
                <w:rFonts w:ascii="Arial" w:cs="Arial" w:eastAsia="Arial" w:hAnsi="Arial"/>
                <w:sz w:val="14"/>
                <w:szCs w:val="14"/>
                <w:color w:val="auto"/>
              </w:rPr>
              <w:t>Excess costs attributable to PSC-type contracts</w:t>
            </w:r>
          </w:p>
        </w:tc>
        <w:tc>
          <w:tcPr>
            <w:tcW w:w="100" w:type="dxa"/>
            <w:vAlign w:val="bottom"/>
            <w:tcBorders>
              <w:bottom w:val="single" w:sz="8" w:color="DBDBDB"/>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w:t>
            </w:r>
          </w:p>
        </w:tc>
        <w:tc>
          <w:tcPr>
            <w:tcW w:w="120" w:type="dxa"/>
            <w:vAlign w:val="bottom"/>
            <w:tcBorders>
              <w:bottom w:val="single" w:sz="8" w:color="DBDBDB"/>
              <w:right w:val="single" w:sz="8" w:color="auto"/>
            </w:tcBorders>
          </w:tcPr>
          <w:p>
            <w:pPr>
              <w:spacing w:after="0"/>
              <w:rPr>
                <w:sz w:val="16"/>
                <w:szCs w:val="16"/>
                <w:color w:val="auto"/>
              </w:rPr>
            </w:pPr>
          </w:p>
        </w:tc>
        <w:tc>
          <w:tcPr>
            <w:tcW w:w="60" w:type="dxa"/>
            <w:vAlign w:val="bottom"/>
            <w:tcBorders>
              <w:bottom w:val="single" w:sz="8" w:color="DBDBDB"/>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(0.90)</w:t>
            </w:r>
          </w:p>
        </w:tc>
      </w:tr>
      <w:tr>
        <w:trPr>
          <w:trHeight w:val="203"/>
        </w:trPr>
        <w:tc>
          <w:tcPr>
            <w:tcW w:w="8720" w:type="dxa"/>
            <w:vAlign w:val="bottom"/>
            <w:shd w:val="clear" w:color="auto" w:fill="DBDBDB"/>
          </w:tcPr>
          <w:p>
            <w:pPr>
              <w:ind w:left="20"/>
              <w:spacing w:after="0"/>
              <w:rPr>
                <w:sz w:val="20"/>
                <w:szCs w:val="20"/>
                <w:color w:val="auto"/>
              </w:rPr>
            </w:pPr>
            <w:r>
              <w:rPr>
                <w:rFonts w:ascii="Arial" w:cs="Arial" w:eastAsia="Arial" w:hAnsi="Arial"/>
                <w:sz w:val="14"/>
                <w:szCs w:val="14"/>
                <w:color w:val="auto"/>
              </w:rPr>
              <w:t>Operating costs, excluding effects of PSC-type contracts</w:t>
            </w:r>
          </w:p>
        </w:tc>
        <w:tc>
          <w:tcPr>
            <w:tcW w:w="240" w:type="dxa"/>
            <w:vAlign w:val="bottom"/>
            <w:gridSpan w:val="2"/>
            <w:shd w:val="clear" w:color="auto" w:fill="DBDBDB"/>
          </w:tcPr>
          <w:p>
            <w:pPr>
              <w:jc w:val="right"/>
              <w:ind w:right="40"/>
              <w:spacing w:after="0"/>
              <w:rPr>
                <w:sz w:val="20"/>
                <w:szCs w:val="20"/>
                <w:color w:val="auto"/>
              </w:rPr>
            </w:pPr>
            <w:r>
              <w:rPr>
                <w:rFonts w:ascii="Arial" w:cs="Arial" w:eastAsia="Arial" w:hAnsi="Arial"/>
                <w:sz w:val="14"/>
                <w:szCs w:val="14"/>
                <w:b w:val="1"/>
                <w:bCs w:val="1"/>
                <w:color w:val="auto"/>
              </w:rPr>
              <w:t>$</w:t>
            </w:r>
          </w:p>
        </w:tc>
        <w:tc>
          <w:tcPr>
            <w:tcW w:w="1000" w:type="dxa"/>
            <w:vAlign w:val="bottom"/>
            <w:shd w:val="clear" w:color="auto" w:fill="DBDBDB"/>
          </w:tcPr>
          <w:p>
            <w:pPr>
              <w:jc w:val="right"/>
              <w:spacing w:after="0"/>
              <w:rPr>
                <w:sz w:val="20"/>
                <w:szCs w:val="20"/>
                <w:color w:val="auto"/>
              </w:rPr>
            </w:pPr>
            <w:r>
              <w:rPr>
                <w:rFonts w:ascii="Arial" w:cs="Arial" w:eastAsia="Arial" w:hAnsi="Arial"/>
                <w:sz w:val="14"/>
                <w:szCs w:val="14"/>
                <w:b w:val="1"/>
                <w:bCs w:val="1"/>
                <w:color w:val="auto"/>
              </w:rPr>
              <w:t>16.72</w:t>
            </w:r>
          </w:p>
        </w:tc>
        <w:tc>
          <w:tcPr>
            <w:tcW w:w="120" w:type="dxa"/>
            <w:vAlign w:val="bottom"/>
            <w:tcBorders>
              <w:right w:val="single" w:sz="8" w:color="auto"/>
            </w:tcBorders>
            <w:shd w:val="clear" w:color="auto" w:fill="DBDBDB"/>
          </w:tcPr>
          <w:p>
            <w:pPr>
              <w:spacing w:after="0"/>
              <w:rPr>
                <w:sz w:val="17"/>
                <w:szCs w:val="17"/>
                <w:color w:val="auto"/>
              </w:rPr>
            </w:pPr>
          </w:p>
        </w:tc>
        <w:tc>
          <w:tcPr>
            <w:tcW w:w="60" w:type="dxa"/>
            <w:vAlign w:val="bottom"/>
            <w:shd w:val="clear" w:color="auto" w:fill="DBDBDB"/>
          </w:tcPr>
          <w:p>
            <w:pPr>
              <w:spacing w:after="0"/>
              <w:rPr>
                <w:sz w:val="17"/>
                <w:szCs w:val="17"/>
                <w:color w:val="auto"/>
              </w:rPr>
            </w:pPr>
          </w:p>
        </w:tc>
        <w:tc>
          <w:tcPr>
            <w:tcW w:w="120" w:type="dxa"/>
            <w:vAlign w:val="bottom"/>
            <w:shd w:val="clear" w:color="auto" w:fill="DBDBDB"/>
          </w:tcPr>
          <w:p>
            <w:pPr>
              <w:jc w:val="right"/>
              <w:spacing w:after="0"/>
              <w:rPr>
                <w:sz w:val="20"/>
                <w:szCs w:val="20"/>
                <w:color w:val="auto"/>
              </w:rPr>
            </w:pPr>
            <w:r>
              <w:rPr>
                <w:rFonts w:ascii="Arial" w:cs="Arial" w:eastAsia="Arial" w:hAnsi="Arial"/>
                <w:sz w:val="14"/>
                <w:szCs w:val="14"/>
                <w:color w:val="auto"/>
              </w:rPr>
              <w:t>$</w:t>
            </w:r>
          </w:p>
        </w:tc>
        <w:tc>
          <w:tcPr>
            <w:tcW w:w="980" w:type="dxa"/>
            <w:vAlign w:val="bottom"/>
            <w:shd w:val="clear" w:color="auto" w:fill="DBDBDB"/>
          </w:tcPr>
          <w:p>
            <w:pPr>
              <w:jc w:val="right"/>
              <w:spacing w:after="0"/>
              <w:rPr>
                <w:sz w:val="20"/>
                <w:szCs w:val="20"/>
                <w:color w:val="auto"/>
              </w:rPr>
            </w:pPr>
            <w:r>
              <w:rPr>
                <w:rFonts w:ascii="Arial" w:cs="Arial" w:eastAsia="Arial" w:hAnsi="Arial"/>
                <w:sz w:val="14"/>
                <w:szCs w:val="14"/>
                <w:color w:val="auto"/>
              </w:rPr>
              <w:t>16.48</w:t>
            </w:r>
          </w:p>
        </w:tc>
      </w:tr>
      <w:tr>
        <w:trPr>
          <w:trHeight w:val="20"/>
        </w:trPr>
        <w:tc>
          <w:tcPr>
            <w:tcW w:w="8720" w:type="dxa"/>
            <w:vAlign w:val="bottom"/>
            <w:tcBorders>
              <w:top w:val="single" w:sz="8" w:color="DBDBDB"/>
            </w:tcBorders>
          </w:tcPr>
          <w:p>
            <w:pPr>
              <w:spacing w:after="0" w:line="20" w:lineRule="exact"/>
              <w:rPr>
                <w:sz w:val="1"/>
                <w:szCs w:val="1"/>
                <w:color w:val="auto"/>
              </w:rPr>
            </w:pPr>
          </w:p>
        </w:tc>
        <w:tc>
          <w:tcPr>
            <w:tcW w:w="100" w:type="dxa"/>
            <w:vAlign w:val="bottom"/>
            <w:tcBorders>
              <w:top w:val="single" w:sz="8" w:color="DBDBDB"/>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DBDBDB"/>
            </w:tcBorders>
          </w:tcPr>
          <w:p>
            <w:pPr>
              <w:spacing w:after="0" w:line="20" w:lineRule="exact"/>
              <w:rPr>
                <w:sz w:val="1"/>
                <w:szCs w:val="1"/>
                <w:color w:val="auto"/>
              </w:rPr>
            </w:pPr>
          </w:p>
        </w:tc>
        <w:tc>
          <w:tcPr>
            <w:tcW w:w="60" w:type="dxa"/>
            <w:vAlign w:val="bottom"/>
            <w:tcBorders>
              <w:top w:val="single" w:sz="8" w:color="DBDBDB"/>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240" w:hanging="214"/>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Energy operating costs include purchases of fuel gas and electricity used in our operations and internal costs to produce electricity used in our fields.</w:t>
      </w:r>
    </w:p>
    <w:p>
      <w:pPr>
        <w:spacing w:after="0" w:line="28" w:lineRule="exact"/>
        <w:rPr>
          <w:rFonts w:ascii="Arial" w:cs="Arial" w:eastAsia="Arial" w:hAnsi="Arial"/>
          <w:sz w:val="14"/>
          <w:szCs w:val="14"/>
          <w:color w:val="auto"/>
        </w:rPr>
      </w:pPr>
    </w:p>
    <w:p>
      <w:pPr>
        <w:ind w:left="240" w:hanging="214"/>
        <w:spacing w:after="0"/>
        <w:tabs>
          <w:tab w:leader="none" w:pos="240" w:val="left"/>
        </w:tabs>
        <w:numPr>
          <w:ilvl w:val="0"/>
          <w:numId w:val="6"/>
        </w:numPr>
        <w:rPr>
          <w:rFonts w:ascii="Arial" w:cs="Arial" w:eastAsia="Arial" w:hAnsi="Arial"/>
          <w:sz w:val="14"/>
          <w:szCs w:val="14"/>
          <w:color w:val="auto"/>
        </w:rPr>
      </w:pPr>
      <w:r>
        <w:rPr>
          <w:rFonts w:ascii="Arial" w:cs="Arial" w:eastAsia="Arial" w:hAnsi="Arial"/>
          <w:sz w:val="14"/>
          <w:szCs w:val="14"/>
          <w:color w:val="auto"/>
        </w:rPr>
        <w:t>Non-energy operating costs equal total operating costs less energy operating costs and gas processing costs.</w:t>
      </w:r>
    </w:p>
    <w:p>
      <w:pPr>
        <w:spacing w:after="0" w:line="354"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G&amp;A expenses were $48 million for the first quarter of 2021, compared to $60 million in the same prior-year period. The decrease in G&amp;A expenses resulted from efficiencies and streamlining of CRC's operations, including a $7 million decrease in employee related expenses as a result of workforce reductions. We expect CRC's quarterly G&amp;A expenses to modestly trend down throughout the year from current levels.</w:t>
      </w:r>
    </w:p>
    <w:p>
      <w:pPr>
        <w:spacing w:after="0" w:line="228" w:lineRule="exact"/>
        <w:rPr>
          <w:sz w:val="20"/>
          <w:szCs w:val="20"/>
          <w:color w:val="auto"/>
        </w:rPr>
      </w:pPr>
    </w:p>
    <w:p>
      <w:pPr>
        <w:jc w:val="both"/>
        <w:ind w:firstLine="324"/>
        <w:spacing w:after="0" w:line="235" w:lineRule="auto"/>
        <w:rPr>
          <w:sz w:val="20"/>
          <w:szCs w:val="20"/>
          <w:color w:val="auto"/>
        </w:rPr>
      </w:pPr>
      <w:r>
        <w:rPr>
          <w:rFonts w:ascii="Arial" w:cs="Arial" w:eastAsia="Arial" w:hAnsi="Arial"/>
          <w:sz w:val="22"/>
          <w:szCs w:val="22"/>
          <w:color w:val="auto"/>
        </w:rPr>
        <w:t>CRC reported taxes other than on income of $40 million for the first quarter of 2021, compared to $41 million for the same prior-year period. Exploration expense was $2 million for the first quarter of 2021 and $5 million in the first quarter of 2020.</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Balance Sheet and Liquidity Update</w:t>
      </w:r>
    </w:p>
    <w:p>
      <w:pPr>
        <w:spacing w:after="0" w:line="259"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22"/>
          <w:szCs w:val="22"/>
          <w:color w:val="auto"/>
        </w:rPr>
        <w:t>In January 2021, CRC further simplified its balance sheet by completing an offering of $600 million in aggregate principal amount of its 7.125% senior unsecured notes due 2026. The net proceeds of $588 million, after $12 million of debt issuance costs, were used to repay in full CRC's Second Lien Term Loan and EHP Notes. The remaining proceeds were used to pay down substantially all of CRC's then outstanding Revolving Credit Facility.</w:t>
      </w:r>
    </w:p>
    <w:p>
      <w:pPr>
        <w:spacing w:after="0" w:line="242"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CRC's aggregate commitment of $540 million as of March 31, 2021 was automatically reduced to $492 million in April 2021 pursuant to the terms of CRC's Revolving Credit Facility. The borrowing base for the Revolving Credit Facility is redetermined around April and October of each year and was most recently set at $1.2 billion in May 2021. The amount CRC is able to borrow under the Revolving Credit Facility is limited to the amount of the commitment described above.</w:t>
      </w:r>
    </w:p>
    <w:p>
      <w:pPr>
        <w:spacing w:after="0" w:line="240"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In May 2021, CRC amended its Revolving Credit Facility to provide further strategic flexibility with respect to CRC's minimum and maximum hedging restrictions and to increase CRC's capacity to make certain restricted payments, including paying dividends on its common stock and repurchasing its common stock.</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990" w:right="339" w:bottom="1440" w:gutter="0" w:footer="0" w:header="0"/>
        </w:sectPr>
      </w:pPr>
    </w:p>
    <w:bookmarkStart w:id="9" w:name="page10"/>
    <w:bookmarkEnd w:id="9"/>
    <w:p>
      <w:pPr>
        <w:jc w:val="both"/>
        <w:ind w:firstLine="324"/>
        <w:spacing w:after="0" w:line="246" w:lineRule="auto"/>
        <w:rPr>
          <w:sz w:val="20"/>
          <w:szCs w:val="20"/>
          <w:color w:val="auto"/>
        </w:rPr>
      </w:pPr>
      <w:r>
        <w:rPr>
          <w:rFonts w:ascii="Arial" w:cs="Arial" w:eastAsia="Arial" w:hAnsi="Arial"/>
          <w:sz w:val="22"/>
          <w:szCs w:val="22"/>
          <w:color w:val="auto"/>
        </w:rPr>
        <w:t>Based on the timing of anticipated cash distributions to Benefit Street Partners (BSP) at current commodity prices, CRC believes the preferred interest held by BSP in its development joint venture could be automatically redeemed early in the fourth quarter of 2021.</w:t>
      </w: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During the first quarter of 2021, CRC operated one drilling rig in the San Joaquin Basin, drilled 17 net wells, 15 of which were brought online, and completed 40 capital workovers. Subsequent to the end of the first quarter, CRC added a second drilling rig and increased its maintenance rigs to 38. The San Joaquin basin produced 73,000 net BOE per day. The Los Angeles basin produced 20,000 net BOE per day, the Ventura basin produced 3,000 net BOE per day and the Sacramento basin produced 3,000 net BOE per day.</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Organization Changes</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In connection with CRC's emergence from bankruptcy, its Board of Directors was reconstituted in October 2020. On December 31, 2020, CRC's former President, Chief Executive Officer and director Todd A. Stevens departed and Mark A. (Mac) McFarland was appointed as interim Chief Executive Officer in addition to his role as Chair of CRC's Board of Directors. On March 22, 2021, the Board of Directors appointed Mr. McFarland as President and Chief Executive Officer on a permanent basis. On April 15, 2021, Tiffany (TJ) Thom Cepak replaced Mr. McFarland as the Chair of CRC's Board of Directors. Mr. McFarland will continue to serve as a director.</w:t>
      </w:r>
    </w:p>
    <w:p>
      <w:pPr>
        <w:spacing w:after="0" w:line="239"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On April 30, 2021, Noelle M. Repetti was appointed Principal Accounting Officer. Mrs. Repetti joined CRC in 2014 as Vice President – Tax, and she assumed additional duties and was appointed Vice President and Controller in August 2017. On May 1, 2021, Jay Bys was appointed Chief Commercial Officer responsible for CRC's marketing and trading operations. Mr. Bys has nearly 30 years of experience across various segments of the energy industry in senior management roles. He will oversee the integration of CRC's renewable energy efforts.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73"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To participate in the conference call scheduled for later today at 11:00 a.m. Eastern Time, please dial (877) 328-5505 (International calls please dial +1 (412) 317-5421) or access via webcast at www.crc.com 15 minutes prior to the scheduled start time to register. Participants may also pre-register for the conference call at https://dpregister.com/sreg/10153648/e58af1b180. A digital replay of the conference call will be archived for approximately 90 days and supplemental slides for the conference call will be available online in the Investor Relations section of www.crc.com.</w:t>
      </w:r>
    </w:p>
    <w:p>
      <w:pPr>
        <w:spacing w:after="0" w:line="248" w:lineRule="exact"/>
        <w:rPr>
          <w:sz w:val="20"/>
          <w:szCs w:val="20"/>
          <w:color w:val="auto"/>
        </w:rPr>
      </w:pPr>
    </w:p>
    <w:p>
      <w:pPr>
        <w:ind w:right="20" w:firstLine="8"/>
        <w:spacing w:after="0" w:line="212" w:lineRule="auto"/>
        <w:tabs>
          <w:tab w:leader="none" w:pos="77" w:val="left"/>
        </w:tabs>
        <w:numPr>
          <w:ilvl w:val="0"/>
          <w:numId w:val="7"/>
        </w:numPr>
        <w:rPr>
          <w:rFonts w:ascii="Arial" w:cs="Arial" w:eastAsia="Arial" w:hAnsi="Arial"/>
          <w:sz w:val="15"/>
          <w:szCs w:val="15"/>
          <w:color w:val="auto"/>
          <w:vertAlign w:val="superscript"/>
        </w:rPr>
      </w:pPr>
      <w:r>
        <w:rPr>
          <w:rFonts w:ascii="Arial" w:cs="Arial" w:eastAsia="Arial" w:hAnsi="Arial"/>
          <w:sz w:val="12"/>
          <w:szCs w:val="12"/>
          <w:color w:val="auto"/>
        </w:rPr>
        <w:t>See Attachment 2 for the non-GAAP financial measures of adjusted EBITDAX, operating costs per BOE (excluding effects of PSC-type contracts), adjusted net income (loss) and free cash flow, including reconciliations to their most directly comparable GAAP measure, where applicable.</w:t>
      </w:r>
    </w:p>
    <w:p>
      <w:pPr>
        <w:spacing w:after="0" w:line="19" w:lineRule="exact"/>
        <w:rPr>
          <w:rFonts w:ascii="Arial" w:cs="Arial" w:eastAsia="Arial" w:hAnsi="Arial"/>
          <w:sz w:val="15"/>
          <w:szCs w:val="15"/>
          <w:color w:val="auto"/>
          <w:vertAlign w:val="superscript"/>
        </w:rPr>
      </w:pPr>
    </w:p>
    <w:p>
      <w:pPr>
        <w:spacing w:after="0"/>
        <w:rPr>
          <w:rFonts w:ascii="Arial" w:cs="Arial" w:eastAsia="Arial" w:hAnsi="Arial"/>
          <w:sz w:val="15"/>
          <w:szCs w:val="15"/>
          <w:color w:val="auto"/>
          <w:vertAlign w:val="superscript"/>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Calculated as $130 million of cash plus $540 million of capacity on CRC's Revolving Credit Facility less $125 million in letters of credit</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7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California Resources Corporation (CRC) is an independent oil and natural gas exploration and production company, applying complementary and integrated infrastructure to gather, process and market its production. Using advanced technology, CRC focuses on safely and responsibly supplying affordable energy.</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916"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73" w:lineRule="exact"/>
        <w:rPr>
          <w:sz w:val="20"/>
          <w:szCs w:val="20"/>
          <w:color w:val="auto"/>
        </w:rPr>
      </w:pPr>
    </w:p>
    <w:p>
      <w:pPr>
        <w:jc w:val="both"/>
        <w:ind w:firstLine="324"/>
        <w:spacing w:after="0" w:line="246" w:lineRule="auto"/>
        <w:rPr>
          <w:sz w:val="20"/>
          <w:szCs w:val="20"/>
          <w:color w:val="auto"/>
        </w:rPr>
      </w:pPr>
      <w:r>
        <w:rPr>
          <w:rFonts w:ascii="Arial" w:cs="Arial" w:eastAsia="Arial" w:hAnsi="Arial"/>
          <w:sz w:val="22"/>
          <w:szCs w:val="22"/>
          <w:color w:val="auto"/>
        </w:rPr>
        <w:t>The information included herein contains forward-looking statements that involve risks and uncertainties that could materially affect CRC's expected results of operations, liquidity, cash flows and business prospects. Such statements include those regarding CRC's expectations as to its future:</w:t>
      </w:r>
    </w:p>
    <w:p>
      <w:pPr>
        <w:spacing w:after="0" w:line="235" w:lineRule="exact"/>
        <w:rPr>
          <w:sz w:val="20"/>
          <w:szCs w:val="20"/>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operating costs and general and administrative expenses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8"/>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2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Actual results may differ from anticipated results, sometimes materially, and reported results should not be considered an indication of future performance. While CRC believes assumptions or bases underlying its expectations are reasonable and make them in good faith, they almost always vary from actual results, sometimes materially. CRC also believes third-party statements it cites are accurate but have not independently verified them and do not warrant their accuracy or completeness. Factors (but not necessarily all the factors) that could cause results to differ include:</w:t>
      </w:r>
    </w:p>
    <w:p>
      <w:pPr>
        <w:spacing w:after="0" w:line="239" w:lineRule="exact"/>
        <w:rPr>
          <w:sz w:val="20"/>
          <w:szCs w:val="20"/>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CRC's ability to execute its business plan post-emergence</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01"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volatility of commodity prices and the potential for sustained low oil, natural gas and natural gas liquids prices</w:t>
      </w: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impact of CRC's recent emergence from bankruptcy on its business and relationships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debt limitations on CRC's financial flexibility</w:t>
      </w:r>
    </w:p>
    <w:p>
      <w:pPr>
        <w:spacing w:after="0" w:line="3" w:lineRule="exact"/>
        <w:rPr>
          <w:rFonts w:ascii="Arial" w:cs="Arial" w:eastAsia="Arial" w:hAnsi="Arial"/>
          <w:sz w:val="22"/>
          <w:szCs w:val="22"/>
          <w:color w:val="auto"/>
        </w:rPr>
      </w:pPr>
    </w:p>
    <w:p>
      <w:pPr>
        <w:ind w:left="660" w:hanging="328"/>
        <w:spacing w:after="0" w:line="243" w:lineRule="auto"/>
        <w:tabs>
          <w:tab w:leader="none" w:pos="601" w:val="left"/>
        </w:tabs>
        <w:numPr>
          <w:ilvl w:val="0"/>
          <w:numId w:val="9"/>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interest payments on CRC's debt, debt repurchases or changes to CRC's capital plan</w:t>
      </w:r>
    </w:p>
    <w:p>
      <w:pPr>
        <w:ind w:left="660" w:hanging="328"/>
        <w:spacing w:after="0" w:line="243" w:lineRule="auto"/>
        <w:tabs>
          <w:tab w:leader="none" w:pos="601" w:val="left"/>
        </w:tabs>
        <w:numPr>
          <w:ilvl w:val="0"/>
          <w:numId w:val="9"/>
        </w:numPr>
        <w:rPr>
          <w:rFonts w:ascii="Arial" w:cs="Arial" w:eastAsia="Arial" w:hAnsi="Arial"/>
          <w:sz w:val="22"/>
          <w:szCs w:val="22"/>
          <w:color w:val="auto"/>
        </w:rPr>
      </w:pPr>
      <w:r>
        <w:rPr>
          <w:rFonts w:ascii="Arial" w:cs="Arial" w:eastAsia="Arial" w:hAnsi="Arial"/>
          <w:sz w:val="22"/>
          <w:szCs w:val="22"/>
          <w:color w:val="auto"/>
        </w:rPr>
        <w:t>insufficient capital or liquidity, including as a result of lender restrictions, unavailability of capital markets or inability to attract potential investors</w:t>
      </w: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limitations on transportation or storage capacity and the need to shut-in wells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CRC's ability to utilize its net operating loss carryforwards to reduce its income tax obligations</w:t>
      </w:r>
    </w:p>
    <w:p>
      <w:pPr>
        <w:spacing w:after="0" w:line="3" w:lineRule="exact"/>
        <w:rPr>
          <w:rFonts w:ascii="Arial" w:cs="Arial" w:eastAsia="Arial" w:hAnsi="Arial"/>
          <w:sz w:val="22"/>
          <w:szCs w:val="22"/>
          <w:color w:val="auto"/>
        </w:rPr>
      </w:pPr>
    </w:p>
    <w:p>
      <w:pPr>
        <w:jc w:val="both"/>
        <w:ind w:left="660" w:hanging="328"/>
        <w:spacing w:after="0" w:line="243" w:lineRule="auto"/>
        <w:tabs>
          <w:tab w:leader="none" w:pos="601" w:val="left"/>
        </w:tabs>
        <w:numPr>
          <w:ilvl w:val="0"/>
          <w:numId w:val="9"/>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(GHGs) or other emissions, protection of health, safety and the environment, or transportation, marketing and sale of CRC products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joint ventures and acquisitions and CRC's ability to achieve expected synergies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9"/>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1133" w:right="339" w:bottom="1440" w:gutter="0" w:footer="0" w:header="0"/>
        </w:sectPr>
      </w:pPr>
    </w:p>
    <w:bookmarkStart w:id="11" w:name="page12"/>
    <w:bookmarkEnd w:id="11"/>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production-sharing contracts' effects on production and unit operating costs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effect of CRC's stock price on costs associated with incentive compensation</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01" w:val="left"/>
        </w:tabs>
        <w:numPr>
          <w:ilvl w:val="0"/>
          <w:numId w:val="10"/>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hanging="328"/>
        <w:spacing w:after="0" w:line="243" w:lineRule="auto"/>
        <w:tabs>
          <w:tab w:leader="none" w:pos="601" w:val="left"/>
        </w:tabs>
        <w:numPr>
          <w:ilvl w:val="0"/>
          <w:numId w:val="10"/>
        </w:numPr>
        <w:rPr>
          <w:rFonts w:ascii="Arial" w:cs="Arial" w:eastAsia="Arial" w:hAnsi="Arial"/>
          <w:sz w:val="22"/>
          <w:szCs w:val="22"/>
          <w:color w:val="auto"/>
        </w:rPr>
      </w:pPr>
      <w:r>
        <w:rPr>
          <w:rFonts w:ascii="Arial" w:cs="Arial" w:eastAsia="Arial" w:hAnsi="Arial"/>
          <w:sz w:val="22"/>
          <w:szCs w:val="22"/>
          <w:color w:val="auto"/>
        </w:rPr>
        <w:t>disruptions due to accidents, mechanical failures, power outages, transportation or storage constraints, natural disasters, labor difficulties, cyber attacks or other catastrophic events</w:t>
      </w: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pandemics, epidemics, outbreaks, or other public health events, such as the COVID-19</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10"/>
        </w:numPr>
        <w:rPr>
          <w:rFonts w:ascii="Arial" w:cs="Arial" w:eastAsia="Arial" w:hAnsi="Arial"/>
          <w:sz w:val="22"/>
          <w:szCs w:val="22"/>
          <w:color w:val="auto"/>
        </w:rPr>
      </w:pPr>
      <w:r>
        <w:rPr>
          <w:rFonts w:ascii="Arial" w:cs="Arial" w:eastAsia="Arial" w:hAnsi="Arial"/>
          <w:sz w:val="22"/>
          <w:szCs w:val="22"/>
          <w:color w:val="auto"/>
        </w:rPr>
        <w:t>factors discussed in Item 1A, Risk Factors in CRC's Annual Report on Form 10-K available at www.crc.com.</w:t>
      </w:r>
    </w:p>
    <w:p>
      <w:pPr>
        <w:spacing w:after="0" w:line="247" w:lineRule="exact"/>
        <w:rPr>
          <w:sz w:val="20"/>
          <w:szCs w:val="20"/>
          <w:color w:val="auto"/>
        </w:rPr>
      </w:pPr>
    </w:p>
    <w:p>
      <w:pPr>
        <w:jc w:val="both"/>
        <w:ind w:firstLine="324"/>
        <w:spacing w:after="0" w:line="244"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5580" w:type="dxa"/>
            <w:vAlign w:val="bottom"/>
            <w:gridSpan w:val="2"/>
          </w:tcPr>
          <w:p>
            <w:pPr>
              <w:spacing w:after="0"/>
              <w:rPr>
                <w:sz w:val="20"/>
                <w:szCs w:val="20"/>
                <w:color w:val="auto"/>
              </w:rPr>
            </w:pPr>
            <w:r>
              <w:rPr>
                <w:rFonts w:ascii="Arial" w:cs="Arial" w:eastAsia="Arial" w:hAnsi="Arial"/>
                <w:sz w:val="22"/>
                <w:szCs w:val="22"/>
                <w:b w:val="1"/>
                <w:bCs w:val="1"/>
                <w:color w:val="auto"/>
              </w:rPr>
              <w:t>Contacts:</w:t>
            </w:r>
          </w:p>
        </w:tc>
        <w:tc>
          <w:tcPr>
            <w:tcW w:w="2260" w:type="dxa"/>
            <w:vAlign w:val="bottom"/>
          </w:tcPr>
          <w:p>
            <w:pPr>
              <w:spacing w:after="0"/>
              <w:rPr>
                <w:sz w:val="21"/>
                <w:szCs w:val="21"/>
                <w:color w:val="auto"/>
              </w:rPr>
            </w:pPr>
          </w:p>
        </w:tc>
      </w:tr>
      <w:tr>
        <w:trPr>
          <w:trHeight w:val="20"/>
        </w:trPr>
        <w:tc>
          <w:tcPr>
            <w:tcW w:w="1000" w:type="dxa"/>
            <w:vAlign w:val="bottom"/>
            <w:shd w:val="clear" w:color="auto" w:fill="000000"/>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r>
      <w:tr>
        <w:trPr>
          <w:trHeight w:val="365"/>
        </w:trPr>
        <w:tc>
          <w:tcPr>
            <w:tcW w:w="5580" w:type="dxa"/>
            <w:vAlign w:val="bottom"/>
            <w:gridSpan w:val="2"/>
          </w:tcPr>
          <w:p>
            <w:pPr>
              <w:ind w:left="20"/>
              <w:spacing w:after="0"/>
              <w:rPr>
                <w:sz w:val="20"/>
                <w:szCs w:val="20"/>
                <w:color w:val="auto"/>
              </w:rPr>
            </w:pPr>
            <w:r>
              <w:rPr>
                <w:rFonts w:ascii="Arial" w:cs="Arial" w:eastAsia="Arial" w:hAnsi="Arial"/>
                <w:sz w:val="22"/>
                <w:szCs w:val="22"/>
                <w:color w:val="auto"/>
              </w:rPr>
              <w:t>Joanna Park (Investor Relations) 818-661-3731</w:t>
            </w:r>
          </w:p>
        </w:tc>
        <w:tc>
          <w:tcPr>
            <w:tcW w:w="2260" w:type="dxa"/>
            <w:vAlign w:val="bottom"/>
          </w:tcPr>
          <w:p>
            <w:pPr>
              <w:spacing w:after="0"/>
              <w:rPr>
                <w:sz w:val="20"/>
                <w:szCs w:val="20"/>
                <w:color w:val="auto"/>
              </w:rPr>
            </w:pPr>
            <w:r>
              <w:rPr>
                <w:rFonts w:ascii="Arial" w:cs="Arial" w:eastAsia="Arial" w:hAnsi="Arial"/>
                <w:sz w:val="22"/>
                <w:szCs w:val="22"/>
                <w:color w:val="auto"/>
              </w:rPr>
              <w:t>Richard Venn (Media)</w:t>
            </w:r>
          </w:p>
        </w:tc>
      </w:tr>
      <w:tr>
        <w:trPr>
          <w:trHeight w:val="216"/>
        </w:trPr>
        <w:tc>
          <w:tcPr>
            <w:tcW w:w="5580" w:type="dxa"/>
            <w:vAlign w:val="bottom"/>
            <w:gridSpan w:val="2"/>
          </w:tcPr>
          <w:p>
            <w:pPr>
              <w:ind w:left="20"/>
              <w:spacing w:after="0" w:line="216" w:lineRule="exact"/>
              <w:rPr>
                <w:sz w:val="20"/>
                <w:szCs w:val="20"/>
                <w:color w:val="auto"/>
              </w:rPr>
            </w:pPr>
            <w:r>
              <w:rPr>
                <w:rFonts w:ascii="Arial" w:cs="Arial" w:eastAsia="Arial" w:hAnsi="Arial"/>
                <w:sz w:val="22"/>
                <w:szCs w:val="22"/>
                <w:color w:val="auto"/>
              </w:rPr>
              <w:t>Joanna.Park@crc.com</w:t>
            </w:r>
          </w:p>
        </w:tc>
        <w:tc>
          <w:tcPr>
            <w:tcW w:w="2260" w:type="dxa"/>
            <w:vAlign w:val="bottom"/>
          </w:tcPr>
          <w:p>
            <w:pPr>
              <w:spacing w:after="0" w:line="216" w:lineRule="exact"/>
              <w:rPr>
                <w:sz w:val="20"/>
                <w:szCs w:val="20"/>
                <w:color w:val="auto"/>
              </w:rPr>
            </w:pPr>
            <w:r>
              <w:rPr>
                <w:rFonts w:ascii="Arial" w:cs="Arial" w:eastAsia="Arial" w:hAnsi="Arial"/>
                <w:sz w:val="22"/>
                <w:szCs w:val="22"/>
                <w:color w:val="auto"/>
              </w:rPr>
              <w:t>818-661-6014</w:t>
            </w:r>
          </w:p>
        </w:tc>
      </w:tr>
      <w:tr>
        <w:trPr>
          <w:trHeight w:val="209"/>
        </w:trPr>
        <w:tc>
          <w:tcPr>
            <w:tcW w:w="1000" w:type="dxa"/>
            <w:vAlign w:val="bottom"/>
          </w:tcPr>
          <w:p>
            <w:pPr>
              <w:spacing w:after="0"/>
              <w:rPr>
                <w:sz w:val="18"/>
                <w:szCs w:val="18"/>
                <w:color w:val="auto"/>
              </w:rPr>
            </w:pPr>
          </w:p>
        </w:tc>
        <w:tc>
          <w:tcPr>
            <w:tcW w:w="4580" w:type="dxa"/>
            <w:vAlign w:val="bottom"/>
          </w:tcPr>
          <w:p>
            <w:pPr>
              <w:spacing w:after="0"/>
              <w:rPr>
                <w:sz w:val="18"/>
                <w:szCs w:val="18"/>
                <w:color w:val="auto"/>
              </w:rPr>
            </w:pPr>
          </w:p>
        </w:tc>
        <w:tc>
          <w:tcPr>
            <w:tcW w:w="2260" w:type="dxa"/>
            <w:vAlign w:val="bottom"/>
            <w:tcBorders>
              <w:bottom w:val="single" w:sz="8" w:color="421BFF"/>
            </w:tcBorders>
          </w:tcPr>
          <w:p>
            <w:pPr>
              <w:spacing w:after="0" w:line="209" w:lineRule="exact"/>
              <w:rPr>
                <w:sz w:val="20"/>
                <w:szCs w:val="20"/>
                <w:color w:val="auto"/>
              </w:rPr>
            </w:pPr>
            <w:r>
              <w:rPr>
                <w:rFonts w:ascii="Arial" w:cs="Arial" w:eastAsia="Arial" w:hAnsi="Arial"/>
                <w:sz w:val="22"/>
                <w:szCs w:val="22"/>
                <w:color w:val="421BFF"/>
                <w:w w:val="96"/>
              </w:rPr>
              <w:t>Richard.Venn@crc.com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916"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SUMMARY OF RESULTS</w:t>
            </w: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8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Successor</w:t>
            </w:r>
          </w:p>
        </w:tc>
        <w:tc>
          <w:tcPr>
            <w:tcW w:w="280" w:type="dxa"/>
            <w:vAlign w:val="bottom"/>
            <w:tcBorders>
              <w:right w:val="single" w:sz="8" w:color="auto"/>
            </w:tcBorders>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vMerge w:val="restart"/>
          </w:tcPr>
          <w:p>
            <w:pPr>
              <w:jc w:val="center"/>
              <w:ind w:right="48"/>
              <w:spacing w:after="0"/>
              <w:rPr>
                <w:sz w:val="20"/>
                <w:szCs w:val="20"/>
                <w:color w:val="auto"/>
              </w:rPr>
            </w:pPr>
            <w:r>
              <w:rPr>
                <w:rFonts w:ascii="Arial" w:cs="Arial" w:eastAsia="Arial" w:hAnsi="Arial"/>
                <w:sz w:val="14"/>
                <w:szCs w:val="14"/>
                <w:color w:val="auto"/>
              </w:rPr>
              <w:t>Predecessor</w:t>
            </w:r>
          </w:p>
        </w:tc>
        <w:tc>
          <w:tcPr>
            <w:tcW w:w="26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0"/>
              <w:spacing w:after="0" w:line="142" w:lineRule="exact"/>
              <w:rPr>
                <w:sz w:val="20"/>
                <w:szCs w:val="20"/>
                <w:color w:val="auto"/>
              </w:rPr>
            </w:pPr>
            <w:r>
              <w:rPr>
                <w:rFonts w:ascii="Arial" w:cs="Arial" w:eastAsia="Arial" w:hAnsi="Arial"/>
                <w:sz w:val="14"/>
                <w:szCs w:val="14"/>
                <w:b w:val="1"/>
                <w:bCs w:val="1"/>
                <w:color w:val="auto"/>
              </w:rPr>
              <w:t>Combined</w:t>
            </w:r>
          </w:p>
        </w:tc>
        <w:tc>
          <w:tcPr>
            <w:tcW w:w="160" w:type="dxa"/>
            <w:vAlign w:val="bottom"/>
          </w:tcPr>
          <w:p>
            <w:pPr>
              <w:spacing w:after="0"/>
              <w:rPr>
                <w:sz w:val="12"/>
                <w:szCs w:val="12"/>
                <w:color w:val="auto"/>
              </w:rPr>
            </w:pPr>
          </w:p>
        </w:tc>
        <w:tc>
          <w:tcPr>
            <w:tcW w:w="10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right w:val="single" w:sz="8" w:color="auto"/>
            </w:tcBorders>
            <w:vMerge w:val="restart"/>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28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(Non-GAAP)</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80"/>
              <w:spacing w:after="0"/>
              <w:rPr>
                <w:sz w:val="20"/>
                <w:szCs w:val="20"/>
                <w:color w:val="auto"/>
              </w:rPr>
            </w:pPr>
            <w:r>
              <w:rPr>
                <w:rFonts w:ascii="Arial" w:cs="Arial" w:eastAsia="Arial" w:hAnsi="Arial"/>
                <w:sz w:val="14"/>
                <w:szCs w:val="14"/>
                <w:color w:val="auto"/>
              </w:rPr>
              <w:t>1st Quarter</w:t>
            </w:r>
          </w:p>
        </w:tc>
        <w:tc>
          <w:tcPr>
            <w:tcW w:w="100" w:type="dxa"/>
            <w:vAlign w:val="bottom"/>
          </w:tcPr>
          <w:p>
            <w:pPr>
              <w:spacing w:after="0"/>
              <w:rPr>
                <w:sz w:val="15"/>
                <w:szCs w:val="15"/>
                <w:color w:val="auto"/>
              </w:rPr>
            </w:pPr>
          </w:p>
        </w:tc>
        <w:tc>
          <w:tcPr>
            <w:tcW w:w="1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4th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4th Quarter</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2020</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w:t>
            </w: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288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432</w:t>
            </w:r>
          </w:p>
        </w:tc>
        <w:tc>
          <w:tcPr>
            <w:tcW w:w="28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342</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Oil, natural gas and NGL sales</w:t>
            </w:r>
          </w:p>
        </w:tc>
        <w:tc>
          <w:tcPr>
            <w:tcW w:w="10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430</w:t>
            </w:r>
          </w:p>
        </w:tc>
        <w:tc>
          <w:tcPr>
            <w:tcW w:w="260" w:type="dxa"/>
            <w:vAlign w:val="bottom"/>
          </w:tcPr>
          <w:p>
            <w:pPr>
              <w:spacing w:after="0"/>
              <w:rPr>
                <w:sz w:val="16"/>
                <w:szCs w:val="16"/>
                <w:color w:val="auto"/>
              </w:rPr>
            </w:pPr>
          </w:p>
        </w:tc>
        <w:tc>
          <w:tcPr>
            <w:tcW w:w="100" w:type="dxa"/>
            <w:vAlign w:val="bottom"/>
            <w:vMerge w:val="continue"/>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Net derivative (loss) gain from commodity contracts</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(213)</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79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(141)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10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98</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Trading revenue</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Electricity sales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33</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Total revenues</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363</w:t>
            </w:r>
          </w:p>
        </w:tc>
        <w:tc>
          <w:tcPr>
            <w:tcW w:w="2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301</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152</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149</w:t>
            </w: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Costs and Other</w:t>
            </w:r>
          </w:p>
        </w:tc>
        <w:tc>
          <w:tcPr>
            <w:tcW w:w="100" w:type="dxa"/>
            <w:vAlign w:val="bottom"/>
          </w:tcPr>
          <w:p>
            <w:pPr>
              <w:spacing w:after="0"/>
              <w:rPr>
                <w:sz w:val="24"/>
                <w:szCs w:val="24"/>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164</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165</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192</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114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48</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59</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52</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119</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Asset impairments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1,736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40</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41</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Exploration expense</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Other expenses, net</w:t>
            </w:r>
          </w:p>
        </w:tc>
        <w:tc>
          <w:tcPr>
            <w:tcW w:w="100" w:type="dxa"/>
            <w:vAlign w:val="bottom"/>
          </w:tcPr>
          <w:p>
            <w:pPr>
              <w:spacing w:after="0"/>
              <w:rPr>
                <w:sz w:val="16"/>
                <w:szCs w:val="16"/>
                <w:color w:val="auto"/>
              </w:rPr>
            </w:pPr>
          </w:p>
        </w:tc>
        <w:tc>
          <w:tcPr>
            <w:tcW w:w="94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61</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Trading costs</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24</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Electricity cost of sales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24</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16</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Transportation costs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ind w:left="120"/>
              <w:spacing w:after="0"/>
              <w:rPr>
                <w:sz w:val="20"/>
                <w:szCs w:val="20"/>
                <w:color w:val="auto"/>
              </w:rPr>
            </w:pPr>
            <w:r>
              <w:rPr>
                <w:rFonts w:ascii="Arial" w:cs="Arial" w:eastAsia="Arial" w:hAnsi="Arial"/>
                <w:sz w:val="14"/>
                <w:szCs w:val="14"/>
                <w:color w:val="auto"/>
              </w:rPr>
              <w:t>Other</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4680" w:type="dxa"/>
            <w:vAlign w:val="bottom"/>
            <w:gridSpan w:val="2"/>
          </w:tcPr>
          <w:p>
            <w:pPr>
              <w:ind w:left="200"/>
              <w:spacing w:after="0"/>
              <w:rPr>
                <w:sz w:val="20"/>
                <w:szCs w:val="20"/>
                <w:color w:val="auto"/>
              </w:rPr>
            </w:pPr>
            <w:r>
              <w:rPr>
                <w:rFonts w:ascii="Arial" w:cs="Arial" w:eastAsia="Arial" w:hAnsi="Arial"/>
                <w:sz w:val="14"/>
                <w:szCs w:val="14"/>
                <w:color w:val="auto"/>
              </w:rPr>
              <w:t>Total costs and other</w:t>
            </w:r>
          </w:p>
        </w:tc>
        <w:tc>
          <w:tcPr>
            <w:tcW w:w="1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436</w:t>
            </w:r>
          </w:p>
        </w:tc>
        <w:tc>
          <w:tcPr>
            <w:tcW w:w="2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2,222</w:t>
            </w:r>
          </w:p>
        </w:tc>
        <w:tc>
          <w:tcPr>
            <w:tcW w:w="2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409</w:t>
            </w: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258</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151</w:t>
            </w: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Operating Loss</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(1,649)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(108)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(106)</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Non-Operating (Loss) Income</w:t>
            </w:r>
          </w:p>
        </w:tc>
        <w:tc>
          <w:tcPr>
            <w:tcW w:w="10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3,991</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3,994</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Reorganization items, net</w:t>
            </w: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(87)</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Net (loss) gain on extinguishment of debt</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Gains on asset divestitures</w:t>
            </w:r>
          </w:p>
        </w:tc>
        <w:tc>
          <w:tcPr>
            <w:tcW w:w="100" w:type="dxa"/>
            <w:vAlign w:val="bottom"/>
          </w:tcPr>
          <w:p>
            <w:pPr>
              <w:spacing w:after="0"/>
              <w:rPr>
                <w:sz w:val="16"/>
                <w:szCs w:val="16"/>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Other non-operating expenses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385"/>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(Loss) Income Before Income Taxes</w:t>
            </w: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(1,745)</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3,870</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3,995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Income tax provision</w:t>
            </w:r>
          </w:p>
        </w:tc>
        <w:tc>
          <w:tcPr>
            <w:tcW w:w="100" w:type="dxa"/>
            <w:vAlign w:val="bottom"/>
          </w:tcPr>
          <w:p>
            <w:pPr>
              <w:spacing w:after="0"/>
              <w:rPr>
                <w:sz w:val="16"/>
                <w:szCs w:val="16"/>
                <w:color w:val="auto"/>
              </w:rPr>
            </w:pPr>
          </w:p>
        </w:tc>
        <w:tc>
          <w:tcPr>
            <w:tcW w:w="1220" w:type="dxa"/>
            <w:vAlign w:val="bottom"/>
            <w:tcBorders>
              <w:right w:val="single" w:sz="8" w:color="auto"/>
            </w:tcBorders>
            <w:gridSpan w:val="2"/>
          </w:tcPr>
          <w:p>
            <w:pPr>
              <w:jc w:val="right"/>
              <w:ind w:right="36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32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Net (Loss) Income</w:t>
            </w:r>
          </w:p>
        </w:tc>
        <w:tc>
          <w:tcPr>
            <w:tcW w:w="10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2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(1,745)</w:t>
            </w:r>
          </w:p>
        </w:tc>
        <w:tc>
          <w:tcPr>
            <w:tcW w:w="26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3,870</w:t>
            </w:r>
          </w:p>
        </w:tc>
        <w:tc>
          <w:tcPr>
            <w:tcW w:w="20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(125)</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3,995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Net (income) loss attributable to noncontrolling interests</w:t>
            </w: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(94)</w:t>
            </w:r>
          </w:p>
        </w:tc>
        <w:tc>
          <w:tcPr>
            <w:tcW w:w="2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(1,796)</w:t>
            </w:r>
          </w:p>
        </w:tc>
        <w:tc>
          <w:tcPr>
            <w:tcW w:w="26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3,862</w:t>
            </w:r>
          </w:p>
        </w:tc>
        <w:tc>
          <w:tcPr>
            <w:tcW w:w="2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(123)</w:t>
            </w:r>
          </w:p>
        </w:tc>
        <w:tc>
          <w:tcPr>
            <w:tcW w:w="2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gridSpan w:val="2"/>
            <w:vMerge w:val="restart"/>
          </w:tcPr>
          <w:p>
            <w:pPr>
              <w:spacing w:after="0"/>
              <w:rPr>
                <w:sz w:val="20"/>
                <w:szCs w:val="20"/>
                <w:color w:val="auto"/>
              </w:rPr>
            </w:pPr>
            <w:r>
              <w:rPr>
                <w:rFonts w:ascii="Arial" w:cs="Arial" w:eastAsia="Arial" w:hAnsi="Arial"/>
                <w:sz w:val="14"/>
                <w:szCs w:val="14"/>
                <w:color w:val="auto"/>
              </w:rPr>
              <w:t>Net (loss) income attributable to common stock per share - basic and</w:t>
            </w: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8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80" w:type="dxa"/>
            <w:vAlign w:val="bottom"/>
            <w:gridSpan w:val="2"/>
            <w:vMerge w:val="continue"/>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(1.13)</w:t>
            </w:r>
          </w:p>
        </w:tc>
        <w:tc>
          <w:tcPr>
            <w:tcW w:w="2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(36.43)</w:t>
            </w:r>
          </w:p>
        </w:tc>
        <w:tc>
          <w:tcPr>
            <w:tcW w:w="260" w:type="dxa"/>
            <w:vAlign w:val="bottom"/>
          </w:tcPr>
          <w:p>
            <w:pPr>
              <w:spacing w:after="0"/>
              <w:rPr>
                <w:sz w:val="19"/>
                <w:szCs w:val="19"/>
                <w:color w:val="auto"/>
              </w:rPr>
            </w:pP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(1.48)</w:t>
            </w:r>
          </w:p>
        </w:tc>
        <w:tc>
          <w:tcPr>
            <w:tcW w:w="2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80.20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diluted</w:t>
            </w:r>
          </w:p>
        </w:tc>
        <w:tc>
          <w:tcPr>
            <w:tcW w:w="100" w:type="dxa"/>
            <w:vAlign w:val="bottom"/>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28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2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continue"/>
          </w:tcPr>
          <w:p>
            <w:pPr>
              <w:spacing w:after="0"/>
              <w:rPr>
                <w:sz w:val="14"/>
                <w:szCs w:val="14"/>
                <w:color w:val="auto"/>
              </w:rPr>
            </w:pPr>
          </w:p>
        </w:tc>
        <w:tc>
          <w:tcPr>
            <w:tcW w:w="10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36"/>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Adjusted net income (loss)</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102</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(8)</w:t>
            </w:r>
          </w:p>
        </w:tc>
        <w:tc>
          <w:tcPr>
            <w:tcW w:w="2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2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28</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Adjusted net income (loss) per share - basic and diluted</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1.22</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(0.16)</w:t>
            </w:r>
          </w:p>
        </w:tc>
        <w:tc>
          <w:tcPr>
            <w:tcW w:w="26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0.34</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(0.40)</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 and diluted</w:t>
            </w:r>
          </w:p>
        </w:tc>
        <w:tc>
          <w:tcPr>
            <w:tcW w:w="100" w:type="dxa"/>
            <w:vAlign w:val="bottom"/>
          </w:tcPr>
          <w:p>
            <w:pPr>
              <w:spacing w:after="0"/>
              <w:rPr>
                <w:sz w:val="24"/>
                <w:szCs w:val="24"/>
                <w:color w:val="auto"/>
              </w:rPr>
            </w:pP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83.3</w:t>
            </w:r>
          </w:p>
        </w:tc>
        <w:tc>
          <w:tcPr>
            <w:tcW w:w="28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49.3</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83.3</w:t>
            </w:r>
          </w:p>
        </w:tc>
        <w:tc>
          <w:tcPr>
            <w:tcW w:w="2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49.5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Adjusted EBITDAX</w:t>
            </w: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8"/>
              <w:spacing w:after="0"/>
              <w:rPr>
                <w:sz w:val="20"/>
                <w:szCs w:val="20"/>
                <w:color w:val="auto"/>
              </w:rPr>
            </w:pPr>
            <w:r>
              <w:rPr>
                <w:rFonts w:ascii="Arial" w:cs="Arial" w:eastAsia="Arial" w:hAnsi="Arial"/>
                <w:sz w:val="14"/>
                <w:szCs w:val="14"/>
                <w:b w:val="1"/>
                <w:bCs w:val="1"/>
                <w:color w:val="auto"/>
              </w:rPr>
              <w:t>189</w:t>
            </w:r>
          </w:p>
        </w:tc>
        <w:tc>
          <w:tcPr>
            <w:tcW w:w="28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251</w:t>
            </w:r>
          </w:p>
        </w:tc>
        <w:tc>
          <w:tcPr>
            <w:tcW w:w="26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200" w:type="dxa"/>
            <w:vAlign w:val="bottom"/>
            <w:tcBorders>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33</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46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1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0%</w:t>
            </w:r>
          </w:p>
        </w:tc>
        <w:tc>
          <w:tcPr>
            <w:tcW w:w="28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031" w:right="339" w:bottom="1440" w:gutter="0" w:footer="0" w:header="0"/>
        </w:sectPr>
      </w:pPr>
    </w:p>
    <w:bookmarkStart w:id="13" w:name="page14"/>
    <w:bookmarkEnd w:id="13"/>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240" w:type="dxa"/>
            <w:vAlign w:val="bottom"/>
            <w:tcBorders>
              <w:right w:val="single" w:sz="8" w:color="auto"/>
            </w:tcBorders>
            <w:vMerge w:val="restart"/>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color w:val="auto"/>
              </w:rPr>
              <w:t>Predecessor</w:t>
            </w:r>
          </w:p>
        </w:tc>
        <w:tc>
          <w:tcPr>
            <w:tcW w:w="12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Combined</w:t>
            </w:r>
          </w:p>
        </w:tc>
        <w:tc>
          <w:tcPr>
            <w:tcW w:w="14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240" w:type="dxa"/>
            <w:vAlign w:val="bottom"/>
            <w:tcBorders>
              <w:right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(Non-GAAP)</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tcBorders>
              <w:right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rPr>
              <w:t>1st Qtr.</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color w:val="auto"/>
              </w:rPr>
              <w:t>1st Qtr.</w:t>
            </w:r>
          </w:p>
        </w:tc>
        <w:tc>
          <w:tcPr>
            <w:tcW w:w="140" w:type="dxa"/>
            <w:vAlign w:val="bottom"/>
          </w:tcPr>
          <w:p>
            <w:pPr>
              <w:spacing w:after="0"/>
              <w:rPr>
                <w:sz w:val="15"/>
                <w:szCs w:val="15"/>
                <w:color w:val="auto"/>
              </w:rPr>
            </w:pPr>
          </w:p>
        </w:tc>
        <w:tc>
          <w:tcPr>
            <w:tcW w:w="10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4th Qtr.</w:t>
            </w: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4th Qtr.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w w:val="98"/>
              </w:rPr>
              <w:t>4th Qtr.</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45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in millions)</w:t>
            </w: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56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147</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(35)</w:t>
            </w:r>
          </w:p>
        </w:tc>
        <w:tc>
          <w:tcPr>
            <w:tcW w:w="140" w:type="dxa"/>
            <w:vAlign w:val="bottom"/>
          </w:tcPr>
          <w:p>
            <w:pPr>
              <w:spacing w:after="0"/>
              <w:rPr>
                <w:sz w:val="13"/>
                <w:szCs w:val="13"/>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(12)</w:t>
            </w:r>
          </w:p>
        </w:tc>
        <w:tc>
          <w:tcPr>
            <w:tcW w:w="20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1020" w:type="dxa"/>
            <w:vAlign w:val="bottom"/>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vMerge w:val="continue"/>
          </w:tcPr>
          <w:p>
            <w:pPr>
              <w:spacing w:after="0" w:line="20" w:lineRule="exact"/>
              <w:rPr>
                <w:sz w:val="1"/>
                <w:szCs w:val="1"/>
                <w:color w:val="auto"/>
              </w:rPr>
            </w:pPr>
          </w:p>
        </w:tc>
        <w:tc>
          <w:tcPr>
            <w:tcW w:w="88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vMerge w:val="continue"/>
          </w:tcPr>
          <w:p>
            <w:pPr>
              <w:spacing w:after="0" w:line="20" w:lineRule="exact"/>
              <w:rPr>
                <w:sz w:val="1"/>
                <w:szCs w:val="1"/>
                <w:color w:val="auto"/>
              </w:rPr>
            </w:pPr>
          </w:p>
        </w:tc>
        <w:tc>
          <w:tcPr>
            <w:tcW w:w="1000" w:type="dxa"/>
            <w:vAlign w:val="bottom"/>
            <w:vMerge w:val="continue"/>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Net cash provided (used) by operating activities</w:t>
            </w:r>
          </w:p>
        </w:tc>
        <w:tc>
          <w:tcPr>
            <w:tcW w:w="14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2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120" w:type="dxa"/>
            <w:vAlign w:val="bottom"/>
          </w:tcPr>
          <w:p>
            <w:pPr>
              <w:spacing w:after="0"/>
              <w:rPr>
                <w:sz w:val="17"/>
                <w:szCs w:val="17"/>
                <w:color w:val="auto"/>
              </w:rPr>
            </w:pPr>
          </w:p>
        </w:tc>
        <w:tc>
          <w:tcPr>
            <w:tcW w:w="140" w:type="dxa"/>
            <w:vAlign w:val="bottom"/>
            <w:vMerge w:val="continue"/>
          </w:tcPr>
          <w:p>
            <w:pPr>
              <w:spacing w:after="0"/>
              <w:rPr>
                <w:sz w:val="17"/>
                <w:szCs w:val="17"/>
                <w:color w:val="auto"/>
              </w:rPr>
            </w:pPr>
          </w:p>
        </w:tc>
        <w:tc>
          <w:tcPr>
            <w:tcW w:w="8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1000" w:type="dxa"/>
            <w:vAlign w:val="bottom"/>
            <w:vMerge w:val="continue"/>
          </w:tcPr>
          <w:p>
            <w:pPr>
              <w:spacing w:after="0"/>
              <w:rPr>
                <w:sz w:val="17"/>
                <w:szCs w:val="17"/>
                <w:color w:val="auto"/>
              </w:rPr>
            </w:pPr>
          </w:p>
        </w:tc>
        <w:tc>
          <w:tcPr>
            <w:tcW w:w="2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Net cash used by investing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560" w:type="dxa"/>
            <w:vAlign w:val="bottom"/>
            <w:gridSpan w:val="2"/>
          </w:tcPr>
          <w:p>
            <w:pPr>
              <w:spacing w:after="0"/>
              <w:rPr>
                <w:sz w:val="20"/>
                <w:szCs w:val="20"/>
                <w:color w:val="auto"/>
              </w:rPr>
            </w:pPr>
            <w:r>
              <w:rPr>
                <w:rFonts w:ascii="Arial" w:cs="Arial" w:eastAsia="Arial" w:hAnsi="Arial"/>
                <w:sz w:val="14"/>
                <w:szCs w:val="14"/>
                <w:color w:val="auto"/>
              </w:rPr>
              <w:t>Net cash (used) provided by financing activities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(156)</w:t>
            </w:r>
          </w:p>
        </w:tc>
        <w:tc>
          <w:tcPr>
            <w:tcW w:w="12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(50)</w:t>
            </w:r>
          </w:p>
        </w:tc>
        <w:tc>
          <w:tcPr>
            <w:tcW w:w="1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(156)</w:t>
            </w:r>
          </w:p>
        </w:tc>
        <w:tc>
          <w:tcPr>
            <w:tcW w:w="2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106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89"/>
        </w:trPr>
        <w:tc>
          <w:tcPr>
            <w:tcW w:w="20" w:type="dxa"/>
            <w:vAlign w:val="bottom"/>
            <w:tcBorders>
              <w:bottom w:val="single" w:sz="8" w:color="auto"/>
            </w:tcBorders>
          </w:tcPr>
          <w:p>
            <w:pPr>
              <w:spacing w:after="0"/>
              <w:rPr>
                <w:sz w:val="16"/>
                <w:szCs w:val="16"/>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240" w:type="dxa"/>
            <w:vAlign w:val="bottom"/>
            <w:vMerge w:val="restart"/>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461</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3540" w:type="dxa"/>
            <w:vAlign w:val="bottom"/>
            <w:gridSpan w:val="2"/>
          </w:tcPr>
          <w:p>
            <w:pPr>
              <w:spacing w:after="0"/>
              <w:rPr>
                <w:sz w:val="17"/>
                <w:szCs w:val="17"/>
                <w:color w:val="auto"/>
              </w:rPr>
            </w:pPr>
          </w:p>
        </w:tc>
        <w:tc>
          <w:tcPr>
            <w:tcW w:w="24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329</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2,625</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2,655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622</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Long-term debt, net</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588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597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889</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822</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Stockholder's Equity</w:t>
            </w:r>
          </w:p>
        </w:tc>
        <w:tc>
          <w:tcPr>
            <w:tcW w:w="240" w:type="dxa"/>
            <w:vAlign w:val="bottom"/>
          </w:tcPr>
          <w:p>
            <w:pPr>
              <w:jc w:val="right"/>
              <w:ind w:right="68"/>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1,081</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97"/>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240" w:type="dxa"/>
            <w:vAlign w:val="bottom"/>
          </w:tcPr>
          <w:p>
            <w:pPr>
              <w:spacing w:after="0"/>
              <w:rPr>
                <w:sz w:val="24"/>
                <w:szCs w:val="24"/>
                <w:color w:val="auto"/>
              </w:rPr>
            </w:pPr>
          </w:p>
        </w:tc>
        <w:tc>
          <w:tcPr>
            <w:tcW w:w="1140" w:type="dxa"/>
            <w:vAlign w:val="bottom"/>
          </w:tcPr>
          <w:p>
            <w:pPr>
              <w:jc w:val="right"/>
              <w:ind w:right="388"/>
              <w:spacing w:after="0"/>
              <w:rPr>
                <w:sz w:val="20"/>
                <w:szCs w:val="20"/>
                <w:color w:val="auto"/>
              </w:rPr>
            </w:pPr>
            <w:r>
              <w:rPr>
                <w:rFonts w:ascii="Arial" w:cs="Arial" w:eastAsia="Arial" w:hAnsi="Arial"/>
                <w:sz w:val="14"/>
                <w:szCs w:val="14"/>
                <w:b w:val="1"/>
                <w:bCs w:val="1"/>
                <w:color w:val="auto"/>
              </w:rPr>
              <w:t>83.3</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100"/>
          </w:cols>
          <w:pgMar w:left="320" w:top="1440" w:right="4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04"/>
        </w:trPr>
        <w:tc>
          <w:tcPr>
            <w:tcW w:w="47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DERIVATIVE GAINS AND LOSSES ON COMMODITY CONTRACTS</w:t>
            </w: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4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7"/>
        </w:trPr>
        <w:tc>
          <w:tcPr>
            <w:tcW w:w="47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rPr>
              <w:t>Predecessor</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100"/>
              <w:spacing w:after="0" w:line="142" w:lineRule="exact"/>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rPr>
              <w:t>Successor</w:t>
            </w:r>
          </w:p>
        </w:tc>
        <w:tc>
          <w:tcPr>
            <w:tcW w:w="60" w:type="dxa"/>
            <w:vAlign w:val="bottom"/>
          </w:tcPr>
          <w:p>
            <w:pPr>
              <w:spacing w:after="0"/>
              <w:rPr>
                <w:sz w:val="12"/>
                <w:szCs w:val="12"/>
                <w:color w:val="auto"/>
              </w:rPr>
            </w:pPr>
          </w:p>
        </w:tc>
        <w:tc>
          <w:tcPr>
            <w:tcW w:w="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75"/>
        </w:trPr>
        <w:tc>
          <w:tcPr>
            <w:tcW w:w="47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rPr>
              <w:t>(Non-GAAP)</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1st Qtr.</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1st Qtr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4th Qtr.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4th Qtr.</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48"/>
              <w:spacing w:after="0"/>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4"/>
        </w:trPr>
        <w:tc>
          <w:tcPr>
            <w:tcW w:w="4740" w:type="dxa"/>
            <w:vAlign w:val="bottom"/>
          </w:tcPr>
          <w:p>
            <w:pPr>
              <w:ind w:left="140"/>
              <w:spacing w:after="0"/>
              <w:rPr>
                <w:sz w:val="20"/>
                <w:szCs w:val="20"/>
                <w:color w:val="auto"/>
              </w:rPr>
            </w:pPr>
            <w:r>
              <w:rPr>
                <w:rFonts w:ascii="Arial" w:cs="Arial" w:eastAsia="Arial" w:hAnsi="Arial"/>
                <w:sz w:val="14"/>
                <w:szCs w:val="14"/>
                <w:color w:val="auto"/>
              </w:rPr>
              <w:t>Non-cash derivative (loss) gain - excluding noncontrolling interest</w:t>
            </w:r>
          </w:p>
        </w:tc>
        <w:tc>
          <w:tcPr>
            <w:tcW w:w="22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(174)</w:t>
            </w:r>
          </w:p>
        </w:tc>
        <w:tc>
          <w:tcPr>
            <w:tcW w:w="100" w:type="dxa"/>
            <w:vAlign w:val="bottom"/>
            <w:tcBorders>
              <w:right w:val="single" w:sz="8" w:color="auto"/>
            </w:tcBorders>
          </w:tcPr>
          <w:p>
            <w:pPr>
              <w:spacing w:after="0"/>
              <w:rPr>
                <w:sz w:val="22"/>
                <w:szCs w:val="22"/>
                <w:color w:val="auto"/>
              </w:rPr>
            </w:pPr>
          </w:p>
        </w:tc>
        <w:tc>
          <w:tcPr>
            <w:tcW w:w="200" w:type="dxa"/>
            <w:vAlign w:val="bottom"/>
            <w:gridSpan w:val="3"/>
          </w:tcPr>
          <w:p>
            <w:pPr>
              <w:ind w:left="100"/>
              <w:spacing w:after="0"/>
              <w:rPr>
                <w:sz w:val="20"/>
                <w:szCs w:val="20"/>
                <w:color w:val="auto"/>
              </w:rPr>
            </w:pPr>
            <w:r>
              <w:rPr>
                <w:rFonts w:ascii="Arial" w:cs="Arial" w:eastAsia="Arial" w:hAnsi="Arial"/>
                <w:sz w:val="14"/>
                <w:szCs w:val="14"/>
                <w:b w:val="1"/>
                <w:bCs w:val="1"/>
                <w:color w:val="auto"/>
              </w:rPr>
              <w:t>$</w:t>
            </w:r>
          </w:p>
        </w:tc>
        <w:tc>
          <w:tcPr>
            <w:tcW w:w="1100" w:type="dxa"/>
            <w:vAlign w:val="bottom"/>
            <w:gridSpan w:val="2"/>
          </w:tcPr>
          <w:p>
            <w:pPr>
              <w:ind w:left="820"/>
              <w:spacing w:after="0"/>
              <w:rPr>
                <w:sz w:val="20"/>
                <w:szCs w:val="20"/>
                <w:color w:val="auto"/>
              </w:rPr>
            </w:pPr>
            <w:r>
              <w:rPr>
                <w:rFonts w:ascii="Arial" w:cs="Arial" w:eastAsia="Arial" w:hAnsi="Arial"/>
                <w:sz w:val="14"/>
                <w:szCs w:val="14"/>
                <w:b w:val="1"/>
                <w:bCs w:val="1"/>
                <w:color w:val="auto"/>
              </w:rPr>
              <w:t>(35)</w:t>
            </w:r>
          </w:p>
        </w:tc>
        <w:tc>
          <w:tcPr>
            <w:tcW w:w="300" w:type="dxa"/>
            <w:vAlign w:val="bottom"/>
            <w:gridSpan w:val="3"/>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gridSpan w:val="3"/>
          </w:tcPr>
          <w:p>
            <w:pPr>
              <w:jc w:val="right"/>
              <w:ind w:right="20"/>
              <w:spacing w:after="0"/>
              <w:rPr>
                <w:sz w:val="20"/>
                <w:szCs w:val="20"/>
                <w:color w:val="auto"/>
              </w:rPr>
            </w:pPr>
            <w:r>
              <w:rPr>
                <w:rFonts w:ascii="Arial" w:cs="Arial" w:eastAsia="Arial" w:hAnsi="Arial"/>
                <w:sz w:val="14"/>
                <w:szCs w:val="14"/>
                <w:b w:val="1"/>
                <w:bCs w:val="1"/>
                <w:color w:val="auto"/>
              </w:rPr>
              <w:t>(138)</w:t>
            </w:r>
          </w:p>
        </w:tc>
        <w:tc>
          <w:tcPr>
            <w:tcW w:w="6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89"/>
        </w:trPr>
        <w:tc>
          <w:tcPr>
            <w:tcW w:w="4740" w:type="dxa"/>
            <w:vAlign w:val="bottom"/>
          </w:tcPr>
          <w:p>
            <w:pPr>
              <w:ind w:left="140"/>
              <w:spacing w:after="0"/>
              <w:rPr>
                <w:sz w:val="20"/>
                <w:szCs w:val="20"/>
                <w:color w:val="auto"/>
              </w:rPr>
            </w:pPr>
            <w:r>
              <w:rPr>
                <w:rFonts w:ascii="Arial" w:cs="Arial" w:eastAsia="Arial" w:hAnsi="Arial"/>
                <w:sz w:val="14"/>
                <w:szCs w:val="14"/>
                <w:color w:val="auto"/>
              </w:rPr>
              <w:t>Non-cash derivative gain (loss) - noncontrolling interest</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16</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(2)</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740" w:type="dxa"/>
            <w:vAlign w:val="bottom"/>
          </w:tcPr>
          <w:p>
            <w:pPr>
              <w:ind w:left="300"/>
              <w:spacing w:after="0"/>
              <w:rPr>
                <w:sz w:val="20"/>
                <w:szCs w:val="20"/>
                <w:color w:val="auto"/>
              </w:rPr>
            </w:pPr>
            <w:r>
              <w:rPr>
                <w:rFonts w:ascii="Arial" w:cs="Arial" w:eastAsia="Arial" w:hAnsi="Arial"/>
                <w:sz w:val="14"/>
                <w:szCs w:val="14"/>
                <w:color w:val="auto"/>
              </w:rPr>
              <w:t>Total non-cash changes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(174)</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ind w:left="820"/>
              <w:spacing w:after="0"/>
              <w:rPr>
                <w:sz w:val="20"/>
                <w:szCs w:val="20"/>
                <w:color w:val="auto"/>
              </w:rPr>
            </w:pPr>
            <w:r>
              <w:rPr>
                <w:rFonts w:ascii="Arial" w:cs="Arial" w:eastAsia="Arial" w:hAnsi="Arial"/>
                <w:sz w:val="14"/>
                <w:szCs w:val="14"/>
                <w:b w:val="1"/>
                <w:bCs w:val="1"/>
                <w:color w:val="auto"/>
              </w:rPr>
              <w:t>(19)</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(127)</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(140)</w:t>
            </w:r>
          </w:p>
        </w:tc>
        <w:tc>
          <w:tcPr>
            <w:tcW w:w="60" w:type="dxa"/>
            <w:vAlign w:val="bottom"/>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Net (payments) proceeds on settled commodity derivatives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(39)</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ind w:left="880"/>
              <w:spacing w:after="0"/>
              <w:rPr>
                <w:sz w:val="20"/>
                <w:szCs w:val="20"/>
                <w:color w:val="auto"/>
              </w:rPr>
            </w:pPr>
            <w:r>
              <w:rPr>
                <w:rFonts w:ascii="Arial" w:cs="Arial" w:eastAsia="Arial" w:hAnsi="Arial"/>
                <w:sz w:val="14"/>
                <w:szCs w:val="14"/>
                <w:b w:val="1"/>
                <w:bCs w:val="1"/>
                <w:color w:val="auto"/>
              </w:rPr>
              <w:t>35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tcPr>
          <w:p>
            <w:pPr>
              <w:jc w:val="right"/>
              <w:ind w:right="20"/>
              <w:spacing w:after="0"/>
              <w:rPr>
                <w:sz w:val="20"/>
                <w:szCs w:val="20"/>
                <w:color w:val="auto"/>
              </w:rPr>
            </w:pPr>
            <w:r>
              <w:rPr>
                <w:rFonts w:ascii="Arial" w:cs="Arial" w:eastAsia="Arial" w:hAnsi="Arial"/>
                <w:sz w:val="14"/>
                <w:szCs w:val="14"/>
                <w:color w:val="auto"/>
              </w:rPr>
              <w:t>(1)</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189"/>
        </w:trPr>
        <w:tc>
          <w:tcPr>
            <w:tcW w:w="4740" w:type="dxa"/>
            <w:vAlign w:val="bottom"/>
          </w:tcPr>
          <w:p>
            <w:pPr>
              <w:ind w:left="20"/>
              <w:spacing w:after="0"/>
              <w:rPr>
                <w:sz w:val="20"/>
                <w:szCs w:val="20"/>
                <w:color w:val="auto"/>
              </w:rPr>
            </w:pPr>
            <w:r>
              <w:rPr>
                <w:rFonts w:ascii="Arial" w:cs="Arial" w:eastAsia="Arial" w:hAnsi="Arial"/>
                <w:sz w:val="14"/>
                <w:szCs w:val="14"/>
                <w:color w:val="auto"/>
              </w:rPr>
              <w:t>Net proceeds on sale of commodity derivatives</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63</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6"/>
                <w:szCs w:val="16"/>
                <w:color w:val="auto"/>
              </w:rPr>
            </w:pPr>
          </w:p>
        </w:tc>
        <w:tc>
          <w:tcPr>
            <w:tcW w:w="6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140"/>
              <w:spacing w:after="0"/>
              <w:rPr>
                <w:sz w:val="20"/>
                <w:szCs w:val="20"/>
                <w:color w:val="auto"/>
              </w:rPr>
            </w:pPr>
            <w:r>
              <w:rPr>
                <w:rFonts w:ascii="Arial" w:cs="Arial" w:eastAsia="Arial" w:hAnsi="Arial"/>
                <w:sz w:val="14"/>
                <w:szCs w:val="14"/>
                <w:color w:val="auto"/>
              </w:rPr>
              <w:t>Net derivative (loss) gain from commodity contracts</w:t>
            </w:r>
          </w:p>
        </w:tc>
        <w:tc>
          <w:tcPr>
            <w:tcW w:w="2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(213)</w:t>
            </w:r>
          </w:p>
        </w:tc>
        <w:tc>
          <w:tcPr>
            <w:tcW w:w="100" w:type="dxa"/>
            <w:vAlign w:val="bottom"/>
            <w:tcBorders>
              <w:right w:val="single" w:sz="8" w:color="auto"/>
            </w:tcBorders>
          </w:tcPr>
          <w:p>
            <w:pPr>
              <w:spacing w:after="0"/>
              <w:rPr>
                <w:sz w:val="19"/>
                <w:szCs w:val="19"/>
                <w:color w:val="auto"/>
              </w:rPr>
            </w:pPr>
          </w:p>
        </w:tc>
        <w:tc>
          <w:tcPr>
            <w:tcW w:w="100" w:type="dxa"/>
            <w:vAlign w:val="bottom"/>
            <w:gridSpan w:val="2"/>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gridSpan w:val="2"/>
          </w:tcPr>
          <w:p>
            <w:pPr>
              <w:ind w:left="880"/>
              <w:spacing w:after="0"/>
              <w:rPr>
                <w:sz w:val="20"/>
                <w:szCs w:val="20"/>
                <w:color w:val="auto"/>
              </w:rPr>
            </w:pPr>
            <w:r>
              <w:rPr>
                <w:rFonts w:ascii="Arial" w:cs="Arial" w:eastAsia="Arial" w:hAnsi="Arial"/>
                <w:sz w:val="14"/>
                <w:szCs w:val="14"/>
                <w:b w:val="1"/>
                <w:bCs w:val="1"/>
                <w:color w:val="auto"/>
              </w:rPr>
              <w:t>79</w:t>
            </w:r>
          </w:p>
        </w:tc>
        <w:tc>
          <w:tcPr>
            <w:tcW w:w="200" w:type="dxa"/>
            <w:vAlign w:val="bottom"/>
            <w:gridSpan w:val="2"/>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(125)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b w:val="1"/>
                <w:bCs w:val="1"/>
                <w:color w:val="auto"/>
              </w:rPr>
              <w:t>(141)</w:t>
            </w:r>
          </w:p>
        </w:tc>
        <w:tc>
          <w:tcPr>
            <w:tcW w:w="60" w:type="dxa"/>
            <w:vAlign w:val="bottom"/>
          </w:tcPr>
          <w:p>
            <w:pPr>
              <w:spacing w:after="0"/>
              <w:rPr>
                <w:sz w:val="19"/>
                <w:szCs w:val="19"/>
                <w:color w:val="auto"/>
              </w:rPr>
            </w:pPr>
          </w:p>
        </w:tc>
        <w:tc>
          <w:tcPr>
            <w:tcW w:w="6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r>
        <w:trPr>
          <w:trHeight w:val="642"/>
        </w:trPr>
        <w:tc>
          <w:tcPr>
            <w:tcW w:w="4960" w:type="dxa"/>
            <w:vAlign w:val="bottom"/>
            <w:gridSpan w:val="3"/>
            <w:vMerge w:val="restart"/>
          </w:tcPr>
          <w:p>
            <w:pPr>
              <w:ind w:left="4160"/>
              <w:spacing w:after="0"/>
              <w:rPr>
                <w:sz w:val="20"/>
                <w:szCs w:val="20"/>
                <w:color w:val="auto"/>
              </w:rPr>
            </w:pPr>
            <w:r>
              <w:rPr>
                <w:rFonts w:ascii="Arial" w:cs="Arial" w:eastAsia="Arial" w:hAnsi="Arial"/>
                <w:sz w:val="14"/>
                <w:szCs w:val="14"/>
                <w:b w:val="1"/>
                <w:bCs w:val="1"/>
                <w:color w:val="auto"/>
              </w:rPr>
              <w:t>1st Quarter</w:t>
            </w:r>
          </w:p>
        </w:tc>
        <w:tc>
          <w:tcPr>
            <w:tcW w:w="1000" w:type="dxa"/>
            <w:vAlign w:val="bottom"/>
            <w:gridSpan w:val="2"/>
            <w:vMerge w:val="restart"/>
          </w:tcPr>
          <w:p>
            <w:pPr>
              <w:ind w:left="280"/>
              <w:spacing w:after="0"/>
              <w:rPr>
                <w:sz w:val="20"/>
                <w:szCs w:val="20"/>
                <w:color w:val="auto"/>
              </w:rPr>
            </w:pPr>
            <w:r>
              <w:rPr>
                <w:rFonts w:ascii="Arial" w:cs="Arial" w:eastAsia="Arial" w:hAnsi="Arial"/>
                <w:sz w:val="14"/>
                <w:szCs w:val="14"/>
                <w:color w:val="auto"/>
                <w:w w:val="99"/>
              </w:rPr>
              <w:t>1st Quarter</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ind w:left="40"/>
              <w:spacing w:after="0"/>
              <w:rPr>
                <w:sz w:val="20"/>
                <w:szCs w:val="20"/>
                <w:color w:val="auto"/>
              </w:rPr>
            </w:pPr>
            <w:r>
              <w:rPr>
                <w:rFonts w:ascii="Arial" w:cs="Arial" w:eastAsia="Arial" w:hAnsi="Arial"/>
                <w:sz w:val="14"/>
                <w:szCs w:val="14"/>
                <w:b w:val="1"/>
                <w:bCs w:val="1"/>
                <w:color w:val="auto"/>
              </w:rPr>
              <w:t>4th</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2"/>
          </w:tcPr>
          <w:p>
            <w:pPr>
              <w:jc w:val="right"/>
              <w:ind w:right="820"/>
              <w:spacing w:after="0"/>
              <w:rPr>
                <w:sz w:val="20"/>
                <w:szCs w:val="20"/>
                <w:color w:val="auto"/>
              </w:rPr>
            </w:pPr>
            <w:r>
              <w:rPr>
                <w:rFonts w:ascii="Arial" w:cs="Arial" w:eastAsia="Arial" w:hAnsi="Arial"/>
                <w:sz w:val="14"/>
                <w:szCs w:val="14"/>
                <w:b w:val="1"/>
                <w:bCs w:val="1"/>
                <w:color w:val="auto"/>
                <w:w w:val="95"/>
              </w:rPr>
              <w:t>4th</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gridSpan w:val="3"/>
            <w:vMerge w:val="restart"/>
          </w:tcPr>
          <w:p>
            <w:pPr>
              <w:jc w:val="right"/>
              <w:spacing w:after="0"/>
              <w:rPr>
                <w:sz w:val="20"/>
                <w:szCs w:val="20"/>
                <w:color w:val="auto"/>
              </w:rPr>
            </w:pPr>
            <w:r>
              <w:rPr>
                <w:rFonts w:ascii="Arial" w:cs="Arial" w:eastAsia="Arial" w:hAnsi="Arial"/>
                <w:sz w:val="14"/>
                <w:szCs w:val="14"/>
                <w:color w:val="auto"/>
              </w:rPr>
              <w:t>4th Quarter</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4960" w:type="dxa"/>
            <w:vAlign w:val="bottom"/>
            <w:gridSpan w:val="3"/>
            <w:vMerge w:val="continue"/>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6"/>
                <w:szCs w:val="16"/>
                <w:color w:val="auto"/>
              </w:rPr>
            </w:pPr>
          </w:p>
        </w:tc>
        <w:tc>
          <w:tcPr>
            <w:tcW w:w="122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47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4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740" w:type="dxa"/>
            <w:vAlign w:val="bottom"/>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7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rPr>
              <w:t>Successor</w:t>
            </w:r>
          </w:p>
        </w:tc>
        <w:tc>
          <w:tcPr>
            <w:tcW w:w="20" w:type="dxa"/>
            <w:vAlign w:val="bottom"/>
            <w:vMerge w:val="restart"/>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restart"/>
          </w:tcPr>
          <w:p>
            <w:pPr>
              <w:jc w:val="center"/>
              <w:ind w:right="48"/>
              <w:spacing w:after="0"/>
              <w:rPr>
                <w:sz w:val="20"/>
                <w:szCs w:val="20"/>
                <w:color w:val="auto"/>
              </w:rPr>
            </w:pPr>
            <w:r>
              <w:rPr>
                <w:rFonts w:ascii="Arial" w:cs="Arial" w:eastAsia="Arial" w:hAnsi="Arial"/>
                <w:sz w:val="14"/>
                <w:szCs w:val="14"/>
                <w:b w:val="1"/>
                <w:bCs w:val="1"/>
                <w:color w:val="auto"/>
              </w:rPr>
              <w:t>Predecessor</w:t>
            </w:r>
          </w:p>
        </w:tc>
        <w:tc>
          <w:tcPr>
            <w:tcW w:w="8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60"/>
              <w:spacing w:after="0" w:line="142" w:lineRule="exact"/>
              <w:rPr>
                <w:sz w:val="20"/>
                <w:szCs w:val="20"/>
                <w:color w:val="auto"/>
              </w:rPr>
            </w:pPr>
            <w:r>
              <w:rPr>
                <w:rFonts w:ascii="Arial" w:cs="Arial" w:eastAsia="Arial" w:hAnsi="Arial"/>
                <w:sz w:val="14"/>
                <w:szCs w:val="14"/>
                <w:b w:val="1"/>
                <w:bCs w:val="1"/>
                <w:color w:val="auto"/>
              </w:rPr>
              <w:t>Combined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20" w:type="dxa"/>
            <w:vAlign w:val="bottom"/>
            <w:gridSpan w:val="2"/>
            <w:vMerge w:val="restart"/>
          </w:tcPr>
          <w:p>
            <w:pPr>
              <w:jc w:val="center"/>
              <w:ind w:right="2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vMerge w:val="restart"/>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vMerge w:val="restart"/>
          </w:tcPr>
          <w:p>
            <w:pPr>
              <w:jc w:val="center"/>
              <w:ind w:right="68"/>
              <w:spacing w:after="0"/>
              <w:rPr>
                <w:sz w:val="20"/>
                <w:szCs w:val="20"/>
                <w:color w:val="auto"/>
              </w:rPr>
            </w:pPr>
            <w:r>
              <w:rPr>
                <w:rFonts w:ascii="Arial" w:cs="Arial" w:eastAsia="Arial" w:hAnsi="Arial"/>
                <w:sz w:val="14"/>
                <w:szCs w:val="14"/>
                <w:b w:val="1"/>
                <w:bCs w:val="1"/>
                <w:color w:val="auto"/>
              </w:rPr>
              <w:t>Predecessor</w:t>
            </w:r>
          </w:p>
        </w:tc>
        <w:tc>
          <w:tcPr>
            <w:tcW w:w="0" w:type="dxa"/>
            <w:vAlign w:val="bottom"/>
          </w:tcPr>
          <w:p>
            <w:pPr>
              <w:spacing w:after="0"/>
              <w:rPr>
                <w:sz w:val="1"/>
                <w:szCs w:val="1"/>
                <w:color w:val="auto"/>
              </w:rPr>
            </w:pPr>
          </w:p>
        </w:tc>
      </w:tr>
      <w:tr>
        <w:trPr>
          <w:trHeight w:val="176"/>
        </w:trPr>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center"/>
              <w:ind w:right="28"/>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rPr>
              <w:t>1st Qtr.</w:t>
            </w:r>
          </w:p>
        </w:tc>
        <w:tc>
          <w:tcPr>
            <w:tcW w:w="10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1st Qtr</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Qtr.</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Borders>
              <w:right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rPr>
              <w:t>4th Qtr.</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right="188"/>
              <w:spacing w:after="0"/>
              <w:rPr>
                <w:sz w:val="20"/>
                <w:szCs w:val="20"/>
                <w:color w:val="auto"/>
              </w:rPr>
            </w:pPr>
            <w:r>
              <w:rPr>
                <w:rFonts w:ascii="Arial" w:cs="Arial" w:eastAsia="Arial" w:hAnsi="Arial"/>
                <w:sz w:val="14"/>
                <w:szCs w:val="14"/>
                <w:b w:val="1"/>
                <w:bCs w:val="1"/>
                <w:color w:val="auto"/>
              </w:rPr>
              <w:t>4th Qtr.</w:t>
            </w:r>
          </w:p>
        </w:tc>
        <w:tc>
          <w:tcPr>
            <w:tcW w:w="0" w:type="dxa"/>
            <w:vAlign w:val="bottom"/>
          </w:tcPr>
          <w:p>
            <w:pPr>
              <w:spacing w:after="0"/>
              <w:rPr>
                <w:sz w:val="1"/>
                <w:szCs w:val="1"/>
                <w:color w:val="auto"/>
              </w:rPr>
            </w:pPr>
          </w:p>
        </w:tc>
      </w:tr>
      <w:tr>
        <w:trPr>
          <w:trHeight w:val="189"/>
        </w:trPr>
        <w:tc>
          <w:tcPr>
            <w:tcW w:w="4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2021</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08"/>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65"/>
        </w:trPr>
        <w:tc>
          <w:tcPr>
            <w:tcW w:w="4740" w:type="dxa"/>
            <w:vAlign w:val="bottom"/>
          </w:tcPr>
          <w:p>
            <w:pPr>
              <w:ind w:left="140"/>
              <w:spacing w:after="0"/>
              <w:rPr>
                <w:sz w:val="20"/>
                <w:szCs w:val="20"/>
                <w:color w:val="auto"/>
              </w:rPr>
            </w:pPr>
            <w:r>
              <w:rPr>
                <w:rFonts w:ascii="Arial" w:cs="Arial" w:eastAsia="Arial" w:hAnsi="Arial"/>
                <w:sz w:val="14"/>
                <w:szCs w:val="14"/>
                <w:color w:val="auto"/>
              </w:rPr>
              <w:t>Internally funded capital</w:t>
            </w:r>
          </w:p>
        </w:tc>
        <w:tc>
          <w:tcPr>
            <w:tcW w:w="2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27</w:t>
            </w:r>
          </w:p>
        </w:tc>
        <w:tc>
          <w:tcPr>
            <w:tcW w:w="20" w:type="dxa"/>
            <w:vAlign w:val="bottom"/>
          </w:tcPr>
          <w:p>
            <w:pPr>
              <w:spacing w:after="0"/>
              <w:rPr>
                <w:sz w:val="23"/>
                <w:szCs w:val="23"/>
                <w:color w:val="auto"/>
              </w:rPr>
            </w:pPr>
          </w:p>
        </w:tc>
        <w:tc>
          <w:tcPr>
            <w:tcW w:w="100" w:type="dxa"/>
            <w:vAlign w:val="bottom"/>
            <w:tcBorders>
              <w:right w:val="single" w:sz="8" w:color="auto"/>
            </w:tcBorders>
          </w:tcPr>
          <w:p>
            <w:pPr>
              <w:spacing w:after="0"/>
              <w:rPr>
                <w:sz w:val="23"/>
                <w:szCs w:val="23"/>
                <w:color w:val="auto"/>
              </w:rPr>
            </w:pPr>
          </w:p>
        </w:tc>
        <w:tc>
          <w:tcPr>
            <w:tcW w:w="200" w:type="dxa"/>
            <w:vAlign w:val="bottom"/>
            <w:gridSpan w:val="3"/>
          </w:tcPr>
          <w:p>
            <w:pPr>
              <w:ind w:left="80"/>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30</w:t>
            </w:r>
          </w:p>
        </w:tc>
        <w:tc>
          <w:tcPr>
            <w:tcW w:w="80" w:type="dxa"/>
            <w:vAlign w:val="bottom"/>
          </w:tcPr>
          <w:p>
            <w:pPr>
              <w:spacing w:after="0"/>
              <w:rPr>
                <w:sz w:val="23"/>
                <w:szCs w:val="23"/>
                <w:color w:val="auto"/>
              </w:rPr>
            </w:pPr>
          </w:p>
        </w:tc>
        <w:tc>
          <w:tcPr>
            <w:tcW w:w="30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23"/>
                <w:szCs w:val="23"/>
                <w:color w:val="auto"/>
              </w:rPr>
            </w:pPr>
          </w:p>
        </w:tc>
        <w:tc>
          <w:tcPr>
            <w:tcW w:w="1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Borders>
              <w:right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4740" w:type="dxa"/>
            <w:vAlign w:val="bottom"/>
          </w:tcPr>
          <w:p>
            <w:pPr>
              <w:ind w:left="140"/>
              <w:spacing w:after="0"/>
              <w:rPr>
                <w:sz w:val="20"/>
                <w:szCs w:val="20"/>
                <w:color w:val="auto"/>
              </w:rPr>
            </w:pPr>
            <w:r>
              <w:rPr>
                <w:rFonts w:ascii="Arial" w:cs="Arial" w:eastAsia="Arial" w:hAnsi="Arial"/>
                <w:sz w:val="14"/>
                <w:szCs w:val="14"/>
                <w:i w:val="1"/>
                <w:iCs w:val="1"/>
                <w:color w:val="auto"/>
              </w:rPr>
              <w:t>Capital investments not included on our financial statements: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740" w:type="dxa"/>
            <w:vAlign w:val="bottom"/>
          </w:tcPr>
          <w:p>
            <w:pPr>
              <w:ind w:left="300"/>
              <w:spacing w:after="0"/>
              <w:rPr>
                <w:sz w:val="20"/>
                <w:szCs w:val="20"/>
                <w:color w:val="auto"/>
              </w:rPr>
            </w:pPr>
            <w:r>
              <w:rPr>
                <w:rFonts w:ascii="Arial" w:cs="Arial" w:eastAsia="Arial" w:hAnsi="Arial"/>
                <w:sz w:val="14"/>
                <w:szCs w:val="14"/>
                <w:color w:val="auto"/>
              </w:rPr>
              <w:t>MIRA funded capital</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ind w:left="880"/>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740" w:type="dxa"/>
            <w:vAlign w:val="bottom"/>
          </w:tcPr>
          <w:p>
            <w:pPr>
              <w:ind w:left="300"/>
              <w:spacing w:after="0"/>
              <w:rPr>
                <w:sz w:val="20"/>
                <w:szCs w:val="20"/>
                <w:color w:val="auto"/>
              </w:rPr>
            </w:pPr>
            <w:r>
              <w:rPr>
                <w:rFonts w:ascii="Arial" w:cs="Arial" w:eastAsia="Arial" w:hAnsi="Arial"/>
                <w:sz w:val="14"/>
                <w:szCs w:val="14"/>
                <w:color w:val="auto"/>
              </w:rPr>
              <w:t>Alpine funded capital</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3"/>
        </w:trPr>
        <w:tc>
          <w:tcPr>
            <w:tcW w:w="4740" w:type="dxa"/>
            <w:vAlign w:val="bottom"/>
          </w:tcPr>
          <w:p>
            <w:pPr>
              <w:ind w:left="20"/>
              <w:spacing w:after="0"/>
              <w:rPr>
                <w:sz w:val="20"/>
                <w:szCs w:val="20"/>
                <w:color w:val="auto"/>
              </w:rPr>
            </w:pPr>
            <w:r>
              <w:rPr>
                <w:rFonts w:ascii="Arial" w:cs="Arial" w:eastAsia="Arial" w:hAnsi="Arial"/>
                <w:sz w:val="14"/>
                <w:szCs w:val="14"/>
                <w:color w:val="auto"/>
              </w:rPr>
              <w:t>Total capital program</w:t>
            </w:r>
          </w:p>
        </w:tc>
        <w:tc>
          <w:tcPr>
            <w:tcW w:w="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27</w:t>
            </w:r>
          </w:p>
        </w:tc>
        <w:tc>
          <w:tcPr>
            <w:tcW w:w="20" w:type="dxa"/>
            <w:vAlign w:val="bottom"/>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20" w:type="dxa"/>
            <w:vAlign w:val="bottom"/>
            <w:tcBorders>
              <w:right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4"/>
                <w:szCs w:val="14"/>
                <w:b w:val="1"/>
                <w:bCs w:val="1"/>
                <w:color w:val="auto"/>
                <w:w w:val="76"/>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894715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429"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17780</wp:posOffset>
            </wp:positionV>
            <wp:extent cx="70891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43180</wp:posOffset>
            </wp:positionV>
            <wp:extent cx="708914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100" w:lineRule="exact"/>
        <w:rPr>
          <w:sz w:val="20"/>
          <w:szCs w:val="20"/>
          <w:color w:val="auto"/>
        </w:rPr>
      </w:pPr>
    </w:p>
    <w:p>
      <w:pPr>
        <w:jc w:val="both"/>
        <w:ind w:left="60" w:right="340"/>
        <w:spacing w:after="0" w:line="201" w:lineRule="auto"/>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 measures to assess our financial condition, results of operations and cash flows. The non-GAAP measures include adjusted net income (loss), adjusted EBITDAX, adjusted EBITDAX margin, discretionary cash flow. free cash flow and operating costs per BOE, among others. These measures are also widely used by the industry, the investment community and our lenders. Although these are non-GAAP measures, the amounts included in the calculations were computed in accordance with GAAP.</w:t>
      </w:r>
    </w:p>
    <w:p>
      <w:pPr>
        <w:spacing w:after="0" w:line="1" w:lineRule="exact"/>
        <w:rPr>
          <w:sz w:val="20"/>
          <w:szCs w:val="20"/>
          <w:color w:val="auto"/>
        </w:rPr>
      </w:pPr>
    </w:p>
    <w:p>
      <w:pPr>
        <w:ind w:left="60" w:right="300"/>
        <w:spacing w:after="0" w:line="210" w:lineRule="auto"/>
        <w:rPr>
          <w:sz w:val="20"/>
          <w:szCs w:val="20"/>
          <w:color w:val="auto"/>
        </w:rPr>
      </w:pPr>
      <w:r>
        <w:rPr>
          <w:rFonts w:ascii="Arial" w:cs="Arial" w:eastAsia="Arial" w:hAnsi="Arial"/>
          <w:sz w:val="14"/>
          <w:szCs w:val="14"/>
          <w:color w:val="auto"/>
        </w:rPr>
        <w:t>Certain items excluded from these non-GAAP measures are significant components in understanding and assessing our financial performance, such as our cost of capital and tax structure, as well as the effect of acquisition and development costs of our assets. Management believes that the non-GAAP measures presented, when viewed in combination with its financial and operating results prepared in accordance with GAAP, provide a more complete understanding of the factors and trends affecting the Company's performance. The non-GAAP measures presented herein may not be comparable to other similarly titled measures of other companies. 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377825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403225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100" w:lineRule="exact"/>
        <w:rPr>
          <w:sz w:val="20"/>
          <w:szCs w:val="20"/>
          <w:color w:val="auto"/>
        </w:rPr>
      </w:pPr>
    </w:p>
    <w:p>
      <w:pPr>
        <w:ind w:left="20" w:right="140"/>
        <w:spacing w:after="0"/>
        <w:rPr>
          <w:sz w:val="20"/>
          <w:szCs w:val="20"/>
          <w:color w:val="auto"/>
        </w:rPr>
      </w:pPr>
      <w:r>
        <w:rPr>
          <w:rFonts w:ascii="Arial" w:cs="Arial" w:eastAsia="Arial" w:hAnsi="Arial"/>
          <w:sz w:val="14"/>
          <w:szCs w:val="14"/>
          <w:color w:val="auto"/>
        </w:rPr>
        <w:t>Adjusted net income (loss) and adjusted net income (loss) per share are non-GAAP measures. We define adjusted net income as net income excluding the effects of significant transactions and events that affect earnings but vary widely and unpredictably in nature, timing and amount. These events may recur, even across successive reporting periods. Management believes these non-GAAP measures provide useful information to the industry and the investment community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and net income (loss) attributable to common stock per share to the non-GAAP financial measure of adjusted net income (loss) and adjusted net income (loss) per share.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rPr>
              <w:t>Successor</w:t>
            </w:r>
          </w:p>
        </w:tc>
        <w:tc>
          <w:tcPr>
            <w:tcW w:w="140" w:type="dxa"/>
            <w:vAlign w:val="bottom"/>
            <w:tcBorders>
              <w:top w:val="single" w:sz="8" w:color="auto"/>
              <w:right w:val="single" w:sz="8" w:color="auto"/>
            </w:tcBorders>
            <w:vMerge w:val="restart"/>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color w:val="auto"/>
              </w:rPr>
              <w:t>Predecessor</w:t>
            </w:r>
          </w:p>
        </w:tc>
        <w:tc>
          <w:tcPr>
            <w:tcW w:w="120" w:type="dxa"/>
            <w:vAlign w:val="bottom"/>
            <w:vMerge w:val="restart"/>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rPr>
              <w:t>Combined</w:t>
            </w:r>
          </w:p>
        </w:tc>
        <w:tc>
          <w:tcPr>
            <w:tcW w:w="140" w:type="dxa"/>
            <w:vAlign w:val="bottom"/>
            <w:tcBorders>
              <w:top w:val="single" w:sz="8" w:color="auto"/>
            </w:tcBorders>
          </w:tcPr>
          <w:p>
            <w:pPr>
              <w:spacing w:after="0"/>
              <w:rPr>
                <w:sz w:val="14"/>
                <w:szCs w:val="14"/>
                <w:color w:val="auto"/>
              </w:rPr>
            </w:pPr>
          </w:p>
        </w:tc>
        <w:tc>
          <w:tcPr>
            <w:tcW w:w="94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color w:val="auto"/>
              </w:rPr>
              <w:t>Successor</w:t>
            </w:r>
          </w:p>
        </w:tc>
        <w:tc>
          <w:tcPr>
            <w:tcW w:w="120" w:type="dxa"/>
            <w:vAlign w:val="bottom"/>
            <w:tcBorders>
              <w:top w:val="single" w:sz="8" w:color="auto"/>
              <w:right w:val="single" w:sz="8" w:color="auto"/>
            </w:tcBorders>
            <w:vMerge w:val="restart"/>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14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(Non-GAAP)</w:t>
            </w: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9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1st Quarter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color w:val="auto"/>
              </w:rPr>
              <w:t>1st Quarter</w:t>
            </w:r>
          </w:p>
        </w:tc>
        <w:tc>
          <w:tcPr>
            <w:tcW w:w="120" w:type="dxa"/>
            <w:vAlign w:val="bottom"/>
          </w:tcPr>
          <w:p>
            <w:pPr>
              <w:spacing w:after="0"/>
              <w:rPr>
                <w:sz w:val="15"/>
                <w:szCs w:val="15"/>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4th Quarter</w:t>
            </w:r>
          </w:p>
        </w:tc>
        <w:tc>
          <w:tcPr>
            <w:tcW w:w="140" w:type="dxa"/>
            <w:vAlign w:val="bottom"/>
          </w:tcPr>
          <w:p>
            <w:pPr>
              <w:spacing w:after="0"/>
              <w:rPr>
                <w:sz w:val="15"/>
                <w:szCs w:val="15"/>
                <w:color w:val="auto"/>
              </w:rPr>
            </w:pPr>
          </w:p>
        </w:tc>
        <w:tc>
          <w:tcPr>
            <w:tcW w:w="1060" w:type="dxa"/>
            <w:vAlign w:val="bottom"/>
            <w:tcBorders>
              <w:right w:val="single" w:sz="8" w:color="auto"/>
            </w:tcBorders>
            <w:gridSpan w:val="2"/>
          </w:tcPr>
          <w:p>
            <w:pPr>
              <w:jc w:val="center"/>
              <w:ind w:right="240"/>
              <w:spacing w:after="0"/>
              <w:rPr>
                <w:sz w:val="20"/>
                <w:szCs w:val="20"/>
                <w:color w:val="auto"/>
              </w:rPr>
            </w:pPr>
            <w:r>
              <w:rPr>
                <w:rFonts w:ascii="Arial" w:cs="Arial" w:eastAsia="Arial" w:hAnsi="Arial"/>
                <w:sz w:val="14"/>
                <w:szCs w:val="14"/>
                <w:color w:val="auto"/>
              </w:rPr>
              <w:t>4th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48"/>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89"/>
        </w:trPr>
        <w:tc>
          <w:tcPr>
            <w:tcW w:w="49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2020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(1,745)</w:t>
            </w:r>
          </w:p>
        </w:tc>
        <w:tc>
          <w:tcPr>
            <w:tcW w:w="12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3,870</w:t>
            </w: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(125)</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89"/>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84"/>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Net (loss) income attributable to common stock</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(94)</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(1,796)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3,862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(123)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3,985</w:t>
            </w:r>
          </w:p>
        </w:tc>
        <w:tc>
          <w:tcPr>
            <w:tcW w:w="0" w:type="dxa"/>
            <w:vAlign w:val="bottom"/>
          </w:tcPr>
          <w:p>
            <w:pPr>
              <w:spacing w:after="0"/>
              <w:rPr>
                <w:sz w:val="1"/>
                <w:szCs w:val="1"/>
                <w:color w:val="auto"/>
              </w:rPr>
            </w:pPr>
          </w:p>
        </w:tc>
      </w:tr>
      <w:tr>
        <w:trPr>
          <w:trHeight w:val="189"/>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080" w:type="dxa"/>
            <w:vAlign w:val="bottom"/>
            <w:gridSpan w:val="2"/>
          </w:tcPr>
          <w:p>
            <w:pPr>
              <w:ind w:left="140"/>
              <w:spacing w:after="0" w:line="152" w:lineRule="exact"/>
              <w:rPr>
                <w:sz w:val="20"/>
                <w:szCs w:val="20"/>
                <w:color w:val="auto"/>
              </w:rPr>
            </w:pPr>
            <w:r>
              <w:rPr>
                <w:rFonts w:ascii="Arial" w:cs="Arial" w:eastAsia="Arial" w:hAnsi="Arial"/>
                <w:sz w:val="14"/>
                <w:szCs w:val="14"/>
                <w:color w:val="auto"/>
              </w:rPr>
              <w:t>Non-cash derivative loss from commodities, excluding noncontrolling</w:t>
            </w:r>
          </w:p>
        </w:tc>
        <w:tc>
          <w:tcPr>
            <w:tcW w:w="120" w:type="dxa"/>
            <w:vAlign w:val="bottom"/>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174</w:t>
            </w:r>
          </w:p>
        </w:tc>
        <w:tc>
          <w:tcPr>
            <w:tcW w:w="14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restart"/>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12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restart"/>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71"/>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interest</w:t>
            </w:r>
          </w:p>
        </w:tc>
        <w:tc>
          <w:tcPr>
            <w:tcW w:w="12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14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Asset impairments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1,736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Reorganization items, net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(3,991)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(3,994)</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Severance and termination costs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Net loss (gain) on extinguishment of debt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Legal and professional fees related to our reorganization</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Power plant maintenance</w:t>
            </w:r>
          </w:p>
        </w:tc>
        <w:tc>
          <w:tcPr>
            <w:tcW w:w="12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10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Gains on asset divestitures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Rig termination expenses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5080" w:type="dxa"/>
            <w:vAlign w:val="bottom"/>
            <w:gridSpan w:val="2"/>
          </w:tcPr>
          <w:p>
            <w:pPr>
              <w:ind w:left="140"/>
              <w:spacing w:after="0"/>
              <w:rPr>
                <w:sz w:val="20"/>
                <w:szCs w:val="20"/>
                <w:color w:val="auto"/>
              </w:rPr>
            </w:pPr>
            <w:r>
              <w:rPr>
                <w:rFonts w:ascii="Arial" w:cs="Arial" w:eastAsia="Arial" w:hAnsi="Arial"/>
                <w:sz w:val="14"/>
                <w:szCs w:val="14"/>
                <w:color w:val="auto"/>
              </w:rPr>
              <w:t>Other, net</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4"/>
        </w:trPr>
        <w:tc>
          <w:tcPr>
            <w:tcW w:w="508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(3,854)</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52"/>
        </w:trPr>
        <w:tc>
          <w:tcPr>
            <w:tcW w:w="4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40" w:type="dxa"/>
            <w:vAlign w:val="bottom"/>
            <w:tcBorders>
              <w:right w:val="single" w:sz="8" w:color="auto"/>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attributable to common stock</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102</w:t>
            </w:r>
          </w:p>
        </w:tc>
        <w:tc>
          <w:tcPr>
            <w:tcW w:w="14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21"/>
        </w:trPr>
        <w:tc>
          <w:tcPr>
            <w:tcW w:w="4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Net (loss) income attributable to common stock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4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(36.43)</w:t>
            </w:r>
          </w:p>
        </w:tc>
        <w:tc>
          <w:tcPr>
            <w:tcW w:w="12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(1.48)</w:t>
            </w: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80.20</w:t>
            </w:r>
          </w:p>
        </w:tc>
        <w:tc>
          <w:tcPr>
            <w:tcW w:w="0" w:type="dxa"/>
            <w:vAlign w:val="bottom"/>
          </w:tcPr>
          <w:p>
            <w:pPr>
              <w:spacing w:after="0"/>
              <w:rPr>
                <w:sz w:val="1"/>
                <w:szCs w:val="1"/>
                <w:color w:val="auto"/>
              </w:rPr>
            </w:pPr>
          </w:p>
        </w:tc>
      </w:tr>
      <w:tr>
        <w:trPr>
          <w:trHeight w:val="189"/>
        </w:trPr>
        <w:tc>
          <w:tcPr>
            <w:tcW w:w="5080" w:type="dxa"/>
            <w:vAlign w:val="bottom"/>
            <w:gridSpan w:val="2"/>
          </w:tcPr>
          <w:p>
            <w:pPr>
              <w:ind w:left="20"/>
              <w:spacing w:after="0"/>
              <w:rPr>
                <w:sz w:val="20"/>
                <w:szCs w:val="20"/>
                <w:color w:val="auto"/>
              </w:rPr>
            </w:pPr>
            <w:r>
              <w:rPr>
                <w:rFonts w:ascii="Arial" w:cs="Arial" w:eastAsia="Arial" w:hAnsi="Arial"/>
                <w:sz w:val="14"/>
                <w:szCs w:val="14"/>
                <w:color w:val="auto"/>
              </w:rPr>
              <w:t>Adjusted net income (loss) per share - diluted</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1.22</w:t>
            </w:r>
          </w:p>
        </w:tc>
        <w:tc>
          <w:tcPr>
            <w:tcW w:w="14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(0.16)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0.34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(0.40)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180"/>
          </w:cols>
          <w:pgMar w:left="320" w:top="1152" w:right="39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t>FREE CASH FLOW</w:t>
      </w:r>
    </w:p>
    <w:p>
      <w:pPr>
        <w:spacing w:after="0" w:line="141" w:lineRule="exact"/>
        <w:rPr>
          <w:sz w:val="20"/>
          <w:szCs w:val="20"/>
          <w:color w:val="auto"/>
        </w:rPr>
      </w:pPr>
    </w:p>
    <w:p>
      <w:pPr>
        <w:ind w:left="20" w:right="160"/>
        <w:spacing w:after="0" w:line="219" w:lineRule="auto"/>
        <w:rPr>
          <w:sz w:val="20"/>
          <w:szCs w:val="20"/>
          <w:color w:val="auto"/>
        </w:rPr>
      </w:pPr>
      <w:r>
        <w:rPr>
          <w:rFonts w:ascii="Arial" w:cs="Arial" w:eastAsia="Arial" w:hAnsi="Arial"/>
          <w:sz w:val="14"/>
          <w:szCs w:val="14"/>
          <w:color w:val="auto"/>
        </w:rPr>
        <w:t xml:space="preserve">Management uses free cash flow, which is defined by us as net cash provided by operating activities </w:t>
      </w:r>
      <w:r>
        <w:rPr>
          <w:rFonts w:ascii="Arial" w:cs="Arial" w:eastAsia="Arial" w:hAnsi="Arial"/>
          <w:sz w:val="14"/>
          <w:szCs w:val="14"/>
          <w:u w:val="single" w:color="auto"/>
          <w:color w:val="auto"/>
        </w:rPr>
        <w:t>less</w:t>
      </w:r>
      <w:r>
        <w:rPr>
          <w:rFonts w:ascii="Arial" w:cs="Arial" w:eastAsia="Arial" w:hAnsi="Arial"/>
          <w:sz w:val="14"/>
          <w:szCs w:val="14"/>
          <w:color w:val="auto"/>
        </w:rPr>
        <w:t xml:space="preserve"> capital investments, as a measure of liquidity. The following table presents a reconciliation of our net cash provided by operating activities to free cash flow. We have excluded one-time costs for bankruptcy related fees during 2021 and 2020 as a supplemental measure of our free cash flow.</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vMerge w:val="restart"/>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Predecessor</w:t>
            </w:r>
          </w:p>
        </w:tc>
        <w:tc>
          <w:tcPr>
            <w:tcW w:w="28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Predecessor</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1st Quarter</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color w:val="auto"/>
              </w:rPr>
              <w:t>1st Quarter</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4th 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rPr>
              <w:t>4th Quarter</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5"/>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1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228</w:t>
            </w:r>
          </w:p>
        </w:tc>
        <w:tc>
          <w:tcPr>
            <w:tcW w:w="28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100"/>
              <w:spacing w:after="0"/>
              <w:rPr>
                <w:sz w:val="20"/>
                <w:szCs w:val="20"/>
                <w:color w:val="auto"/>
              </w:rPr>
            </w:pPr>
            <w:r>
              <w:rPr>
                <w:rFonts w:ascii="Arial" w:cs="Arial" w:eastAsia="Arial" w:hAnsi="Arial"/>
                <w:sz w:val="14"/>
                <w:szCs w:val="14"/>
                <w:color w:val="auto"/>
              </w:rPr>
              <w:t>Capital investments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198</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(45)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(19)</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One-time bankruptcy related fees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Free cash flow, after special items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122</w:t>
            </w:r>
          </w:p>
        </w:tc>
        <w:tc>
          <w:tcPr>
            <w:tcW w:w="120" w:type="dxa"/>
            <w:vAlign w:val="bottom"/>
            <w:tcBorders>
              <w:right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5"/>
          </w:tcPr>
          <w:p>
            <w:pPr>
              <w:jc w:val="right"/>
              <w:ind w:right="948"/>
              <w:spacing w:after="0"/>
              <w:rPr>
                <w:sz w:val="20"/>
                <w:szCs w:val="20"/>
                <w:color w:val="auto"/>
              </w:rPr>
            </w:pPr>
            <w:r>
              <w:rPr>
                <w:rFonts w:ascii="Arial" w:cs="Arial" w:eastAsia="Arial" w:hAnsi="Arial"/>
                <w:sz w:val="14"/>
                <w:szCs w:val="14"/>
                <w:b w:val="1"/>
                <w:bCs w:val="1"/>
                <w:color w:val="auto"/>
              </w:rPr>
              <w:t>FY 2021E</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ind w:left="20"/>
              <w:spacing w:after="0"/>
              <w:rPr>
                <w:sz w:val="20"/>
                <w:szCs w:val="20"/>
                <w:color w:val="auto"/>
              </w:rPr>
            </w:pPr>
            <w:r>
              <w:rPr>
                <w:rFonts w:ascii="Arial" w:cs="Arial" w:eastAsia="Arial" w:hAnsi="Arial"/>
                <w:sz w:val="14"/>
                <w:szCs w:val="14"/>
                <w:i w:val="1"/>
                <w:iCs w:val="1"/>
                <w:color w:val="auto"/>
              </w:rPr>
              <w:t>($ millions)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Low</w:t>
            </w:r>
          </w:p>
        </w:tc>
        <w:tc>
          <w:tcPr>
            <w:tcW w:w="160" w:type="dxa"/>
            <w:vAlign w:val="bottom"/>
          </w:tcPr>
          <w:p>
            <w:pPr>
              <w:spacing w:after="0"/>
              <w:rPr>
                <w:sz w:val="15"/>
                <w:szCs w:val="15"/>
                <w:color w:val="auto"/>
              </w:rPr>
            </w:pPr>
          </w:p>
        </w:tc>
        <w:tc>
          <w:tcPr>
            <w:tcW w:w="1080" w:type="dxa"/>
            <w:vAlign w:val="bottom"/>
          </w:tcPr>
          <w:p>
            <w:pPr>
              <w:jc w:val="center"/>
              <w:ind w:right="68"/>
              <w:spacing w:after="0"/>
              <w:rPr>
                <w:sz w:val="20"/>
                <w:szCs w:val="20"/>
                <w:color w:val="auto"/>
              </w:rPr>
            </w:pPr>
            <w:r>
              <w:rPr>
                <w:rFonts w:ascii="Arial" w:cs="Arial" w:eastAsia="Arial" w:hAnsi="Arial"/>
                <w:sz w:val="14"/>
                <w:szCs w:val="14"/>
                <w:color w:val="auto"/>
              </w:rPr>
              <w:t>High</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435</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Capital investments</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(185)</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14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350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4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4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41" w:lineRule="exact"/>
        <w:rPr>
          <w:sz w:val="20"/>
          <w:szCs w:val="20"/>
          <w:color w:val="auto"/>
        </w:rPr>
      </w:pPr>
    </w:p>
    <w:p>
      <w:pPr>
        <w:ind w:left="20" w:right="200"/>
        <w:spacing w:after="0" w:line="209"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infrequent and out-of-period items; and other non-cash items. We believe this measure provides useful information in assessing our financial condition, results of operations and cash flows and is widely used by the industry, the investment community and our lenders. Although this is a non-GAAP measure, the amounts included in the calculation were computed in accordance with GAAP. Certain items excluded from this non-GAAP measure are significant components in understanding and assessing our financial performance, such as our cost of capital and tax structure, as well as depreciation, depletion and amortization of our assets. This measure should be read in conjunction with the information contained in our financial statements prepared in accordance with GAAP. A version of Adjusted EBITDAX is a material component of certain of our financial covenants under our Revolving Credit Facility and is provided in addition to, and not as an alternative for, income and liquidity measures calculated in accordance with GAAP.</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vMerge w:val="restart"/>
          </w:tcPr>
          <w:p>
            <w:pPr>
              <w:jc w:val="center"/>
              <w:ind w:right="48"/>
              <w:spacing w:after="0"/>
              <w:rPr>
                <w:sz w:val="20"/>
                <w:szCs w:val="20"/>
                <w:color w:val="auto"/>
              </w:rPr>
            </w:pPr>
            <w:r>
              <w:rPr>
                <w:rFonts w:ascii="Arial" w:cs="Arial" w:eastAsia="Arial" w:hAnsi="Arial"/>
                <w:sz w:val="14"/>
                <w:szCs w:val="14"/>
                <w:b w:val="1"/>
                <w:bCs w:val="1"/>
                <w:color w:val="auto"/>
              </w:rPr>
              <w:t>Successor</w:t>
            </w:r>
          </w:p>
        </w:tc>
        <w:tc>
          <w:tcPr>
            <w:tcW w:w="200" w:type="dxa"/>
            <w:vAlign w:val="bottom"/>
            <w:tcBorders>
              <w:top w:val="single" w:sz="8" w:color="auto"/>
              <w:right w:val="single" w:sz="8" w:color="auto"/>
            </w:tcBorders>
            <w:vMerge w:val="restart"/>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color w:val="auto"/>
              </w:rPr>
              <w:t>Predecessor</w:t>
            </w:r>
          </w:p>
        </w:tc>
        <w:tc>
          <w:tcPr>
            <w:tcW w:w="100" w:type="dxa"/>
            <w:vAlign w:val="bottom"/>
            <w:vMerge w:val="restart"/>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00" w:type="dxa"/>
            <w:vAlign w:val="bottom"/>
            <w:tcBorders>
              <w:top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Combined</w:t>
            </w: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color w:val="auto"/>
              </w:rPr>
              <w:t>Successor</w:t>
            </w:r>
          </w:p>
        </w:tc>
        <w:tc>
          <w:tcPr>
            <w:tcW w:w="100" w:type="dxa"/>
            <w:vAlign w:val="bottom"/>
            <w:tcBorders>
              <w:top w:val="single" w:sz="8" w:color="auto"/>
              <w:right w:val="single" w:sz="8" w:color="auto"/>
            </w:tcBorders>
            <w:vMerge w:val="restart"/>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vMerge w:val="continue"/>
          </w:tcPr>
          <w:p>
            <w:pPr>
              <w:spacing w:after="0"/>
              <w:rPr>
                <w:sz w:val="15"/>
                <w:szCs w:val="15"/>
                <w:color w:val="auto"/>
              </w:rPr>
            </w:pPr>
          </w:p>
        </w:tc>
        <w:tc>
          <w:tcPr>
            <w:tcW w:w="20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00" w:type="dxa"/>
            <w:vAlign w:val="bottom"/>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(Non-GAAP)</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Borders>
              <w:right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1st Quarter</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color w:val="auto"/>
              </w:rPr>
              <w:t>1st Quarter</w:t>
            </w:r>
          </w:p>
        </w:tc>
        <w:tc>
          <w:tcPr>
            <w:tcW w:w="160" w:type="dxa"/>
            <w:vAlign w:val="bottom"/>
          </w:tcPr>
          <w:p>
            <w:pPr>
              <w:spacing w:after="0"/>
              <w:rPr>
                <w:sz w:val="15"/>
                <w:szCs w:val="15"/>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4th 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89"/>
        </w:trPr>
        <w:tc>
          <w:tcPr>
            <w:tcW w:w="43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2020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3,870</w:t>
            </w:r>
          </w:p>
        </w:tc>
        <w:tc>
          <w:tcPr>
            <w:tcW w:w="22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(125)</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3,995</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net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87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52</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34</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77"/>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Exploration expense</w:t>
            </w:r>
          </w:p>
        </w:tc>
        <w:tc>
          <w:tcPr>
            <w:tcW w:w="1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19"/>
        </w:trPr>
        <w:tc>
          <w:tcPr>
            <w:tcW w:w="4400" w:type="dxa"/>
            <w:vAlign w:val="bottom"/>
            <w:gridSpan w:val="2"/>
          </w:tcPr>
          <w:p>
            <w:pPr>
              <w:ind w:left="140"/>
              <w:spacing w:after="0" w:line="219"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(a)</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196</w:t>
            </w:r>
          </w:p>
        </w:tc>
        <w:tc>
          <w:tcPr>
            <w:tcW w:w="20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1,788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(3,854)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(4,005)</w:t>
            </w:r>
          </w:p>
        </w:tc>
        <w:tc>
          <w:tcPr>
            <w:tcW w:w="0" w:type="dxa"/>
            <w:vAlign w:val="bottom"/>
          </w:tcPr>
          <w:p>
            <w:pPr>
              <w:spacing w:after="0"/>
              <w:rPr>
                <w:sz w:val="1"/>
                <w:szCs w:val="1"/>
                <w:color w:val="auto"/>
              </w:rPr>
            </w:pPr>
          </w:p>
        </w:tc>
      </w:tr>
      <w:tr>
        <w:trPr>
          <w:trHeight w:val="172"/>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Non-cash items</w:t>
            </w:r>
          </w:p>
        </w:tc>
        <w:tc>
          <w:tcPr>
            <w:tcW w:w="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13</w:t>
            </w:r>
          </w:p>
        </w:tc>
        <w:tc>
          <w:tcPr>
            <w:tcW w:w="20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11</w:t>
            </w: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4400" w:type="dxa"/>
            <w:vAlign w:val="bottom"/>
            <w:gridSpan w:val="2"/>
          </w:tcPr>
          <w:p>
            <w:pPr>
              <w:ind w:left="260"/>
              <w:spacing w:after="0"/>
              <w:rPr>
                <w:sz w:val="20"/>
                <w:szCs w:val="20"/>
                <w:color w:val="auto"/>
              </w:rPr>
            </w:pPr>
            <w:r>
              <w:rPr>
                <w:rFonts w:ascii="Arial" w:cs="Arial" w:eastAsia="Arial" w:hAnsi="Arial"/>
                <w:sz w:val="14"/>
                <w:szCs w:val="14"/>
                <w:color w:val="auto"/>
              </w:rPr>
              <w:t>Accretion expense</w:t>
            </w:r>
          </w:p>
        </w:tc>
        <w:tc>
          <w:tcPr>
            <w:tcW w:w="12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60"/>
              <w:spacing w:after="0"/>
              <w:rPr>
                <w:sz w:val="20"/>
                <w:szCs w:val="20"/>
                <w:color w:val="auto"/>
              </w:rPr>
            </w:pPr>
            <w:r>
              <w:rPr>
                <w:rFonts w:ascii="Arial" w:cs="Arial" w:eastAsia="Arial" w:hAnsi="Arial"/>
                <w:sz w:val="14"/>
                <w:szCs w:val="14"/>
                <w:color w:val="auto"/>
              </w:rPr>
              <w:t>Stock-settled compensation</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60"/>
              <w:spacing w:after="0"/>
              <w:rPr>
                <w:sz w:val="20"/>
                <w:szCs w:val="20"/>
                <w:color w:val="auto"/>
              </w:rPr>
            </w:pPr>
            <w:r>
              <w:rPr>
                <w:rFonts w:ascii="Arial" w:cs="Arial" w:eastAsia="Arial" w:hAnsi="Arial"/>
                <w:sz w:val="14"/>
                <w:szCs w:val="14"/>
                <w:color w:val="auto"/>
              </w:rPr>
              <w:t>Post-retirement medical and pension</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400" w:type="dxa"/>
            <w:vAlign w:val="bottom"/>
            <w:gridSpan w:val="2"/>
          </w:tcPr>
          <w:p>
            <w:pPr>
              <w:ind w:left="260"/>
              <w:spacing w:after="0"/>
              <w:rPr>
                <w:sz w:val="20"/>
                <w:szCs w:val="20"/>
                <w:color w:val="auto"/>
              </w:rPr>
            </w:pPr>
            <w:r>
              <w:rPr>
                <w:rFonts w:ascii="Arial" w:cs="Arial" w:eastAsia="Arial" w:hAnsi="Arial"/>
                <w:sz w:val="14"/>
                <w:szCs w:val="14"/>
                <w:color w:val="auto"/>
              </w:rPr>
              <w:t>Other non-cash items</w:t>
            </w:r>
          </w:p>
        </w:tc>
        <w:tc>
          <w:tcPr>
            <w:tcW w:w="120" w:type="dxa"/>
            <w:vAlign w:val="bottom"/>
          </w:tcPr>
          <w:p>
            <w:pPr>
              <w:spacing w:after="0"/>
              <w:rPr>
                <w:sz w:val="16"/>
                <w:szCs w:val="16"/>
                <w:color w:val="auto"/>
              </w:rPr>
            </w:pPr>
          </w:p>
        </w:tc>
        <w:tc>
          <w:tcPr>
            <w:tcW w:w="1160" w:type="dxa"/>
            <w:vAlign w:val="bottom"/>
            <w:tcBorders>
              <w:right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2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1"/>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147</w:t>
            </w:r>
          </w:p>
        </w:tc>
        <w:tc>
          <w:tcPr>
            <w:tcW w:w="2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228</w:t>
            </w:r>
          </w:p>
        </w:tc>
        <w:tc>
          <w:tcPr>
            <w:tcW w:w="10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w:t>
            </w:r>
          </w:p>
        </w:tc>
        <w:tc>
          <w:tcPr>
            <w:tcW w:w="22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Cash interest</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Exploration expenditures</w:t>
            </w: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89"/>
        </w:trPr>
        <w:tc>
          <w:tcPr>
            <w:tcW w:w="4400" w:type="dxa"/>
            <w:vAlign w:val="bottom"/>
            <w:gridSpan w:val="2"/>
          </w:tcPr>
          <w:p>
            <w:pPr>
              <w:ind w:left="140"/>
              <w:spacing w:after="0"/>
              <w:rPr>
                <w:sz w:val="20"/>
                <w:szCs w:val="20"/>
                <w:color w:val="auto"/>
              </w:rPr>
            </w:pPr>
            <w:r>
              <w:rPr>
                <w:rFonts w:ascii="Arial" w:cs="Arial" w:eastAsia="Arial" w:hAnsi="Arial"/>
                <w:sz w:val="14"/>
                <w:szCs w:val="14"/>
                <w:color w:val="auto"/>
              </w:rPr>
              <w:t>Working capital changes</w:t>
            </w: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200" w:type="dxa"/>
            <w:vAlign w:val="bottom"/>
            <w:tcBorders>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3"/>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189</w:t>
            </w:r>
          </w:p>
        </w:tc>
        <w:tc>
          <w:tcPr>
            <w:tcW w:w="20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22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440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21.12</w:t>
            </w:r>
          </w:p>
        </w:tc>
        <w:tc>
          <w:tcPr>
            <w:tcW w:w="200" w:type="dxa"/>
            <w:vAlign w:val="bottom"/>
            <w:tcBorders>
              <w:right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22.72</w:t>
            </w:r>
          </w:p>
        </w:tc>
        <w:tc>
          <w:tcPr>
            <w:tcW w:w="10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12.25</w:t>
            </w:r>
          </w:p>
        </w:tc>
        <w:tc>
          <w:tcPr>
            <w:tcW w:w="2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13.24</w:t>
            </w:r>
          </w:p>
        </w:tc>
        <w:tc>
          <w:tcPr>
            <w:tcW w:w="100" w:type="dxa"/>
            <w:vAlign w:val="bottom"/>
            <w:tcBorders>
              <w:right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10.30</w:t>
            </w:r>
          </w:p>
        </w:tc>
        <w:tc>
          <w:tcPr>
            <w:tcW w:w="0" w:type="dxa"/>
            <w:vAlign w:val="bottom"/>
          </w:tcPr>
          <w:p>
            <w:pPr>
              <w:spacing w:after="0"/>
              <w:rPr>
                <w:sz w:val="1"/>
                <w:szCs w:val="1"/>
                <w:color w:val="auto"/>
              </w:rPr>
            </w:pPr>
          </w:p>
        </w:tc>
      </w:tr>
      <w:tr>
        <w:trPr>
          <w:trHeight w:val="407"/>
        </w:trPr>
        <w:tc>
          <w:tcPr>
            <w:tcW w:w="440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(Loss) reconciliation.</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40"/>
          </w:cols>
          <w:pgMar w:left="320" w:top="1206"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t>DISCRETIONARY CASH FLOW</w:t>
      </w:r>
    </w:p>
    <w:p>
      <w:pPr>
        <w:spacing w:after="0" w:line="141" w:lineRule="exact"/>
        <w:rPr>
          <w:sz w:val="20"/>
          <w:szCs w:val="20"/>
          <w:color w:val="auto"/>
        </w:rPr>
      </w:pPr>
    </w:p>
    <w:p>
      <w:pPr>
        <w:ind w:left="20" w:right="100"/>
        <w:spacing w:after="0" w:line="229"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40" w:type="dxa"/>
            <w:vAlign w:val="bottom"/>
            <w:tcBorders>
              <w:top w:val="single" w:sz="8" w:color="auto"/>
            </w:tcBorders>
            <w:vMerge w:val="restart"/>
          </w:tcPr>
          <w:p>
            <w:pPr>
              <w:jc w:val="center"/>
              <w:ind w:right="68"/>
              <w:spacing w:after="0"/>
              <w:rPr>
                <w:sz w:val="20"/>
                <w:szCs w:val="20"/>
                <w:color w:val="auto"/>
              </w:rPr>
            </w:pPr>
            <w:r>
              <w:rPr>
                <w:rFonts w:ascii="Arial" w:cs="Arial" w:eastAsia="Arial" w:hAnsi="Arial"/>
                <w:sz w:val="14"/>
                <w:szCs w:val="14"/>
                <w:color w:val="auto"/>
              </w:rPr>
              <w:t>Predecessor</w:t>
            </w:r>
          </w:p>
        </w:tc>
        <w:tc>
          <w:tcPr>
            <w:tcW w:w="280" w:type="dxa"/>
            <w:vAlign w:val="bottom"/>
            <w:vMerge w:val="restart"/>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108"/>
              <w:spacing w:after="0"/>
              <w:rPr>
                <w:sz w:val="20"/>
                <w:szCs w:val="20"/>
                <w:color w:val="auto"/>
              </w:rPr>
            </w:pPr>
            <w:r>
              <w:rPr>
                <w:rFonts w:ascii="Arial" w:cs="Arial" w:eastAsia="Arial" w:hAnsi="Arial"/>
                <w:sz w:val="14"/>
                <w:szCs w:val="14"/>
                <w:color w:val="auto"/>
              </w:rPr>
              <w:t>Successor</w:t>
            </w:r>
          </w:p>
        </w:tc>
        <w:tc>
          <w:tcPr>
            <w:tcW w:w="10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6"/>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gridSpan w:val="2"/>
          </w:tcPr>
          <w:p>
            <w:pPr>
              <w:jc w:val="center"/>
              <w:ind w:right="400"/>
              <w:spacing w:after="0"/>
              <w:rPr>
                <w:sz w:val="20"/>
                <w:szCs w:val="20"/>
                <w:color w:val="auto"/>
              </w:rPr>
            </w:pPr>
            <w:r>
              <w:rPr>
                <w:rFonts w:ascii="Arial" w:cs="Arial" w:eastAsia="Arial" w:hAnsi="Arial"/>
                <w:sz w:val="14"/>
                <w:szCs w:val="14"/>
                <w:color w:val="auto"/>
              </w:rPr>
              <w:t>1st Quarter</w:t>
            </w:r>
          </w:p>
        </w:tc>
        <w:tc>
          <w:tcPr>
            <w:tcW w:w="14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5"/>
                <w:szCs w:val="15"/>
                <w:color w:val="auto"/>
              </w:rPr>
            </w:pPr>
          </w:p>
        </w:tc>
        <w:tc>
          <w:tcPr>
            <w:tcW w:w="118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4th 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88"/>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rPr>
              <w:t>2020</w:t>
            </w:r>
          </w:p>
        </w:tc>
        <w:tc>
          <w:tcPr>
            <w:tcW w:w="2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2020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189</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Pr>
          <w:p>
            <w:pPr>
              <w:jc w:val="right"/>
              <w:ind w:right="8"/>
              <w:spacing w:after="0"/>
              <w:rPr>
                <w:sz w:val="20"/>
                <w:szCs w:val="20"/>
                <w:color w:val="auto"/>
              </w:rPr>
            </w:pPr>
            <w:r>
              <w:rPr>
                <w:rFonts w:ascii="Arial" w:cs="Arial" w:eastAsia="Arial" w:hAnsi="Arial"/>
                <w:sz w:val="14"/>
                <w:szCs w:val="14"/>
                <w:color w:val="auto"/>
              </w:rPr>
              <w:t>251</w:t>
            </w:r>
          </w:p>
        </w:tc>
        <w:tc>
          <w:tcPr>
            <w:tcW w:w="2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83</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90"/>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(49)</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16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16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160" w:type="dxa"/>
            <w:vAlign w:val="bottom"/>
          </w:tcPr>
          <w:p>
            <w:pPr>
              <w:spacing w:after="0"/>
              <w:rPr>
                <w:sz w:val="16"/>
                <w:szCs w:val="16"/>
                <w:color w:val="auto"/>
              </w:rPr>
            </w:pPr>
          </w:p>
        </w:tc>
        <w:tc>
          <w:tcPr>
            <w:tcW w:w="12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190"/>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Asset retirement obligations and idle well testing</w:t>
            </w: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3"/>
        </w:trPr>
        <w:tc>
          <w:tcPr>
            <w:tcW w:w="4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2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w:t>
            </w:r>
          </w:p>
        </w:tc>
        <w:tc>
          <w:tcPr>
            <w:tcW w:w="12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154</w:t>
            </w:r>
          </w:p>
        </w:tc>
        <w:tc>
          <w:tcPr>
            <w:tcW w:w="2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 MARGIN</w:t>
      </w:r>
    </w:p>
    <w:p>
      <w:pPr>
        <w:spacing w:after="0" w:line="141" w:lineRule="exact"/>
        <w:rPr>
          <w:sz w:val="20"/>
          <w:szCs w:val="20"/>
          <w:color w:val="auto"/>
        </w:rPr>
      </w:pPr>
    </w:p>
    <w:p>
      <w:pPr>
        <w:ind w:left="20" w:right="180"/>
        <w:spacing w:after="0" w:line="229"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120" w:type="dxa"/>
            <w:vAlign w:val="bottom"/>
            <w:tcBorders>
              <w:top w:val="single" w:sz="8" w:color="auto"/>
              <w:right w:val="single" w:sz="8" w:color="auto"/>
            </w:tcBorders>
            <w:vMerge w:val="restart"/>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Predecessor</w:t>
            </w:r>
          </w:p>
        </w:tc>
        <w:tc>
          <w:tcPr>
            <w:tcW w:w="240" w:type="dxa"/>
            <w:vAlign w:val="bottom"/>
            <w:vMerge w:val="restart"/>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120" w:type="dxa"/>
            <w:vAlign w:val="bottom"/>
            <w:tcBorders>
              <w:top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rPr>
              <w:t>Combined</w:t>
            </w: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Successor</w:t>
            </w:r>
          </w:p>
        </w:tc>
        <w:tc>
          <w:tcPr>
            <w:tcW w:w="120" w:type="dxa"/>
            <w:vAlign w:val="bottom"/>
            <w:tcBorders>
              <w:right w:val="single" w:sz="8" w:color="auto"/>
            </w:tcBorders>
            <w:vMerge w:val="restart"/>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vMerge w:val="restart"/>
          </w:tcPr>
          <w:p>
            <w:pPr>
              <w:jc w:val="center"/>
              <w:ind w:right="88"/>
              <w:spacing w:after="0"/>
              <w:rPr>
                <w:sz w:val="20"/>
                <w:szCs w:val="20"/>
                <w:color w:val="auto"/>
              </w:rPr>
            </w:pPr>
            <w:r>
              <w:rPr>
                <w:rFonts w:ascii="Arial" w:cs="Arial" w:eastAsia="Arial" w:hAnsi="Arial"/>
                <w:sz w:val="14"/>
                <w:szCs w:val="14"/>
                <w:color w:val="auto"/>
              </w:rPr>
              <w:t>Predecessor</w:t>
            </w:r>
          </w:p>
        </w:tc>
        <w:tc>
          <w:tcPr>
            <w:tcW w:w="0" w:type="dxa"/>
            <w:vAlign w:val="bottom"/>
          </w:tcPr>
          <w:p>
            <w:pPr>
              <w:spacing w:after="0"/>
              <w:rPr>
                <w:sz w:val="1"/>
                <w:szCs w:val="1"/>
                <w:color w:val="auto"/>
              </w:rPr>
            </w:pPr>
          </w:p>
        </w:tc>
      </w:tr>
      <w:tr>
        <w:trPr>
          <w:trHeight w:val="175"/>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(Non-GAAP)</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4"/>
                <w:szCs w:val="14"/>
                <w:color w:val="auto"/>
              </w:rPr>
              <w:t>1st Quarter</w:t>
            </w:r>
          </w:p>
        </w:tc>
        <w:tc>
          <w:tcPr>
            <w:tcW w:w="180" w:type="dxa"/>
            <w:vAlign w:val="bottom"/>
          </w:tcPr>
          <w:p>
            <w:pPr>
              <w:spacing w:after="0"/>
              <w:rPr>
                <w:sz w:val="15"/>
                <w:szCs w:val="15"/>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4th Quarter</w:t>
            </w:r>
          </w:p>
        </w:tc>
        <w:tc>
          <w:tcPr>
            <w:tcW w:w="16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80"/>
              <w:spacing w:after="0"/>
              <w:rPr>
                <w:sz w:val="20"/>
                <w:szCs w:val="20"/>
                <w:color w:val="auto"/>
              </w:rPr>
            </w:pPr>
            <w:r>
              <w:rPr>
                <w:rFonts w:ascii="Arial" w:cs="Arial" w:eastAsia="Arial" w:hAnsi="Arial"/>
                <w:sz w:val="14"/>
                <w:szCs w:val="14"/>
                <w:color w:val="auto"/>
              </w:rPr>
              <w:t>4th Quarter</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center"/>
              <w:ind w:right="88"/>
              <w:spacing w:after="0"/>
              <w:rPr>
                <w:sz w:val="20"/>
                <w:szCs w:val="20"/>
                <w:color w:val="auto"/>
              </w:rPr>
            </w:pPr>
            <w:r>
              <w:rPr>
                <w:rFonts w:ascii="Arial" w:cs="Arial" w:eastAsia="Arial" w:hAnsi="Arial"/>
                <w:sz w:val="14"/>
                <w:szCs w:val="14"/>
                <w:color w:val="auto"/>
              </w:rPr>
              <w:t>4th Quarter</w:t>
            </w:r>
          </w:p>
        </w:tc>
        <w:tc>
          <w:tcPr>
            <w:tcW w:w="0" w:type="dxa"/>
            <w:vAlign w:val="bottom"/>
          </w:tcPr>
          <w:p>
            <w:pPr>
              <w:spacing w:after="0"/>
              <w:rPr>
                <w:sz w:val="1"/>
                <w:szCs w:val="1"/>
                <w:color w:val="auto"/>
              </w:rPr>
            </w:pPr>
          </w:p>
        </w:tc>
      </w:tr>
      <w:tr>
        <w:trPr>
          <w:trHeight w:val="189"/>
        </w:trPr>
        <w:tc>
          <w:tcPr>
            <w:tcW w:w="41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2020</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color w:val="auto"/>
              </w:rPr>
              <w:t>2020</w:t>
            </w:r>
          </w:p>
        </w:tc>
        <w:tc>
          <w:tcPr>
            <w:tcW w:w="0" w:type="dxa"/>
            <w:vAlign w:val="bottom"/>
          </w:tcPr>
          <w:p>
            <w:pPr>
              <w:spacing w:after="0"/>
              <w:rPr>
                <w:sz w:val="1"/>
                <w:szCs w:val="1"/>
                <w:color w:val="auto"/>
              </w:rPr>
            </w:pPr>
          </w:p>
        </w:tc>
      </w:tr>
      <w:tr>
        <w:trPr>
          <w:trHeight w:val="183"/>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Pr>
          <w:p>
            <w:pPr>
              <w:jc w:val="right"/>
              <w:ind w:right="108"/>
              <w:spacing w:after="0"/>
              <w:rPr>
                <w:sz w:val="20"/>
                <w:szCs w:val="20"/>
                <w:color w:val="auto"/>
              </w:rPr>
            </w:pPr>
            <w:r>
              <w:rPr>
                <w:rFonts w:ascii="Arial" w:cs="Arial" w:eastAsia="Arial" w:hAnsi="Arial"/>
                <w:sz w:val="14"/>
                <w:szCs w:val="14"/>
                <w:b w:val="1"/>
                <w:bCs w:val="1"/>
                <w:color w:val="auto"/>
              </w:rPr>
              <w:t>363</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573</w:t>
            </w:r>
          </w:p>
        </w:tc>
        <w:tc>
          <w:tcPr>
            <w:tcW w:w="240" w:type="dxa"/>
            <w:vAlign w:val="bottom"/>
          </w:tcPr>
          <w:p>
            <w:pPr>
              <w:spacing w:after="0"/>
              <w:rPr>
                <w:sz w:val="15"/>
                <w:szCs w:val="15"/>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ind w:right="108"/>
              <w:spacing w:after="0"/>
              <w:rPr>
                <w:sz w:val="20"/>
                <w:szCs w:val="20"/>
                <w:color w:val="auto"/>
              </w:rPr>
            </w:pPr>
            <w:r>
              <w:rPr>
                <w:rFonts w:ascii="Arial" w:cs="Arial" w:eastAsia="Arial" w:hAnsi="Arial"/>
                <w:sz w:val="14"/>
                <w:szCs w:val="14"/>
                <w:b w:val="1"/>
                <w:bCs w:val="1"/>
                <w:color w:val="auto"/>
              </w:rPr>
              <w:t>301</w:t>
            </w:r>
          </w:p>
        </w:tc>
        <w:tc>
          <w:tcPr>
            <w:tcW w:w="10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152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108"/>
              <w:spacing w:after="0"/>
              <w:rPr>
                <w:sz w:val="20"/>
                <w:szCs w:val="20"/>
                <w:color w:val="auto"/>
              </w:rPr>
            </w:pPr>
            <w:r>
              <w:rPr>
                <w:rFonts w:ascii="Arial" w:cs="Arial" w:eastAsia="Arial" w:hAnsi="Arial"/>
                <w:sz w:val="14"/>
                <w:szCs w:val="14"/>
                <w:color w:val="auto"/>
              </w:rPr>
              <w:t>149</w:t>
            </w:r>
          </w:p>
        </w:tc>
        <w:tc>
          <w:tcPr>
            <w:tcW w:w="0" w:type="dxa"/>
            <w:vAlign w:val="bottom"/>
          </w:tcPr>
          <w:p>
            <w:pPr>
              <w:spacing w:after="0"/>
              <w:rPr>
                <w:sz w:val="1"/>
                <w:szCs w:val="1"/>
                <w:color w:val="auto"/>
              </w:rPr>
            </w:pPr>
          </w:p>
        </w:tc>
      </w:tr>
      <w:tr>
        <w:trPr>
          <w:trHeight w:val="189"/>
        </w:trPr>
        <w:tc>
          <w:tcPr>
            <w:tcW w:w="4260" w:type="dxa"/>
            <w:vAlign w:val="bottom"/>
            <w:gridSpan w:val="2"/>
          </w:tcPr>
          <w:p>
            <w:pPr>
              <w:ind w:left="140"/>
              <w:spacing w:after="0"/>
              <w:rPr>
                <w:sz w:val="20"/>
                <w:szCs w:val="20"/>
                <w:color w:val="auto"/>
              </w:rPr>
            </w:pPr>
            <w:r>
              <w:rPr>
                <w:rFonts w:ascii="Arial" w:cs="Arial" w:eastAsia="Arial" w:hAnsi="Arial"/>
                <w:sz w:val="14"/>
                <w:szCs w:val="14"/>
                <w:color w:val="auto"/>
              </w:rPr>
              <w:t>Non-cash derivative loss</w:t>
            </w: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174</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19</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140</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3"/>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537</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592</w:t>
            </w:r>
          </w:p>
        </w:tc>
        <w:tc>
          <w:tcPr>
            <w:tcW w:w="240" w:type="dxa"/>
            <w:vAlign w:val="bottom"/>
          </w:tcPr>
          <w:p>
            <w:pPr>
              <w:spacing w:after="0"/>
              <w:rPr>
                <w:sz w:val="15"/>
                <w:szCs w:val="15"/>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428</w:t>
            </w:r>
          </w:p>
        </w:tc>
        <w:tc>
          <w:tcPr>
            <w:tcW w:w="10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292</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4260" w:type="dxa"/>
            <w:vAlign w:val="bottom"/>
            <w:gridSpan w:val="2"/>
          </w:tcPr>
          <w:p>
            <w:pPr>
              <w:ind w:left="20"/>
              <w:spacing w:after="0"/>
              <w:rPr>
                <w:sz w:val="20"/>
                <w:szCs w:val="20"/>
                <w:color w:val="auto"/>
              </w:rPr>
            </w:pPr>
            <w:r>
              <w:rPr>
                <w:rFonts w:ascii="Arial" w:cs="Arial" w:eastAsia="Arial" w:hAnsi="Arial"/>
                <w:sz w:val="14"/>
                <w:szCs w:val="14"/>
                <w:color w:val="auto"/>
              </w:rPr>
              <w:t>Adjusted EBITDAX margin</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b w:val="1"/>
                <w:bCs w:val="1"/>
                <w:color w:val="auto"/>
              </w:rPr>
              <w:t>35 %</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42 %</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27 %</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28 %</w:t>
            </w:r>
          </w:p>
        </w:tc>
        <w:tc>
          <w:tcPr>
            <w:tcW w:w="12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488950</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514350</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OPERATING COSTS PER BOE</w:t>
      </w:r>
    </w:p>
    <w:p>
      <w:pPr>
        <w:spacing w:after="0" w:line="141" w:lineRule="exact"/>
        <w:rPr>
          <w:sz w:val="20"/>
          <w:szCs w:val="20"/>
          <w:color w:val="auto"/>
        </w:rPr>
      </w:pPr>
    </w:p>
    <w:p>
      <w:pPr>
        <w:ind w:left="20" w:right="420"/>
        <w:spacing w:after="0" w:line="229" w:lineRule="auto"/>
        <w:rPr>
          <w:sz w:val="20"/>
          <w:szCs w:val="20"/>
          <w:color w:val="auto"/>
        </w:rPr>
      </w:pPr>
      <w:r>
        <w:rPr>
          <w:rFonts w:ascii="Arial" w:cs="Arial" w:eastAsia="Arial" w:hAnsi="Arial"/>
          <w:sz w:val="14"/>
          <w:szCs w:val="14"/>
          <w:color w:val="auto"/>
        </w:rPr>
        <w:t>The reporting of our PSC-type contracts creates a difference between reported operating costs, which are for the full field, and reported volumes, which are only our net share, inflating the per barrel operating costs. The following table presents operating costs after adjusting for the excess costs attributable to PSC-type contracts.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828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Successor</w:t>
            </w:r>
          </w:p>
        </w:tc>
        <w:tc>
          <w:tcPr>
            <w:tcW w:w="100" w:type="dxa"/>
            <w:vAlign w:val="bottom"/>
            <w:tcBorders>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center"/>
              <w:ind w:right="48"/>
              <w:spacing w:after="0"/>
              <w:rPr>
                <w:sz w:val="20"/>
                <w:szCs w:val="20"/>
                <w:color w:val="auto"/>
              </w:rPr>
            </w:pPr>
            <w:r>
              <w:rPr>
                <w:rFonts w:ascii="Arial" w:cs="Arial" w:eastAsia="Arial" w:hAnsi="Arial"/>
                <w:sz w:val="14"/>
                <w:szCs w:val="14"/>
                <w:color w:val="auto"/>
              </w:rPr>
              <w:t>Predecessor</w:t>
            </w:r>
          </w:p>
        </w:tc>
      </w:tr>
      <w:tr>
        <w:trPr>
          <w:trHeight w:val="183"/>
        </w:trPr>
        <w:tc>
          <w:tcPr>
            <w:tcW w:w="8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right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rPr>
              <w:t>1st Quarter</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jc w:val="center"/>
              <w:ind w:right="28"/>
              <w:spacing w:after="0"/>
              <w:rPr>
                <w:sz w:val="20"/>
                <w:szCs w:val="20"/>
                <w:color w:val="auto"/>
              </w:rPr>
            </w:pPr>
            <w:r>
              <w:rPr>
                <w:rFonts w:ascii="Arial" w:cs="Arial" w:eastAsia="Arial" w:hAnsi="Arial"/>
                <w:sz w:val="14"/>
                <w:szCs w:val="14"/>
                <w:color w:val="auto"/>
              </w:rPr>
              <w:t>1st Quarter</w:t>
            </w:r>
          </w:p>
        </w:tc>
      </w:tr>
      <w:tr>
        <w:trPr>
          <w:trHeight w:val="189"/>
        </w:trPr>
        <w:tc>
          <w:tcPr>
            <w:tcW w:w="8280" w:type="dxa"/>
            <w:vAlign w:val="bottom"/>
          </w:tcPr>
          <w:p>
            <w:pPr>
              <w:spacing w:after="0"/>
              <w:rPr>
                <w:sz w:val="20"/>
                <w:szCs w:val="20"/>
                <w:color w:val="auto"/>
              </w:rPr>
            </w:pPr>
            <w:r>
              <w:rPr>
                <w:rFonts w:ascii="Arial" w:cs="Arial" w:eastAsia="Arial" w:hAnsi="Arial"/>
                <w:sz w:val="14"/>
                <w:szCs w:val="14"/>
                <w:color w:val="auto"/>
              </w:rPr>
              <w:t>($ per Boe)</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color w:val="auto"/>
              </w:rPr>
              <w:t>2020</w:t>
            </w:r>
          </w:p>
        </w:tc>
      </w:tr>
      <w:tr>
        <w:trPr>
          <w:trHeight w:val="183"/>
        </w:trPr>
        <w:tc>
          <w:tcPr>
            <w:tcW w:w="8280" w:type="dxa"/>
            <w:vAlign w:val="bottom"/>
          </w:tcPr>
          <w:p>
            <w:pPr>
              <w:spacing w:after="0" w:line="182" w:lineRule="exact"/>
              <w:rPr>
                <w:sz w:val="20"/>
                <w:szCs w:val="20"/>
                <w:color w:val="auto"/>
              </w:rPr>
            </w:pPr>
            <w:r>
              <w:rPr>
                <w:rFonts w:ascii="Arial" w:cs="Arial" w:eastAsia="Arial" w:hAnsi="Arial"/>
                <w:sz w:val="14"/>
                <w:szCs w:val="14"/>
                <w:color w:val="auto"/>
              </w:rPr>
              <w:t xml:space="preserve">Energy operating costs </w:t>
            </w:r>
            <w:r>
              <w:rPr>
                <w:rFonts w:ascii="Arial" w:cs="Arial" w:eastAsia="Arial" w:hAnsi="Arial"/>
                <w:sz w:val="18"/>
                <w:szCs w:val="18"/>
                <w:color w:val="auto"/>
                <w:vertAlign w:val="superscript"/>
              </w:rPr>
              <w:t>(a)</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4.70</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3.71</w:t>
            </w:r>
          </w:p>
        </w:tc>
      </w:tr>
      <w:tr>
        <w:trPr>
          <w:trHeight w:val="189"/>
        </w:trPr>
        <w:tc>
          <w:tcPr>
            <w:tcW w:w="8280" w:type="dxa"/>
            <w:vAlign w:val="bottom"/>
          </w:tcPr>
          <w:p>
            <w:pPr>
              <w:spacing w:after="0"/>
              <w:rPr>
                <w:sz w:val="20"/>
                <w:szCs w:val="20"/>
                <w:color w:val="auto"/>
              </w:rPr>
            </w:pPr>
            <w:r>
              <w:rPr>
                <w:rFonts w:ascii="Arial" w:cs="Arial" w:eastAsia="Arial" w:hAnsi="Arial"/>
                <w:sz w:val="14"/>
                <w:szCs w:val="14"/>
                <w:color w:val="auto"/>
              </w:rPr>
              <w:t>Gas processing costs</w:t>
            </w:r>
          </w:p>
        </w:tc>
        <w:tc>
          <w:tcPr>
            <w:tcW w:w="140" w:type="dxa"/>
            <w:vAlign w:val="bottom"/>
          </w:tcPr>
          <w:p>
            <w:pPr>
              <w:spacing w:after="0"/>
              <w:rPr>
                <w:sz w:val="16"/>
                <w:szCs w:val="16"/>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0.53</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0.67</w:t>
            </w:r>
          </w:p>
        </w:tc>
      </w:tr>
      <w:tr>
        <w:trPr>
          <w:trHeight w:val="189"/>
        </w:trPr>
        <w:tc>
          <w:tcPr>
            <w:tcW w:w="8280" w:type="dxa"/>
            <w:vAlign w:val="bottom"/>
          </w:tcPr>
          <w:p>
            <w:pPr>
              <w:spacing w:after="0" w:line="189" w:lineRule="exact"/>
              <w:rPr>
                <w:sz w:val="20"/>
                <w:szCs w:val="20"/>
                <w:color w:val="auto"/>
              </w:rPr>
            </w:pPr>
            <w:r>
              <w:rPr>
                <w:rFonts w:ascii="Arial" w:cs="Arial" w:eastAsia="Arial" w:hAnsi="Arial"/>
                <w:sz w:val="14"/>
                <w:szCs w:val="14"/>
                <w:color w:val="auto"/>
              </w:rPr>
              <w:t xml:space="preserve">Non-energy operating costs </w:t>
            </w:r>
            <w:r>
              <w:rPr>
                <w:rFonts w:ascii="Arial" w:cs="Arial" w:eastAsia="Arial" w:hAnsi="Arial"/>
                <w:sz w:val="18"/>
                <w:szCs w:val="18"/>
                <w:color w:val="auto"/>
                <w:vertAlign w:val="superscript"/>
              </w:rPr>
              <w:t>(b)</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13.10</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13.00</w:t>
            </w:r>
          </w:p>
        </w:tc>
      </w:tr>
      <w:tr>
        <w:trPr>
          <w:trHeight w:val="183"/>
        </w:trPr>
        <w:tc>
          <w:tcPr>
            <w:tcW w:w="8280" w:type="dxa"/>
            <w:vAlign w:val="bottom"/>
          </w:tcPr>
          <w:p>
            <w:pPr>
              <w:spacing w:after="0"/>
              <w:rPr>
                <w:sz w:val="20"/>
                <w:szCs w:val="20"/>
                <w:color w:val="auto"/>
              </w:rPr>
            </w:pPr>
            <w:r>
              <w:rPr>
                <w:rFonts w:ascii="Arial" w:cs="Arial" w:eastAsia="Arial" w:hAnsi="Arial"/>
                <w:sz w:val="14"/>
                <w:szCs w:val="14"/>
                <w:color w:val="auto"/>
              </w:rPr>
              <w:t>Operating costs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b w:val="1"/>
                <w:bCs w:val="1"/>
                <w:color w:val="auto"/>
              </w:rPr>
              <w:t>18.33</w:t>
            </w:r>
          </w:p>
        </w:tc>
        <w:tc>
          <w:tcPr>
            <w:tcW w:w="10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17.38</w:t>
            </w:r>
          </w:p>
        </w:tc>
      </w:tr>
      <w:tr>
        <w:trPr>
          <w:trHeight w:val="189"/>
        </w:trPr>
        <w:tc>
          <w:tcPr>
            <w:tcW w:w="8280" w:type="dxa"/>
            <w:vAlign w:val="bottom"/>
          </w:tcPr>
          <w:p>
            <w:pPr>
              <w:ind w:left="120"/>
              <w:spacing w:after="0"/>
              <w:rPr>
                <w:sz w:val="20"/>
                <w:szCs w:val="20"/>
                <w:color w:val="auto"/>
              </w:rPr>
            </w:pPr>
            <w:r>
              <w:rPr>
                <w:rFonts w:ascii="Arial" w:cs="Arial" w:eastAsia="Arial" w:hAnsi="Arial"/>
                <w:sz w:val="14"/>
                <w:szCs w:val="14"/>
                <w:color w:val="auto"/>
              </w:rPr>
              <w:t>Excess costs attributable to PSC-type contracts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w:t>
            </w:r>
          </w:p>
        </w:tc>
        <w:tc>
          <w:tcPr>
            <w:tcW w:w="10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(0.90)</w:t>
            </w:r>
          </w:p>
        </w:tc>
      </w:tr>
      <w:tr>
        <w:trPr>
          <w:trHeight w:val="223"/>
        </w:trPr>
        <w:tc>
          <w:tcPr>
            <w:tcW w:w="8280" w:type="dxa"/>
            <w:vAlign w:val="bottom"/>
          </w:tcPr>
          <w:p>
            <w:pPr>
              <w:spacing w:after="0"/>
              <w:rPr>
                <w:sz w:val="20"/>
                <w:szCs w:val="20"/>
                <w:color w:val="auto"/>
              </w:rPr>
            </w:pPr>
            <w:r>
              <w:rPr>
                <w:rFonts w:ascii="Arial" w:cs="Arial" w:eastAsia="Arial" w:hAnsi="Arial"/>
                <w:sz w:val="14"/>
                <w:szCs w:val="14"/>
                <w:color w:val="auto"/>
              </w:rPr>
              <w:t>Operating costs, excluding effects of PSC-type contracts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16.72</w:t>
            </w:r>
          </w:p>
        </w:tc>
        <w:tc>
          <w:tcPr>
            <w:tcW w:w="10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16.48</w:t>
            </w:r>
          </w:p>
        </w:tc>
      </w:tr>
    </w:tbl>
    <w:p>
      <w:pPr>
        <w:spacing w:after="0" w:line="207" w:lineRule="exact"/>
        <w:rPr>
          <w:sz w:val="20"/>
          <w:szCs w:val="20"/>
          <w:color w:val="auto"/>
        </w:rPr>
      </w:pPr>
    </w:p>
    <w:p>
      <w:pPr>
        <w:ind w:left="240" w:hanging="214"/>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Energy operating costs include purchases of fuel gas and electricity used in our operations and internal costs to produce electricity used in our fields.</w:t>
      </w:r>
    </w:p>
    <w:p>
      <w:pPr>
        <w:spacing w:after="0" w:line="28" w:lineRule="exact"/>
        <w:rPr>
          <w:rFonts w:ascii="Arial" w:cs="Arial" w:eastAsia="Arial" w:hAnsi="Arial"/>
          <w:sz w:val="14"/>
          <w:szCs w:val="14"/>
          <w:color w:val="auto"/>
        </w:rPr>
      </w:pPr>
    </w:p>
    <w:p>
      <w:pPr>
        <w:ind w:left="240" w:hanging="214"/>
        <w:spacing w:after="0"/>
        <w:tabs>
          <w:tab w:leader="none" w:pos="2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 Non-energy operating costs equal total operating costs less energy operating costs and gas processing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100"/>
          </w:cols>
          <w:pgMar w:left="320" w:top="1206" w:right="479" w:bottom="1440" w:gutter="0" w:footer="0" w:header="0"/>
        </w:sectPr>
      </w:pPr>
    </w:p>
    <w:bookmarkStart w:id="18" w:name="page19"/>
    <w:bookmarkEnd w:id="18"/>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7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ind w:left="580"/>
              <w:spacing w:after="0"/>
              <w:rPr>
                <w:sz w:val="20"/>
                <w:szCs w:val="20"/>
                <w:color w:val="auto"/>
              </w:rPr>
            </w:pPr>
            <w:r>
              <w:rPr>
                <w:rFonts w:ascii="Arial" w:cs="Arial" w:eastAsia="Arial" w:hAnsi="Arial"/>
                <w:sz w:val="14"/>
                <w:szCs w:val="14"/>
                <w:b w:val="1"/>
                <w:bCs w:val="1"/>
                <w:color w:val="auto"/>
              </w:rPr>
              <w:t>Attachment 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Successor</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Net</w:t>
            </w:r>
          </w:p>
        </w:tc>
        <w:tc>
          <w:tcPr>
            <w:tcW w:w="1100" w:type="dxa"/>
            <w:vAlign w:val="bottom"/>
          </w:tcPr>
          <w:p>
            <w:pPr>
              <w:jc w:val="center"/>
              <w:ind w:left="248"/>
              <w:spacing w:after="0"/>
              <w:rPr>
                <w:sz w:val="20"/>
                <w:szCs w:val="20"/>
                <w:color w:val="auto"/>
              </w:rPr>
            </w:pPr>
            <w:r>
              <w:rPr>
                <w:rFonts w:ascii="Arial" w:cs="Arial" w:eastAsia="Arial" w:hAnsi="Arial"/>
                <w:sz w:val="14"/>
                <w:szCs w:val="14"/>
                <w:b w:val="1"/>
                <w:bCs w:val="1"/>
                <w:color w:val="auto"/>
              </w:rPr>
              <w:t>1st Quarter</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1st Quarter</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Pr>
          <w:p>
            <w:pPr>
              <w:spacing w:after="0"/>
              <w:rPr>
                <w:sz w:val="16"/>
                <w:szCs w:val="16"/>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38</w:t>
            </w:r>
          </w:p>
        </w:tc>
        <w:tc>
          <w:tcPr>
            <w:tcW w:w="2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60</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77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12</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135</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160</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8060" w:type="dxa"/>
            <w:vAlign w:val="bottom"/>
            <w:gridSpan w:val="2"/>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99</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7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Borders>
              <w:bottom w:val="single" w:sz="8" w:color="auto"/>
            </w:tcBorders>
          </w:tcPr>
          <w:p>
            <w:pPr>
              <w:jc w:val="center"/>
              <w:ind w:left="248"/>
              <w:spacing w:after="0"/>
              <w:rPr>
                <w:sz w:val="20"/>
                <w:szCs w:val="20"/>
                <w:color w:val="auto"/>
              </w:rPr>
            </w:pPr>
            <w:r>
              <w:rPr>
                <w:rFonts w:ascii="Arial" w:cs="Arial" w:eastAsia="Arial" w:hAnsi="Arial"/>
                <w:sz w:val="14"/>
                <w:szCs w:val="14"/>
                <w:b w:val="1"/>
                <w:bCs w:val="1"/>
                <w:color w:val="auto"/>
              </w:rPr>
              <w:t>Successor</w:t>
            </w:r>
          </w:p>
        </w:tc>
        <w:tc>
          <w:tcPr>
            <w:tcW w:w="32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Predecessor</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100" w:type="dxa"/>
            <w:vAlign w:val="bottom"/>
          </w:tcPr>
          <w:p>
            <w:pPr>
              <w:jc w:val="center"/>
              <w:ind w:left="248"/>
              <w:spacing w:after="0"/>
              <w:rPr>
                <w:sz w:val="20"/>
                <w:szCs w:val="20"/>
                <w:color w:val="auto"/>
              </w:rPr>
            </w:pPr>
            <w:r>
              <w:rPr>
                <w:rFonts w:ascii="Arial" w:cs="Arial" w:eastAsia="Arial" w:hAnsi="Arial"/>
                <w:sz w:val="14"/>
                <w:szCs w:val="14"/>
                <w:b w:val="1"/>
                <w:bCs w:val="1"/>
                <w:color w:val="auto"/>
              </w:rPr>
              <w:t>1st Quarter</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1st Quarter</w:t>
            </w:r>
          </w:p>
        </w:tc>
        <w:tc>
          <w:tcPr>
            <w:tcW w:w="0" w:type="dxa"/>
            <w:vAlign w:val="bottom"/>
          </w:tcPr>
          <w:p>
            <w:pPr>
              <w:spacing w:after="0"/>
              <w:rPr>
                <w:sz w:val="1"/>
                <w:szCs w:val="1"/>
                <w:color w:val="auto"/>
              </w:rPr>
            </w:pPr>
          </w:p>
        </w:tc>
      </w:tr>
      <w:tr>
        <w:trPr>
          <w:trHeight w:val="189"/>
        </w:trPr>
        <w:tc>
          <w:tcPr>
            <w:tcW w:w="7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Oil, NGLs and Natural Gas Production Per Day</w:t>
            </w:r>
          </w:p>
        </w:tc>
        <w:tc>
          <w:tcPr>
            <w:tcW w:w="280" w:type="dxa"/>
            <w:vAlign w:val="bottom"/>
          </w:tcPr>
          <w:p>
            <w:pPr>
              <w:spacing w:after="0"/>
              <w:rPr>
                <w:sz w:val="16"/>
                <w:szCs w:val="16"/>
                <w:color w:val="auto"/>
              </w:rPr>
            </w:pPr>
          </w:p>
        </w:tc>
        <w:tc>
          <w:tcPr>
            <w:tcW w:w="1100" w:type="dxa"/>
            <w:vAlign w:val="bottom"/>
            <w:tcBorders>
              <w:bottom w:val="single" w:sz="8" w:color="auto"/>
            </w:tcBorders>
          </w:tcPr>
          <w:p>
            <w:pPr>
              <w:jc w:val="center"/>
              <w:ind w:left="228"/>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Pr>
          <w:p>
            <w:pPr>
              <w:spacing w:after="0"/>
              <w:rPr>
                <w:sz w:val="16"/>
                <w:szCs w:val="16"/>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44</w:t>
            </w:r>
          </w:p>
        </w:tc>
        <w:tc>
          <w:tcPr>
            <w:tcW w:w="260" w:type="dxa"/>
            <w:vAlign w:val="bottom"/>
          </w:tcPr>
          <w:p>
            <w:pPr>
              <w:spacing w:after="0"/>
              <w:rPr>
                <w:sz w:val="16"/>
                <w:szCs w:val="16"/>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27</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74</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90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13</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1"/>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4"/>
              </w:rPr>
              <w:t>144</w:t>
            </w:r>
          </w:p>
        </w:tc>
        <w:tc>
          <w:tcPr>
            <w:tcW w:w="260" w:type="dxa"/>
            <w:vAlign w:val="bottom"/>
          </w:tcPr>
          <w:p>
            <w:pPr>
              <w:spacing w:after="0"/>
              <w:rPr>
                <w:sz w:val="24"/>
                <w:szCs w:val="24"/>
                <w:color w:val="auto"/>
              </w:rPr>
            </w:pPr>
          </w:p>
        </w:tc>
        <w:tc>
          <w:tcPr>
            <w:tcW w:w="1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162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24</w:t>
            </w:r>
          </w:p>
        </w:tc>
        <w:tc>
          <w:tcPr>
            <w:tcW w:w="260" w:type="dxa"/>
            <w:vAlign w:val="bottom"/>
          </w:tcPr>
          <w:p>
            <w:pPr>
              <w:spacing w:after="0"/>
              <w:rPr>
                <w:sz w:val="16"/>
                <w:szCs w:val="16"/>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6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ind w:right="8"/>
              <w:spacing w:after="0"/>
              <w:rPr>
                <w:sz w:val="20"/>
                <w:szCs w:val="20"/>
                <w:color w:val="auto"/>
              </w:rPr>
            </w:pPr>
            <w:r>
              <w:rPr>
                <w:rFonts w:ascii="Arial" w:cs="Arial" w:eastAsia="Arial" w:hAnsi="Arial"/>
                <w:sz w:val="14"/>
                <w:szCs w:val="14"/>
                <w:b w:val="1"/>
                <w:bCs w:val="1"/>
                <w:color w:val="auto"/>
                <w:w w:val="94"/>
              </w:rPr>
              <w:t>181</w:t>
            </w:r>
          </w:p>
        </w:tc>
        <w:tc>
          <w:tcPr>
            <w:tcW w:w="26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Arial" w:cs="Arial" w:eastAsia="Arial" w:hAnsi="Arial"/>
                <w:sz w:val="14"/>
                <w:szCs w:val="14"/>
                <w:b w:val="1"/>
                <w:bCs w:val="1"/>
                <w:color w:val="auto"/>
              </w:rPr>
              <w:t>208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7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06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10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w w:val="94"/>
              </w:rPr>
              <w:t>117</w:t>
            </w:r>
          </w:p>
        </w:tc>
        <w:tc>
          <w:tcPr>
            <w:tcW w:w="260" w:type="dxa"/>
            <w:vAlign w:val="bottom"/>
          </w:tcPr>
          <w:p>
            <w:pPr>
              <w:spacing w:after="0"/>
              <w:rPr>
                <w:sz w:val="15"/>
                <w:szCs w:val="15"/>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right="20"/>
        <w:spacing w:after="0" w:line="249"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40"/>
          </w:cols>
          <w:pgMar w:left="320" w:top="1440" w:right="339" w:bottom="1440" w:gutter="0" w:footer="0" w:header="0"/>
          <w:type w:val="continuous"/>
        </w:sectPr>
      </w:pPr>
    </w:p>
    <w:bookmarkStart w:id="19" w:name="page20"/>
    <w:bookmarkEnd w:id="19"/>
    <w:tbl>
      <w:tblPr>
        <w:tblLayout w:type="fixed"/>
        <w:tblInd w:w="0" w:type="dxa"/>
        <w:tblCellMar>
          <w:top w:w="0" w:type="dxa"/>
          <w:left w:w="0" w:type="dxa"/>
          <w:bottom w:w="0" w:type="dxa"/>
          <w:right w:w="0" w:type="dxa"/>
        </w:tblCellMar>
      </w:tblPr>
      <w:tr>
        <w:trPr>
          <w:trHeight w:val="189"/>
        </w:trPr>
        <w:tc>
          <w:tcPr>
            <w:tcW w:w="77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c>
          <w:tcPr>
            <w:tcW w:w="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7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88"/>
              <w:spacing w:after="0"/>
              <w:rPr>
                <w:sz w:val="20"/>
                <w:szCs w:val="20"/>
                <w:color w:val="auto"/>
              </w:rPr>
            </w:pPr>
            <w:r>
              <w:rPr>
                <w:rFonts w:ascii="Arial" w:cs="Arial" w:eastAsia="Arial" w:hAnsi="Arial"/>
                <w:sz w:val="14"/>
                <w:szCs w:val="14"/>
                <w:b w:val="1"/>
                <w:bCs w:val="1"/>
                <w:color w:val="auto"/>
              </w:rPr>
              <w:t>Successor</w:t>
            </w:r>
          </w:p>
        </w:tc>
        <w:tc>
          <w:tcPr>
            <w:tcW w:w="220" w:type="dxa"/>
            <w:vAlign w:val="bottom"/>
            <w:tcBorders>
              <w:right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28"/>
              <w:spacing w:after="0"/>
              <w:rPr>
                <w:sz w:val="20"/>
                <w:szCs w:val="20"/>
                <w:color w:val="auto"/>
              </w:rPr>
            </w:pPr>
            <w:r>
              <w:rPr>
                <w:rFonts w:ascii="Arial" w:cs="Arial" w:eastAsia="Arial" w:hAnsi="Arial"/>
                <w:sz w:val="14"/>
                <w:szCs w:val="14"/>
                <w:b w:val="1"/>
                <w:bCs w:val="1"/>
                <w:color w:val="auto"/>
              </w:rPr>
              <w:t>Predecessor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7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40" w:type="dxa"/>
            <w:vAlign w:val="bottom"/>
            <w:tcBorders>
              <w:right w:val="single" w:sz="8" w:color="auto"/>
            </w:tcBorders>
            <w:gridSpan w:val="2"/>
          </w:tcPr>
          <w:p>
            <w:pPr>
              <w:jc w:val="center"/>
              <w:ind w:right="460"/>
              <w:spacing w:after="0"/>
              <w:rPr>
                <w:sz w:val="20"/>
                <w:szCs w:val="20"/>
                <w:color w:val="auto"/>
              </w:rPr>
            </w:pPr>
            <w:r>
              <w:rPr>
                <w:rFonts w:ascii="Arial" w:cs="Arial" w:eastAsia="Arial" w:hAnsi="Arial"/>
                <w:sz w:val="14"/>
                <w:szCs w:val="14"/>
                <w:b w:val="1"/>
                <w:bCs w:val="1"/>
                <w:color w:val="auto"/>
              </w:rPr>
              <w:t>1st Quarter</w:t>
            </w: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center"/>
              <w:ind w:right="128"/>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7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Realized Prices</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148"/>
              <w:spacing w:after="0"/>
              <w:rPr>
                <w:sz w:val="20"/>
                <w:szCs w:val="20"/>
                <w:color w:val="auto"/>
              </w:rPr>
            </w:pPr>
            <w:r>
              <w:rPr>
                <w:rFonts w:ascii="Arial" w:cs="Arial" w:eastAsia="Arial" w:hAnsi="Arial"/>
                <w:sz w:val="14"/>
                <w:szCs w:val="14"/>
                <w:b w:val="1"/>
                <w:bCs w:val="1"/>
                <w:color w:val="auto"/>
              </w:rPr>
              <w:t>2020</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7780" w:type="dxa"/>
            <w:vAlign w:val="bottom"/>
            <w:vMerge w:val="continue"/>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53.73</w:t>
            </w:r>
          </w:p>
        </w:tc>
        <w:tc>
          <w:tcPr>
            <w:tcW w:w="2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55.50</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60"/>
              <w:spacing w:after="0"/>
              <w:rPr>
                <w:sz w:val="20"/>
                <w:szCs w:val="20"/>
                <w:color w:val="auto"/>
              </w:rPr>
            </w:pPr>
            <w:r>
              <w:rPr>
                <w:rFonts w:ascii="Arial" w:cs="Arial" w:eastAsia="Arial" w:hAnsi="Arial"/>
                <w:sz w:val="14"/>
                <w:szCs w:val="14"/>
                <w:color w:val="auto"/>
              </w:rPr>
              <w:t>Oil with hedge ($/Bbl)</w:t>
            </w:r>
          </w:p>
        </w:tc>
        <w:tc>
          <w:tcPr>
            <w:tcW w:w="2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60"/>
              <w:spacing w:after="0"/>
              <w:rPr>
                <w:sz w:val="20"/>
                <w:szCs w:val="20"/>
                <w:color w:val="auto"/>
              </w:rPr>
            </w:pPr>
            <w:r>
              <w:rPr>
                <w:rFonts w:ascii="Arial" w:cs="Arial" w:eastAsia="Arial" w:hAnsi="Arial"/>
                <w:sz w:val="14"/>
                <w:szCs w:val="14"/>
                <w:color w:val="auto"/>
              </w:rPr>
              <w:t>Oil without hedge ($/Bbl)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60.81</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50.78</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Arial" w:cs="Arial" w:eastAsia="Arial" w:hAnsi="Arial"/>
                <w:sz w:val="14"/>
                <w:szCs w:val="14"/>
                <w:color w:val="auto"/>
              </w:rPr>
              <w:t>NGLs ($/Bbl)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48.77</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29.28</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780" w:type="dxa"/>
            <w:vAlign w:val="bottom"/>
          </w:tcPr>
          <w:p>
            <w:pPr>
              <w:ind w:left="60"/>
              <w:spacing w:after="0"/>
              <w:rPr>
                <w:sz w:val="20"/>
                <w:szCs w:val="20"/>
                <w:color w:val="auto"/>
              </w:rPr>
            </w:pPr>
            <w:r>
              <w:rPr>
                <w:rFonts w:ascii="Arial" w:cs="Arial" w:eastAsia="Arial" w:hAnsi="Arial"/>
                <w:sz w:val="14"/>
                <w:szCs w:val="14"/>
                <w:color w:val="auto"/>
              </w:rPr>
              <w:t>Natural gas ($/Mcf)</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3.29</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2.25</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61.10</w:t>
            </w:r>
          </w:p>
        </w:tc>
        <w:tc>
          <w:tcPr>
            <w:tcW w:w="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50.96</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60" w:type="dxa"/>
            <w:vAlign w:val="bottom"/>
            <w:vMerge w:val="continue"/>
          </w:tcPr>
          <w:p>
            <w:pPr>
              <w:spacing w:after="0"/>
              <w:rPr>
                <w:sz w:val="16"/>
                <w:szCs w:val="16"/>
                <w:color w:val="auto"/>
              </w:rPr>
            </w:pPr>
          </w:p>
        </w:tc>
        <w:tc>
          <w:tcPr>
            <w:tcW w:w="132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778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57.84</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46.17</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60"/>
              <w:spacing w:after="0"/>
              <w:rPr>
                <w:sz w:val="20"/>
                <w:szCs w:val="20"/>
                <w:color w:val="auto"/>
              </w:rPr>
            </w:pPr>
            <w:r>
              <w:rPr>
                <w:rFonts w:ascii="Arial" w:cs="Arial" w:eastAsia="Arial" w:hAnsi="Arial"/>
                <w:sz w:val="14"/>
                <w:szCs w:val="14"/>
                <w:color w:val="auto"/>
              </w:rPr>
              <w:t>NYMEX gas ($/MMBtu)</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320" w:type="dxa"/>
            <w:vAlign w:val="bottom"/>
          </w:tcPr>
          <w:p>
            <w:pPr>
              <w:jc w:val="right"/>
              <w:ind w:right="108"/>
              <w:spacing w:after="0"/>
              <w:rPr>
                <w:sz w:val="20"/>
                <w:szCs w:val="20"/>
                <w:color w:val="auto"/>
              </w:rPr>
            </w:pPr>
            <w:r>
              <w:rPr>
                <w:rFonts w:ascii="Arial" w:cs="Arial" w:eastAsia="Arial" w:hAnsi="Arial"/>
                <w:sz w:val="14"/>
                <w:szCs w:val="14"/>
                <w:b w:val="1"/>
                <w:bCs w:val="1"/>
                <w:color w:val="auto"/>
              </w:rPr>
              <w:t>2.72</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b w:val="1"/>
                <w:bCs w:val="1"/>
                <w:color w:val="auto"/>
              </w:rPr>
              <w:t>$</w:t>
            </w:r>
          </w:p>
        </w:tc>
        <w:tc>
          <w:tcPr>
            <w:tcW w:w="1220" w:type="dxa"/>
            <w:vAlign w:val="bottom"/>
          </w:tcPr>
          <w:p>
            <w:pPr>
              <w:jc w:val="right"/>
              <w:ind w:right="128"/>
              <w:spacing w:after="0"/>
              <w:rPr>
                <w:sz w:val="20"/>
                <w:szCs w:val="20"/>
                <w:color w:val="auto"/>
              </w:rPr>
            </w:pPr>
            <w:r>
              <w:rPr>
                <w:rFonts w:ascii="Arial" w:cs="Arial" w:eastAsia="Arial" w:hAnsi="Arial"/>
                <w:sz w:val="14"/>
                <w:szCs w:val="14"/>
                <w:b w:val="1"/>
                <w:bCs w:val="1"/>
                <w:color w:val="auto"/>
              </w:rPr>
              <w:t>2.05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9"/>
        </w:trPr>
        <w:tc>
          <w:tcPr>
            <w:tcW w:w="778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60" w:type="dxa"/>
            <w:vAlign w:val="bottom"/>
          </w:tcPr>
          <w:p>
            <w:pPr>
              <w:spacing w:after="0"/>
              <w:rPr>
                <w:sz w:val="24"/>
                <w:szCs w:val="24"/>
                <w:color w:val="auto"/>
              </w:rPr>
            </w:pPr>
          </w:p>
        </w:tc>
        <w:tc>
          <w:tcPr>
            <w:tcW w:w="13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88 %</w:t>
            </w:r>
          </w:p>
        </w:tc>
        <w:tc>
          <w:tcPr>
            <w:tcW w:w="220" w:type="dxa"/>
            <w:vAlign w:val="bottom"/>
            <w:tcBorders>
              <w:right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109 %</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780" w:type="dxa"/>
            <w:vAlign w:val="bottom"/>
          </w:tcPr>
          <w:p>
            <w:pPr>
              <w:ind w:left="60"/>
              <w:spacing w:after="0"/>
              <w:rPr>
                <w:sz w:val="20"/>
                <w:szCs w:val="20"/>
                <w:color w:val="auto"/>
              </w:rPr>
            </w:pPr>
            <w:r>
              <w:rPr>
                <w:rFonts w:ascii="Arial" w:cs="Arial" w:eastAsia="Arial" w:hAnsi="Arial"/>
                <w:sz w:val="14"/>
                <w:szCs w:val="14"/>
                <w:color w:val="auto"/>
              </w:rPr>
              <w:t>Oil with hedge as a percentage of Brent</w:t>
            </w:r>
          </w:p>
        </w:tc>
        <w:tc>
          <w:tcPr>
            <w:tcW w:w="26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60"/>
              <w:spacing w:after="0"/>
              <w:rPr>
                <w:sz w:val="20"/>
                <w:szCs w:val="20"/>
                <w:color w:val="auto"/>
              </w:rPr>
            </w:pPr>
            <w:r>
              <w:rPr>
                <w:rFonts w:ascii="Arial" w:cs="Arial" w:eastAsia="Arial" w:hAnsi="Arial"/>
                <w:sz w:val="14"/>
                <w:szCs w:val="14"/>
                <w:color w:val="auto"/>
              </w:rPr>
              <w:t>Oil without hedge as a percentage of Brent</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100 %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780" w:type="dxa"/>
            <w:vAlign w:val="bottom"/>
          </w:tcPr>
          <w:p>
            <w:pPr>
              <w:ind w:left="60"/>
              <w:spacing w:after="0"/>
              <w:rPr>
                <w:sz w:val="20"/>
                <w:szCs w:val="20"/>
                <w:color w:val="auto"/>
              </w:rPr>
            </w:pPr>
            <w:r>
              <w:rPr>
                <w:rFonts w:ascii="Arial" w:cs="Arial" w:eastAsia="Arial" w:hAnsi="Arial"/>
                <w:sz w:val="14"/>
                <w:szCs w:val="14"/>
                <w:color w:val="auto"/>
              </w:rPr>
              <w:t>Oil with hedge as a percentage of WTI</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93 %</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120 %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60"/>
              <w:spacing w:after="0"/>
              <w:rPr>
                <w:sz w:val="20"/>
                <w:szCs w:val="20"/>
                <w:color w:val="auto"/>
              </w:rPr>
            </w:pPr>
            <w:r>
              <w:rPr>
                <w:rFonts w:ascii="Arial" w:cs="Arial" w:eastAsia="Arial" w:hAnsi="Arial"/>
                <w:sz w:val="14"/>
                <w:szCs w:val="14"/>
                <w:color w:val="auto"/>
              </w:rPr>
              <w:t>Oil without hedge as a percentage of WTI</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105 %</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780" w:type="dxa"/>
            <w:vAlign w:val="bottom"/>
          </w:tcPr>
          <w:p>
            <w:pPr>
              <w:ind w:left="60"/>
              <w:spacing w:after="0"/>
              <w:rPr>
                <w:sz w:val="20"/>
                <w:szCs w:val="20"/>
                <w:color w:val="auto"/>
              </w:rPr>
            </w:pPr>
            <w:r>
              <w:rPr>
                <w:rFonts w:ascii="Arial" w:cs="Arial" w:eastAsia="Arial" w:hAnsi="Arial"/>
                <w:sz w:val="14"/>
                <w:szCs w:val="14"/>
                <w:color w:val="auto"/>
              </w:rPr>
              <w:t>NGLs as a percentage of Brent</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80 %</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57 %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7780" w:type="dxa"/>
            <w:vAlign w:val="bottom"/>
          </w:tcPr>
          <w:p>
            <w:pPr>
              <w:ind w:left="60"/>
              <w:spacing w:after="0"/>
              <w:rPr>
                <w:sz w:val="20"/>
                <w:szCs w:val="20"/>
                <w:color w:val="auto"/>
              </w:rPr>
            </w:pPr>
            <w:r>
              <w:rPr>
                <w:rFonts w:ascii="Arial" w:cs="Arial" w:eastAsia="Arial" w:hAnsi="Arial"/>
                <w:sz w:val="14"/>
                <w:szCs w:val="14"/>
                <w:color w:val="auto"/>
              </w:rPr>
              <w:t>NGLs as a percentage of WTI</w:t>
            </w:r>
          </w:p>
        </w:tc>
        <w:tc>
          <w:tcPr>
            <w:tcW w:w="2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84 %</w:t>
            </w:r>
          </w:p>
        </w:tc>
        <w:tc>
          <w:tcPr>
            <w:tcW w:w="22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2"/>
        </w:trPr>
        <w:tc>
          <w:tcPr>
            <w:tcW w:w="7780" w:type="dxa"/>
            <w:vAlign w:val="bottom"/>
          </w:tcPr>
          <w:p>
            <w:pPr>
              <w:ind w:left="60"/>
              <w:spacing w:after="0"/>
              <w:rPr>
                <w:sz w:val="20"/>
                <w:szCs w:val="20"/>
                <w:color w:val="auto"/>
              </w:rPr>
            </w:pPr>
            <w:r>
              <w:rPr>
                <w:rFonts w:ascii="Arial" w:cs="Arial" w:eastAsia="Arial" w:hAnsi="Arial"/>
                <w:sz w:val="14"/>
                <w:szCs w:val="14"/>
                <w:color w:val="auto"/>
              </w:rPr>
              <w:t>Natural gas as a percentage of NYMEX</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4"/>
                <w:szCs w:val="14"/>
                <w:b w:val="1"/>
                <w:bCs w:val="1"/>
                <w:color w:val="auto"/>
              </w:rPr>
              <w:t>121 %</w:t>
            </w:r>
          </w:p>
        </w:tc>
        <w:tc>
          <w:tcPr>
            <w:tcW w:w="22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c>
          <w:tcPr>
            <w:tcW w:w="1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152"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9"/>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1ST QUARTER 2021 DRILLING ACTIVITY</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Sacramento</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20" w:type="dxa"/>
            <w:vAlign w:val="bottom"/>
            <w:gridSpan w:val="2"/>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1440" w:type="dxa"/>
            <w:vAlign w:val="bottom"/>
            <w:gridSpan w:val="2"/>
            <w:vMerge w:val="continue"/>
          </w:tcPr>
          <w:p>
            <w:pPr>
              <w:spacing w:after="0"/>
              <w:rPr>
                <w:sz w:val="16"/>
                <w:szCs w:val="16"/>
                <w:color w:val="auto"/>
              </w:rPr>
            </w:pPr>
          </w:p>
        </w:tc>
        <w:tc>
          <w:tcPr>
            <w:tcW w:w="1560" w:type="dxa"/>
            <w:vAlign w:val="bottom"/>
            <w:gridSpan w:val="2"/>
            <w:vMerge w:val="continue"/>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27"/>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8"/>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Unconventional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line="18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00" w:type="dxa"/>
            <w:vAlign w:val="bottom"/>
          </w:tcPr>
          <w:p>
            <w:pPr>
              <w:jc w:val="center"/>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21"/>
        </w:trPr>
        <w:tc>
          <w:tcPr>
            <w:tcW w:w="3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8" w:lineRule="exact"/>
        <w:rPr>
          <w:sz w:val="20"/>
          <w:szCs w:val="20"/>
          <w:color w:val="auto"/>
        </w:rPr>
      </w:pPr>
    </w:p>
    <w:p>
      <w:pPr>
        <w:ind w:left="160" w:hanging="154"/>
        <w:spacing w:after="0"/>
        <w:tabs>
          <w:tab w:leader="none" w:pos="160" w:val="left"/>
        </w:tabs>
        <w:numPr>
          <w:ilvl w:val="0"/>
          <w:numId w:val="12"/>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180"/>
          </w:cols>
          <w:pgMar w:left="360" w:top="1152"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89"/>
        </w:trPr>
        <w:tc>
          <w:tcPr>
            <w:tcW w:w="3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0"/>
        </w:trPr>
        <w:tc>
          <w:tcPr>
            <w:tcW w:w="4140" w:type="dxa"/>
            <w:vAlign w:val="bottom"/>
            <w:tcBorders>
              <w:bottom w:val="single" w:sz="8" w:color="auto"/>
            </w:tcBorders>
            <w:gridSpan w:val="2"/>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4"/>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CRUDE OIL HEDGES AS OF APRIL 30, 2021</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January -</w:t>
            </w:r>
          </w:p>
        </w:tc>
        <w:tc>
          <w:tcPr>
            <w:tcW w:w="0" w:type="dxa"/>
            <w:vAlign w:val="bottom"/>
          </w:tcPr>
          <w:p>
            <w:pPr>
              <w:spacing w:after="0"/>
              <w:rPr>
                <w:sz w:val="1"/>
                <w:szCs w:val="1"/>
                <w:color w:val="auto"/>
              </w:rPr>
            </w:pPr>
          </w:p>
        </w:tc>
      </w:tr>
      <w:tr>
        <w:trPr>
          <w:trHeight w:val="188"/>
        </w:trPr>
        <w:tc>
          <w:tcPr>
            <w:tcW w:w="3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2021</w:t>
            </w: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Q3 2021</w:t>
            </w:r>
          </w:p>
        </w:tc>
        <w:tc>
          <w:tcPr>
            <w:tcW w:w="8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2021</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1H 2022</w:t>
            </w:r>
          </w:p>
        </w:tc>
        <w:tc>
          <w:tcPr>
            <w:tcW w:w="100" w:type="dxa"/>
            <w:vAlign w:val="bottom"/>
          </w:tcPr>
          <w:p>
            <w:pPr>
              <w:spacing w:after="0"/>
              <w:rPr>
                <w:sz w:val="16"/>
                <w:szCs w:val="16"/>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2H 2022</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October 2023</w:t>
            </w:r>
          </w:p>
        </w:tc>
        <w:tc>
          <w:tcPr>
            <w:tcW w:w="0" w:type="dxa"/>
            <w:vAlign w:val="bottom"/>
          </w:tcPr>
          <w:p>
            <w:pPr>
              <w:spacing w:after="0"/>
              <w:rPr>
                <w:sz w:val="1"/>
                <w:szCs w:val="1"/>
                <w:color w:val="auto"/>
              </w:rPr>
            </w:pPr>
          </w:p>
        </w:tc>
      </w:tr>
      <w:tr>
        <w:trPr>
          <w:trHeight w:val="427"/>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rPr>
              <w:t>33,537</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36,688</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37,037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33,842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27,773</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17,758</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rPr>
              <w:t>$48.73</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$50.47</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$60.75</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$60.00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$58.62</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$58.01</w:t>
            </w:r>
          </w:p>
        </w:tc>
        <w:tc>
          <w:tcPr>
            <w:tcW w:w="0" w:type="dxa"/>
            <w:vAlign w:val="bottom"/>
          </w:tcPr>
          <w:p>
            <w:pPr>
              <w:spacing w:after="0"/>
              <w:rPr>
                <w:sz w:val="1"/>
                <w:szCs w:val="1"/>
                <w:color w:val="auto"/>
              </w:rPr>
            </w:pPr>
          </w:p>
        </w:tc>
      </w:tr>
      <w:tr>
        <w:trPr>
          <w:trHeight w:val="446"/>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rPr>
              <w:t>37,872</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36,943</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35,820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33,842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27,773</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17,758</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$40.18</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$40.19</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$40.00</w:t>
            </w:r>
          </w:p>
        </w:tc>
        <w:tc>
          <w:tcPr>
            <w:tcW w:w="0" w:type="dxa"/>
            <w:vAlign w:val="bottom"/>
          </w:tcPr>
          <w:p>
            <w:pPr>
              <w:spacing w:after="0"/>
              <w:rPr>
                <w:sz w:val="1"/>
                <w:szCs w:val="1"/>
                <w:color w:val="auto"/>
              </w:rPr>
            </w:pPr>
          </w:p>
        </w:tc>
      </w:tr>
      <w:tr>
        <w:trPr>
          <w:trHeight w:val="446"/>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rPr>
              <w:t>15,149</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14,647</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14,193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3,416</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2,674</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rPr>
              <w:t>$31.41</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$30.00</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$32.00</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445"/>
        </w:trPr>
        <w:tc>
          <w:tcPr>
            <w:tcW w:w="414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Barrels per day</w:t>
            </w:r>
          </w:p>
        </w:tc>
        <w:tc>
          <w:tcPr>
            <w:tcW w:w="1020" w:type="dxa"/>
            <w:vAlign w:val="bottom"/>
          </w:tcPr>
          <w:p>
            <w:pPr>
              <w:jc w:val="center"/>
              <w:spacing w:after="0"/>
              <w:rPr>
                <w:sz w:val="20"/>
                <w:szCs w:val="20"/>
                <w:color w:val="auto"/>
              </w:rPr>
            </w:pPr>
            <w:r>
              <w:rPr>
                <w:rFonts w:ascii="Arial" w:cs="Arial" w:eastAsia="Arial" w:hAnsi="Arial"/>
                <w:sz w:val="14"/>
                <w:szCs w:val="14"/>
                <w:color w:val="auto"/>
              </w:rPr>
              <w:t>9,639</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10,063</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10,922</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7,763</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6,386</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5,919</w:t>
            </w:r>
          </w:p>
        </w:tc>
        <w:tc>
          <w:tcPr>
            <w:tcW w:w="0" w:type="dxa"/>
            <w:vAlign w:val="bottom"/>
          </w:tcPr>
          <w:p>
            <w:pPr>
              <w:spacing w:after="0"/>
              <w:rPr>
                <w:sz w:val="1"/>
                <w:szCs w:val="1"/>
                <w:color w:val="auto"/>
              </w:rPr>
            </w:pPr>
          </w:p>
        </w:tc>
      </w:tr>
      <w:tr>
        <w:trPr>
          <w:trHeight w:val="189"/>
        </w:trPr>
        <w:tc>
          <w:tcPr>
            <w:tcW w:w="4140" w:type="dxa"/>
            <w:vAlign w:val="bottom"/>
            <w:gridSpan w:val="2"/>
          </w:tcPr>
          <w:p>
            <w:pPr>
              <w:ind w:left="140"/>
              <w:spacing w:after="0"/>
              <w:rPr>
                <w:sz w:val="20"/>
                <w:szCs w:val="20"/>
                <w:color w:val="auto"/>
              </w:rPr>
            </w:pPr>
            <w:r>
              <w:rPr>
                <w:rFonts w:ascii="Arial" w:cs="Arial" w:eastAsia="Arial" w:hAnsi="Arial"/>
                <w:sz w:val="14"/>
                <w:szCs w:val="14"/>
                <w:color w:val="auto"/>
              </w:rPr>
              <w:t>Weighted-average Brent price per barrel</w:t>
            </w:r>
          </w:p>
        </w:tc>
        <w:tc>
          <w:tcPr>
            <w:tcW w:w="1020" w:type="dxa"/>
            <w:vAlign w:val="bottom"/>
          </w:tcPr>
          <w:p>
            <w:pPr>
              <w:jc w:val="center"/>
              <w:spacing w:after="0"/>
              <w:rPr>
                <w:sz w:val="20"/>
                <w:szCs w:val="20"/>
                <w:color w:val="auto"/>
              </w:rPr>
            </w:pPr>
            <w:r>
              <w:rPr>
                <w:rFonts w:ascii="Arial" w:cs="Arial" w:eastAsia="Arial" w:hAnsi="Arial"/>
                <w:sz w:val="14"/>
                <w:szCs w:val="14"/>
                <w:color w:val="auto"/>
              </w:rPr>
              <w:t>$46.35</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$49.09</w:t>
            </w:r>
          </w:p>
        </w:tc>
        <w:tc>
          <w:tcPr>
            <w:tcW w:w="8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$51.11</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$48.17</w:t>
            </w:r>
          </w:p>
        </w:tc>
        <w:tc>
          <w:tcPr>
            <w:tcW w:w="10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rPr>
              <w:t>$46.34</w:t>
            </w:r>
          </w:p>
        </w:tc>
        <w:tc>
          <w:tcPr>
            <w:tcW w:w="100" w:type="dxa"/>
            <w:vAlign w:val="bottom"/>
          </w:tcPr>
          <w:p>
            <w:pPr>
              <w:spacing w:after="0"/>
              <w:rPr>
                <w:sz w:val="16"/>
                <w:szCs w:val="16"/>
                <w:color w:val="auto"/>
              </w:rPr>
            </w:pPr>
          </w:p>
        </w:tc>
        <w:tc>
          <w:tcPr>
            <w:tcW w:w="1420" w:type="dxa"/>
            <w:vAlign w:val="bottom"/>
          </w:tcPr>
          <w:p>
            <w:pPr>
              <w:jc w:val="center"/>
              <w:spacing w:after="0"/>
              <w:rPr>
                <w:sz w:val="20"/>
                <w:szCs w:val="20"/>
                <w:color w:val="auto"/>
              </w:rPr>
            </w:pPr>
            <w:r>
              <w:rPr>
                <w:rFonts w:ascii="Arial" w:cs="Arial" w:eastAsia="Arial" w:hAnsi="Arial"/>
                <w:sz w:val="14"/>
                <w:szCs w:val="14"/>
                <w:color w:val="auto"/>
              </w:rPr>
              <w:t>$47.57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40"/>
          </w:cols>
          <w:pgMar w:left="320" w:top="1301" w:right="339" w:bottom="1440" w:gutter="0" w:footer="0" w:header="0"/>
        </w:sectPr>
      </w:pPr>
    </w:p>
    <w:bookmarkStart w:id="22" w:name="page23"/>
    <w:bookmarkEnd w:id="22"/>
    <w:p>
      <w:pPr>
        <w:spacing w:after="0" w:line="200" w:lineRule="exact"/>
        <w:rPr>
          <w:sz w:val="20"/>
          <w:szCs w:val="20"/>
          <w:color w:val="auto"/>
        </w:rPr>
      </w:pPr>
    </w:p>
    <w:p>
      <w:pPr>
        <w:spacing w:after="0" w:line="363" w:lineRule="exact"/>
        <w:rPr>
          <w:sz w:val="20"/>
          <w:szCs w:val="20"/>
          <w:color w:val="auto"/>
        </w:rPr>
      </w:pPr>
    </w:p>
    <w:p>
      <w:pPr>
        <w:ind w:left="10320"/>
        <w:spacing w:after="0"/>
        <w:rPr>
          <w:sz w:val="20"/>
          <w:szCs w:val="20"/>
          <w:color w:val="auto"/>
        </w:rPr>
      </w:pPr>
      <w:r>
        <w:rPr>
          <w:rFonts w:ascii="Arial" w:cs="Arial" w:eastAsia="Arial" w:hAnsi="Arial"/>
          <w:sz w:val="14"/>
          <w:szCs w:val="14"/>
          <w:b w:val="1"/>
          <w:bCs w:val="1"/>
          <w:color w:val="auto"/>
        </w:rPr>
        <w:t>Attachment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43180</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6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2021E TOTAL YEAR GUIDANCE</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28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16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Total Year 2021E</w:t>
            </w:r>
          </w:p>
        </w:tc>
      </w:tr>
      <w:tr>
        <w:trPr>
          <w:trHeight w:val="616"/>
        </w:trPr>
        <w:tc>
          <w:tcPr>
            <w:tcW w:w="9600" w:type="dxa"/>
            <w:vAlign w:val="bottom"/>
            <w:gridSpan w:val="2"/>
          </w:tcPr>
          <w:p>
            <w:pPr>
              <w:ind w:left="140"/>
              <w:spacing w:after="0"/>
              <w:rPr>
                <w:sz w:val="20"/>
                <w:szCs w:val="20"/>
                <w:color w:val="auto"/>
              </w:rPr>
            </w:pPr>
            <w:r>
              <w:rPr>
                <w:rFonts w:ascii="Arial" w:cs="Arial" w:eastAsia="Arial" w:hAnsi="Arial"/>
                <w:sz w:val="14"/>
                <w:szCs w:val="14"/>
                <w:color w:val="auto"/>
              </w:rPr>
              <w:t>Total Production (Mboe/d)</w:t>
            </w:r>
          </w:p>
        </w:tc>
        <w:tc>
          <w:tcPr>
            <w:tcW w:w="780" w:type="dxa"/>
            <w:vAlign w:val="bottom"/>
          </w:tcPr>
          <w:p>
            <w:pPr>
              <w:jc w:val="right"/>
              <w:spacing w:after="0"/>
              <w:rPr>
                <w:sz w:val="20"/>
                <w:szCs w:val="20"/>
                <w:color w:val="auto"/>
              </w:rPr>
            </w:pPr>
            <w:r>
              <w:rPr>
                <w:rFonts w:ascii="Arial" w:cs="Arial" w:eastAsia="Arial" w:hAnsi="Arial"/>
                <w:sz w:val="14"/>
                <w:szCs w:val="14"/>
                <w:color w:val="auto"/>
              </w:rPr>
              <w:t>96</w:t>
            </w:r>
          </w:p>
        </w:tc>
        <w:tc>
          <w:tcPr>
            <w:tcW w:w="860" w:type="dxa"/>
            <w:vAlign w:val="bottom"/>
          </w:tcPr>
          <w:p>
            <w:pPr>
              <w:ind w:left="20"/>
              <w:spacing w:after="0"/>
              <w:rPr>
                <w:sz w:val="20"/>
                <w:szCs w:val="20"/>
                <w:color w:val="auto"/>
              </w:rPr>
            </w:pPr>
            <w:r>
              <w:rPr>
                <w:rFonts w:ascii="Arial" w:cs="Arial" w:eastAsia="Arial" w:hAnsi="Arial"/>
                <w:sz w:val="14"/>
                <w:szCs w:val="14"/>
                <w:color w:val="auto"/>
              </w:rPr>
              <w:t>- 99</w:t>
            </w:r>
          </w:p>
        </w:tc>
      </w:tr>
      <w:tr>
        <w:trPr>
          <w:trHeight w:val="189"/>
        </w:trPr>
        <w:tc>
          <w:tcPr>
            <w:tcW w:w="9600" w:type="dxa"/>
            <w:vAlign w:val="bottom"/>
            <w:gridSpan w:val="2"/>
          </w:tcPr>
          <w:p>
            <w:pPr>
              <w:ind w:left="140"/>
              <w:spacing w:after="0"/>
              <w:rPr>
                <w:sz w:val="20"/>
                <w:szCs w:val="20"/>
                <w:color w:val="auto"/>
              </w:rPr>
            </w:pPr>
            <w:r>
              <w:rPr>
                <w:rFonts w:ascii="Arial" w:cs="Arial" w:eastAsia="Arial" w:hAnsi="Arial"/>
                <w:sz w:val="14"/>
                <w:szCs w:val="14"/>
                <w:color w:val="auto"/>
              </w:rPr>
              <w:t>Oil Production (Mbo/d)</w:t>
            </w:r>
          </w:p>
        </w:tc>
        <w:tc>
          <w:tcPr>
            <w:tcW w:w="780" w:type="dxa"/>
            <w:vAlign w:val="bottom"/>
          </w:tcPr>
          <w:p>
            <w:pPr>
              <w:jc w:val="right"/>
              <w:spacing w:after="0"/>
              <w:rPr>
                <w:sz w:val="20"/>
                <w:szCs w:val="20"/>
                <w:color w:val="auto"/>
              </w:rPr>
            </w:pPr>
            <w:r>
              <w:rPr>
                <w:rFonts w:ascii="Arial" w:cs="Arial" w:eastAsia="Arial" w:hAnsi="Arial"/>
                <w:sz w:val="14"/>
                <w:szCs w:val="14"/>
                <w:color w:val="auto"/>
              </w:rPr>
              <w:t>60</w:t>
            </w:r>
          </w:p>
        </w:tc>
        <w:tc>
          <w:tcPr>
            <w:tcW w:w="860" w:type="dxa"/>
            <w:vAlign w:val="bottom"/>
          </w:tcPr>
          <w:p>
            <w:pPr>
              <w:ind w:left="20"/>
              <w:spacing w:after="0"/>
              <w:rPr>
                <w:sz w:val="20"/>
                <w:szCs w:val="20"/>
                <w:color w:val="auto"/>
              </w:rPr>
            </w:pPr>
            <w:r>
              <w:rPr>
                <w:rFonts w:ascii="Arial" w:cs="Arial" w:eastAsia="Arial" w:hAnsi="Arial"/>
                <w:sz w:val="14"/>
                <w:szCs w:val="14"/>
                <w:color w:val="auto"/>
              </w:rPr>
              <w:t>- 62</w:t>
            </w:r>
          </w:p>
        </w:tc>
      </w:tr>
      <w:tr>
        <w:trPr>
          <w:trHeight w:val="189"/>
        </w:trPr>
        <w:tc>
          <w:tcPr>
            <w:tcW w:w="960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$615</w:t>
            </w:r>
          </w:p>
        </w:tc>
        <w:tc>
          <w:tcPr>
            <w:tcW w:w="860" w:type="dxa"/>
            <w:vAlign w:val="bottom"/>
          </w:tcPr>
          <w:p>
            <w:pPr>
              <w:ind w:left="20"/>
              <w:spacing w:after="0"/>
              <w:rPr>
                <w:sz w:val="20"/>
                <w:szCs w:val="20"/>
                <w:color w:val="auto"/>
              </w:rPr>
            </w:pPr>
            <w:r>
              <w:rPr>
                <w:rFonts w:ascii="Arial" w:cs="Arial" w:eastAsia="Arial" w:hAnsi="Arial"/>
                <w:sz w:val="14"/>
                <w:szCs w:val="14"/>
                <w:color w:val="auto"/>
              </w:rPr>
              <w:t>- $630</w:t>
            </w:r>
          </w:p>
        </w:tc>
      </w:tr>
      <w:tr>
        <w:trPr>
          <w:trHeight w:val="189"/>
        </w:trPr>
        <w:tc>
          <w:tcPr>
            <w:tcW w:w="960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$180</w:t>
            </w:r>
          </w:p>
        </w:tc>
        <w:tc>
          <w:tcPr>
            <w:tcW w:w="860" w:type="dxa"/>
            <w:vAlign w:val="bottom"/>
          </w:tcPr>
          <w:p>
            <w:pPr>
              <w:ind w:left="20"/>
              <w:spacing w:after="0"/>
              <w:rPr>
                <w:sz w:val="20"/>
                <w:szCs w:val="20"/>
                <w:color w:val="auto"/>
              </w:rPr>
            </w:pPr>
            <w:r>
              <w:rPr>
                <w:rFonts w:ascii="Arial" w:cs="Arial" w:eastAsia="Arial" w:hAnsi="Arial"/>
                <w:sz w:val="14"/>
                <w:szCs w:val="14"/>
                <w:color w:val="auto"/>
              </w:rPr>
              <w:t>- $190</w:t>
            </w:r>
          </w:p>
        </w:tc>
      </w:tr>
      <w:tr>
        <w:trPr>
          <w:trHeight w:val="189"/>
        </w:trPr>
        <w:tc>
          <w:tcPr>
            <w:tcW w:w="9600" w:type="dxa"/>
            <w:vAlign w:val="bottom"/>
            <w:gridSpan w:val="2"/>
          </w:tcPr>
          <w:p>
            <w:pPr>
              <w:ind w:left="140"/>
              <w:spacing w:after="0"/>
              <w:rPr>
                <w:sz w:val="20"/>
                <w:szCs w:val="20"/>
                <w:color w:val="auto"/>
              </w:rPr>
            </w:pPr>
            <w:r>
              <w:rPr>
                <w:rFonts w:ascii="Arial" w:cs="Arial" w:eastAsia="Arial" w:hAnsi="Arial"/>
                <w:sz w:val="14"/>
                <w:szCs w:val="14"/>
                <w:color w:val="auto"/>
              </w:rPr>
              <w:t>Capital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$185</w:t>
            </w:r>
          </w:p>
        </w:tc>
        <w:tc>
          <w:tcPr>
            <w:tcW w:w="860" w:type="dxa"/>
            <w:vAlign w:val="bottom"/>
          </w:tcPr>
          <w:p>
            <w:pPr>
              <w:ind w:left="20"/>
              <w:spacing w:after="0"/>
              <w:rPr>
                <w:sz w:val="20"/>
                <w:szCs w:val="20"/>
                <w:color w:val="auto"/>
              </w:rPr>
            </w:pPr>
            <w:r>
              <w:rPr>
                <w:rFonts w:ascii="Arial" w:cs="Arial" w:eastAsia="Arial" w:hAnsi="Arial"/>
                <w:sz w:val="14"/>
                <w:szCs w:val="14"/>
                <w:color w:val="auto"/>
              </w:rPr>
              <w:t>- $210</w:t>
            </w:r>
          </w:p>
        </w:tc>
      </w:tr>
      <w:tr>
        <w:trPr>
          <w:trHeight w:val="189"/>
        </w:trPr>
        <w:tc>
          <w:tcPr>
            <w:tcW w:w="9600" w:type="dxa"/>
            <w:vAlign w:val="bottom"/>
            <w:gridSpan w:val="2"/>
          </w:tcPr>
          <w:p>
            <w:pPr>
              <w:ind w:left="140"/>
              <w:spacing w:after="0"/>
              <w:rPr>
                <w:sz w:val="20"/>
                <w:szCs w:val="20"/>
                <w:color w:val="auto"/>
              </w:rPr>
            </w:pPr>
            <w:r>
              <w:rPr>
                <w:rFonts w:ascii="Arial" w:cs="Arial" w:eastAsia="Arial" w:hAnsi="Arial"/>
                <w:sz w:val="14"/>
                <w:szCs w:val="14"/>
                <w:color w:val="auto"/>
              </w:rPr>
              <w:t>Free cash flow ($ millions)</w:t>
            </w:r>
          </w:p>
        </w:tc>
        <w:tc>
          <w:tcPr>
            <w:tcW w:w="780" w:type="dxa"/>
            <w:vAlign w:val="bottom"/>
          </w:tcPr>
          <w:p>
            <w:pPr>
              <w:jc w:val="right"/>
              <w:spacing w:after="0"/>
              <w:rPr>
                <w:sz w:val="20"/>
                <w:szCs w:val="20"/>
                <w:color w:val="auto"/>
              </w:rPr>
            </w:pPr>
            <w:r>
              <w:rPr>
                <w:rFonts w:ascii="Arial" w:cs="Arial" w:eastAsia="Arial" w:hAnsi="Arial"/>
                <w:sz w:val="14"/>
                <w:szCs w:val="14"/>
                <w:color w:val="auto"/>
              </w:rPr>
              <w:t>$250</w:t>
            </w:r>
          </w:p>
        </w:tc>
        <w:tc>
          <w:tcPr>
            <w:tcW w:w="860" w:type="dxa"/>
            <w:vAlign w:val="bottom"/>
          </w:tcPr>
          <w:p>
            <w:pPr>
              <w:ind w:left="20"/>
              <w:spacing w:after="0"/>
              <w:rPr>
                <w:sz w:val="20"/>
                <w:szCs w:val="20"/>
                <w:color w:val="auto"/>
              </w:rPr>
            </w:pPr>
            <w:r>
              <w:rPr>
                <w:rFonts w:ascii="Arial" w:cs="Arial" w:eastAsia="Arial" w:hAnsi="Arial"/>
                <w:sz w:val="14"/>
                <w:szCs w:val="14"/>
                <w:color w:val="auto"/>
              </w:rPr>
              <w:t>- $350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1"/>
      <w:numFmt w:val="decimal"/>
      <w:start w:val="104"/>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lowerLetter"/>
      <w:start w:val="1"/>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
      <w:numFmt w:val="bullet"/>
      <w:start w:val="1"/>
    </w:lvl>
  </w:abstractNum>
  <w:abstractNum w:abstractNumId="10">
    <w:nsid w:val="1190CDE7"/>
    <w:multiLevelType w:val="hybridMultilevel"/>
    <w:lvl w:ilvl="0">
      <w:lvlJc w:val="left"/>
      <w:lvlText w:val="(%1)"/>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2021-05-13T08:08:01Z</dcterms:created>
  <dcterms:modified xsi:type="dcterms:W3CDTF">2021-05-13T08:08:01Z</dcterms:modified>
</cp:coreProperties>
</file>