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063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063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30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960" w:type="dxa"/>
            <w:vAlign w:val="bottom"/>
            <w:gridSpan w:val="2"/>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Bys Jay A.</w:t>
              </w:r>
            </w:hyperlink>
          </w:p>
        </w:tc>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California Resources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CRC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720" w:type="dxa"/>
            <w:vAlign w:val="bottom"/>
            <w:tcBorders>
              <w:top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680" w:type="dxa"/>
            <w:vAlign w:val="bottom"/>
            <w:tcBorders>
              <w:top w:val="single" w:sz="8" w:color="0000EE"/>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Arial" w:cs="Arial" w:eastAsia="Arial" w:hAnsi="Arial"/>
                <w:sz w:val="10"/>
                <w:szCs w:val="10"/>
                <w:color w:val="auto"/>
              </w:rPr>
              <w:t>(Last)</w:t>
            </w:r>
          </w:p>
        </w:tc>
        <w:tc>
          <w:tcPr>
            <w:tcW w:w="1300" w:type="dxa"/>
            <w:vAlign w:val="bottom"/>
          </w:tcPr>
          <w:p>
            <w:pPr>
              <w:ind w:left="280"/>
              <w:spacing w:after="0"/>
              <w:rPr>
                <w:sz w:val="20"/>
                <w:szCs w:val="20"/>
                <w:color w:val="auto"/>
              </w:rPr>
            </w:pPr>
            <w:r>
              <w:rPr>
                <w:rFonts w:ascii="Arial" w:cs="Arial" w:eastAsia="Arial" w:hAnsi="Arial"/>
                <w:sz w:val="10"/>
                <w:szCs w:val="10"/>
                <w:color w:val="auto"/>
              </w:rPr>
              <w:t>(First)</w:t>
            </w:r>
          </w:p>
        </w:tc>
        <w:tc>
          <w:tcPr>
            <w:tcW w:w="1420" w:type="dxa"/>
            <w:vAlign w:val="bottom"/>
          </w:tcPr>
          <w:p>
            <w:pPr>
              <w:ind w:left="22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260" w:type="dxa"/>
            <w:vAlign w:val="bottom"/>
            <w:gridSpan w:val="3"/>
            <w:vMerge w:val="restart"/>
          </w:tcPr>
          <w:p>
            <w:pPr>
              <w:spacing w:after="0"/>
              <w:rPr>
                <w:sz w:val="20"/>
                <w:szCs w:val="20"/>
                <w:color w:val="auto"/>
              </w:rPr>
            </w:pPr>
            <w:r>
              <w:rPr>
                <w:rFonts w:ascii="Arial" w:cs="Arial" w:eastAsia="Arial" w:hAnsi="Arial"/>
                <w:sz w:val="13"/>
                <w:szCs w:val="13"/>
                <w:color w:val="0000FF"/>
              </w:rPr>
              <w:t>27200 TOURNEY ROAD, SUITE 200</w:t>
            </w:r>
          </w:p>
        </w:tc>
        <w:tc>
          <w:tcPr>
            <w:tcW w:w="1420" w:type="dxa"/>
            <w:vAlign w:val="bottom"/>
          </w:tcPr>
          <w:p>
            <w:pPr>
              <w:spacing w:after="0"/>
              <w:rPr>
                <w:sz w:val="14"/>
                <w:szCs w:val="14"/>
                <w:color w:val="auto"/>
              </w:rPr>
            </w:pPr>
          </w:p>
        </w:tc>
        <w:tc>
          <w:tcPr>
            <w:tcW w:w="1840" w:type="dxa"/>
            <w:vAlign w:val="bottom"/>
            <w:gridSpan w:val="3"/>
          </w:tcPr>
          <w:p>
            <w:pPr>
              <w:ind w:left="120"/>
              <w:spacing w:after="0"/>
              <w:rPr>
                <w:sz w:val="20"/>
                <w:szCs w:val="20"/>
                <w:color w:val="auto"/>
              </w:rPr>
            </w:pPr>
            <w:r>
              <w:rPr>
                <w:rFonts w:ascii="Arial" w:cs="Arial" w:eastAsia="Arial" w:hAnsi="Arial"/>
                <w:sz w:val="13"/>
                <w:szCs w:val="13"/>
                <w:color w:val="0000FF"/>
              </w:rPr>
              <w:t>05/12/2021</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EVP &amp; Chief Commercial Officer</w:t>
      </w:r>
    </w:p>
    <w:p>
      <w:pPr>
        <w:spacing w:after="0" w:line="37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00" w:type="dxa"/>
            <w:vAlign w:val="bottom"/>
            <w:gridSpan w:val="6"/>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6"/>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0000FF"/>
              </w:rPr>
              <w:t>SANTA CLARITA</w:t>
            </w:r>
          </w:p>
        </w:tc>
        <w:tc>
          <w:tcPr>
            <w:tcW w:w="640" w:type="dxa"/>
            <w:vAlign w:val="bottom"/>
          </w:tcPr>
          <w:p>
            <w:pPr>
              <w:ind w:left="120"/>
              <w:spacing w:after="0"/>
              <w:rPr>
                <w:sz w:val="20"/>
                <w:szCs w:val="20"/>
                <w:color w:val="auto"/>
              </w:rPr>
            </w:pPr>
            <w:r>
              <w:rPr>
                <w:rFonts w:ascii="Arial" w:cs="Arial" w:eastAsia="Arial" w:hAnsi="Arial"/>
                <w:sz w:val="13"/>
                <w:szCs w:val="13"/>
                <w:color w:val="0000FF"/>
              </w:rPr>
              <w:t>CA</w:t>
            </w:r>
          </w:p>
        </w:tc>
        <w:tc>
          <w:tcPr>
            <w:tcW w:w="1700" w:type="dxa"/>
            <w:vAlign w:val="bottom"/>
            <w:gridSpan w:val="2"/>
          </w:tcPr>
          <w:p>
            <w:pPr>
              <w:ind w:left="720"/>
              <w:spacing w:after="0"/>
              <w:rPr>
                <w:sz w:val="20"/>
                <w:szCs w:val="20"/>
                <w:color w:val="auto"/>
              </w:rPr>
            </w:pPr>
            <w:r>
              <w:rPr>
                <w:rFonts w:ascii="Arial" w:cs="Arial" w:eastAsia="Arial" w:hAnsi="Arial"/>
                <w:sz w:val="13"/>
                <w:szCs w:val="13"/>
                <w:color w:val="0000FF"/>
              </w:rPr>
              <w:t>91355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48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5"/>
                <w:szCs w:val="15"/>
                <w:color w:val="auto"/>
              </w:rPr>
            </w:pPr>
          </w:p>
        </w:tc>
        <w:tc>
          <w:tcPr>
            <w:tcW w:w="204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640" w:type="dxa"/>
            <w:vAlign w:val="bottom"/>
            <w:tcBorders>
              <w:top w:val="single" w:sz="8" w:color="EEEEEE"/>
            </w:tcBorders>
            <w:vMerge w:val="restart"/>
          </w:tcPr>
          <w:p>
            <w:pPr>
              <w:ind w:left="120"/>
              <w:spacing w:after="0"/>
              <w:rPr>
                <w:sz w:val="20"/>
                <w:szCs w:val="20"/>
                <w:color w:val="auto"/>
              </w:rPr>
            </w:pPr>
            <w:r>
              <w:rPr>
                <w:rFonts w:ascii="Arial" w:cs="Arial" w:eastAsia="Arial" w:hAnsi="Arial"/>
                <w:sz w:val="10"/>
                <w:szCs w:val="10"/>
                <w:color w:val="auto"/>
              </w:rPr>
              <w:t>(State)</w:t>
            </w:r>
          </w:p>
        </w:tc>
        <w:tc>
          <w:tcPr>
            <w:tcW w:w="1700" w:type="dxa"/>
            <w:vAlign w:val="bottom"/>
            <w:tcBorders>
              <w:top w:val="single" w:sz="8" w:color="EEEEEE"/>
            </w:tcBorders>
            <w:gridSpan w:val="2"/>
            <w:vMerge w:val="restart"/>
          </w:tcPr>
          <w:p>
            <w:pPr>
              <w:ind w:left="720"/>
              <w:spacing w:after="0"/>
              <w:rPr>
                <w:sz w:val="20"/>
                <w:szCs w:val="20"/>
                <w:color w:val="auto"/>
              </w:rPr>
            </w:pPr>
            <w:r>
              <w:rPr>
                <w:rFonts w:ascii="Arial" w:cs="Arial" w:eastAsia="Arial" w:hAnsi="Arial"/>
                <w:sz w:val="10"/>
                <w:szCs w:val="10"/>
                <w:color w:val="auto"/>
              </w:rPr>
              <w:t>(Zip)</w:t>
            </w: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76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2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860" w:type="dxa"/>
            <w:vAlign w:val="bottom"/>
            <w:tcBorders>
              <w:top w:val="single" w:sz="8" w:color="2C2C2C"/>
            </w:tcBorders>
          </w:tcPr>
          <w:p>
            <w:pPr>
              <w:spacing w:after="0"/>
              <w:rPr>
                <w:sz w:val="15"/>
                <w:szCs w:val="15"/>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40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6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6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60"/>
              <w:spacing w:after="0"/>
              <w:rPr>
                <w:sz w:val="20"/>
                <w:szCs w:val="20"/>
                <w:color w:val="auto"/>
              </w:rPr>
            </w:pPr>
            <w:r>
              <w:rPr>
                <w:rFonts w:ascii="Arial" w:cs="Arial" w:eastAsia="Arial" w:hAnsi="Arial"/>
                <w:sz w:val="13"/>
                <w:szCs w:val="13"/>
                <w:color w:val="0000FF"/>
                <w:w w:val="89"/>
              </w:rPr>
              <w:t>05/12/2021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A</w:t>
            </w:r>
            <w:r>
              <w:rPr>
                <w:rFonts w:ascii="Arial" w:cs="Arial" w:eastAsia="Arial" w:hAnsi="Arial"/>
                <w:sz w:val="8"/>
                <w:szCs w:val="8"/>
                <w:color w:val="008000"/>
              </w:rPr>
              <w:t>(1)</w:t>
            </w:r>
          </w:p>
        </w:tc>
        <w:tc>
          <w:tcPr>
            <w:tcW w:w="2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320"/>
              <w:spacing w:after="0"/>
              <w:rPr>
                <w:sz w:val="20"/>
                <w:szCs w:val="20"/>
                <w:color w:val="auto"/>
              </w:rPr>
            </w:pPr>
            <w:r>
              <w:rPr>
                <w:rFonts w:ascii="Arial" w:cs="Arial" w:eastAsia="Arial" w:hAnsi="Arial"/>
                <w:sz w:val="13"/>
                <w:szCs w:val="13"/>
                <w:color w:val="0000FF"/>
              </w:rPr>
              <w:t>61,309</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Arial" w:cs="Arial" w:eastAsia="Arial" w:hAnsi="Arial"/>
                <w:sz w:val="13"/>
                <w:szCs w:val="13"/>
                <w:color w:val="0000FF"/>
                <w:w w:val="95"/>
              </w:rPr>
              <w:t>61,309</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2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vMerge w:val="restart"/>
          </w:tcPr>
          <w:p>
            <w:pPr>
              <w:ind w:left="10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gridSpan w:val="2"/>
          </w:tcPr>
          <w:p>
            <w:pPr>
              <w:ind w:left="40"/>
              <w:spacing w:after="0"/>
              <w:rPr>
                <w:sz w:val="20"/>
                <w:szCs w:val="20"/>
                <w:color w:val="auto"/>
              </w:rPr>
            </w:pPr>
            <w:r>
              <w:rPr>
                <w:rFonts w:ascii="Arial" w:cs="Arial" w:eastAsia="Arial" w:hAnsi="Arial"/>
                <w:sz w:val="9"/>
                <w:szCs w:val="9"/>
                <w:b w:val="1"/>
                <w:bCs w:val="1"/>
                <w:color w:val="auto"/>
              </w:rPr>
              <w:t>Code</w:t>
            </w:r>
          </w:p>
        </w:tc>
        <w:tc>
          <w:tcPr>
            <w:tcW w:w="56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color w:val="0000FF"/>
              </w:rPr>
              <w:t>Performance Stock Units</w:t>
            </w:r>
          </w:p>
        </w:tc>
        <w:tc>
          <w:tcPr>
            <w:tcW w:w="640" w:type="dxa"/>
            <w:vAlign w:val="bottom"/>
          </w:tcPr>
          <w:p>
            <w:pPr>
              <w:ind w:left="300"/>
              <w:spacing w:after="0"/>
              <w:rPr>
                <w:sz w:val="20"/>
                <w:szCs w:val="20"/>
                <w:color w:val="auto"/>
              </w:rPr>
            </w:pPr>
            <w:r>
              <w:rPr>
                <w:rFonts w:ascii="Arial" w:cs="Arial" w:eastAsia="Arial" w:hAnsi="Arial"/>
                <w:sz w:val="8"/>
                <w:szCs w:val="8"/>
                <w:color w:val="008000"/>
              </w:rPr>
              <w:t>(2)</w:t>
            </w:r>
          </w:p>
        </w:tc>
        <w:tc>
          <w:tcPr>
            <w:tcW w:w="860" w:type="dxa"/>
            <w:vAlign w:val="bottom"/>
          </w:tcPr>
          <w:p>
            <w:pPr>
              <w:ind w:left="200"/>
              <w:spacing w:after="0"/>
              <w:rPr>
                <w:sz w:val="20"/>
                <w:szCs w:val="20"/>
                <w:color w:val="auto"/>
              </w:rPr>
            </w:pPr>
            <w:r>
              <w:rPr>
                <w:rFonts w:ascii="Arial" w:cs="Arial" w:eastAsia="Arial" w:hAnsi="Arial"/>
                <w:sz w:val="10"/>
                <w:szCs w:val="10"/>
                <w:color w:val="0000FF"/>
              </w:rPr>
              <w:t>05/12/2021</w:t>
            </w:r>
          </w:p>
        </w:tc>
        <w:tc>
          <w:tcPr>
            <w:tcW w:w="840" w:type="dxa"/>
            <w:vAlign w:val="bottom"/>
          </w:tcPr>
          <w:p>
            <w:pPr>
              <w:spacing w:after="0"/>
              <w:rPr>
                <w:sz w:val="17"/>
                <w:szCs w:val="17"/>
                <w:color w:val="auto"/>
              </w:rPr>
            </w:pPr>
          </w:p>
        </w:tc>
        <w:tc>
          <w:tcPr>
            <w:tcW w:w="300" w:type="dxa"/>
            <w:vAlign w:val="bottom"/>
            <w:gridSpan w:val="2"/>
          </w:tcPr>
          <w:p>
            <w:pPr>
              <w:ind w:left="160"/>
              <w:spacing w:after="0"/>
              <w:rPr>
                <w:sz w:val="20"/>
                <w:szCs w:val="20"/>
                <w:color w:val="auto"/>
              </w:rPr>
            </w:pPr>
            <w:r>
              <w:rPr>
                <w:rFonts w:ascii="Arial" w:cs="Arial" w:eastAsia="Arial" w:hAnsi="Arial"/>
                <w:sz w:val="10"/>
                <w:szCs w:val="10"/>
                <w:color w:val="0000FF"/>
              </w:rPr>
              <w:t>A</w:t>
            </w:r>
          </w:p>
        </w:tc>
        <w:tc>
          <w:tcPr>
            <w:tcW w:w="5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0"/>
                <w:szCs w:val="10"/>
                <w:color w:val="0000FF"/>
              </w:rPr>
              <w:t>61,309</w:t>
            </w:r>
          </w:p>
        </w:tc>
        <w:tc>
          <w:tcPr>
            <w:tcW w:w="420" w:type="dxa"/>
            <w:vAlign w:val="bottom"/>
          </w:tcPr>
          <w:p>
            <w:pPr>
              <w:ind w:left="280"/>
              <w:spacing w:after="0"/>
              <w:rPr>
                <w:sz w:val="20"/>
                <w:szCs w:val="20"/>
                <w:color w:val="auto"/>
              </w:rPr>
            </w:pPr>
            <w:r>
              <w:rPr>
                <w:rFonts w:ascii="Arial" w:cs="Arial" w:eastAsia="Arial" w:hAnsi="Arial"/>
                <w:sz w:val="8"/>
                <w:szCs w:val="8"/>
                <w:color w:val="008000"/>
              </w:rPr>
              <w:t>(2)</w:t>
            </w:r>
          </w:p>
        </w:tc>
        <w:tc>
          <w:tcPr>
            <w:tcW w:w="240" w:type="dxa"/>
            <w:vAlign w:val="bottom"/>
          </w:tcPr>
          <w:p>
            <w:pPr>
              <w:spacing w:after="0"/>
              <w:rPr>
                <w:sz w:val="17"/>
                <w:szCs w:val="17"/>
                <w:color w:val="auto"/>
              </w:rPr>
            </w:pPr>
          </w:p>
        </w:tc>
        <w:tc>
          <w:tcPr>
            <w:tcW w:w="520" w:type="dxa"/>
            <w:vAlign w:val="bottom"/>
          </w:tcPr>
          <w:p>
            <w:pPr>
              <w:ind w:left="200"/>
              <w:spacing w:after="0"/>
              <w:rPr>
                <w:sz w:val="20"/>
                <w:szCs w:val="20"/>
                <w:color w:val="auto"/>
              </w:rPr>
            </w:pPr>
            <w:r>
              <w:rPr>
                <w:rFonts w:ascii="Arial" w:cs="Arial" w:eastAsia="Arial" w:hAnsi="Arial"/>
                <w:sz w:val="8"/>
                <w:szCs w:val="8"/>
                <w:color w:val="008000"/>
              </w:rPr>
              <w:t>(2)</w:t>
            </w:r>
          </w:p>
        </w:tc>
        <w:tc>
          <w:tcPr>
            <w:tcW w:w="920" w:type="dxa"/>
            <w:vAlign w:val="bottom"/>
            <w:gridSpan w:val="2"/>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tcPr>
          <w:p>
            <w:pPr>
              <w:ind w:left="240"/>
              <w:spacing w:after="0"/>
              <w:rPr>
                <w:sz w:val="20"/>
                <w:szCs w:val="20"/>
                <w:color w:val="auto"/>
              </w:rPr>
            </w:pPr>
            <w:r>
              <w:rPr>
                <w:rFonts w:ascii="Arial" w:cs="Arial" w:eastAsia="Arial" w:hAnsi="Arial"/>
                <w:sz w:val="13"/>
                <w:szCs w:val="13"/>
                <w:color w:val="0000FF"/>
                <w:w w:val="95"/>
              </w:rPr>
              <w:t>61,309</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tcPr>
          <w:p>
            <w:pPr>
              <w:ind w:left="220"/>
              <w:spacing w:after="0"/>
              <w:rPr>
                <w:sz w:val="20"/>
                <w:szCs w:val="20"/>
                <w:color w:val="auto"/>
              </w:rPr>
            </w:pPr>
            <w:r>
              <w:rPr>
                <w:rFonts w:ascii="Arial" w:cs="Arial" w:eastAsia="Arial" w:hAnsi="Arial"/>
                <w:sz w:val="10"/>
                <w:szCs w:val="10"/>
                <w:color w:val="0000FF"/>
              </w:rPr>
              <w:t>61,309</w:t>
            </w:r>
          </w:p>
        </w:tc>
        <w:tc>
          <w:tcPr>
            <w:tcW w:w="680" w:type="dxa"/>
            <w:vAlign w:val="bottom"/>
          </w:tcPr>
          <w:p>
            <w:pPr>
              <w:ind w:left="30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40" w:right="260" w:hanging="10"/>
        <w:spacing w:after="0" w:line="255"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Represents a grant of restricted stock units ("RSUs"). Each RSU represents a contingent right to receive one share of Common Stock. 16,721 RSUs will vest on January 25, 2022; 22,294 RSUs will vest on January 25, 2023; and 22,294 RSUs will vest on January 25, 2024. Subject to certain exceptions, the RSUs will be settled in shares of Common Stock within 45 days following the final vesting date.</w:t>
      </w:r>
    </w:p>
    <w:p>
      <w:pPr>
        <w:spacing w:after="0" w:line="15" w:lineRule="exact"/>
        <w:rPr>
          <w:rFonts w:ascii="Arial" w:cs="Arial" w:eastAsia="Arial" w:hAnsi="Arial"/>
          <w:sz w:val="10"/>
          <w:szCs w:val="10"/>
          <w:color w:val="008000"/>
        </w:rPr>
      </w:pPr>
    </w:p>
    <w:p>
      <w:pPr>
        <w:ind w:left="40" w:right="14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Represents the target number of performance stock units ("PSUs"). Each PSU represents a contingent right to receive one share of Common Stock. The actual number of PSUs that vest and become earned is based on the volume-weighted average price of a share of Common Stock as determined over any 60 consecutive trading days during the performance period which ends on January 25, 2024, and, subject to certain exceptions, will be settled in shares of Common Stock within 45 days following the end of the performance period.</w:t>
      </w:r>
    </w:p>
    <w:p>
      <w:pPr>
        <w:sectPr>
          <w:pgSz w:w="11900" w:h="16838" w:orient="portrait"/>
          <w:cols w:equalWidth="0" w:num="1">
            <w:col w:w="11020"/>
          </w:cols>
          <w:pgMar w:left="440" w:top="203" w:right="4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9" w:lineRule="exact"/>
        <w:rPr>
          <w:sz w:val="20"/>
          <w:szCs w:val="20"/>
          <w:color w:val="auto"/>
        </w:rPr>
      </w:pPr>
    </w:p>
    <w:p>
      <w:pPr>
        <w:ind w:left="6620"/>
        <w:spacing w:after="0"/>
        <w:rPr>
          <w:sz w:val="20"/>
          <w:szCs w:val="20"/>
          <w:color w:val="auto"/>
        </w:rPr>
      </w:pPr>
      <w:r>
        <w:rPr>
          <w:rFonts w:ascii="Arial" w:cs="Arial" w:eastAsia="Arial" w:hAnsi="Arial"/>
          <w:sz w:val="12"/>
          <w:szCs w:val="12"/>
          <w:color w:val="0000FF"/>
        </w:rPr>
        <w:t>/s/ Ulrik Damborg,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3176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3"/>
          <w:szCs w:val="13"/>
          <w:color w:val="0000FF"/>
        </w:rPr>
        <w:t>Jay A. Bys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36004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0045" cy="6350"/>
                    </a:xfrm>
                    <a:prstGeom prst="rect">
                      <a:avLst/>
                    </a:prstGeom>
                    <a:noFill/>
                  </pic:spPr>
                </pic:pic>
              </a:graphicData>
            </a:graphic>
          </wp:anchor>
        </w:drawing>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0000FF"/>
        </w:rPr>
        <w:t>05/14/2021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4"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3" w:lineRule="exact"/>
        <w:rPr>
          <w:rFonts w:ascii="Courier New" w:cs="Courier New" w:eastAsia="Courier New" w:hAnsi="Courier New"/>
          <w:sz w:val="13"/>
          <w:szCs w:val="13"/>
          <w:color w:val="auto"/>
        </w:rPr>
      </w:pPr>
    </w:p>
    <w:p>
      <w:pPr>
        <w:spacing w:after="0" w:line="244"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28th day of April, 2021.</w:t>
      </w:r>
    </w:p>
    <w:p>
      <w:pPr>
        <w:spacing w:after="0" w:line="2" w:lineRule="exact"/>
        <w:rPr>
          <w:rFonts w:ascii="Courier New" w:cs="Courier New" w:eastAsia="Courier New" w:hAnsi="Courier New"/>
          <w:sz w:val="13"/>
          <w:szCs w:val="13"/>
          <w:color w:val="auto"/>
        </w:rPr>
      </w:pPr>
    </w:p>
    <w:p>
      <w:pPr>
        <w:ind w:right="10220"/>
        <w:spacing w:after="0" w:line="243"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 Jay Bys Jay Bys</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0787"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2021-05-14T17:14:57Z</dcterms:created>
  <dcterms:modified xsi:type="dcterms:W3CDTF">2021-05-14T17:14:57Z</dcterms:modified>
</cp:coreProperties>
</file>