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FORM 8-K/A</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April 9, 2018</w:t>
      </w: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702" w:right="359" w:bottom="1440" w:gutter="0" w:footer="0" w:header="0"/>
        </w:sectPr>
      </w:pPr>
    </w:p>
    <w:p>
      <w:pPr>
        <w:spacing w:after="0" w:line="344"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001-36478</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680" w:space="720"/>
            <w:col w:w="3080" w:space="720"/>
            <w:col w:w="2100"/>
          </w:cols>
          <w:pgMar w:left="240" w:top="702" w:right="359" w:bottom="1440" w:gutter="0" w:footer="0" w:header="0"/>
          <w:type w:val="continuous"/>
        </w:sectPr>
      </w:pPr>
    </w:p>
    <w:p>
      <w:pPr>
        <w:jc w:val="center"/>
        <w:ind w:right="8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600" w:space="720"/>
            <w:col w:w="2960" w:space="720"/>
            <w:col w:w="2300"/>
          </w:cols>
          <w:pgMar w:left="240" w:top="702" w:right="359" w:bottom="1440" w:gutter="0" w:footer="0" w:header="0"/>
          <w:type w:val="continuous"/>
        </w:sectPr>
      </w:pPr>
    </w:p>
    <w:p>
      <w:pPr>
        <w:spacing w:after="0" w:line="123"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91311</w:t>
      </w:r>
    </w:p>
    <w:p>
      <w:pPr>
        <w:spacing w:after="0" w:line="197" w:lineRule="exact"/>
        <w:rPr>
          <w:sz w:val="24"/>
          <w:szCs w:val="24"/>
          <w:color w:val="auto"/>
        </w:rPr>
      </w:pPr>
    </w:p>
    <w:p>
      <w:pPr>
        <w:sectPr>
          <w:pgSz w:w="11900" w:h="16838" w:orient="portrait"/>
          <w:cols w:equalWidth="0" w:num="2">
            <w:col w:w="7660" w:space="720"/>
            <w:col w:w="2920"/>
          </w:cols>
          <w:pgMar w:left="240" w:top="702" w:right="359" w:bottom="1440" w:gutter="0" w:footer="0" w:header="0"/>
          <w:type w:val="continuous"/>
        </w:sectPr>
      </w:pPr>
    </w:p>
    <w:p>
      <w:pPr>
        <w:ind w:left="1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8" w:lineRule="exact"/>
        <w:rPr>
          <w:sz w:val="24"/>
          <w:szCs w:val="24"/>
          <w:color w:val="auto"/>
        </w:rPr>
      </w:pPr>
    </w:p>
    <w:p>
      <w:pPr>
        <w:sectPr>
          <w:pgSz w:w="11900" w:h="16838" w:orient="portrait"/>
          <w:cols w:equalWidth="0" w:num="2">
            <w:col w:w="7540" w:space="720"/>
            <w:col w:w="3040"/>
          </w:cols>
          <w:pgMar w:left="240" w:top="702" w:right="359" w:bottom="1440" w:gutter="0" w:footer="0" w:header="0"/>
          <w:type w:val="continuous"/>
        </w:sect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70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filing is an amendment to the Current Report on Form 8-K of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filed on April 9, 2018 (the “</w:t>
      </w:r>
      <w:r>
        <w:rPr>
          <w:rFonts w:ascii="Arial" w:cs="Arial" w:eastAsia="Arial" w:hAnsi="Arial"/>
          <w:sz w:val="18"/>
          <w:szCs w:val="18"/>
          <w:b w:val="1"/>
          <w:bCs w:val="1"/>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Form 8-K</w:t>
      </w:r>
      <w:r>
        <w:rPr>
          <w:rFonts w:ascii="Arial" w:cs="Arial" w:eastAsia="Arial" w:hAnsi="Arial"/>
          <w:sz w:val="18"/>
          <w:szCs w:val="18"/>
          <w:color w:val="auto"/>
        </w:rPr>
        <w:t>”). This filing is made solely for the purposes of tagging the applicable items in the EDGAR system in connection with the filing of the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8-K. This filing does not include any changes to the text of the Original Form 8-K.</w:t>
      </w:r>
    </w:p>
    <w:p>
      <w:pPr>
        <w:spacing w:after="0" w:line="35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April 9, 2018, the Company entered into an Asset Sale and Purchase Agreement with Chevron U.S.A. Inc. (“</w:t>
      </w:r>
      <w:r>
        <w:rPr>
          <w:rFonts w:ascii="Arial" w:cs="Arial" w:eastAsia="Arial" w:hAnsi="Arial"/>
          <w:sz w:val="18"/>
          <w:szCs w:val="18"/>
          <w:b w:val="1"/>
          <w:bCs w:val="1"/>
          <w:i w:val="1"/>
          <w:iCs w:val="1"/>
          <w:color w:val="auto"/>
        </w:rPr>
        <w:t>Chevron</w:t>
      </w:r>
      <w:r>
        <w:rPr>
          <w:rFonts w:ascii="Arial" w:cs="Arial" w:eastAsia="Arial" w:hAnsi="Arial"/>
          <w:sz w:val="18"/>
          <w:szCs w:val="18"/>
          <w:color w:val="auto"/>
        </w:rPr>
        <w:t>”) pursuant to which the Company acquired the remaining working, surface and mineral interests in the 47,000-acre Elk Hills field in the San Joaquin Basin of California (the “</w:t>
      </w:r>
      <w:r>
        <w:rPr>
          <w:rFonts w:ascii="Arial" w:cs="Arial" w:eastAsia="Arial" w:hAnsi="Arial"/>
          <w:sz w:val="18"/>
          <w:szCs w:val="18"/>
          <w:b w:val="1"/>
          <w:bCs w:val="1"/>
          <w:i w:val="1"/>
          <w:iCs w:val="1"/>
          <w:color w:val="auto"/>
        </w:rPr>
        <w:t>Elk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Hills Acquisition</w:t>
      </w:r>
      <w:r>
        <w:rPr>
          <w:rFonts w:ascii="Arial" w:cs="Arial" w:eastAsia="Arial" w:hAnsi="Arial"/>
          <w:sz w:val="18"/>
          <w:szCs w:val="18"/>
          <w:color w:val="auto"/>
        </w:rPr>
        <w:t>”). As consideration, the Company paid $460 million in cash and issued 2,850,000 shares of the Company’s common stock, par value $0.01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Chevron. The closing of the Elk Hills Acquisition occurred simultaneously with signing and had an effective date of April 1, 2018.</w:t>
      </w:r>
    </w:p>
    <w:p>
      <w:pPr>
        <w:spacing w:after="0" w:line="8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and Chevron also entered into a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pursuant to which the Company agreed to file with the Securities and Exchange Commission a shelf registration statement registering for resale the Shares within two days following the filing of the Company’s next succeeding Form 10-Q. The Registration Rights Agreement limits Chevron’s ability to resell Shares as follows: (1) up to 1,000,000 Shares in the first 30 days following effectiveness of the registration statement, (2) up to 1,000,000 additional Shares (plus the balance of any unsold Shares in the first 30-day period) in the 30 days thereafter, and (3) any remaining Shares thereafter.</w:t>
      </w:r>
    </w:p>
    <w:p>
      <w:pPr>
        <w:spacing w:after="0" w:line="6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description of the Registration Rights Agreement above does not purport to be complete and is qualified in its entirety by the Registration Rights Agreement filed herewith as Exhibit 4.01 to this Current Report on Form 8-K and incorporated by reference herein.</w:t>
      </w:r>
    </w:p>
    <w:p>
      <w:pPr>
        <w:spacing w:after="0" w:line="6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Shares were offered, issued and sold in reliance upon the exemption from the registration requirements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set forth under Section 4(a)(2) of the Securities Act relating to sales by an issuer not involving any public offering. Chevron represented, among other things, that it is an accredited investor and that it is acquiring the Shares for investment purposes only and not with a view to any resale, distribution or other disposition of such securities in violation of the United States federal securities laws.</w:t>
      </w:r>
    </w:p>
    <w:p>
      <w:pPr>
        <w:spacing w:after="0" w:line="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8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On April 9, 2018, the Company announced the Elk Hills Acquisition. A copy of the press release is attached as Exhibit 99.1 hereto and is incorporated herein by reference.</w:t>
      </w:r>
    </w:p>
    <w:p>
      <w:pPr>
        <w:spacing w:after="0" w:line="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89" w:lineRule="exact"/>
        <w:rPr>
          <w:sz w:val="20"/>
          <w:szCs w:val="20"/>
          <w:color w:val="auto"/>
        </w:rPr>
      </w:pPr>
    </w:p>
    <w:p>
      <w:pPr>
        <w:ind w:left="740" w:hanging="246"/>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11420"/>
          </w:cols>
          <w:pgMar w:left="240" w:top="756" w:right="239" w:bottom="144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4.01</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102870</wp:posOffset>
            </wp:positionV>
            <wp:extent cx="586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69" w:lineRule="exact"/>
        <w:rPr>
          <w:sz w:val="20"/>
          <w:szCs w:val="20"/>
          <w:color w:val="auto"/>
        </w:rPr>
      </w:pPr>
    </w:p>
    <w:p>
      <w:pPr>
        <w:ind w:right="420"/>
        <w:spacing w:after="0" w:line="277"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Registration Rights Agreement, dated as of April 9, 2018, by and between California Resources Corporation and Chevron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U.S.A. Inc.</w:t>
        </w:r>
      </w:hyperlink>
    </w:p>
    <w:p>
      <w:pPr>
        <w:spacing w:after="0" w:line="89" w:lineRule="exact"/>
        <w:rPr>
          <w:sz w:val="20"/>
          <w:szCs w:val="20"/>
          <w:color w:val="auto"/>
        </w:rPr>
      </w:pP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Press Release, dated April 9, 2018.</w:t>
        </w:r>
      </w:hyperlink>
    </w:p>
    <w:p>
      <w:pPr>
        <w:spacing w:after="0" w:line="144" w:lineRule="exact"/>
        <w:rPr>
          <w:sz w:val="20"/>
          <w:szCs w:val="20"/>
          <w:color w:val="auto"/>
        </w:rPr>
      </w:pPr>
    </w:p>
    <w:p>
      <w:pPr>
        <w:sectPr>
          <w:pgSz w:w="11900" w:h="16838" w:orient="portrait"/>
          <w:cols w:equalWidth="0" w:num="2">
            <w:col w:w="1480" w:space="720"/>
            <w:col w:w="9220"/>
          </w:cols>
          <w:pgMar w:left="240" w:top="756" w:right="239" w:bottom="1440" w:gutter="0" w:footer="0" w:header="0"/>
          <w:type w:val="continuous"/>
        </w:sectPr>
      </w:pPr>
    </w:p>
    <w:p>
      <w:pPr>
        <w:ind w:left="580" w:right="240" w:hanging="572"/>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omitted pursuant to Item 601(b)(2) of Regulation S-K. California Resources Corporation agrees to furnish supplementally a copy of any omitted schedules or exhibits to the SEC upon request; provided, however, that California Resources Corporation may request confidential treatment pursuant to Rule 24b-2 of the Exchange Act for any schedule or exhibit so furnished.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6" w:right="239" w:bottom="1440" w:gutter="0" w:footer="0" w:header="0"/>
          <w:type w:val="continuous"/>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40640</wp:posOffset>
            </wp:positionV>
            <wp:extent cx="2872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Roy Pineci</w:t>
      </w:r>
    </w:p>
    <w:p>
      <w:pPr>
        <w:spacing w:after="0" w:line="63" w:lineRule="exact"/>
        <w:rPr>
          <w:sz w:val="20"/>
          <w:szCs w:val="20"/>
          <w:color w:val="auto"/>
        </w:rPr>
      </w:pPr>
    </w:p>
    <w:p>
      <w:pPr>
        <w:ind w:left="638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2018</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1148"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CHEVRON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April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380"/>
          </w:cols>
          <w:pgMar w:left="280" w:top="13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47" w:lineRule="exact"/>
        <w:rPr>
          <w:sz w:val="20"/>
          <w:szCs w:val="20"/>
          <w:color w:val="auto"/>
        </w:rPr>
      </w:pPr>
    </w:p>
    <w:p>
      <w:pPr>
        <w:ind w:left="10260"/>
        <w:spacing w:after="0"/>
        <w:rPr>
          <w:rFonts w:ascii="Arial" w:cs="Arial" w:eastAsia="Arial" w:hAnsi="Arial"/>
          <w:sz w:val="22"/>
          <w:szCs w:val="22"/>
          <w:u w:val="single" w:color="auto"/>
          <w:color w:val="auto"/>
        </w:rPr>
      </w:pPr>
      <w:hyperlink w:anchor="page9">
        <w:r>
          <w:rPr>
            <w:rFonts w:ascii="Arial" w:cs="Arial" w:eastAsia="Arial" w:hAnsi="Arial"/>
            <w:sz w:val="22"/>
            <w:szCs w:val="22"/>
            <w:u w:val="single" w:color="auto"/>
            <w:color w:val="auto"/>
          </w:rPr>
          <w:t>ARTICLE I</w:t>
        </w:r>
      </w:hyperlink>
    </w:p>
    <w:p>
      <w:pPr>
        <w:spacing w:after="0" w:line="22" w:lineRule="exact"/>
        <w:rPr>
          <w:sz w:val="20"/>
          <w:szCs w:val="20"/>
          <w:color w:val="auto"/>
        </w:rPr>
      </w:pPr>
    </w:p>
    <w:p>
      <w:pPr>
        <w:ind w:left="1260"/>
        <w:spacing w:after="0"/>
        <w:rPr>
          <w:rFonts w:ascii="Arial" w:cs="Arial" w:eastAsia="Arial" w:hAnsi="Arial"/>
          <w:sz w:val="22"/>
          <w:szCs w:val="22"/>
          <w:color w:val="auto"/>
        </w:rPr>
      </w:pPr>
      <w:hyperlink w:anchor="page9">
        <w:r>
          <w:rPr>
            <w:rFonts w:ascii="Arial" w:cs="Arial" w:eastAsia="Arial" w:hAnsi="Arial"/>
            <w:sz w:val="22"/>
            <w:szCs w:val="22"/>
            <w:u w:val="single" w:color="auto"/>
            <w:color w:val="auto"/>
          </w:rPr>
          <w:t>DEFINITIONS</w:t>
        </w:r>
        <w:r>
          <w:rPr>
            <w:rFonts w:ascii="Arial" w:cs="Arial" w:eastAsia="Arial" w:hAnsi="Arial"/>
            <w:sz w:val="22"/>
            <w:szCs w:val="22"/>
            <w:color w:val="auto"/>
          </w:rPr>
          <w:t>1</w:t>
        </w:r>
      </w:hyperlink>
    </w:p>
    <w:p>
      <w:pPr>
        <w:spacing w:after="0" w:line="94" w:lineRule="exact"/>
        <w:rPr>
          <w:sz w:val="20"/>
          <w:szCs w:val="20"/>
          <w:color w:val="auto"/>
        </w:rPr>
      </w:pPr>
    </w:p>
    <w:p>
      <w:pPr>
        <w:ind w:left="3860"/>
        <w:spacing w:after="0"/>
        <w:tabs>
          <w:tab w:leader="none" w:pos="6000" w:val="left"/>
        </w:tabs>
        <w:rPr>
          <w:rFonts w:ascii="Arial" w:cs="Arial" w:eastAsia="Arial" w:hAnsi="Arial"/>
          <w:sz w:val="22"/>
          <w:szCs w:val="22"/>
          <w:color w:val="auto"/>
        </w:rPr>
      </w:pPr>
      <w:hyperlink w:anchor="page9">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1.1Definitions</w:t>
        <w:tab/>
      </w:r>
      <w:r>
        <w:rPr>
          <w:rFonts w:ascii="Arial" w:cs="Arial" w:eastAsia="Arial" w:hAnsi="Arial"/>
          <w:sz w:val="17"/>
          <w:szCs w:val="17"/>
          <w:color w:val="auto"/>
        </w:rPr>
        <w:t>1</w:t>
      </w:r>
    </w:p>
    <w:p>
      <w:pPr>
        <w:spacing w:after="0" w:line="112" w:lineRule="exact"/>
        <w:rPr>
          <w:sz w:val="20"/>
          <w:szCs w:val="20"/>
          <w:color w:val="auto"/>
        </w:rPr>
      </w:pPr>
    </w:p>
    <w:p>
      <w:pPr>
        <w:ind w:left="3860"/>
        <w:spacing w:after="0"/>
        <w:tabs>
          <w:tab w:leader="none" w:pos="6920" w:val="left"/>
        </w:tabs>
        <w:rPr>
          <w:rFonts w:ascii="Arial" w:cs="Arial" w:eastAsia="Arial" w:hAnsi="Arial"/>
          <w:sz w:val="21"/>
          <w:szCs w:val="21"/>
          <w:color w:val="auto"/>
        </w:rPr>
      </w:pPr>
      <w:hyperlink w:anchor="page11">
        <w:r>
          <w:rPr>
            <w:rFonts w:ascii="Arial" w:cs="Arial" w:eastAsia="Arial" w:hAnsi="Arial"/>
            <w:sz w:val="21"/>
            <w:szCs w:val="21"/>
            <w:u w:val="single" w:color="auto"/>
            <w:color w:val="auto"/>
          </w:rPr>
          <w:t xml:space="preserve">Section </w:t>
        </w:r>
      </w:hyperlink>
      <w:r>
        <w:rPr>
          <w:rFonts w:ascii="Arial" w:cs="Arial" w:eastAsia="Arial" w:hAnsi="Arial"/>
          <w:sz w:val="21"/>
          <w:szCs w:val="21"/>
          <w:color w:val="auto"/>
        </w:rPr>
        <w:t xml:space="preserve">1.2Registrable </w:t>
      </w:r>
      <w:r>
        <w:rPr>
          <w:rFonts w:ascii="Arial" w:cs="Arial" w:eastAsia="Arial" w:hAnsi="Arial"/>
          <w:sz w:val="21"/>
          <w:szCs w:val="21"/>
          <w:u w:val="single" w:color="auto"/>
          <w:color w:val="auto"/>
        </w:rPr>
        <w:t>Securities</w:t>
      </w:r>
      <w:r>
        <w:rPr>
          <w:rFonts w:ascii="Arial" w:cs="Arial" w:eastAsia="Arial" w:hAnsi="Arial"/>
          <w:sz w:val="21"/>
          <w:szCs w:val="21"/>
          <w:color w:val="auto"/>
        </w:rPr>
        <w:tab/>
      </w:r>
      <w:r>
        <w:rPr>
          <w:rFonts w:ascii="Arial" w:cs="Arial" w:eastAsia="Arial" w:hAnsi="Arial"/>
          <w:sz w:val="17"/>
          <w:szCs w:val="17"/>
          <w:color w:val="auto"/>
        </w:rPr>
        <w:t>4</w:t>
      </w:r>
    </w:p>
    <w:p>
      <w:pPr>
        <w:spacing w:after="0" w:line="123" w:lineRule="exact"/>
        <w:rPr>
          <w:sz w:val="20"/>
          <w:szCs w:val="20"/>
          <w:color w:val="auto"/>
        </w:rPr>
      </w:pPr>
    </w:p>
    <w:p>
      <w:pPr>
        <w:jc w:val="right"/>
        <w:spacing w:after="0"/>
        <w:rPr>
          <w:rFonts w:ascii="Arial" w:cs="Arial" w:eastAsia="Arial" w:hAnsi="Arial"/>
          <w:sz w:val="22"/>
          <w:szCs w:val="22"/>
          <w:u w:val="single" w:color="auto"/>
          <w:color w:val="auto"/>
        </w:rPr>
      </w:pPr>
      <w:hyperlink w:anchor="page12">
        <w:r>
          <w:rPr>
            <w:rFonts w:ascii="Arial" w:cs="Arial" w:eastAsia="Arial" w:hAnsi="Arial"/>
            <w:sz w:val="22"/>
            <w:szCs w:val="22"/>
            <w:u w:val="single" w:color="auto"/>
            <w:color w:val="auto"/>
          </w:rPr>
          <w:t>ARTICLE II</w:t>
        </w:r>
      </w:hyperlink>
    </w:p>
    <w:tbl>
      <w:tblPr>
        <w:tblLayout w:type="fixed"/>
        <w:tblInd w:w="1260" w:type="dxa"/>
        <w:tblCellMar>
          <w:top w:w="0" w:type="dxa"/>
          <w:left w:w="0" w:type="dxa"/>
          <w:bottom w:w="0" w:type="dxa"/>
          <w:right w:w="0" w:type="dxa"/>
        </w:tblCellMar>
      </w:tblPr>
      <w:tr>
        <w:trPr>
          <w:trHeight w:val="228"/>
        </w:trPr>
        <w:tc>
          <w:tcPr>
            <w:tcW w:w="5280" w:type="dxa"/>
            <w:vAlign w:val="bottom"/>
            <w:gridSpan w:val="9"/>
          </w:tcPr>
          <w:p>
            <w:pPr>
              <w:spacing w:after="0" w:line="228" w:lineRule="exact"/>
              <w:rPr>
                <w:rFonts w:ascii="Arial" w:cs="Arial" w:eastAsia="Arial" w:hAnsi="Arial"/>
                <w:sz w:val="22"/>
                <w:szCs w:val="22"/>
                <w:color w:val="auto"/>
              </w:rPr>
            </w:pPr>
            <w:hyperlink w:anchor="page12">
              <w:r>
                <w:rPr>
                  <w:rFonts w:ascii="Arial" w:cs="Arial" w:eastAsia="Arial" w:hAnsi="Arial"/>
                  <w:sz w:val="22"/>
                  <w:szCs w:val="22"/>
                  <w:color w:val="auto"/>
                </w:rPr>
                <w:t>REGISTRATION RIGHTS4</w:t>
              </w:r>
            </w:hyperlink>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45"/>
        </w:trPr>
        <w:tc>
          <w:tcPr>
            <w:tcW w:w="6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spacing w:after="0"/>
              <w:rPr>
                <w:rFonts w:ascii="Arial" w:cs="Arial" w:eastAsia="Arial" w:hAnsi="Arial"/>
                <w:sz w:val="22"/>
                <w:szCs w:val="22"/>
                <w:color w:val="auto"/>
              </w:rPr>
            </w:pPr>
            <w:hyperlink w:anchor="page12">
              <w:r>
                <w:rPr>
                  <w:rFonts w:ascii="Arial" w:cs="Arial" w:eastAsia="Arial" w:hAnsi="Arial"/>
                  <w:sz w:val="22"/>
                  <w:szCs w:val="22"/>
                  <w:color w:val="auto"/>
                </w:rPr>
                <w:t xml:space="preserve">Section </w:t>
              </w:r>
            </w:hyperlink>
            <w:r>
              <w:rPr>
                <w:rFonts w:ascii="Arial" w:cs="Arial" w:eastAsia="Arial" w:hAnsi="Arial"/>
                <w:sz w:val="22"/>
                <w:szCs w:val="22"/>
                <w:color w:val="auto"/>
              </w:rPr>
              <w:t>2.1Registration  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rFonts w:ascii="Arial" w:cs="Arial" w:eastAsia="Arial" w:hAnsi="Arial"/>
                <w:sz w:val="22"/>
                <w:szCs w:val="22"/>
                <w:color w:val="auto"/>
                <w:w w:val="90"/>
              </w:rPr>
            </w:pPr>
            <w:hyperlink w:anchor="page13">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2.2Piggyback Rights.</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Borders>
              <w:bottom w:val="single" w:sz="8" w:color="auto"/>
            </w:tcBorders>
            <w:gridSpan w:val="8"/>
          </w:tcPr>
          <w:p>
            <w:pPr>
              <w:spacing w:after="0"/>
              <w:rPr>
                <w:rFonts w:ascii="Arial" w:cs="Arial" w:eastAsia="Arial" w:hAnsi="Arial"/>
                <w:sz w:val="22"/>
                <w:szCs w:val="22"/>
                <w:color w:val="auto"/>
                <w:w w:val="87"/>
              </w:rPr>
            </w:pPr>
            <w:hyperlink w:anchor="page14">
              <w:r>
                <w:rPr>
                  <w:rFonts w:ascii="Arial" w:cs="Arial" w:eastAsia="Arial" w:hAnsi="Arial"/>
                  <w:sz w:val="22"/>
                  <w:szCs w:val="22"/>
                  <w:color w:val="auto"/>
                  <w:w w:val="87"/>
                </w:rPr>
                <w:t xml:space="preserve">Section </w:t>
              </w:r>
            </w:hyperlink>
            <w:r>
              <w:rPr>
                <w:rFonts w:ascii="Arial" w:cs="Arial" w:eastAsia="Arial" w:hAnsi="Arial"/>
                <w:sz w:val="22"/>
                <w:szCs w:val="22"/>
                <w:color w:val="auto"/>
                <w:w w:val="87"/>
              </w:rPr>
              <w:t>2.3Registration Procedures</w:t>
            </w:r>
          </w:p>
        </w:tc>
        <w:tc>
          <w:tcPr>
            <w:tcW w:w="4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w:cs="Arial" w:eastAsia="Arial" w:hAnsi="Arial"/>
                <w:sz w:val="22"/>
                <w:szCs w:val="22"/>
                <w:color w:val="auto"/>
              </w:rPr>
              <w:t>8</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Borders>
              <w:bottom w:val="single" w:sz="8" w:color="auto"/>
            </w:tcBorders>
            <w:gridSpan w:val="8"/>
          </w:tcPr>
          <w:p>
            <w:pPr>
              <w:spacing w:after="0"/>
              <w:rPr>
                <w:rFonts w:ascii="Arial" w:cs="Arial" w:eastAsia="Arial" w:hAnsi="Arial"/>
                <w:sz w:val="22"/>
                <w:szCs w:val="22"/>
                <w:color w:val="auto"/>
                <w:w w:val="89"/>
              </w:rPr>
            </w:pPr>
            <w:hyperlink w:anchor="page16">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2.4Cooperation by Holders</w:t>
            </w:r>
          </w:p>
        </w:tc>
        <w:tc>
          <w:tcPr>
            <w:tcW w:w="4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w:cs="Arial" w:eastAsia="Arial" w:hAnsi="Arial"/>
                <w:sz w:val="22"/>
                <w:szCs w:val="22"/>
                <w:color w:val="auto"/>
              </w:rPr>
              <w:t>12</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12"/>
          </w:tcPr>
          <w:p>
            <w:pPr>
              <w:spacing w:after="0"/>
              <w:rPr>
                <w:rFonts w:ascii="Arial" w:cs="Arial" w:eastAsia="Arial" w:hAnsi="Arial"/>
                <w:sz w:val="22"/>
                <w:szCs w:val="22"/>
                <w:color w:val="auto"/>
                <w:w w:val="91"/>
              </w:rPr>
            </w:pPr>
            <w:hyperlink w:anchor="page16">
              <w:r>
                <w:rPr>
                  <w:rFonts w:ascii="Arial" w:cs="Arial" w:eastAsia="Arial" w:hAnsi="Arial"/>
                  <w:sz w:val="22"/>
                  <w:szCs w:val="22"/>
                  <w:color w:val="auto"/>
                  <w:w w:val="91"/>
                </w:rPr>
                <w:t xml:space="preserve">Section </w:t>
              </w:r>
            </w:hyperlink>
            <w:r>
              <w:rPr>
                <w:rFonts w:ascii="Arial" w:cs="Arial" w:eastAsia="Arial" w:hAnsi="Arial"/>
                <w:sz w:val="22"/>
                <w:szCs w:val="22"/>
                <w:color w:val="auto"/>
                <w:w w:val="91"/>
              </w:rPr>
              <w:t>2.5Restrictions on Public Sale by Holders of Registrable Securities  12</w:t>
            </w: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top w:val="single" w:sz="8" w:color="auto"/>
            </w:tcBorders>
            <w:gridSpan w:val="5"/>
          </w:tcPr>
          <w:p>
            <w:pPr>
              <w:spacing w:after="0"/>
              <w:rPr>
                <w:rFonts w:ascii="Arial" w:cs="Arial" w:eastAsia="Arial" w:hAnsi="Arial"/>
                <w:sz w:val="22"/>
                <w:szCs w:val="22"/>
                <w:color w:val="auto"/>
              </w:rPr>
            </w:pPr>
            <w:hyperlink w:anchor="page16">
              <w:r>
                <w:rPr>
                  <w:rFonts w:ascii="Arial" w:cs="Arial" w:eastAsia="Arial" w:hAnsi="Arial"/>
                  <w:sz w:val="22"/>
                  <w:szCs w:val="22"/>
                  <w:color w:val="auto"/>
                </w:rPr>
                <w:t xml:space="preserve">Section </w:t>
              </w:r>
            </w:hyperlink>
            <w:r>
              <w:rPr>
                <w:rFonts w:ascii="Arial" w:cs="Arial" w:eastAsia="Arial" w:hAnsi="Arial"/>
                <w:sz w:val="22"/>
                <w:szCs w:val="22"/>
                <w:color w:val="auto"/>
              </w:rPr>
              <w:t>2.6Expenses  13</w:t>
            </w: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22"/>
                <w:szCs w:val="22"/>
                <w:color w:val="auto"/>
              </w:rPr>
            </w:pPr>
            <w:hyperlink w:anchor="page17">
              <w:r>
                <w:rPr>
                  <w:rFonts w:ascii="Arial" w:cs="Arial" w:eastAsia="Arial" w:hAnsi="Arial"/>
                  <w:sz w:val="22"/>
                  <w:szCs w:val="22"/>
                  <w:color w:val="auto"/>
                </w:rPr>
                <w:t xml:space="preserve">Section </w:t>
              </w:r>
            </w:hyperlink>
            <w:r>
              <w:rPr>
                <w:rFonts w:ascii="Arial" w:cs="Arial" w:eastAsia="Arial" w:hAnsi="Arial"/>
                <w:sz w:val="22"/>
                <w:szCs w:val="22"/>
                <w:color w:val="auto"/>
              </w:rPr>
              <w:t>2.7Indemnification  13</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gridSpan w:val="5"/>
          </w:tcPr>
          <w:p>
            <w:pPr>
              <w:spacing w:after="0"/>
              <w:rPr>
                <w:rFonts w:ascii="Arial" w:cs="Arial" w:eastAsia="Arial" w:hAnsi="Arial"/>
                <w:sz w:val="22"/>
                <w:szCs w:val="22"/>
                <w:color w:val="auto"/>
                <w:w w:val="88"/>
              </w:rPr>
            </w:pPr>
            <w:hyperlink w:anchor="page18">
              <w:r>
                <w:rPr>
                  <w:rFonts w:ascii="Arial" w:cs="Arial" w:eastAsia="Arial" w:hAnsi="Arial"/>
                  <w:sz w:val="22"/>
                  <w:szCs w:val="22"/>
                  <w:color w:val="auto"/>
                  <w:w w:val="88"/>
                </w:rPr>
                <w:t xml:space="preserve">Section </w:t>
              </w:r>
            </w:hyperlink>
            <w:r>
              <w:rPr>
                <w:rFonts w:ascii="Arial" w:cs="Arial" w:eastAsia="Arial" w:hAnsi="Arial"/>
                <w:sz w:val="22"/>
                <w:szCs w:val="22"/>
                <w:color w:val="auto"/>
                <w:w w:val="88"/>
              </w:rPr>
              <w:t>2.8Rule 144 Reporting</w:t>
            </w:r>
          </w:p>
        </w:tc>
        <w:tc>
          <w:tcPr>
            <w:tcW w:w="420" w:type="dxa"/>
            <w:vAlign w:val="bottom"/>
            <w:gridSpan w:val="4"/>
          </w:tcPr>
          <w:p>
            <w:pPr>
              <w:jc w:val="right"/>
              <w:spacing w:after="0"/>
              <w:rPr>
                <w:sz w:val="20"/>
                <w:szCs w:val="20"/>
                <w:color w:val="auto"/>
              </w:rPr>
            </w:pPr>
            <w:r>
              <w:rPr>
                <w:rFonts w:ascii="Arial" w:cs="Arial" w:eastAsia="Arial" w:hAnsi="Arial"/>
                <w:sz w:val="22"/>
                <w:szCs w:val="22"/>
                <w:color w:val="auto"/>
              </w:rPr>
              <w:t>15</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12"/>
          </w:tcPr>
          <w:p>
            <w:pPr>
              <w:spacing w:after="0"/>
              <w:rPr>
                <w:rFonts w:ascii="Arial" w:cs="Arial" w:eastAsia="Arial" w:hAnsi="Arial"/>
                <w:sz w:val="22"/>
                <w:szCs w:val="22"/>
                <w:color w:val="auto"/>
              </w:rPr>
            </w:pPr>
            <w:hyperlink w:anchor="page18">
              <w:r>
                <w:rPr>
                  <w:rFonts w:ascii="Arial" w:cs="Arial" w:eastAsia="Arial" w:hAnsi="Arial"/>
                  <w:sz w:val="22"/>
                  <w:szCs w:val="22"/>
                  <w:color w:val="auto"/>
                </w:rPr>
                <w:t xml:space="preserve">Section </w:t>
              </w:r>
            </w:hyperlink>
            <w:r>
              <w:rPr>
                <w:rFonts w:ascii="Arial" w:cs="Arial" w:eastAsia="Arial" w:hAnsi="Arial"/>
                <w:sz w:val="22"/>
                <w:szCs w:val="22"/>
                <w:color w:val="auto"/>
              </w:rPr>
              <w:t>2.9Transfer or Assignment of Registration Rights  16</w:t>
            </w: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Borders>
              <w:top w:val="single" w:sz="8" w:color="auto"/>
              <w:bottom w:val="single" w:sz="8" w:color="auto"/>
            </w:tcBorders>
            <w:gridSpan w:val="7"/>
          </w:tcPr>
          <w:p>
            <w:pPr>
              <w:spacing w:after="0"/>
              <w:rPr>
                <w:rFonts w:ascii="Arial" w:cs="Arial" w:eastAsia="Arial" w:hAnsi="Arial"/>
                <w:sz w:val="22"/>
                <w:szCs w:val="22"/>
                <w:color w:val="auto"/>
                <w:w w:val="90"/>
              </w:rPr>
            </w:pPr>
            <w:hyperlink w:anchor="page18">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2.10Information by Holder</w:t>
            </w:r>
          </w:p>
        </w:tc>
        <w:tc>
          <w:tcPr>
            <w:tcW w:w="60" w:type="dxa"/>
            <w:vAlign w:val="bottom"/>
            <w:tcBorders>
              <w:top w:val="single" w:sz="8" w:color="auto"/>
            </w:tcBorders>
            <w:gridSpan w:val="2"/>
          </w:tcPr>
          <w:p>
            <w:pPr>
              <w:spacing w:after="0"/>
              <w:rPr>
                <w:sz w:val="24"/>
                <w:szCs w:val="24"/>
                <w:color w:val="auto"/>
              </w:rPr>
            </w:pPr>
          </w:p>
        </w:tc>
        <w:tc>
          <w:tcPr>
            <w:tcW w:w="188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16</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Borders>
              <w:bottom w:val="single" w:sz="8" w:color="auto"/>
            </w:tcBorders>
            <w:gridSpan w:val="12"/>
          </w:tcPr>
          <w:p>
            <w:pPr>
              <w:spacing w:after="0"/>
              <w:rPr>
                <w:rFonts w:ascii="Arial" w:cs="Arial" w:eastAsia="Arial" w:hAnsi="Arial"/>
                <w:sz w:val="22"/>
                <w:szCs w:val="22"/>
                <w:color w:val="auto"/>
                <w:w w:val="88"/>
              </w:rPr>
            </w:pPr>
            <w:hyperlink w:anchor="page18">
              <w:r>
                <w:rPr>
                  <w:rFonts w:ascii="Arial" w:cs="Arial" w:eastAsia="Arial" w:hAnsi="Arial"/>
                  <w:sz w:val="22"/>
                  <w:szCs w:val="22"/>
                  <w:color w:val="auto"/>
                  <w:w w:val="88"/>
                </w:rPr>
                <w:t xml:space="preserve">Section </w:t>
              </w:r>
            </w:hyperlink>
            <w:r>
              <w:rPr>
                <w:rFonts w:ascii="Arial" w:cs="Arial" w:eastAsia="Arial" w:hAnsi="Arial"/>
                <w:sz w:val="22"/>
                <w:szCs w:val="22"/>
                <w:color w:val="auto"/>
                <w:w w:val="88"/>
              </w:rPr>
              <w:t>2.11No Inconsistent Agreements; Limitation on Subsequent Registration</w:t>
            </w:r>
          </w:p>
        </w:tc>
      </w:tr>
      <w:tr>
        <w:trPr>
          <w:trHeight w:val="237"/>
        </w:trPr>
        <w:tc>
          <w:tcPr>
            <w:tcW w:w="660" w:type="dxa"/>
            <w:vAlign w:val="bottom"/>
          </w:tcPr>
          <w:p>
            <w:pPr>
              <w:spacing w:after="0"/>
              <w:rPr>
                <w:sz w:val="20"/>
                <w:szCs w:val="20"/>
                <w:color w:val="auto"/>
              </w:rPr>
            </w:pPr>
          </w:p>
        </w:tc>
        <w:tc>
          <w:tcPr>
            <w:tcW w:w="4620" w:type="dxa"/>
            <w:vAlign w:val="bottom"/>
            <w:gridSpan w:val="8"/>
          </w:tcPr>
          <w:p>
            <w:pPr>
              <w:spacing w:after="0" w:line="237" w:lineRule="exact"/>
              <w:rPr>
                <w:sz w:val="20"/>
                <w:szCs w:val="20"/>
                <w:color w:val="auto"/>
              </w:rPr>
            </w:pPr>
            <w:r>
              <w:rPr>
                <w:rFonts w:ascii="Arial" w:cs="Arial" w:eastAsia="Arial" w:hAnsi="Arial"/>
                <w:sz w:val="22"/>
                <w:szCs w:val="22"/>
                <w:color w:val="auto"/>
              </w:rPr>
              <w:t>Rights  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45"/>
        </w:trPr>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22"/>
                <w:szCs w:val="22"/>
                <w:color w:val="auto"/>
                <w:w w:val="94"/>
              </w:rPr>
            </w:pPr>
            <w:hyperlink w:anchor="page18">
              <w:r>
                <w:rPr>
                  <w:rFonts w:ascii="Arial" w:cs="Arial" w:eastAsia="Arial" w:hAnsi="Arial"/>
                  <w:sz w:val="22"/>
                  <w:szCs w:val="22"/>
                  <w:color w:val="auto"/>
                  <w:w w:val="94"/>
                </w:rPr>
                <w:t xml:space="preserve">Section </w:t>
              </w:r>
            </w:hyperlink>
            <w:r>
              <w:rPr>
                <w:rFonts w:ascii="Arial" w:cs="Arial" w:eastAsia="Arial" w:hAnsi="Arial"/>
                <w:sz w:val="22"/>
                <w:szCs w:val="22"/>
                <w:color w:val="auto"/>
                <w:w w:val="94"/>
              </w:rPr>
              <w:t>2.12Transfer Restrictions</w:t>
            </w:r>
          </w:p>
        </w:tc>
        <w:tc>
          <w:tcPr>
            <w:tcW w:w="1880" w:type="dxa"/>
            <w:vAlign w:val="bottom"/>
          </w:tcPr>
          <w:p>
            <w:pPr>
              <w:jc w:val="right"/>
              <w:ind w:right="1552"/>
              <w:spacing w:after="0"/>
              <w:rPr>
                <w:sz w:val="20"/>
                <w:szCs w:val="20"/>
                <w:color w:val="auto"/>
              </w:rPr>
            </w:pPr>
            <w:r>
              <w:rPr>
                <w:rFonts w:ascii="Arial" w:cs="Arial" w:eastAsia="Arial" w:hAnsi="Arial"/>
                <w:sz w:val="22"/>
                <w:szCs w:val="22"/>
                <w:color w:val="auto"/>
                <w:w w:val="81"/>
              </w:rPr>
              <w:t>16</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spacing w:after="0"/>
              <w:rPr>
                <w:rFonts w:ascii="Arial" w:cs="Arial" w:eastAsia="Arial" w:hAnsi="Arial"/>
                <w:sz w:val="22"/>
                <w:szCs w:val="22"/>
                <w:color w:val="auto"/>
                <w:w w:val="92"/>
              </w:rPr>
            </w:pPr>
            <w:hyperlink w:anchor="page19">
              <w:r>
                <w:rPr>
                  <w:rFonts w:ascii="Arial" w:cs="Arial" w:eastAsia="Arial" w:hAnsi="Arial"/>
                  <w:sz w:val="22"/>
                  <w:szCs w:val="22"/>
                  <w:color w:val="auto"/>
                  <w:w w:val="92"/>
                </w:rPr>
                <w:t xml:space="preserve">Section </w:t>
              </w:r>
            </w:hyperlink>
            <w:r>
              <w:rPr>
                <w:rFonts w:ascii="Arial" w:cs="Arial" w:eastAsia="Arial" w:hAnsi="Arial"/>
                <w:sz w:val="22"/>
                <w:szCs w:val="22"/>
                <w:color w:val="auto"/>
                <w:w w:val="92"/>
              </w:rPr>
              <w:t>2.13Other Limitations</w:t>
            </w:r>
          </w:p>
        </w:tc>
        <w:tc>
          <w:tcPr>
            <w:tcW w:w="420" w:type="dxa"/>
            <w:vAlign w:val="bottom"/>
            <w:gridSpan w:val="4"/>
          </w:tcPr>
          <w:p>
            <w:pPr>
              <w:jc w:val="right"/>
              <w:ind w:right="40"/>
              <w:spacing w:after="0"/>
              <w:rPr>
                <w:sz w:val="20"/>
                <w:szCs w:val="20"/>
                <w:color w:val="auto"/>
              </w:rPr>
            </w:pPr>
            <w:r>
              <w:rPr>
                <w:rFonts w:ascii="Arial" w:cs="Arial" w:eastAsia="Arial" w:hAnsi="Arial"/>
                <w:sz w:val="22"/>
                <w:szCs w:val="22"/>
                <w:color w:val="auto"/>
              </w:rPr>
              <w:t>16</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tabs>
          <w:tab w:leader="none" w:pos="11280" w:val="left"/>
        </w:tabs>
        <w:rPr>
          <w:sz w:val="20"/>
          <w:szCs w:val="20"/>
          <w:color w:val="auto"/>
        </w:rPr>
      </w:pPr>
      <w:r>
        <w:rPr>
          <w:rFonts w:ascii="Arial" w:cs="Arial" w:eastAsia="Arial" w:hAnsi="Arial"/>
          <w:sz w:val="16"/>
          <w:szCs w:val="16"/>
          <w:color w:val="auto"/>
        </w:rPr>
        <w:t>Execution Version</w:t>
      </w:r>
      <w:r>
        <w:rPr>
          <w:sz w:val="20"/>
          <w:szCs w:val="20"/>
          <w:color w:val="auto"/>
        </w:rPr>
        <w:tab/>
      </w:r>
      <w:r>
        <w:rPr>
          <w:rFonts w:ascii="Arial" w:cs="Arial" w:eastAsia="Arial" w:hAnsi="Arial"/>
          <w:sz w:val="16"/>
          <w:szCs w:val="16"/>
          <w:color w:val="auto"/>
        </w:rPr>
        <w:t>i</w:t>
      </w:r>
    </w:p>
    <w:p>
      <w:pPr>
        <w:sectPr>
          <w:pgSz w:w="11900" w:h="16838" w:orient="portrait"/>
          <w:cols w:equalWidth="0" w:num="1">
            <w:col w:w="11360"/>
          </w:cols>
          <w:pgMar w:left="280" w:top="360" w:right="259" w:bottom="1440" w:gutter="0" w:footer="0" w:header="0"/>
        </w:sectPr>
      </w:pPr>
    </w:p>
    <w:bookmarkStart w:id="5" w:name="page6"/>
    <w:bookmarkEnd w:id="5"/>
    <w:p>
      <w:pPr>
        <w:spacing w:after="0" w:line="257" w:lineRule="exact"/>
        <w:rPr>
          <w:sz w:val="20"/>
          <w:szCs w:val="20"/>
          <w:color w:val="auto"/>
        </w:rPr>
      </w:pPr>
    </w:p>
    <w:p>
      <w:pPr>
        <w:ind w:left="1260"/>
        <w:spacing w:after="0"/>
        <w:rPr>
          <w:rFonts w:ascii="Arial" w:cs="Arial" w:eastAsia="Arial" w:hAnsi="Arial"/>
          <w:sz w:val="22"/>
          <w:szCs w:val="22"/>
          <w:color w:val="auto"/>
        </w:rPr>
      </w:pPr>
      <w:hyperlink w:anchor="page19">
        <w:r>
          <w:rPr>
            <w:rFonts w:ascii="Arial" w:cs="Arial" w:eastAsia="Arial" w:hAnsi="Arial"/>
            <w:sz w:val="22"/>
            <w:szCs w:val="22"/>
            <w:u w:val="single" w:color="auto"/>
            <w:color w:val="auto"/>
          </w:rPr>
          <w:t>III MISCELLANEOUS</w:t>
        </w:r>
        <w:r>
          <w:rPr>
            <w:rFonts w:ascii="Arial" w:cs="Arial" w:eastAsia="Arial" w:hAnsi="Arial"/>
            <w:sz w:val="22"/>
            <w:szCs w:val="22"/>
            <w:color w:val="auto"/>
          </w:rPr>
          <w:t>17</w:t>
        </w:r>
      </w:hyperlink>
    </w:p>
    <w:p>
      <w:pPr>
        <w:spacing w:after="0" w:line="83" w:lineRule="exact"/>
        <w:rPr>
          <w:sz w:val="20"/>
          <w:szCs w:val="20"/>
          <w:color w:val="auto"/>
        </w:rPr>
      </w:pPr>
    </w:p>
    <w:tbl>
      <w:tblPr>
        <w:tblLayout w:type="fixed"/>
        <w:tblInd w:w="3860" w:type="dxa"/>
        <w:tblCellMar>
          <w:top w:w="0" w:type="dxa"/>
          <w:left w:w="0" w:type="dxa"/>
          <w:bottom w:w="0" w:type="dxa"/>
          <w:right w:w="0" w:type="dxa"/>
        </w:tblCellMar>
      </w:tblPr>
      <w:tr>
        <w:trPr>
          <w:trHeight w:val="253"/>
        </w:trPr>
        <w:tc>
          <w:tcPr>
            <w:tcW w:w="2640" w:type="dxa"/>
            <w:vAlign w:val="bottom"/>
            <w:gridSpan w:val="9"/>
          </w:tcPr>
          <w:p>
            <w:pPr>
              <w:spacing w:after="0"/>
              <w:rPr>
                <w:rFonts w:ascii="Arial" w:cs="Arial" w:eastAsia="Arial" w:hAnsi="Arial"/>
                <w:sz w:val="22"/>
                <w:szCs w:val="22"/>
                <w:color w:val="auto"/>
                <w:w w:val="95"/>
              </w:rPr>
            </w:pPr>
            <w:hyperlink w:anchor="page19">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3.1Communications</w:t>
            </w:r>
          </w:p>
        </w:tc>
        <w:tc>
          <w:tcPr>
            <w:tcW w:w="380" w:type="dxa"/>
            <w:vAlign w:val="bottom"/>
            <w:gridSpan w:val="4"/>
          </w:tcPr>
          <w:p>
            <w:pPr>
              <w:jc w:val="right"/>
              <w:ind w:right="140"/>
              <w:spacing w:after="0"/>
              <w:rPr>
                <w:sz w:val="20"/>
                <w:szCs w:val="20"/>
                <w:color w:val="auto"/>
              </w:rPr>
            </w:pPr>
            <w:r>
              <w:rPr>
                <w:rFonts w:ascii="Arial" w:cs="Arial" w:eastAsia="Arial" w:hAnsi="Arial"/>
                <w:sz w:val="22"/>
                <w:szCs w:val="22"/>
                <w:color w:val="auto"/>
                <w:w w:val="89"/>
              </w:rPr>
              <w:t>17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3060" w:type="dxa"/>
            <w:vAlign w:val="bottom"/>
            <w:gridSpan w:val="14"/>
          </w:tcPr>
          <w:p>
            <w:pPr>
              <w:spacing w:after="0"/>
              <w:rPr>
                <w:rFonts w:ascii="Arial" w:cs="Arial" w:eastAsia="Arial" w:hAnsi="Arial"/>
                <w:sz w:val="22"/>
                <w:szCs w:val="22"/>
                <w:color w:val="auto"/>
                <w:w w:val="86"/>
              </w:rPr>
            </w:pPr>
            <w:hyperlink w:anchor="page19">
              <w:r>
                <w:rPr>
                  <w:rFonts w:ascii="Arial" w:cs="Arial" w:eastAsia="Arial" w:hAnsi="Arial"/>
                  <w:sz w:val="22"/>
                  <w:szCs w:val="22"/>
                  <w:color w:val="auto"/>
                  <w:w w:val="86"/>
                </w:rPr>
                <w:t xml:space="preserve">Section </w:t>
              </w:r>
            </w:hyperlink>
            <w:r>
              <w:rPr>
                <w:rFonts w:ascii="Arial" w:cs="Arial" w:eastAsia="Arial" w:hAnsi="Arial"/>
                <w:sz w:val="22"/>
                <w:szCs w:val="22"/>
                <w:color w:val="auto"/>
                <w:w w:val="86"/>
              </w:rPr>
              <w:t>3.2Successors and Assigns</w:t>
            </w:r>
          </w:p>
        </w:tc>
        <w:tc>
          <w:tcPr>
            <w:tcW w:w="460" w:type="dxa"/>
            <w:vAlign w:val="bottom"/>
            <w:gridSpan w:val="2"/>
          </w:tcPr>
          <w:p>
            <w:pPr>
              <w:jc w:val="right"/>
              <w:ind w:right="60"/>
              <w:spacing w:after="0"/>
              <w:rPr>
                <w:sz w:val="20"/>
                <w:szCs w:val="20"/>
                <w:color w:val="auto"/>
              </w:rPr>
            </w:pPr>
            <w:r>
              <w:rPr>
                <w:rFonts w:ascii="Arial" w:cs="Arial" w:eastAsia="Arial" w:hAnsi="Arial"/>
                <w:sz w:val="22"/>
                <w:szCs w:val="22"/>
                <w:color w:val="auto"/>
              </w:rPr>
              <w:t>17</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860" w:type="dxa"/>
            <w:vAlign w:val="bottom"/>
            <w:tcBorders>
              <w:top w:val="single" w:sz="8" w:color="auto"/>
              <w:bottom w:val="single" w:sz="8" w:color="auto"/>
            </w:tcBorders>
            <w:gridSpan w:val="12"/>
          </w:tcPr>
          <w:p>
            <w:pPr>
              <w:spacing w:after="0"/>
              <w:rPr>
                <w:rFonts w:ascii="Arial" w:cs="Arial" w:eastAsia="Arial" w:hAnsi="Arial"/>
                <w:sz w:val="22"/>
                <w:szCs w:val="22"/>
                <w:color w:val="auto"/>
                <w:w w:val="89"/>
              </w:rPr>
            </w:pPr>
            <w:hyperlink w:anchor="page19">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3.3Assignment of Rights</w:t>
            </w: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w w:val="81"/>
              </w:rPr>
              <w:t>18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5020" w:type="dxa"/>
            <w:vAlign w:val="bottom"/>
            <w:gridSpan w:val="20"/>
          </w:tcPr>
          <w:p>
            <w:pPr>
              <w:spacing w:after="0"/>
              <w:rPr>
                <w:rFonts w:ascii="Arial" w:cs="Arial" w:eastAsia="Arial" w:hAnsi="Arial"/>
                <w:sz w:val="22"/>
                <w:szCs w:val="22"/>
                <w:color w:val="auto"/>
              </w:rPr>
            </w:pPr>
            <w:hyperlink w:anchor="page19">
              <w:r>
                <w:rPr>
                  <w:rFonts w:ascii="Arial" w:cs="Arial" w:eastAsia="Arial" w:hAnsi="Arial"/>
                  <w:sz w:val="22"/>
                  <w:szCs w:val="22"/>
                  <w:color w:val="auto"/>
                </w:rPr>
                <w:t xml:space="preserve">Section </w:t>
              </w:r>
            </w:hyperlink>
            <w:r>
              <w:rPr>
                <w:rFonts w:ascii="Arial" w:cs="Arial" w:eastAsia="Arial" w:hAnsi="Arial"/>
                <w:sz w:val="22"/>
                <w:szCs w:val="22"/>
                <w:color w:val="auto"/>
              </w:rPr>
              <w:t>3.4Recapitalization Affecting the Stock  18</w:t>
            </w:r>
          </w:p>
        </w:tc>
        <w:tc>
          <w:tcPr>
            <w:tcW w:w="340" w:type="dxa"/>
            <w:vAlign w:val="bottom"/>
          </w:tcPr>
          <w:p>
            <w:pPr>
              <w:spacing w:after="0"/>
              <w:rPr>
                <w:sz w:val="24"/>
                <w:szCs w:val="24"/>
                <w:color w:val="auto"/>
              </w:rPr>
            </w:pPr>
          </w:p>
        </w:tc>
      </w:tr>
      <w:tr>
        <w:trPr>
          <w:trHeight w:val="345"/>
        </w:trPr>
        <w:tc>
          <w:tcPr>
            <w:tcW w:w="3060" w:type="dxa"/>
            <w:vAlign w:val="bottom"/>
            <w:tcBorders>
              <w:top w:val="single" w:sz="8" w:color="auto"/>
            </w:tcBorders>
            <w:gridSpan w:val="14"/>
          </w:tcPr>
          <w:p>
            <w:pPr>
              <w:spacing w:after="0"/>
              <w:rPr>
                <w:rFonts w:ascii="Arial" w:cs="Arial" w:eastAsia="Arial" w:hAnsi="Arial"/>
                <w:sz w:val="22"/>
                <w:szCs w:val="22"/>
                <w:color w:val="auto"/>
                <w:w w:val="95"/>
              </w:rPr>
            </w:pPr>
            <w:hyperlink w:anchor="page19">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3.5Specific Performance</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73"/>
              </w:rPr>
              <w:t>18</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140" w:type="dxa"/>
            <w:vAlign w:val="bottom"/>
            <w:tcBorders>
              <w:top w:val="single" w:sz="8" w:color="auto"/>
            </w:tcBorders>
            <w:gridSpan w:val="4"/>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3.6Counterparts</w:t>
            </w:r>
          </w:p>
        </w:tc>
        <w:tc>
          <w:tcPr>
            <w:tcW w:w="4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22"/>
                <w:szCs w:val="22"/>
                <w:color w:val="auto"/>
              </w:rPr>
              <w:t>18</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2640" w:type="dxa"/>
            <w:vAlign w:val="bottom"/>
            <w:gridSpan w:val="9"/>
          </w:tcPr>
          <w:p>
            <w:pPr>
              <w:spacing w:after="0"/>
              <w:rPr>
                <w:rFonts w:ascii="Arial" w:cs="Arial" w:eastAsia="Arial" w:hAnsi="Arial"/>
                <w:sz w:val="22"/>
                <w:szCs w:val="22"/>
                <w:color w:val="auto"/>
              </w:rPr>
            </w:pPr>
            <w:hyperlink w:anchor="page20">
              <w:r>
                <w:rPr>
                  <w:rFonts w:ascii="Arial" w:cs="Arial" w:eastAsia="Arial" w:hAnsi="Arial"/>
                  <w:sz w:val="22"/>
                  <w:szCs w:val="22"/>
                  <w:color w:val="auto"/>
                </w:rPr>
                <w:t xml:space="preserve">Section </w:t>
              </w:r>
            </w:hyperlink>
            <w:r>
              <w:rPr>
                <w:rFonts w:ascii="Arial" w:cs="Arial" w:eastAsia="Arial" w:hAnsi="Arial"/>
                <w:sz w:val="22"/>
                <w:szCs w:val="22"/>
                <w:color w:val="auto"/>
              </w:rPr>
              <w:t>3.7Headings  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3060" w:type="dxa"/>
            <w:vAlign w:val="bottom"/>
            <w:gridSpan w:val="14"/>
          </w:tcPr>
          <w:p>
            <w:pPr>
              <w:spacing w:after="0"/>
              <w:rPr>
                <w:rFonts w:ascii="Arial" w:cs="Arial" w:eastAsia="Arial" w:hAnsi="Arial"/>
                <w:sz w:val="22"/>
                <w:szCs w:val="22"/>
                <w:color w:val="auto"/>
              </w:rPr>
            </w:pPr>
            <w:hyperlink w:anchor="page20">
              <w:r>
                <w:rPr>
                  <w:rFonts w:ascii="Arial" w:cs="Arial" w:eastAsia="Arial" w:hAnsi="Arial"/>
                  <w:sz w:val="22"/>
                  <w:szCs w:val="22"/>
                  <w:color w:val="auto"/>
                </w:rPr>
                <w:t xml:space="preserve">Section </w:t>
              </w:r>
            </w:hyperlink>
            <w:r>
              <w:rPr>
                <w:rFonts w:ascii="Arial" w:cs="Arial" w:eastAsia="Arial" w:hAnsi="Arial"/>
                <w:sz w:val="22"/>
                <w:szCs w:val="22"/>
                <w:color w:val="auto"/>
              </w:rPr>
              <w:t>3.8Governing Law  18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1980" w:type="dxa"/>
            <w:vAlign w:val="bottom"/>
            <w:tcBorders>
              <w:bottom w:val="single" w:sz="8" w:color="auto"/>
            </w:tcBorders>
            <w:gridSpan w:val="2"/>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3.9Jurisdiction</w:t>
            </w:r>
          </w:p>
        </w:tc>
        <w:tc>
          <w:tcPr>
            <w:tcW w:w="1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22"/>
                <w:szCs w:val="22"/>
                <w:color w:val="auto"/>
              </w:rPr>
              <w:t>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520" w:type="dxa"/>
            <w:vAlign w:val="bottom"/>
            <w:tcBorders>
              <w:bottom w:val="single" w:sz="8" w:color="auto"/>
            </w:tcBorders>
            <w:gridSpan w:val="16"/>
          </w:tcPr>
          <w:p>
            <w:pPr>
              <w:spacing w:after="0"/>
              <w:rPr>
                <w:rFonts w:ascii="Arial" w:cs="Arial" w:eastAsia="Arial" w:hAnsi="Arial"/>
                <w:sz w:val="22"/>
                <w:szCs w:val="22"/>
                <w:color w:val="auto"/>
                <w:w w:val="92"/>
              </w:rPr>
            </w:pPr>
            <w:hyperlink w:anchor="page20">
              <w:r>
                <w:rPr>
                  <w:rFonts w:ascii="Arial" w:cs="Arial" w:eastAsia="Arial" w:hAnsi="Arial"/>
                  <w:sz w:val="22"/>
                  <w:szCs w:val="22"/>
                  <w:color w:val="auto"/>
                  <w:w w:val="92"/>
                </w:rPr>
                <w:t xml:space="preserve">Section </w:t>
              </w:r>
            </w:hyperlink>
            <w:r>
              <w:rPr>
                <w:rFonts w:ascii="Arial" w:cs="Arial" w:eastAsia="Arial" w:hAnsi="Arial"/>
                <w:sz w:val="22"/>
                <w:szCs w:val="22"/>
                <w:color w:val="auto"/>
                <w:w w:val="92"/>
              </w:rPr>
              <w:t>3.10WAIVER OF JURY TRIAL</w:t>
            </w:r>
          </w:p>
        </w:tc>
        <w:tc>
          <w:tcPr>
            <w:tcW w:w="600" w:type="dxa"/>
            <w:vAlign w:val="bottom"/>
          </w:tcPr>
          <w:p>
            <w:pPr>
              <w:jc w:val="right"/>
              <w:ind w:right="52"/>
              <w:spacing w:after="0"/>
              <w:rPr>
                <w:sz w:val="20"/>
                <w:szCs w:val="20"/>
                <w:color w:val="auto"/>
              </w:rPr>
            </w:pPr>
            <w:r>
              <w:rPr>
                <w:rFonts w:ascii="Arial" w:cs="Arial" w:eastAsia="Arial" w:hAnsi="Arial"/>
                <w:sz w:val="22"/>
                <w:szCs w:val="22"/>
                <w:color w:val="auto"/>
              </w:rPr>
              <w:t>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520" w:type="dxa"/>
            <w:vAlign w:val="bottom"/>
            <w:gridSpan w:val="16"/>
          </w:tcPr>
          <w:p>
            <w:pPr>
              <w:spacing w:after="0"/>
              <w:rPr>
                <w:rFonts w:ascii="Arial" w:cs="Arial" w:eastAsia="Arial" w:hAnsi="Arial"/>
                <w:sz w:val="22"/>
                <w:szCs w:val="22"/>
                <w:color w:val="auto"/>
                <w:w w:val="95"/>
              </w:rPr>
            </w:pPr>
            <w:hyperlink w:anchor="page20">
              <w:r>
                <w:rPr>
                  <w:rFonts w:ascii="Arial" w:cs="Arial" w:eastAsia="Arial" w:hAnsi="Arial"/>
                  <w:sz w:val="22"/>
                  <w:szCs w:val="22"/>
                  <w:color w:val="auto"/>
                  <w:w w:val="95"/>
                </w:rPr>
                <w:t xml:space="preserve">Section </w:t>
              </w:r>
            </w:hyperlink>
            <w:r>
              <w:rPr>
                <w:rFonts w:ascii="Arial" w:cs="Arial" w:eastAsia="Arial" w:hAnsi="Arial"/>
                <w:sz w:val="22"/>
                <w:szCs w:val="22"/>
                <w:color w:val="auto"/>
                <w:w w:val="95"/>
              </w:rPr>
              <w:t>3.11Severability of Provisions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640" w:type="dxa"/>
            <w:vAlign w:val="bottom"/>
            <w:tcBorders>
              <w:top w:val="single" w:sz="8" w:color="auto"/>
            </w:tcBorders>
            <w:gridSpan w:val="9"/>
          </w:tcPr>
          <w:p>
            <w:pPr>
              <w:spacing w:after="0"/>
              <w:rPr>
                <w:rFonts w:ascii="Arial" w:cs="Arial" w:eastAsia="Arial" w:hAnsi="Arial"/>
                <w:sz w:val="22"/>
                <w:szCs w:val="22"/>
                <w:color w:val="auto"/>
                <w:w w:val="89"/>
              </w:rPr>
            </w:pPr>
            <w:hyperlink w:anchor="page20">
              <w:r>
                <w:rPr>
                  <w:rFonts w:ascii="Arial" w:cs="Arial" w:eastAsia="Arial" w:hAnsi="Arial"/>
                  <w:sz w:val="22"/>
                  <w:szCs w:val="22"/>
                  <w:color w:val="auto"/>
                  <w:w w:val="89"/>
                </w:rPr>
                <w:t xml:space="preserve">Section </w:t>
              </w:r>
            </w:hyperlink>
            <w:r>
              <w:rPr>
                <w:rFonts w:ascii="Arial" w:cs="Arial" w:eastAsia="Arial" w:hAnsi="Arial"/>
                <w:sz w:val="22"/>
                <w:szCs w:val="22"/>
                <w:color w:val="auto"/>
                <w:w w:val="89"/>
              </w:rPr>
              <w:t>3.12Entire Agreement</w:t>
            </w:r>
          </w:p>
        </w:tc>
        <w:tc>
          <w:tcPr>
            <w:tcW w:w="420" w:type="dxa"/>
            <w:vAlign w:val="bottom"/>
            <w:tcBorders>
              <w:top w:val="single" w:sz="8" w:color="auto"/>
            </w:tcBorders>
            <w:gridSpan w:val="5"/>
          </w:tcPr>
          <w:p>
            <w:pPr>
              <w:jc w:val="right"/>
              <w:spacing w:after="0"/>
              <w:rPr>
                <w:sz w:val="20"/>
                <w:szCs w:val="20"/>
                <w:color w:val="auto"/>
              </w:rPr>
            </w:pPr>
            <w:r>
              <w:rPr>
                <w:rFonts w:ascii="Arial" w:cs="Arial" w:eastAsia="Arial" w:hAnsi="Arial"/>
                <w:sz w:val="22"/>
                <w:szCs w:val="22"/>
                <w:color w:val="auto"/>
              </w:rPr>
              <w:t>19</w:t>
            </w: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140" w:type="dxa"/>
            <w:vAlign w:val="bottom"/>
            <w:tcBorders>
              <w:top w:val="single" w:sz="8" w:color="auto"/>
              <w:bottom w:val="single" w:sz="8" w:color="auto"/>
            </w:tcBorders>
            <w:gridSpan w:val="4"/>
          </w:tcPr>
          <w:p>
            <w:pPr>
              <w:spacing w:after="0"/>
              <w:rPr>
                <w:rFonts w:ascii="Arial" w:cs="Arial" w:eastAsia="Arial" w:hAnsi="Arial"/>
                <w:sz w:val="22"/>
                <w:szCs w:val="22"/>
                <w:color w:val="auto"/>
                <w:w w:val="87"/>
              </w:rPr>
            </w:pPr>
            <w:hyperlink w:anchor="page20">
              <w:r>
                <w:rPr>
                  <w:rFonts w:ascii="Arial" w:cs="Arial" w:eastAsia="Arial" w:hAnsi="Arial"/>
                  <w:sz w:val="22"/>
                  <w:szCs w:val="22"/>
                  <w:color w:val="auto"/>
                  <w:w w:val="87"/>
                </w:rPr>
                <w:t xml:space="preserve">Section </w:t>
              </w:r>
            </w:hyperlink>
            <w:r>
              <w:rPr>
                <w:rFonts w:ascii="Arial" w:cs="Arial" w:eastAsia="Arial" w:hAnsi="Arial"/>
                <w:sz w:val="22"/>
                <w:szCs w:val="22"/>
                <w:color w:val="auto"/>
                <w:w w:val="87"/>
              </w:rPr>
              <w:t>3.13Amendment</w:t>
            </w:r>
          </w:p>
        </w:tc>
        <w:tc>
          <w:tcPr>
            <w:tcW w:w="4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640" w:type="dxa"/>
            <w:vAlign w:val="bottom"/>
            <w:gridSpan w:val="9"/>
          </w:tcPr>
          <w:p>
            <w:pPr>
              <w:spacing w:after="0"/>
              <w:rPr>
                <w:rFonts w:ascii="Arial" w:cs="Arial" w:eastAsia="Arial" w:hAnsi="Arial"/>
                <w:sz w:val="22"/>
                <w:szCs w:val="22"/>
                <w:color w:val="auto"/>
                <w:w w:val="93"/>
              </w:rPr>
            </w:pPr>
            <w:hyperlink w:anchor="page20">
              <w:r>
                <w:rPr>
                  <w:rFonts w:ascii="Arial" w:cs="Arial" w:eastAsia="Arial" w:hAnsi="Arial"/>
                  <w:sz w:val="22"/>
                  <w:szCs w:val="22"/>
                  <w:color w:val="auto"/>
                  <w:w w:val="93"/>
                </w:rPr>
                <w:t xml:space="preserve">Section </w:t>
              </w:r>
            </w:hyperlink>
            <w:r>
              <w:rPr>
                <w:rFonts w:ascii="Arial" w:cs="Arial" w:eastAsia="Arial" w:hAnsi="Arial"/>
                <w:sz w:val="22"/>
                <w:szCs w:val="22"/>
                <w:color w:val="auto"/>
                <w:w w:val="93"/>
              </w:rPr>
              <w:t>3.14No Presumption</w:t>
            </w:r>
          </w:p>
        </w:tc>
        <w:tc>
          <w:tcPr>
            <w:tcW w:w="380" w:type="dxa"/>
            <w:vAlign w:val="bottom"/>
            <w:gridSpan w:val="4"/>
          </w:tcPr>
          <w:p>
            <w:pPr>
              <w:jc w:val="right"/>
              <w:ind w:right="100"/>
              <w:spacing w:after="0"/>
              <w:rPr>
                <w:sz w:val="20"/>
                <w:szCs w:val="20"/>
                <w:color w:val="auto"/>
              </w:rPr>
            </w:pPr>
            <w:r>
              <w:rPr>
                <w:rFonts w:ascii="Arial" w:cs="Arial" w:eastAsia="Arial" w:hAnsi="Arial"/>
                <w:sz w:val="22"/>
                <w:szCs w:val="22"/>
                <w:color w:val="auto"/>
              </w:rPr>
              <w:t>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2480" w:type="dxa"/>
            <w:vAlign w:val="bottom"/>
            <w:gridSpan w:val="7"/>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5020" w:type="dxa"/>
            <w:vAlign w:val="bottom"/>
            <w:gridSpan w:val="20"/>
          </w:tcPr>
          <w:p>
            <w:pPr>
              <w:spacing w:after="0"/>
              <w:rPr>
                <w:rFonts w:ascii="Arial" w:cs="Arial" w:eastAsia="Arial" w:hAnsi="Arial"/>
                <w:sz w:val="22"/>
                <w:szCs w:val="22"/>
                <w:color w:val="auto"/>
                <w:w w:val="91"/>
              </w:rPr>
            </w:pPr>
            <w:hyperlink w:anchor="page20">
              <w:r>
                <w:rPr>
                  <w:rFonts w:ascii="Arial" w:cs="Arial" w:eastAsia="Arial" w:hAnsi="Arial"/>
                  <w:sz w:val="22"/>
                  <w:szCs w:val="22"/>
                  <w:color w:val="auto"/>
                  <w:w w:val="91"/>
                </w:rPr>
                <w:t xml:space="preserve">Section </w:t>
              </w:r>
            </w:hyperlink>
            <w:r>
              <w:rPr>
                <w:rFonts w:ascii="Arial" w:cs="Arial" w:eastAsia="Arial" w:hAnsi="Arial"/>
                <w:sz w:val="22"/>
                <w:szCs w:val="22"/>
                <w:color w:val="auto"/>
                <w:w w:val="91"/>
              </w:rPr>
              <w:t>3.15Obligations Limited to Parties to Agreement</w:t>
            </w:r>
          </w:p>
        </w:tc>
        <w:tc>
          <w:tcPr>
            <w:tcW w:w="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45"/>
        </w:trPr>
        <w:tc>
          <w:tcPr>
            <w:tcW w:w="4920" w:type="dxa"/>
            <w:vAlign w:val="bottom"/>
            <w:tcBorders>
              <w:top w:val="single" w:sz="8" w:color="auto"/>
            </w:tcBorders>
            <w:gridSpan w:val="19"/>
          </w:tcPr>
          <w:p>
            <w:pPr>
              <w:spacing w:after="0"/>
              <w:rPr>
                <w:rFonts w:ascii="Arial" w:cs="Arial" w:eastAsia="Arial" w:hAnsi="Arial"/>
                <w:sz w:val="22"/>
                <w:szCs w:val="22"/>
                <w:color w:val="auto"/>
                <w:w w:val="90"/>
              </w:rPr>
            </w:pPr>
            <w:hyperlink w:anchor="page21">
              <w:r>
                <w:rPr>
                  <w:rFonts w:ascii="Arial" w:cs="Arial" w:eastAsia="Arial" w:hAnsi="Arial"/>
                  <w:sz w:val="22"/>
                  <w:szCs w:val="22"/>
                  <w:color w:val="auto"/>
                  <w:w w:val="90"/>
                </w:rPr>
                <w:t xml:space="preserve">Section </w:t>
              </w:r>
            </w:hyperlink>
            <w:r>
              <w:rPr>
                <w:rFonts w:ascii="Arial" w:cs="Arial" w:eastAsia="Arial" w:hAnsi="Arial"/>
                <w:sz w:val="22"/>
                <w:szCs w:val="22"/>
                <w:color w:val="auto"/>
                <w:w w:val="90"/>
              </w:rPr>
              <w:t>3.16Independent Nature of Holder’s Obligations</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45"/>
        </w:trPr>
        <w:tc>
          <w:tcPr>
            <w:tcW w:w="3520" w:type="dxa"/>
            <w:vAlign w:val="bottom"/>
            <w:tcBorders>
              <w:top w:val="single" w:sz="8" w:color="auto"/>
            </w:tcBorders>
            <w:gridSpan w:val="16"/>
          </w:tcPr>
          <w:p>
            <w:pPr>
              <w:spacing w:after="0"/>
              <w:rPr>
                <w:rFonts w:ascii="Arial" w:cs="Arial" w:eastAsia="Arial" w:hAnsi="Arial"/>
                <w:sz w:val="22"/>
                <w:szCs w:val="22"/>
                <w:color w:val="auto"/>
                <w:w w:val="99"/>
              </w:rPr>
            </w:pPr>
            <w:hyperlink w:anchor="page21">
              <w:r>
                <w:rPr>
                  <w:rFonts w:ascii="Arial" w:cs="Arial" w:eastAsia="Arial" w:hAnsi="Arial"/>
                  <w:sz w:val="22"/>
                  <w:szCs w:val="22"/>
                  <w:color w:val="auto"/>
                  <w:w w:val="99"/>
                </w:rPr>
                <w:t xml:space="preserve">Section </w:t>
              </w:r>
            </w:hyperlink>
            <w:r>
              <w:rPr>
                <w:rFonts w:ascii="Arial" w:cs="Arial" w:eastAsia="Arial" w:hAnsi="Arial"/>
                <w:sz w:val="22"/>
                <w:szCs w:val="22"/>
                <w:color w:val="auto"/>
                <w:w w:val="99"/>
              </w:rPr>
              <w:t>3.17Further Assurances  20</w:t>
            </w:r>
          </w:p>
        </w:tc>
        <w:tc>
          <w:tcPr>
            <w:tcW w:w="6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Execution Version</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22"/>
          <w:szCs w:val="22"/>
          <w:u w:val="single" w:color="auto"/>
          <w:color w:val="auto"/>
        </w:rPr>
      </w:pPr>
      <w:hyperlink w:anchor="page19">
        <w:r>
          <w:rPr>
            <w:rFonts w:ascii="Arial" w:cs="Arial" w:eastAsia="Arial" w:hAnsi="Arial"/>
            <w:sz w:val="22"/>
            <w:szCs w:val="22"/>
            <w:u w:val="single" w:color="auto"/>
            <w:color w:val="auto"/>
          </w:rPr>
          <w:t>ARTICLE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ii</w:t>
      </w:r>
    </w:p>
    <w:p>
      <w:pPr>
        <w:sectPr>
          <w:pgSz w:w="11900" w:h="16838" w:orient="portrait"/>
          <w:cols w:equalWidth="0" w:num="2">
            <w:col w:w="9540" w:space="720"/>
            <w:col w:w="1100"/>
          </w:cols>
          <w:pgMar w:left="280" w:top="375" w:right="259" w:bottom="1440" w:gutter="0" w:footer="0" w:header="0"/>
        </w:sectPr>
      </w:pPr>
    </w:p>
    <w:bookmarkStart w:id="6" w:name="page7"/>
    <w:bookmarkEnd w:id="6"/>
    <w:p>
      <w:pPr>
        <w:ind w:left="3900"/>
        <w:spacing w:after="0"/>
        <w:tabs>
          <w:tab w:leader="none" w:pos="7080" w:val="left"/>
        </w:tabs>
        <w:rPr>
          <w:rFonts w:ascii="Arial" w:cs="Arial" w:eastAsia="Arial" w:hAnsi="Arial"/>
          <w:sz w:val="22"/>
          <w:szCs w:val="22"/>
          <w:color w:val="auto"/>
        </w:rPr>
      </w:pPr>
      <w:hyperlink w:anchor="page21">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 xml:space="preserve">3.18Cumulative </w:t>
      </w:r>
      <w:r>
        <w:rPr>
          <w:rFonts w:ascii="Arial" w:cs="Arial" w:eastAsia="Arial" w:hAnsi="Arial"/>
          <w:sz w:val="22"/>
          <w:szCs w:val="22"/>
          <w:u w:val="single" w:color="auto"/>
          <w:color w:val="auto"/>
        </w:rPr>
        <w:t>Remedies</w:t>
      </w:r>
      <w:r>
        <w:rPr>
          <w:rFonts w:ascii="Arial" w:cs="Arial" w:eastAsia="Arial" w:hAnsi="Arial"/>
          <w:sz w:val="22"/>
          <w:szCs w:val="22"/>
          <w:color w:val="auto"/>
        </w:rPr>
        <w:tab/>
      </w:r>
      <w:r>
        <w:rPr>
          <w:rFonts w:ascii="Arial" w:cs="Arial" w:eastAsia="Arial" w:hAnsi="Arial"/>
          <w:sz w:val="19"/>
          <w:szCs w:val="19"/>
          <w:color w:val="auto"/>
        </w:rPr>
        <w:t>20</w:t>
      </w:r>
    </w:p>
    <w:p>
      <w:pPr>
        <w:spacing w:after="0" w:line="112" w:lineRule="exact"/>
        <w:rPr>
          <w:sz w:val="20"/>
          <w:szCs w:val="20"/>
          <w:color w:val="auto"/>
        </w:rPr>
      </w:pPr>
    </w:p>
    <w:p>
      <w:pPr>
        <w:ind w:left="3900"/>
        <w:spacing w:after="0"/>
        <w:tabs>
          <w:tab w:leader="none" w:pos="6220" w:val="left"/>
        </w:tabs>
        <w:rPr>
          <w:rFonts w:ascii="Arial" w:cs="Arial" w:eastAsia="Arial" w:hAnsi="Arial"/>
          <w:sz w:val="22"/>
          <w:szCs w:val="22"/>
          <w:color w:val="auto"/>
        </w:rPr>
      </w:pPr>
      <w:hyperlink w:anchor="page21">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3.19Termination</w:t>
        <w:tab/>
      </w:r>
      <w:r>
        <w:rPr>
          <w:rFonts w:ascii="Arial" w:cs="Arial" w:eastAsia="Arial" w:hAnsi="Arial"/>
          <w:sz w:val="19"/>
          <w:szCs w:val="19"/>
          <w:color w:val="auto"/>
        </w:rPr>
        <w:t>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33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tabs>
          <w:tab w:leader="none" w:pos="11240" w:val="left"/>
        </w:tabs>
        <w:rPr>
          <w:sz w:val="20"/>
          <w:szCs w:val="20"/>
          <w:color w:val="auto"/>
        </w:rPr>
      </w:pPr>
      <w:r>
        <w:rPr>
          <w:rFonts w:ascii="Arial" w:cs="Arial" w:eastAsia="Arial" w:hAnsi="Arial"/>
          <w:sz w:val="16"/>
          <w:szCs w:val="16"/>
          <w:color w:val="auto"/>
        </w:rPr>
        <w:t>Execution Version</w:t>
      </w:r>
      <w:r>
        <w:rPr>
          <w:sz w:val="20"/>
          <w:szCs w:val="20"/>
          <w:color w:val="auto"/>
        </w:rPr>
        <w:tab/>
      </w:r>
      <w:r>
        <w:rPr>
          <w:rFonts w:ascii="Arial" w:cs="Arial" w:eastAsia="Arial" w:hAnsi="Arial"/>
          <w:sz w:val="16"/>
          <w:szCs w:val="16"/>
          <w:color w:val="auto"/>
        </w:rPr>
        <w:t>iii</w:t>
      </w:r>
    </w:p>
    <w:p>
      <w:pPr>
        <w:sectPr>
          <w:pgSz w:w="11900" w:h="16838" w:orient="portrait"/>
          <w:cols w:equalWidth="0" w:num="1">
            <w:col w:w="11400"/>
          </w:cols>
          <w:pgMar w:left="240" w:top="375"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REGISTRATION RIGHTS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April 9, 2018, by and among California Resources Corporation,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Chevron U.S.A., Inc., a Pennsylvania corporation (“</w:t>
      </w:r>
      <w:r>
        <w:rPr>
          <w:rFonts w:ascii="Arial" w:cs="Arial" w:eastAsia="Arial" w:hAnsi="Arial"/>
          <w:sz w:val="20"/>
          <w:szCs w:val="20"/>
          <w:b w:val="1"/>
          <w:bCs w:val="1"/>
          <w:color w:val="auto"/>
        </w:rPr>
        <w:t>Chevron</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WHEREAS, in connection with, and in consideration of, the transactions contemplated by that certain Asset Sale and Purchase Agreement, dated as of April 9, 2018, by and among the Company, California Resources Elk Hills, LLC and Chevron (the “</w:t>
      </w:r>
      <w:r>
        <w:rPr>
          <w:rFonts w:ascii="Arial" w:cs="Arial" w:eastAsia="Arial" w:hAnsi="Arial"/>
          <w:sz w:val="20"/>
          <w:szCs w:val="20"/>
          <w:b w:val="1"/>
          <w:bCs w:val="1"/>
          <w:color w:val="auto"/>
        </w:rPr>
        <w:t>Asset Sale and</w:t>
      </w:r>
      <w:r>
        <w:rPr>
          <w:rFonts w:ascii="Arial" w:cs="Arial" w:eastAsia="Arial" w:hAnsi="Arial"/>
          <w:sz w:val="20"/>
          <w:szCs w:val="20"/>
          <w:color w:val="auto"/>
        </w:rPr>
        <w:t xml:space="preserve"> </w:t>
      </w:r>
      <w:r>
        <w:rPr>
          <w:rFonts w:ascii="Arial" w:cs="Arial" w:eastAsia="Arial" w:hAnsi="Arial"/>
          <w:sz w:val="20"/>
          <w:szCs w:val="20"/>
          <w:b w:val="1"/>
          <w:bCs w:val="1"/>
          <w:color w:val="auto"/>
        </w:rPr>
        <w:t>Purchase Agreement</w:t>
      </w:r>
      <w:r>
        <w:rPr>
          <w:rFonts w:ascii="Arial" w:cs="Arial" w:eastAsia="Arial" w:hAnsi="Arial"/>
          <w:sz w:val="20"/>
          <w:szCs w:val="20"/>
          <w:color w:val="auto"/>
        </w:rPr>
        <w:t>”), Chevron has requested, and the Company has agreed to provide, the registration and other rights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for the benefit of Chevron.</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738" w:right="239" w:bottom="1440" w:gutter="0" w:footer="0" w:header="0"/>
        </w:sectPr>
      </w:pPr>
    </w:p>
    <w:bookmarkStart w:id="8" w:name="page9"/>
    <w:bookmarkEnd w:id="8"/>
    <w:p>
      <w:pPr>
        <w:ind w:left="5180"/>
        <w:spacing w:after="0"/>
        <w:rPr>
          <w:sz w:val="20"/>
          <w:szCs w:val="20"/>
          <w:color w:val="auto"/>
        </w:rPr>
      </w:pPr>
      <w:r>
        <w:rPr>
          <w:rFonts w:ascii="Arial" w:cs="Arial" w:eastAsia="Arial" w:hAnsi="Arial"/>
          <w:sz w:val="20"/>
          <w:szCs w:val="20"/>
          <w:b w:val="1"/>
          <w:bCs w:val="1"/>
          <w:color w:val="auto"/>
        </w:rPr>
        <w:t>ARTICLE I</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Asset Sale and</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Purchase Agreement, except that the terms set forth below are used herein as so defined: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Filing Deadline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Registration Statement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has the meaning ascribed to it, on the date hereof, under Rule 405 of the Securities Act.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specified therefor in the introductory paragraph.</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Allowed Delay</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2.1(b)(ii)</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Sale and Purchase Agreement</w:t>
      </w:r>
      <w:r>
        <w:rPr>
          <w:rFonts w:ascii="Arial" w:cs="Arial" w:eastAsia="Arial" w:hAnsi="Arial"/>
          <w:sz w:val="20"/>
          <w:szCs w:val="20"/>
          <w:color w:val="auto"/>
        </w:rPr>
        <w:t>” has the meaning specified therefor in the recitals of this Agreement.</w:t>
      </w:r>
    </w:p>
    <w:p>
      <w:pPr>
        <w:spacing w:after="0" w:line="243"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Automatic Shelf Registration Statement</w:t>
      </w:r>
      <w:r>
        <w:rPr>
          <w:rFonts w:ascii="Arial" w:cs="Arial" w:eastAsia="Arial" w:hAnsi="Arial"/>
          <w:sz w:val="19"/>
          <w:szCs w:val="19"/>
          <w:color w:val="auto"/>
        </w:rPr>
        <w:t>” means a registration statement that shall become effective upon filing with the SEC pursuant to Rule 462(e) (or any successor or similar provision adopted by the SEC then in effect) under the Securities Act.</w:t>
      </w:r>
    </w:p>
    <w:p>
      <w:pPr>
        <w:spacing w:after="0" w:line="1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Beneficially Own</w:t>
      </w:r>
      <w:r>
        <w:rPr>
          <w:rFonts w:ascii="Arial" w:cs="Arial" w:eastAsia="Arial" w:hAnsi="Arial"/>
          <w:sz w:val="20"/>
          <w:szCs w:val="20"/>
          <w:color w:val="auto"/>
        </w:rPr>
        <w:t>” has the meaning ascribed to it in Section 13(d) of the Exchange Act. “Beneficial Ownership” has a correlative meaning.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Chevron</w:t>
      </w:r>
      <w:r>
        <w:rPr>
          <w:rFonts w:ascii="Arial" w:cs="Arial" w:eastAsia="Arial" w:hAnsi="Arial"/>
          <w:sz w:val="20"/>
          <w:szCs w:val="20"/>
          <w:color w:val="auto"/>
        </w:rPr>
        <w:t>” has the meaning specified therefor in the introductory paragraph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this Agreement.</w:t>
      </w:r>
    </w:p>
    <w:p>
      <w:pPr>
        <w:spacing w:after="0" w:line="2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means the common stock, par value $0.01 per share, of the Company, and any class or classes of stock resulting from any reclassification or reclassifications thereof and which have no preference in respect of dividends or of amounts payable in the event of any liquidation, dissolution or winding up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therefor in the introductory paragraph of this Agreement and includes any successor thereto.</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Effectiveness Date</w:t>
      </w:r>
      <w:r>
        <w:rPr>
          <w:rFonts w:ascii="Arial" w:cs="Arial" w:eastAsia="Arial" w:hAnsi="Arial"/>
          <w:sz w:val="20"/>
          <w:szCs w:val="20"/>
          <w:color w:val="auto"/>
        </w:rPr>
        <w:t xml:space="preserve">” shall have thee meaning specified therefor in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 promulgated thereunder.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Filing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FINRA</w:t>
      </w:r>
      <w:r>
        <w:rPr>
          <w:rFonts w:ascii="Arial" w:cs="Arial" w:eastAsia="Arial" w:hAnsi="Arial"/>
          <w:sz w:val="20"/>
          <w:szCs w:val="20"/>
          <w:color w:val="auto"/>
        </w:rPr>
        <w:t>” shall mean the Financial Industry Regulatory Authority, Inc.</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or “</w:t>
      </w:r>
      <w:r>
        <w:rPr>
          <w:rFonts w:ascii="Arial" w:cs="Arial" w:eastAsia="Arial" w:hAnsi="Arial"/>
          <w:sz w:val="20"/>
          <w:szCs w:val="20"/>
          <w:b w:val="1"/>
          <w:bCs w:val="1"/>
          <w:color w:val="auto"/>
        </w:rPr>
        <w:t>Holders</w:t>
      </w:r>
      <w:r>
        <w:rPr>
          <w:rFonts w:ascii="Arial" w:cs="Arial" w:eastAsia="Arial" w:hAnsi="Arial"/>
          <w:sz w:val="20"/>
          <w:szCs w:val="20"/>
          <w:color w:val="auto"/>
        </w:rPr>
        <w:t>” means Chevron and its Affiliates, when such Person is a holder or owner of any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75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 Indemnified Persons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2.7(a)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Included Registrable Securities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Launch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2.7(a)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Managing Underwriter</w:t>
      </w:r>
      <w:r>
        <w:rPr>
          <w:rFonts w:ascii="Arial" w:cs="Arial" w:eastAsia="Arial" w:hAnsi="Arial"/>
          <w:sz w:val="20"/>
          <w:szCs w:val="20"/>
          <w:color w:val="auto"/>
        </w:rPr>
        <w:t>” means, with respect to any Underwritten Offering or Overnight Underwritten Offering, the book running lead manager of such Underwritten Offering or Overnight Underwritten Offering.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Opt-Out Notice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Overnight Underwritten Offering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Parity Holders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2.2(c)</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Piggyback Offering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Expenses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of this Agreement.</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 means any registration statement, including, without limitation, any Additional Registration Statement (as defined below), of the Company filed under the Securities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144</w:t>
      </w:r>
      <w:r>
        <w:rPr>
          <w:rFonts w:ascii="Arial" w:cs="Arial" w:eastAsia="Arial" w:hAnsi="Arial"/>
          <w:sz w:val="20"/>
          <w:szCs w:val="20"/>
          <w:color w:val="auto"/>
        </w:rPr>
        <w:t>” means Rule 144 promulgated under the Securities Act or any similar rule or regulation hereafter adopted by the SEC having substantially the same effect as such rule.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U.S. Securities and Exchange Commission (or any successor agency).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w:t>
      </w:r>
      <w:r>
        <w:rPr>
          <w:rFonts w:ascii="Arial" w:cs="Arial" w:eastAsia="Arial" w:hAnsi="Arial"/>
          <w:sz w:val="20"/>
          <w:szCs w:val="20"/>
          <w:color w:val="auto"/>
        </w:rPr>
        <w:t>” means the shares of Common Stock issued pursuant to the Asset Sale and Purchase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Securities Act of 1933,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20"/>
          </w:cols>
          <w:pgMar w:left="240" w:top="738" w:right="239" w:bottom="1440" w:gutter="0" w:footer="0" w:header="0"/>
        </w:sectPr>
      </w:pPr>
    </w:p>
    <w:bookmarkStart w:id="10" w:name="page11"/>
    <w:bookmarkEnd w:id="10"/>
    <w:p>
      <w:pPr>
        <w:jc w:val="both"/>
        <w:ind w:firstLine="648"/>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Selling Expenses</w:t>
      </w:r>
      <w:r>
        <w:rPr>
          <w:rFonts w:ascii="Arial" w:cs="Arial" w:eastAsia="Arial" w:hAnsi="Arial"/>
          <w:sz w:val="20"/>
          <w:szCs w:val="20"/>
          <w:color w:val="auto"/>
        </w:rPr>
        <w:t xml:space="preserve">” means all underwriting discounts, selling commissions or similar fees or arrangements or stock transfer taxes allocable to the sale of the Registrable Securities, and fees and disbursements of counsel to the Holders, other than those fees and disbursements of counsel required to be paid by the Company pursuant to </w:t>
      </w:r>
      <w:r>
        <w:rPr>
          <w:rFonts w:ascii="Arial" w:cs="Arial" w:eastAsia="Arial" w:hAnsi="Arial"/>
          <w:sz w:val="20"/>
          <w:szCs w:val="20"/>
          <w:u w:val="single" w:color="auto"/>
          <w:color w:val="auto"/>
        </w:rPr>
        <w:t>Section 2.6(a)</w:t>
      </w:r>
      <w:r>
        <w:rPr>
          <w:rFonts w:ascii="Arial" w:cs="Arial" w:eastAsia="Arial" w:hAnsi="Arial"/>
          <w:sz w:val="20"/>
          <w:szCs w:val="20"/>
          <w:color w:val="auto"/>
        </w:rPr>
        <w:t xml:space="preserve"> of this Agreement.</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Unaffiliated Directors</w:t>
      </w:r>
      <w:r>
        <w:rPr>
          <w:rFonts w:ascii="Arial" w:cs="Arial" w:eastAsia="Arial" w:hAnsi="Arial"/>
          <w:sz w:val="20"/>
          <w:szCs w:val="20"/>
          <w:color w:val="auto"/>
        </w:rPr>
        <w:t>” means the members of the Board other than any members of the Board who are Affiliates of Chevron or any other Person(s) who are a member of a “group” (within the meaning of Section 13(d)(3) of the Exchange Act) with Chevron with respect to the Company or any Voting Securities, and any consent of a majority of the Unaffiliated Directors referred to herein shall refer to an action duly taken by such Unaffiliated Directors by written consent or at a meeting of such Unaffiliated Directors duly called and convened in accordance with applicable law and governance procedures.</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Underwritten Offering</w:t>
      </w:r>
      <w:r>
        <w:rPr>
          <w:rFonts w:ascii="Arial" w:cs="Arial" w:eastAsia="Arial" w:hAnsi="Arial"/>
          <w:sz w:val="20"/>
          <w:szCs w:val="20"/>
          <w:color w:val="auto"/>
        </w:rPr>
        <w:t>” means an offering in which Common Stock is sold to an underwriter on a firm commitment basis for reoffering to the public or an offering that is a “bought deal” or a “broker-facilitated” transaction with one or more investment banks. As used in this Agreement, a “broker-facilitated transaction” is a transaction in which the broker requests an opinion of counsel, comfort letter and/or due diligence information because of such broker’s internal policies and procedures related to such transaction and such broker having potential liability as an “underwriter” under Section 2(a)(11) of the Securities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Underwritten Offering Filing</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Votes</w:t>
      </w:r>
      <w:r>
        <w:rPr>
          <w:rFonts w:ascii="Arial" w:cs="Arial" w:eastAsia="Arial" w:hAnsi="Arial"/>
          <w:sz w:val="20"/>
          <w:szCs w:val="20"/>
          <w:color w:val="auto"/>
        </w:rPr>
        <w:t>” means votes entitled to be cast generally in the election of members of the Board.</w:t>
      </w:r>
    </w:p>
    <w:p>
      <w:pPr>
        <w:spacing w:after="0" w:line="243" w:lineRule="exact"/>
        <w:rPr>
          <w:sz w:val="20"/>
          <w:szCs w:val="20"/>
          <w:color w:val="auto"/>
        </w:rPr>
      </w:pPr>
    </w:p>
    <w:p>
      <w:pPr>
        <w:jc w:val="both"/>
        <w:ind w:right="20" w:firstLine="648"/>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Power</w:t>
      </w:r>
      <w:r>
        <w:rPr>
          <w:rFonts w:ascii="Arial" w:cs="Arial" w:eastAsia="Arial" w:hAnsi="Arial"/>
          <w:sz w:val="18"/>
          <w:szCs w:val="18"/>
          <w:color w:val="auto"/>
        </w:rPr>
        <w:t>” means, as of any time, the ratio, expressed as a percentage, of (x) the Votes represented by the Voting Securities with respect to which the Voting Power is being determined to (y) the aggregate Votes represented by all then outstanding Voting Securities.</w:t>
      </w:r>
    </w:p>
    <w:p>
      <w:pPr>
        <w:spacing w:after="0" w:line="11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Securities</w:t>
      </w:r>
      <w:r>
        <w:rPr>
          <w:rFonts w:ascii="Arial" w:cs="Arial" w:eastAsia="Arial" w:hAnsi="Arial"/>
          <w:sz w:val="20"/>
          <w:szCs w:val="20"/>
          <w:color w:val="auto"/>
        </w:rPr>
        <w:t>” means, together, (1) the Common Stock and (2) any shares of any class of capital stock of the Company other than the Common Stock that are entitled to vote generally in the election of members of the Board.</w:t>
      </w:r>
    </w:p>
    <w:p>
      <w:pPr>
        <w:spacing w:after="0" w:line="1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Well-Known Seasoned Issuer</w:t>
      </w:r>
      <w:r>
        <w:rPr>
          <w:rFonts w:ascii="Arial" w:cs="Arial" w:eastAsia="Arial" w:hAnsi="Arial"/>
          <w:sz w:val="20"/>
          <w:szCs w:val="20"/>
          <w:color w:val="auto"/>
        </w:rPr>
        <w:t>” means a “well-known seasoned issuer” as defined in Rule 405 promulgated under the Securities Act and which (a) is a “well-known seasoned issuer” under paragraph (1)(i)(A) of such definition or (b) is a “well-known seasoned issuer” under paragraph (1)(i)(B) of such definition and is also eligible to register a primary offering of its securities relying on General Instruction I.B.1 of Form S-3 or Form F-3 under the Securities Act.</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Any Registrable Security will cease to be a Registrable Security when (a) a registration statement</w:t>
      </w:r>
      <w:r>
        <w:rPr>
          <w:rFonts w:ascii="Arial" w:cs="Arial" w:eastAsia="Arial" w:hAnsi="Arial"/>
          <w:sz w:val="22"/>
          <w:szCs w:val="22"/>
          <w:color w:val="auto"/>
        </w:rPr>
        <w:t xml:space="preserve"> </w:t>
      </w:r>
      <w:r>
        <w:rPr>
          <w:rFonts w:ascii="Arial" w:cs="Arial" w:eastAsia="Arial" w:hAnsi="Arial"/>
          <w:sz w:val="19"/>
          <w:szCs w:val="19"/>
          <w:color w:val="auto"/>
        </w:rPr>
        <w:t>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(c) such Registrable Security is otherwise held by any Person other than Chevron or one of its Affiliates; or (d) such Registrable Security becomes eligible for resale by the Holder thereof without restriction and without the need for current public information pursuant to any section of Rule 144, assuming such Holder is not an affiliate (as defined in Rule 144(a)(1))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738" w:right="239" w:bottom="1440" w:gutter="0" w:footer="0" w:header="0"/>
        </w:sectPr>
      </w:pPr>
    </w:p>
    <w:bookmarkStart w:id="11" w:name="page12"/>
    <w:bookmarkEnd w:id="11"/>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84" w:lineRule="exact"/>
        <w:rPr>
          <w:sz w:val="20"/>
          <w:szCs w:val="20"/>
          <w:color w:val="auto"/>
        </w:rPr>
      </w:pPr>
    </w:p>
    <w:p>
      <w:pPr>
        <w:ind w:left="1720" w:hanging="415"/>
        <w:spacing w:after="0"/>
        <w:tabs>
          <w:tab w:leader="none" w:pos="1720" w:val="left"/>
        </w:tabs>
        <w:numPr>
          <w:ilvl w:val="0"/>
          <w:numId w:val="4"/>
        </w:numPr>
        <w:rPr>
          <w:rFonts w:ascii="Arial" w:cs="Arial" w:eastAsia="Arial" w:hAnsi="Arial"/>
          <w:sz w:val="19"/>
          <w:szCs w:val="19"/>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shall prepare and file with the SEC a Registration Statement on Form S-3 covering</w:t>
      </w:r>
    </w:p>
    <w:p>
      <w:pPr>
        <w:spacing w:after="0" w:line="59"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8"/>
          <w:szCs w:val="18"/>
          <w:color w:val="auto"/>
        </w:rPr>
        <w:t>the resale of the Registrable Securities no later than two days after the filing by the Company of its next succeeding Form 10-Q (the “</w:t>
      </w:r>
      <w:r>
        <w:rPr>
          <w:rFonts w:ascii="Arial" w:cs="Arial" w:eastAsia="Arial" w:hAnsi="Arial"/>
          <w:sz w:val="18"/>
          <w:szCs w:val="18"/>
          <w:b w:val="1"/>
          <w:bCs w:val="1"/>
          <w:color w:val="auto"/>
        </w:rPr>
        <w:t>Filing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is then a Well-Known Seasoned Issuer, such registration statement shall be an Automatic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Statement. Subject to any SEC comments, such Registration Statement shall include the plan of distribution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Holders shall not be named as an “underwriter” in the Registration Statement without such Holder’s prior written consent. Such Registration Statement also shall cover, to the extent allowable under the Securities Act, such indeterminate number of additional shares of Common Stock resulting from stock splits, stock dividends or similar transactions with respect to the Registrable Securities. The Registration Statement (and each amendment or supplement thereto, and each request for acceleration of effectiveness thereof) shall be provided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Holders and their counsel prior to its filing or other submission.</w:t>
      </w:r>
    </w:p>
    <w:p>
      <w:pPr>
        <w:spacing w:after="0" w:line="84" w:lineRule="exact"/>
        <w:rPr>
          <w:rFonts w:ascii="Arial" w:cs="Arial" w:eastAsia="Arial" w:hAnsi="Arial"/>
          <w:sz w:val="19"/>
          <w:szCs w:val="19"/>
          <w:color w:val="auto"/>
        </w:rPr>
      </w:pPr>
    </w:p>
    <w:p>
      <w:pPr>
        <w:ind w:left="1740" w:hanging="435"/>
        <w:spacing w:after="0"/>
        <w:tabs>
          <w:tab w:leader="none" w:pos="1740" w:val="left"/>
        </w:tabs>
        <w:numPr>
          <w:ilvl w:val="0"/>
          <w:numId w:val="4"/>
        </w:numPr>
        <w:rPr>
          <w:rFonts w:ascii="Arial" w:cs="Arial" w:eastAsia="Arial" w:hAnsi="Arial"/>
          <w:sz w:val="22"/>
          <w:szCs w:val="22"/>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w:t>
      </w:r>
    </w:p>
    <w:p>
      <w:pPr>
        <w:spacing w:after="0" w:line="168" w:lineRule="exact"/>
        <w:rPr>
          <w:rFonts w:ascii="Arial" w:cs="Arial" w:eastAsia="Arial" w:hAnsi="Arial"/>
          <w:sz w:val="22"/>
          <w:szCs w:val="22"/>
          <w:color w:val="auto"/>
        </w:rPr>
      </w:pPr>
    </w:p>
    <w:p>
      <w:pPr>
        <w:jc w:val="both"/>
        <w:ind w:firstLine="1953"/>
        <w:spacing w:after="0" w:line="283" w:lineRule="auto"/>
        <w:tabs>
          <w:tab w:leader="none" w:pos="2342" w:val="left"/>
        </w:tabs>
        <w:numPr>
          <w:ilvl w:val="1"/>
          <w:numId w:val="4"/>
        </w:numPr>
        <w:rPr>
          <w:rFonts w:ascii="Arial" w:cs="Arial" w:eastAsia="Arial" w:hAnsi="Arial"/>
          <w:sz w:val="22"/>
          <w:szCs w:val="22"/>
          <w:color w:val="auto"/>
        </w:rPr>
      </w:pPr>
      <w:r>
        <w:rPr>
          <w:rFonts w:ascii="Arial" w:cs="Arial" w:eastAsia="Arial" w:hAnsi="Arial"/>
          <w:sz w:val="20"/>
          <w:szCs w:val="20"/>
          <w:color w:val="auto"/>
        </w:rPr>
        <w:t>The Company shall use its reasonable best efforts to have the Registration Statement declared effective as soon as reasonably practicable after the Filing Date (the date of effectiveness, the “</w:t>
      </w:r>
      <w:r>
        <w:rPr>
          <w:rFonts w:ascii="Arial" w:cs="Arial" w:eastAsia="Arial" w:hAnsi="Arial"/>
          <w:sz w:val="20"/>
          <w:szCs w:val="20"/>
          <w:b w:val="1"/>
          <w:bCs w:val="1"/>
          <w:color w:val="auto"/>
        </w:rPr>
        <w:t>Effectiveness Date</w:t>
      </w:r>
      <w:r>
        <w:rPr>
          <w:rFonts w:ascii="Arial" w:cs="Arial" w:eastAsia="Arial" w:hAnsi="Arial"/>
          <w:sz w:val="20"/>
          <w:szCs w:val="20"/>
          <w:color w:val="auto"/>
        </w:rPr>
        <w:t>”). The Company shall notify the Holders by facsimile or e-mail as promptly as practicable, and in any event, within twenty-four (24) hours, after any Registration Statement is declared effective and shall simultaneously provide the Holders with copies of any related prospectus to be used in connection with the sale or other disposition of the securities covered thereby.</w:t>
      </w:r>
    </w:p>
    <w:p>
      <w:pPr>
        <w:spacing w:after="0" w:line="116" w:lineRule="exact"/>
        <w:rPr>
          <w:rFonts w:ascii="Arial" w:cs="Arial" w:eastAsia="Arial" w:hAnsi="Arial"/>
          <w:sz w:val="22"/>
          <w:szCs w:val="22"/>
          <w:color w:val="auto"/>
        </w:rPr>
      </w:pPr>
    </w:p>
    <w:p>
      <w:pPr>
        <w:jc w:val="both"/>
        <w:ind w:firstLine="1953"/>
        <w:spacing w:after="0" w:line="316" w:lineRule="auto"/>
        <w:tabs>
          <w:tab w:leader="none" w:pos="2510" w:val="left"/>
        </w:tabs>
        <w:numPr>
          <w:ilvl w:val="1"/>
          <w:numId w:val="4"/>
        </w:numPr>
        <w:rPr>
          <w:rFonts w:ascii="Arial" w:cs="Arial" w:eastAsia="Arial" w:hAnsi="Arial"/>
          <w:sz w:val="19"/>
          <w:szCs w:val="19"/>
          <w:color w:val="auto"/>
        </w:rPr>
      </w:pPr>
      <w:r>
        <w:rPr>
          <w:rFonts w:ascii="Arial" w:cs="Arial" w:eastAsia="Arial" w:hAnsi="Arial"/>
          <w:sz w:val="18"/>
          <w:szCs w:val="18"/>
          <w:color w:val="auto"/>
        </w:rPr>
        <w:t xml:space="preserve">Notwithstanding anything to the contrary contained herein, the Company may, upon written notice to each Holder, suspend the use of any prospectus which is a part of a registration statement filed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if the Company determines in good faith that such suspension is necessary to (A) delay the disclosure of material non-public information concerning the Company, the disclosure of which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8"/>
          <w:szCs w:val="18"/>
          <w:b w:val="1"/>
          <w:bCs w:val="1"/>
          <w:color w:val="auto"/>
        </w:rPr>
        <w:t>Allowed Delay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promptly (a) notify the Holders in writing of the commencement of an Allowed Delay, (b) advise the Holders in writing to cease all sales under the Registration Statement until the end of the Allowed Delay (in which event the Holders shall discontinue sales of the Registrable Securities pursuant to such registration statement but the Holders may settle any contracted sales of Registrable Securities) and (c) use its reasonable best efforts to terminate an Allowed Delay as promptly as practicable;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the Holders be suspended under this </w:t>
      </w:r>
      <w:r>
        <w:rPr>
          <w:rFonts w:ascii="Arial" w:cs="Arial" w:eastAsia="Arial" w:hAnsi="Arial"/>
          <w:sz w:val="18"/>
          <w:szCs w:val="18"/>
          <w:u w:val="single" w:color="auto"/>
          <w:color w:val="auto"/>
        </w:rPr>
        <w:t>Section 2.1(b)(ii)</w:t>
      </w:r>
      <w:r>
        <w:rPr>
          <w:rFonts w:ascii="Arial" w:cs="Arial" w:eastAsia="Arial" w:hAnsi="Arial"/>
          <w:sz w:val="18"/>
          <w:szCs w:val="18"/>
          <w:color w:val="auto"/>
        </w:rPr>
        <w:t xml:space="preserve"> for a period that exceeds ninety (90) consecutive days or one hundred twenty (120) days in aggregate in any one-year period. Upon notice by the Company to the Holders of any determination to suspend the use of any prospectus which is a part of a registration statement filed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the Holders shall keep the fact of any such suspension strictly confidential and shall not use or disclose such notice or information to any Person other than such Holder’s legal counsel or as required by law. Upon disclosure of such information or the termination of the condition described above, the Company shall provide prompt notice to the Holders and shall promptly terminate any suspension of sales it has put into effect and shall take such other actions to permit registered sales of Registrable Securities as contemplated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420"/>
          </w:cols>
          <w:pgMar w:left="240" w:top="733" w:right="239" w:bottom="1440" w:gutter="0" w:footer="0" w:header="0"/>
        </w:sectPr>
      </w:pPr>
    </w:p>
    <w:bookmarkStart w:id="12" w:name="page13"/>
    <w:bookmarkEnd w:id="12"/>
    <w:p>
      <w:pPr>
        <w:spacing w:after="0" w:line="31" w:lineRule="exact"/>
        <w:rPr>
          <w:sz w:val="20"/>
          <w:szCs w:val="20"/>
          <w:color w:val="auto"/>
        </w:rPr>
      </w:pPr>
    </w:p>
    <w:p>
      <w:pPr>
        <w:jc w:val="both"/>
        <w:ind w:left="-8" w:firstLine="1305"/>
        <w:spacing w:after="0" w:line="331" w:lineRule="auto"/>
        <w:tabs>
          <w:tab w:leader="none" w:pos="1816" w:val="left"/>
        </w:tabs>
        <w:numPr>
          <w:ilvl w:val="1"/>
          <w:numId w:val="5"/>
        </w:numPr>
        <w:rPr>
          <w:rFonts w:ascii="Arial" w:cs="Arial" w:eastAsia="Arial" w:hAnsi="Arial"/>
          <w:sz w:val="18"/>
          <w:szCs w:val="18"/>
          <w:color w:val="auto"/>
        </w:rPr>
      </w:pPr>
      <w:r>
        <w:rPr>
          <w:rFonts w:ascii="Arial" w:cs="Arial" w:eastAsia="Arial" w:hAnsi="Arial"/>
          <w:sz w:val="17"/>
          <w:szCs w:val="17"/>
          <w:u w:val="single" w:color="auto"/>
          <w:color w:val="auto"/>
        </w:rPr>
        <w:t>Rule 415; Cutback</w:t>
      </w:r>
      <w:r>
        <w:rPr>
          <w:rFonts w:ascii="Arial" w:cs="Arial" w:eastAsia="Arial" w:hAnsi="Arial"/>
          <w:sz w:val="17"/>
          <w:szCs w:val="17"/>
          <w:color w:val="auto"/>
        </w:rPr>
        <w:t xml:space="preserve">. If at any time the SEC takes the position that (i) the offering of some or all of the Registrable Securities in a Registration Statement is not eligible to be made on a delayed or continuous basis under the provisions of Rule 415 under the Securities Act, (ii) a Holder shall be named as an “underwriter” or (iii) the Company shall limit the number of shares eligible to be registered on the Registration Statement, the Company shall use its reasonable best efforts to persuade the SEC that, as applicable, the offering contemplated by the Registration Statement is a bona fide secondary offering and not an offering “by or on behalf of the issuer” as defined in Rule 415, that the Holder is not an “underwriter” or that the number of shares the Company is eligible to register on the Registration Statement should not be so limited. The Holders shall have the right to participate or have their counsel participate in any meetings or discussions with the SEC regarding the SEC’s position and to comment or have their counsel comment on any written submission made to the SEC with respect thereto. No such written submission shall be made to the SEC to which the Holders’ counsel reasonably objects. In the event that, despite the Company’s reasonable best efforts and compliance with the terms of this </w:t>
      </w:r>
      <w:r>
        <w:rPr>
          <w:rFonts w:ascii="Arial" w:cs="Arial" w:eastAsia="Arial" w:hAnsi="Arial"/>
          <w:sz w:val="17"/>
          <w:szCs w:val="17"/>
          <w:u w:val="single" w:color="auto"/>
          <w:color w:val="auto"/>
        </w:rPr>
        <w:t>Section 2.1(c)</w:t>
      </w:r>
      <w:r>
        <w:rPr>
          <w:rFonts w:ascii="Arial" w:cs="Arial" w:eastAsia="Arial" w:hAnsi="Arial"/>
          <w:sz w:val="17"/>
          <w:szCs w:val="17"/>
          <w:color w:val="auto"/>
        </w:rPr>
        <w:t>, the SEC refuses to alter its position, the Company shall</w:t>
      </w:r>
    </w:p>
    <w:p>
      <w:pPr>
        <w:spacing w:after="0" w:line="2" w:lineRule="exact"/>
        <w:rPr>
          <w:rFonts w:ascii="Arial" w:cs="Arial" w:eastAsia="Arial" w:hAnsi="Arial"/>
          <w:sz w:val="18"/>
          <w:szCs w:val="18"/>
          <w:color w:val="auto"/>
        </w:rPr>
      </w:pPr>
    </w:p>
    <w:p>
      <w:pPr>
        <w:jc w:val="both"/>
        <w:ind w:left="-8" w:firstLine="8"/>
        <w:spacing w:after="0" w:line="299" w:lineRule="auto"/>
        <w:tabs>
          <w:tab w:leader="none" w:pos="272"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remove from the Registration Statement such portion of the Registrable Securities and/or (2) agree to such restrictions and limitations on the registration and resale of the Registrable Securities as the SEC may require to assure the Company’s compliance with the requirements of Rule 415;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agree to name a Holder as an “underwriter” in such Registration Statement without such Holder’s prior written consent. In the event the Company amends the Registration Statement in accordance with the foregoing, the Company shall use its reasonable best efforts to file, on the later of (1) the date sixty (60) days after the date all Holders have notified the Company that all of the Registrable Securities registered under the immediately preceding Registration Statement are sold and (2) the date three (3) months from the date the immediately preceding Registration Statement filed with respect to the Registrable Securities is declared effective by the SEC (the “</w:t>
      </w:r>
      <w:r>
        <w:rPr>
          <w:rFonts w:ascii="Arial" w:cs="Arial" w:eastAsia="Arial" w:hAnsi="Arial"/>
          <w:sz w:val="19"/>
          <w:szCs w:val="19"/>
          <w:b w:val="1"/>
          <w:bCs w:val="1"/>
          <w:color w:val="auto"/>
        </w:rPr>
        <w:t>Additional Filing Deadline</w:t>
      </w:r>
      <w:r>
        <w:rPr>
          <w:rFonts w:ascii="Arial" w:cs="Arial" w:eastAsia="Arial" w:hAnsi="Arial"/>
          <w:sz w:val="19"/>
          <w:szCs w:val="19"/>
          <w:color w:val="auto"/>
        </w:rPr>
        <w:t>”), additional Registration Statements (each, an “</w:t>
      </w:r>
      <w:r>
        <w:rPr>
          <w:rFonts w:ascii="Arial" w:cs="Arial" w:eastAsia="Arial" w:hAnsi="Arial"/>
          <w:sz w:val="19"/>
          <w:szCs w:val="19"/>
          <w:b w:val="1"/>
          <w:bCs w:val="1"/>
          <w:color w:val="auto"/>
        </w:rPr>
        <w:t>Additional Registration Statement</w:t>
      </w:r>
      <w:r>
        <w:rPr>
          <w:rFonts w:ascii="Arial" w:cs="Arial" w:eastAsia="Arial" w:hAnsi="Arial"/>
          <w:sz w:val="19"/>
          <w:szCs w:val="19"/>
          <w:color w:val="auto"/>
        </w:rPr>
        <w:t>”) successively trying to register on each such Additional Registration Statement the maximum number of remaining Registrable Securities until all remaining Registrable Securities not previously included in an effective Registration Statement has been registered with the SEC. The Company shall use its reasonable best efforts to have each Additional Registration Statement declared effective by the SEC as soon as practicable after the Additional Filing Deadline.</w:t>
      </w:r>
    </w:p>
    <w:p>
      <w:pPr>
        <w:spacing w:after="0" w:line="92" w:lineRule="exact"/>
        <w:rPr>
          <w:sz w:val="20"/>
          <w:szCs w:val="20"/>
          <w:color w:val="auto"/>
        </w:rPr>
      </w:pPr>
    </w:p>
    <w:p>
      <w:pPr>
        <w:ind w:left="652"/>
        <w:spacing w:after="0"/>
        <w:tabs>
          <w:tab w:leader="none" w:pos="1772"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8"/>
          <w:szCs w:val="18"/>
          <w:u w:val="single" w:color="auto"/>
          <w:color w:val="auto"/>
        </w:rPr>
        <w:t>Piggyback Rights</w:t>
      </w:r>
      <w:r>
        <w:rPr>
          <w:rFonts w:ascii="Arial" w:cs="Arial" w:eastAsia="Arial" w:hAnsi="Arial"/>
          <w:sz w:val="18"/>
          <w:szCs w:val="18"/>
          <w:color w:val="auto"/>
        </w:rPr>
        <w:t>.</w:t>
      </w:r>
    </w:p>
    <w:p>
      <w:pPr>
        <w:spacing w:after="0" w:line="184" w:lineRule="exact"/>
        <w:rPr>
          <w:sz w:val="20"/>
          <w:szCs w:val="20"/>
          <w:color w:val="auto"/>
        </w:rPr>
      </w:pPr>
    </w:p>
    <w:p>
      <w:pPr>
        <w:jc w:val="both"/>
        <w:ind w:left="-8" w:firstLine="1305"/>
        <w:spacing w:after="0" w:line="314" w:lineRule="auto"/>
        <w:tabs>
          <w:tab w:leader="none" w:pos="1776" w:val="left"/>
        </w:tabs>
        <w:numPr>
          <w:ilvl w:val="0"/>
          <w:numId w:val="7"/>
        </w:numPr>
        <w:rPr>
          <w:rFonts w:ascii="Arial" w:cs="Arial" w:eastAsia="Arial" w:hAnsi="Arial"/>
          <w:sz w:val="19"/>
          <w:szCs w:val="19"/>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if at any time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 in the case of each of clause (i), (ii) or (iii), for the sale of Common Stock in an Underwritten Offering or Overnight Underwritten Offering for its own account and/or another Person, then as soon as practicable but not less than five (5) Business Days (or two (2) Business Day in the case of an Overnight Underwritten Offering)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Arial" w:cs="Arial" w:eastAsia="Arial" w:hAnsi="Arial"/>
          <w:sz w:val="18"/>
          <w:szCs w:val="18"/>
          <w:b w:val="1"/>
          <w:bCs w:val="1"/>
          <w:color w:val="auto"/>
        </w:rPr>
        <w:t>Underwritten</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Filing</w:t>
      </w:r>
      <w:r>
        <w:rPr>
          <w:rFonts w:ascii="Arial" w:cs="Arial" w:eastAsia="Arial" w:hAnsi="Arial"/>
          <w:sz w:val="18"/>
          <w:szCs w:val="18"/>
          <w:color w:val="auto"/>
        </w:rPr>
        <w:t>”), the Company shall give notice (including, but not limited to, notification by electronic mail) of such proposed Underwritten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(a “</w:t>
      </w:r>
      <w:r>
        <w:rPr>
          <w:rFonts w:ascii="Arial" w:cs="Arial" w:eastAsia="Arial" w:hAnsi="Arial"/>
          <w:sz w:val="18"/>
          <w:szCs w:val="18"/>
          <w:b w:val="1"/>
          <w:bCs w:val="1"/>
          <w:color w:val="auto"/>
        </w:rPr>
        <w:t>Piggyback Offering</w:t>
      </w:r>
      <w:r>
        <w:rPr>
          <w:rFonts w:ascii="Arial" w:cs="Arial" w:eastAsia="Arial" w:hAnsi="Arial"/>
          <w:sz w:val="18"/>
          <w:szCs w:val="18"/>
          <w:color w:val="auto"/>
        </w:rPr>
        <w:t>”) to the Holders and such notice shall offer the Holders the opportunity to include in such Underwritten Offering such number of the Registrable Securities (the “</w:t>
      </w:r>
      <w:r>
        <w:rPr>
          <w:rFonts w:ascii="Arial" w:cs="Arial" w:eastAsia="Arial" w:hAnsi="Arial"/>
          <w:sz w:val="18"/>
          <w:szCs w:val="18"/>
          <w:b w:val="1"/>
          <w:bCs w:val="1"/>
          <w:color w:val="auto"/>
        </w:rPr>
        <w:t>Included Registrable Securities</w:t>
      </w:r>
      <w:r>
        <w:rPr>
          <w:rFonts w:ascii="Arial" w:cs="Arial" w:eastAsia="Arial" w:hAnsi="Arial"/>
          <w:sz w:val="18"/>
          <w:szCs w:val="18"/>
          <w:color w:val="auto"/>
        </w:rPr>
        <w:t xml:space="preserve">”) as the Holders may request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has been advised by the Managing Underwriter, and the Company has advised the Holders in writing,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inclusion of Registrable Securities for sale for the benefit of the Holders will have a material adverse effect on the price, timing or distribution of the Common Stock in the Underwritten Offering, then the amount of Registrable Securities to be offered for the accounts of Holders shall be determined based on the provisions of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of this Agreement. The notice required to be provided in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to the Holders shall be provided on a Business Day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The Holders shall then have three (3) Business Days (or one (1) Business Day in the case of an Overnight Underwritten Offering) to request inclusion of Registrable Securities in the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shall determine for any reason not to undertake or to delay such Underwritten Offering, the Company may, at its election, give written notice of such determination to the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Holder shall have the right to withdraw its request for inclusion of such Holder’s Registrable Securities in such offering by giving written notice to the Company of such withdrawal up to two (2) Business Days prior to such offering. Notwithstanding the foregoing, a Holder may deliver written notice (an “</w:t>
      </w:r>
      <w:r>
        <w:rPr>
          <w:rFonts w:ascii="Arial" w:cs="Arial" w:eastAsia="Arial" w:hAnsi="Arial"/>
          <w:sz w:val="18"/>
          <w:szCs w:val="18"/>
          <w:b w:val="1"/>
          <w:bCs w:val="1"/>
          <w:color w:val="auto"/>
        </w:rPr>
        <w:t>Opt-Out Notice</w:t>
      </w:r>
      <w:r>
        <w:rPr>
          <w:rFonts w:ascii="Arial" w:cs="Arial" w:eastAsia="Arial" w:hAnsi="Arial"/>
          <w:sz w:val="18"/>
          <w:szCs w:val="18"/>
          <w:color w:val="auto"/>
        </w:rPr>
        <w:t>”) to the Company requesting that such Holder not receive notice from the Company of any proposed Underwritten Offering;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Holder may later revoke any such Opt-Out Notice in writing not less than one (1) Business Day prior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w:t>
      </w:r>
    </w:p>
    <w:p>
      <w:pPr>
        <w:spacing w:after="0" w:line="383" w:lineRule="exact"/>
        <w:rPr>
          <w:rFonts w:ascii="Arial" w:cs="Arial" w:eastAsia="Arial" w:hAnsi="Arial"/>
          <w:sz w:val="19"/>
          <w:szCs w:val="19"/>
          <w:color w:val="auto"/>
        </w:rPr>
      </w:pPr>
    </w:p>
    <w:p>
      <w:pPr>
        <w:jc w:val="both"/>
        <w:ind w:left="-8" w:firstLine="1305"/>
        <w:spacing w:after="0" w:line="329" w:lineRule="auto"/>
        <w:tabs>
          <w:tab w:leader="none" w:pos="1761" w:val="left"/>
        </w:tabs>
        <w:numPr>
          <w:ilvl w:val="0"/>
          <w:numId w:val="7"/>
        </w:numPr>
        <w:rPr>
          <w:rFonts w:ascii="Arial" w:cs="Arial" w:eastAsia="Arial" w:hAnsi="Arial"/>
          <w:sz w:val="19"/>
          <w:szCs w:val="19"/>
          <w:color w:val="auto"/>
        </w:rPr>
      </w:pPr>
      <w:r>
        <w:rPr>
          <w:rFonts w:ascii="Arial" w:cs="Arial" w:eastAsia="Arial" w:hAnsi="Arial"/>
          <w:sz w:val="18"/>
          <w:szCs w:val="18"/>
          <w:u w:val="single" w:color="auto"/>
          <w:color w:val="auto"/>
        </w:rPr>
        <w:t>Overnight Underwritten Offering Piggyback Rights</w:t>
      </w:r>
      <w:r>
        <w:rPr>
          <w:rFonts w:ascii="Arial" w:cs="Arial" w:eastAsia="Arial" w:hAnsi="Arial"/>
          <w:sz w:val="18"/>
          <w:szCs w:val="18"/>
          <w:color w:val="auto"/>
        </w:rPr>
        <w:t>. If, at any time following the date of this Agreement, the Company proposes to file an Underwritten Offering Filing and such Underwritten Offering is expected to be launched (the “</w:t>
      </w:r>
      <w:r>
        <w:rPr>
          <w:rFonts w:ascii="Arial" w:cs="Arial" w:eastAsia="Arial" w:hAnsi="Arial"/>
          <w:sz w:val="18"/>
          <w:szCs w:val="18"/>
          <w:b w:val="1"/>
          <w:bCs w:val="1"/>
          <w:color w:val="auto"/>
        </w:rPr>
        <w:t>Launch Date</w:t>
      </w:r>
      <w:r>
        <w:rPr>
          <w:rFonts w:ascii="Arial" w:cs="Arial" w:eastAsia="Arial" w:hAnsi="Arial"/>
          <w:sz w:val="18"/>
          <w:szCs w:val="18"/>
          <w:color w:val="auto"/>
        </w:rPr>
        <w:t>”) after the close of trading on one (1) trading day and priced before the open of trading on the next succeeding trading day (such execution format, an “</w:t>
      </w:r>
      <w:r>
        <w:rPr>
          <w:rFonts w:ascii="Arial" w:cs="Arial" w:eastAsia="Arial" w:hAnsi="Arial"/>
          <w:sz w:val="18"/>
          <w:szCs w:val="18"/>
          <w:b w:val="1"/>
          <w:bCs w:val="1"/>
          <w:color w:val="auto"/>
        </w:rPr>
        <w:t>Overnight Underwritten Offering</w:t>
      </w:r>
      <w:r>
        <w:rPr>
          <w:rFonts w:ascii="Arial" w:cs="Arial" w:eastAsia="Arial" w:hAnsi="Arial"/>
          <w:sz w:val="18"/>
          <w:szCs w:val="18"/>
          <w:color w:val="auto"/>
        </w:rPr>
        <w:t>”), then no later than one (1) Business Day after the Company engages a Managing Underwriter for the</w:t>
      </w:r>
    </w:p>
    <w:p>
      <w:pPr>
        <w:sectPr>
          <w:pgSz w:w="11900" w:h="16870" w:orient="portrait"/>
          <w:cols w:equalWidth="0" w:num="1">
            <w:col w:w="11412"/>
          </w:cols>
          <w:pgMar w:left="248" w:top="757" w:right="239" w:bottom="0" w:gutter="0" w:footer="0" w:header="0"/>
        </w:sectPr>
      </w:pPr>
    </w:p>
    <w:bookmarkStart w:id="13" w:name="page14"/>
    <w:bookmarkEnd w:id="13"/>
    <w:p>
      <w:pPr>
        <w:jc w:val="both"/>
        <w:spacing w:after="0" w:line="316" w:lineRule="auto"/>
        <w:rPr>
          <w:sz w:val="20"/>
          <w:szCs w:val="20"/>
          <w:color w:val="auto"/>
        </w:rPr>
      </w:pPr>
      <w:r>
        <w:rPr>
          <w:rFonts w:ascii="Arial" w:cs="Arial" w:eastAsia="Arial" w:hAnsi="Arial"/>
          <w:sz w:val="18"/>
          <w:szCs w:val="18"/>
          <w:color w:val="auto"/>
        </w:rPr>
        <w:t xml:space="preserve">proposed Overnight Underwritten Offering, the Company shall notify (including, but not limited to, notice by electronic mail) the Holders of the pendency of the Overnight Underwritten Offering and such notice shall offer the Holders the opportunity to include in such Overnight Underwritten Offering such number of Registrable Securities as any Holder may request in writing within one (1) Business Day after the Holders receive such notice. Notwithstanding the foregoing, if the Company has been advised by the Managing Underwriter that the inclusion of Registrable Securities in the Overnight Underwritten Offering for the accounts of the Holders is likely to have a material adverse effect on the price, timing or distribution of the Common Stock, then the amount of Registrable Securities to be included in the Overnight Underwritten Offering for the accounts of Holders shall be determined based on the provisions of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of this Agreement. If, at any time after giving written notice of its intention to execute an Overnight Underwritten Offering and prior to the closing of such Overnight Underwritten Offering, the Company determines for any reason not to undertake or to delay such Overnight Underwritten Offering, the Company shall give written notice of such determination to the Holders and, (i) in the case of a determination not to undertake such Overnight Underwritten Offering, shall be relieved of its obligation to sell any Registrable Securities held by the Holders in connection with such abandoned or delayed Overnight Underwritten Offering, and (ii) in the case of a determination to delay such Overnight Underwritten Offering, shall be permitted to delay offering any Registrable Securities held by the Holders for the same period as the delay of the Overnight Underwritten Offering. Each Holder shall have the right to withdraw its request for inclusion of such Holder’s Registrable Securities in such Overnight Underwritten Offering by giving written notice to the Company of such withdrawal at least one (1) Business Day prior to the expected Launch Date. Notwithstanding the foregoing, a Holder may deliver an Opt-Out Notice to the Company requesting that such Holder not receive notice from the Company of any proposed Overnight Underwritten Offering.</w:t>
      </w:r>
    </w:p>
    <w:p>
      <w:pPr>
        <w:spacing w:after="0" w:line="94" w:lineRule="exact"/>
        <w:rPr>
          <w:sz w:val="20"/>
          <w:szCs w:val="20"/>
          <w:color w:val="auto"/>
        </w:rPr>
      </w:pPr>
    </w:p>
    <w:p>
      <w:pPr>
        <w:jc w:val="both"/>
        <w:ind w:firstLine="1305"/>
        <w:spacing w:after="0" w:line="312" w:lineRule="auto"/>
        <w:tabs>
          <w:tab w:leader="none" w:pos="1770" w:val="left"/>
        </w:tabs>
        <w:numPr>
          <w:ilvl w:val="1"/>
          <w:numId w:val="8"/>
        </w:numPr>
        <w:rPr>
          <w:rFonts w:ascii="Arial" w:cs="Arial" w:eastAsia="Arial" w:hAnsi="Arial"/>
          <w:sz w:val="19"/>
          <w:szCs w:val="19"/>
          <w:color w:val="auto"/>
        </w:rPr>
      </w:pPr>
      <w:r>
        <w:rPr>
          <w:rFonts w:ascii="Arial" w:cs="Arial" w:eastAsia="Arial" w:hAnsi="Arial"/>
          <w:sz w:val="18"/>
          <w:szCs w:val="18"/>
          <w:u w:val="single" w:color="auto"/>
          <w:color w:val="auto"/>
        </w:rPr>
        <w:t>Priority of Rights</w:t>
      </w:r>
      <w:r>
        <w:rPr>
          <w:rFonts w:ascii="Arial" w:cs="Arial" w:eastAsia="Arial" w:hAnsi="Arial"/>
          <w:sz w:val="18"/>
          <w:szCs w:val="18"/>
          <w:color w:val="auto"/>
        </w:rPr>
        <w:t xml:space="preserve">. In connection with an Underwritten Offering and Overnight Underwritten Offering contemplated by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2.2(b)</w:t>
      </w:r>
      <w:r>
        <w:rPr>
          <w:rFonts w:ascii="Arial" w:cs="Arial" w:eastAsia="Arial" w:hAnsi="Arial"/>
          <w:sz w:val="18"/>
          <w:szCs w:val="18"/>
          <w:color w:val="auto"/>
        </w:rPr>
        <w:t>, respectively, if the Managing Underwriter or Underwriters of any such Underwritten Offering or Overnight Underwritten Offering, as the case may be, advises the Company, and the Company advises the Holders in writing, that the total amount of Common Stock that the Holders and any other Persons intend to include in such Underwritten Offering or Overnight Underwritten Offering exceeds the number that can be sold in such Underwritten Offering or Overnight Underwritten Offering without being likely to have a material adverse effect on the price, timing or distribution of the Common Stock offered or the market for the Common Stock, then the Common Stock to be included in such Underwritten Offering or Overnight Underwritten Offering shall include the number of Registrable Securities that such Managing Underwriter or Underwriters advises the Company can be sold without having such adverse effect, with such number to be allocated</w:t>
      </w:r>
    </w:p>
    <w:p>
      <w:pPr>
        <w:spacing w:after="0" w:line="6" w:lineRule="exact"/>
        <w:rPr>
          <w:rFonts w:ascii="Arial" w:cs="Arial" w:eastAsia="Arial" w:hAnsi="Arial"/>
          <w:sz w:val="19"/>
          <w:szCs w:val="19"/>
          <w:color w:val="auto"/>
        </w:rPr>
      </w:pPr>
    </w:p>
    <w:p>
      <w:pPr>
        <w:jc w:val="both"/>
        <w:ind w:firstLine="8"/>
        <w:spacing w:after="0" w:line="301" w:lineRule="auto"/>
        <w:tabs>
          <w:tab w:leader="none" w:pos="242" w:val="left"/>
        </w:tabs>
        <w:numPr>
          <w:ilvl w:val="0"/>
          <w:numId w:val="9"/>
        </w:numPr>
        <w:rPr>
          <w:rFonts w:ascii="Arial" w:cs="Arial" w:eastAsia="Arial" w:hAnsi="Arial"/>
          <w:sz w:val="19"/>
          <w:szCs w:val="19"/>
          <w:color w:val="auto"/>
        </w:rPr>
      </w:pPr>
      <w:r>
        <w:rPr>
          <w:rFonts w:ascii="Arial" w:cs="Arial" w:eastAsia="Arial" w:hAnsi="Arial"/>
          <w:sz w:val="19"/>
          <w:szCs w:val="19"/>
          <w:color w:val="auto"/>
        </w:rPr>
        <w:t>first, to the Company or such other Person as has requested such registration, filing or offering, as the case may be, and (ii) second, pro rata among all Holders and other holders of any other shares of Common Stock having rights of registration on parity with the Registrable Securities (“</w:t>
      </w:r>
      <w:r>
        <w:rPr>
          <w:rFonts w:ascii="Arial" w:cs="Arial" w:eastAsia="Arial" w:hAnsi="Arial"/>
          <w:sz w:val="19"/>
          <w:szCs w:val="19"/>
          <w:b w:val="1"/>
          <w:bCs w:val="1"/>
          <w:color w:val="auto"/>
        </w:rPr>
        <w:t>Parity Holders</w:t>
      </w:r>
      <w:r>
        <w:rPr>
          <w:rFonts w:ascii="Arial" w:cs="Arial" w:eastAsia="Arial" w:hAnsi="Arial"/>
          <w:sz w:val="19"/>
          <w:szCs w:val="19"/>
          <w:color w:val="auto"/>
        </w:rPr>
        <w:t>”) who have requested participation in such Underwritten Offering or Overnight Underwritten Offering. The pro rata allocations for each such Holder shall be the product of (A) the aggregate number of Registrable Securities and shares of Common Stock proposed to be sold by all Holders and Parity Holders, respectively, participating in the Underwritten Offering or Overnight Underwritten Offering (for the avoidance of doubt, after giving effect to the allocation to the Company pursuant to clause (i) of the preceding sentence) multiplied by (B) the fraction derived by dividing (x) the number of Registrable Securities owned at such time by such Holder by (y) the aggregate number of Registrable Securities and shares of Common Stock owned at such time by all Holders and Parity Holders, respectively, participating in the Underwritten Offering or Overnight Underwritten Offering.</w:t>
      </w:r>
    </w:p>
    <w:p>
      <w:pPr>
        <w:spacing w:after="0" w:line="99" w:lineRule="exact"/>
        <w:rPr>
          <w:rFonts w:ascii="Arial" w:cs="Arial" w:eastAsia="Arial" w:hAnsi="Arial"/>
          <w:sz w:val="19"/>
          <w:szCs w:val="19"/>
          <w:color w:val="auto"/>
        </w:rPr>
      </w:pPr>
    </w:p>
    <w:p>
      <w:pPr>
        <w:jc w:val="both"/>
        <w:ind w:firstLine="1305"/>
        <w:spacing w:after="0" w:line="285" w:lineRule="auto"/>
        <w:tabs>
          <w:tab w:leader="none" w:pos="1756" w:val="left"/>
        </w:tabs>
        <w:numPr>
          <w:ilvl w:val="1"/>
          <w:numId w:val="9"/>
        </w:numPr>
        <w:rPr>
          <w:rFonts w:ascii="Arial" w:cs="Arial" w:eastAsia="Arial" w:hAnsi="Arial"/>
          <w:sz w:val="22"/>
          <w:szCs w:val="22"/>
          <w:color w:val="auto"/>
        </w:rPr>
      </w:pPr>
      <w:r>
        <w:rPr>
          <w:rFonts w:ascii="Arial" w:cs="Arial" w:eastAsia="Arial" w:hAnsi="Arial"/>
          <w:sz w:val="20"/>
          <w:szCs w:val="20"/>
          <w:u w:val="single" w:color="auto"/>
          <w:color w:val="auto"/>
        </w:rPr>
        <w:t>At-the-Market Offerings</w:t>
      </w:r>
      <w:r>
        <w:rPr>
          <w:rFonts w:ascii="Arial" w:cs="Arial" w:eastAsia="Arial" w:hAnsi="Arial"/>
          <w:sz w:val="20"/>
          <w:szCs w:val="20"/>
          <w:color w:val="auto"/>
        </w:rPr>
        <w:t xml:space="preserve">. Notwithstanding anything in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w:t>
      </w:r>
    </w:p>
    <w:p>
      <w:pPr>
        <w:spacing w:after="0" w:line="9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its obligations under this</w:t>
      </w:r>
      <w:r>
        <w:rPr>
          <w:rFonts w:ascii="Arial" w:cs="Arial" w:eastAsia="Arial" w:hAnsi="Arial"/>
          <w:sz w:val="18"/>
          <w:szCs w:val="18"/>
          <w:u w:val="single" w:color="auto"/>
          <w:color w:val="auto"/>
        </w:rPr>
        <w:t xml:space="preserve"> ARTICLE II</w:t>
      </w:r>
      <w:r>
        <w:rPr>
          <w:rFonts w:ascii="Arial" w:cs="Arial" w:eastAsia="Arial" w:hAnsi="Arial"/>
          <w:sz w:val="18"/>
          <w:szCs w:val="18"/>
          <w:color w:val="auto"/>
        </w:rPr>
        <w:t>, the Company (or the applicable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Holder in the case of </w:t>
      </w:r>
      <w:r>
        <w:rPr>
          <w:rFonts w:ascii="Arial" w:cs="Arial" w:eastAsia="Arial" w:hAnsi="Arial"/>
          <w:sz w:val="20"/>
          <w:szCs w:val="20"/>
          <w:u w:val="single" w:color="auto"/>
          <w:color w:val="auto"/>
        </w:rPr>
        <w:t>Section 2.3(q)</w:t>
      </w:r>
      <w:r>
        <w:rPr>
          <w:rFonts w:ascii="Arial" w:cs="Arial" w:eastAsia="Arial" w:hAnsi="Arial"/>
          <w:sz w:val="20"/>
          <w:szCs w:val="20"/>
          <w:color w:val="auto"/>
        </w:rPr>
        <w:t>, will use its reasonable best effort to:</w:t>
      </w:r>
    </w:p>
    <w:p>
      <w:pPr>
        <w:spacing w:after="0" w:line="175" w:lineRule="exact"/>
        <w:rPr>
          <w:sz w:val="20"/>
          <w:szCs w:val="20"/>
          <w:color w:val="auto"/>
        </w:rPr>
      </w:pPr>
    </w:p>
    <w:p>
      <w:pPr>
        <w:jc w:val="both"/>
        <w:ind w:firstLine="1305"/>
        <w:spacing w:after="0" w:line="321" w:lineRule="auto"/>
        <w:tabs>
          <w:tab w:leader="none" w:pos="1811" w:val="left"/>
        </w:tabs>
        <w:numPr>
          <w:ilvl w:val="0"/>
          <w:numId w:val="10"/>
        </w:numPr>
        <w:rPr>
          <w:rFonts w:ascii="Arial" w:cs="Arial" w:eastAsia="Arial" w:hAnsi="Arial"/>
          <w:sz w:val="19"/>
          <w:szCs w:val="19"/>
          <w:color w:val="auto"/>
        </w:rPr>
      </w:pPr>
      <w:r>
        <w:rPr>
          <w:rFonts w:ascii="Arial" w:cs="Arial" w:eastAsia="Arial" w:hAnsi="Arial"/>
          <w:sz w:val="18"/>
          <w:szCs w:val="18"/>
          <w:color w:val="auto"/>
        </w:rPr>
        <w:t>prepare and file with the SEC, and cause to be declared or become effective as soon as reasonably practicable, each Registration Statement contemplated by this Agreement with respect to all Registrable Securities as provided herein and make all required filings with FINRA;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reasonable best efforts to cause such amendment to be declared or become effective and the Registration Statement and the related prospectus to become usable for their intended purposes as soon as reasonably practicable thereafter;</w:t>
      </w:r>
    </w:p>
    <w:p>
      <w:pPr>
        <w:spacing w:after="0" w:line="86" w:lineRule="exact"/>
        <w:rPr>
          <w:rFonts w:ascii="Arial" w:cs="Arial" w:eastAsia="Arial" w:hAnsi="Arial"/>
          <w:sz w:val="19"/>
          <w:szCs w:val="19"/>
          <w:color w:val="auto"/>
        </w:rPr>
      </w:pPr>
    </w:p>
    <w:p>
      <w:pPr>
        <w:jc w:val="both"/>
        <w:ind w:firstLine="1305"/>
        <w:spacing w:after="0" w:line="317" w:lineRule="auto"/>
        <w:tabs>
          <w:tab w:leader="none" w:pos="1769" w:val="left"/>
        </w:tabs>
        <w:numPr>
          <w:ilvl w:val="0"/>
          <w:numId w:val="10"/>
        </w:numPr>
        <w:rPr>
          <w:rFonts w:ascii="Arial" w:cs="Arial" w:eastAsia="Arial" w:hAnsi="Arial"/>
          <w:sz w:val="19"/>
          <w:szCs w:val="19"/>
          <w:color w:val="auto"/>
        </w:rPr>
      </w:pPr>
      <w:r>
        <w:rPr>
          <w:rFonts w:ascii="Arial" w:cs="Arial" w:eastAsia="Arial" w:hAnsi="Arial"/>
          <w:sz w:val="18"/>
          <w:szCs w:val="18"/>
          <w:color w:val="auto"/>
        </w:rPr>
        <w:t>(i)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disposition of all securities covered by the registration statement; and (ii) if a prospectus supplement will be used in connection with the marketing of an Underwritten Offering or Overnight Underwritten Offering from a Registration Statement contemplated by this Agreement and the Managing Underwriter at any time shall notify each Holder that, in the reasonable judgment of such Managing Underwriter, inclusion of detailed information to be used in such prospectus supplement is of material importance to the success of the Underwritten Offering or Overnight Underwritten Offering of such Registrable Securities, or if such information is required by applicable law (including the rules and regulation of the SEC), include such information in a prospectus supplement; provided, that, before filing any Registration Statement, prospectus or any amendments or supplements thereto the Company shall provide reasonable advance notice thereof to each Holder and, if requested, furnish a reasonable opportunity to review copies of all such documents (including copies of any documents to be incorporated by reference therein and all exhibits thereto) proposed to be filed (in each case at least three (3) Business Days prior to such filing or in the case of documents filed in connection with an Overnight Underwritten Offering at least one (1) Business Day), and</w:t>
      </w:r>
    </w:p>
    <w:p>
      <w:pPr>
        <w:sectPr>
          <w:pgSz w:w="11900" w:h="16838" w:orient="portrait"/>
          <w:cols w:equalWidth="0" w:num="1">
            <w:col w:w="11420"/>
          </w:cols>
          <w:pgMar w:left="240" w:top="150" w:right="239" w:bottom="0" w:gutter="0" w:footer="0" w:header="0"/>
        </w:sectPr>
      </w:pPr>
    </w:p>
    <w:bookmarkStart w:id="14" w:name="page15"/>
    <w:bookmarkEnd w:id="14"/>
    <w:p>
      <w:pPr>
        <w:jc w:val="both"/>
        <w:spacing w:after="0" w:line="329" w:lineRule="auto"/>
        <w:rPr>
          <w:sz w:val="20"/>
          <w:szCs w:val="20"/>
          <w:color w:val="auto"/>
        </w:rPr>
      </w:pPr>
      <w:r>
        <w:rPr>
          <w:rFonts w:ascii="Arial" w:cs="Arial" w:eastAsia="Arial" w:hAnsi="Arial"/>
          <w:sz w:val="18"/>
          <w:szCs w:val="18"/>
          <w:color w:val="auto"/>
        </w:rPr>
        <w:t>the Company shall not file any such Registration Statement or prospectus or any amendments or supplements thereto in respect of which the a Holder has provided or must provide information for the inclusion therein without the Holder being afforded an opportunity to review such documentation if the Holders of a majority of the Registrable Securities covered by such registration statement, or the Managing Underwriter or Managing Underwriters, if any, or any of their respective counsel shall reasonably object in writing on a timely basis;</w:t>
      </w:r>
    </w:p>
    <w:p>
      <w:pPr>
        <w:spacing w:after="0" w:line="81" w:lineRule="exact"/>
        <w:rPr>
          <w:sz w:val="20"/>
          <w:szCs w:val="20"/>
          <w:color w:val="auto"/>
        </w:rPr>
      </w:pPr>
    </w:p>
    <w:p>
      <w:pPr>
        <w:jc w:val="both"/>
        <w:ind w:firstLine="1305"/>
        <w:spacing w:after="0" w:line="319" w:lineRule="auto"/>
        <w:tabs>
          <w:tab w:leader="none" w:pos="1919" w:val="left"/>
        </w:tabs>
        <w:numPr>
          <w:ilvl w:val="0"/>
          <w:numId w:val="11"/>
        </w:numPr>
        <w:rPr>
          <w:rFonts w:ascii="Arial" w:cs="Arial" w:eastAsia="Arial" w:hAnsi="Arial"/>
          <w:sz w:val="19"/>
          <w:szCs w:val="19"/>
          <w:color w:val="auto"/>
        </w:rPr>
      </w:pPr>
      <w:r>
        <w:rPr>
          <w:rFonts w:ascii="Arial" w:cs="Arial" w:eastAsia="Arial" w:hAnsi="Arial"/>
          <w:sz w:val="18"/>
          <w:szCs w:val="18"/>
          <w:color w:val="auto"/>
        </w:rPr>
        <w:t>furnish to each Holder (i) as far in advance as reasonably practicable before filing any Registration Statement contemplated by this Agreement or any prospectus or prospectus supplement to be used in connection therewith or any supplement or amendment thereto, upon request, copies of reasonably complete drafts of all such documents proposed to be filed (including furnishing or making available exhibits and each document incorporated by reference therein to the extent then required by the rules and regulations of the SEC), and provide each Holder the opportunity to object to any information pertaining to a Holder and its plan of distribution that is contained therein and make the corrections reasonably requested by a Holder with respect to such information prior to filing the Registration Statement or any prospectus or prospectus supplement to be used in connection therewith or supplement or amendment thereto, and (ii) such number of copies of the Registration Statement and the prospectus included therein and any supplements and amendments thereto as the Holders may reasonably request in order to facilitate the public sale or other disposition of the Registrable Securities covered by the registration statement;</w:t>
      </w:r>
    </w:p>
    <w:p>
      <w:pPr>
        <w:spacing w:after="0" w:line="88" w:lineRule="exact"/>
        <w:rPr>
          <w:rFonts w:ascii="Arial" w:cs="Arial" w:eastAsia="Arial" w:hAnsi="Arial"/>
          <w:sz w:val="19"/>
          <w:szCs w:val="19"/>
          <w:color w:val="auto"/>
        </w:rPr>
      </w:pPr>
    </w:p>
    <w:p>
      <w:pPr>
        <w:jc w:val="both"/>
        <w:ind w:firstLine="1305"/>
        <w:spacing w:after="0" w:line="301" w:lineRule="auto"/>
        <w:tabs>
          <w:tab w:leader="none" w:pos="1769" w:val="left"/>
        </w:tabs>
        <w:numPr>
          <w:ilvl w:val="0"/>
          <w:numId w:val="11"/>
        </w:numPr>
        <w:rPr>
          <w:rFonts w:ascii="Arial" w:cs="Arial" w:eastAsia="Arial" w:hAnsi="Arial"/>
          <w:sz w:val="21"/>
          <w:szCs w:val="21"/>
          <w:color w:val="auto"/>
        </w:rPr>
      </w:pPr>
      <w:r>
        <w:rPr>
          <w:rFonts w:ascii="Arial" w:cs="Arial" w:eastAsia="Arial" w:hAnsi="Arial"/>
          <w:sz w:val="19"/>
          <w:szCs w:val="19"/>
          <w:color w:val="auto"/>
        </w:rPr>
        <w:t>if applicable, use its reasonable best efforts to register or qualify the Registrable Securities covered by any Registration Statement contemplated by this Agreement under the securities or blue sky laws of such jurisdictions as a Holder, or in the case of an Underwritten Offering or Overnight Underwritten Offering, the Managing Underwriter, shall reasonably request, provided that the Company will not be required to qualify generally to transact business in any jurisdiction where it is not then required to so qualify or to take any action which would subject it to general service of process in any such jurisdiction where it is not then so subject;</w:t>
      </w:r>
    </w:p>
    <w:p>
      <w:pPr>
        <w:spacing w:after="0" w:line="100" w:lineRule="exact"/>
        <w:rPr>
          <w:rFonts w:ascii="Arial" w:cs="Arial" w:eastAsia="Arial" w:hAnsi="Arial"/>
          <w:sz w:val="21"/>
          <w:szCs w:val="21"/>
          <w:color w:val="auto"/>
        </w:rPr>
      </w:pPr>
    </w:p>
    <w:p>
      <w:pPr>
        <w:jc w:val="both"/>
        <w:ind w:firstLine="1305"/>
        <w:spacing w:after="0" w:line="283" w:lineRule="auto"/>
        <w:tabs>
          <w:tab w:leader="none" w:pos="1824" w:val="left"/>
        </w:tabs>
        <w:numPr>
          <w:ilvl w:val="0"/>
          <w:numId w:val="11"/>
        </w:numPr>
        <w:rPr>
          <w:rFonts w:ascii="Arial" w:cs="Arial" w:eastAsia="Arial" w:hAnsi="Arial"/>
          <w:sz w:val="22"/>
          <w:szCs w:val="22"/>
          <w:color w:val="auto"/>
        </w:rPr>
      </w:pPr>
      <w:r>
        <w:rPr>
          <w:rFonts w:ascii="Arial" w:cs="Arial" w:eastAsia="Arial" w:hAnsi="Arial"/>
          <w:sz w:val="20"/>
          <w:szCs w:val="20"/>
          <w:color w:val="auto"/>
        </w:rPr>
        <w:t>promptly notify each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any written comments from the SEC with respect to any filing referred to in clause (i) and any written request by the SEC for amendments or supplements to any Registration Statement contemplated by this Agreement or any prospectus or prospectus supplement thereto;</w:t>
      </w:r>
    </w:p>
    <w:p>
      <w:pPr>
        <w:spacing w:after="0" w:line="113" w:lineRule="exact"/>
        <w:rPr>
          <w:rFonts w:ascii="Arial" w:cs="Arial" w:eastAsia="Arial" w:hAnsi="Arial"/>
          <w:sz w:val="22"/>
          <w:szCs w:val="22"/>
          <w:color w:val="auto"/>
        </w:rPr>
      </w:pPr>
    </w:p>
    <w:p>
      <w:pPr>
        <w:jc w:val="both"/>
        <w:ind w:firstLine="1305"/>
        <w:spacing w:after="0" w:line="317" w:lineRule="auto"/>
        <w:tabs>
          <w:tab w:leader="none" w:pos="1692" w:val="left"/>
        </w:tabs>
        <w:numPr>
          <w:ilvl w:val="0"/>
          <w:numId w:val="11"/>
        </w:numPr>
        <w:rPr>
          <w:rFonts w:ascii="Arial" w:cs="Arial" w:eastAsia="Arial" w:hAnsi="Arial"/>
          <w:sz w:val="19"/>
          <w:szCs w:val="19"/>
          <w:color w:val="auto"/>
        </w:rPr>
      </w:pPr>
      <w:r>
        <w:rPr>
          <w:rFonts w:ascii="Arial" w:cs="Arial" w:eastAsia="Arial" w:hAnsi="Arial"/>
          <w:sz w:val="18"/>
          <w:szCs w:val="18"/>
          <w:color w:val="auto"/>
        </w:rPr>
        <w:t>promptly notify each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not misleading, in the light of the circumstances then existing; (ii) the issuance or threat of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necessary to remove a stop order, suspension, threat thereof or proceedings related thereto;</w:t>
      </w:r>
    </w:p>
    <w:p>
      <w:pPr>
        <w:spacing w:after="0" w:line="93" w:lineRule="exact"/>
        <w:rPr>
          <w:rFonts w:ascii="Arial" w:cs="Arial" w:eastAsia="Arial" w:hAnsi="Arial"/>
          <w:sz w:val="19"/>
          <w:szCs w:val="19"/>
          <w:color w:val="auto"/>
        </w:rPr>
      </w:pPr>
    </w:p>
    <w:p>
      <w:pPr>
        <w:jc w:val="both"/>
        <w:ind w:firstLine="1305"/>
        <w:spacing w:after="0" w:line="285" w:lineRule="auto"/>
        <w:tabs>
          <w:tab w:leader="none" w:pos="1850" w:val="left"/>
        </w:tabs>
        <w:numPr>
          <w:ilvl w:val="0"/>
          <w:numId w:val="11"/>
        </w:numPr>
        <w:rPr>
          <w:rFonts w:ascii="Arial" w:cs="Arial" w:eastAsia="Arial" w:hAnsi="Arial"/>
          <w:sz w:val="22"/>
          <w:szCs w:val="22"/>
          <w:color w:val="auto"/>
        </w:rPr>
      </w:pPr>
      <w:r>
        <w:rPr>
          <w:rFonts w:ascii="Arial" w:cs="Arial" w:eastAsia="Arial" w:hAnsi="Arial"/>
          <w:sz w:val="20"/>
          <w:szCs w:val="20"/>
          <w:color w:val="auto"/>
        </w:rPr>
        <w:t>furnish to each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112" w:lineRule="exact"/>
        <w:rPr>
          <w:rFonts w:ascii="Arial" w:cs="Arial" w:eastAsia="Arial" w:hAnsi="Arial"/>
          <w:sz w:val="22"/>
          <w:szCs w:val="22"/>
          <w:color w:val="auto"/>
        </w:rPr>
      </w:pPr>
    </w:p>
    <w:p>
      <w:pPr>
        <w:jc w:val="both"/>
        <w:ind w:firstLine="1305"/>
        <w:spacing w:after="0" w:line="298" w:lineRule="auto"/>
        <w:tabs>
          <w:tab w:leader="none" w:pos="1756" w:val="left"/>
        </w:tabs>
        <w:numPr>
          <w:ilvl w:val="0"/>
          <w:numId w:val="11"/>
        </w:numPr>
        <w:rPr>
          <w:rFonts w:ascii="Arial" w:cs="Arial" w:eastAsia="Arial" w:hAnsi="Arial"/>
          <w:sz w:val="21"/>
          <w:szCs w:val="21"/>
          <w:color w:val="auto"/>
        </w:rPr>
      </w:pPr>
      <w:r>
        <w:rPr>
          <w:rFonts w:ascii="Arial" w:cs="Arial" w:eastAsia="Arial" w:hAnsi="Arial"/>
          <w:sz w:val="19"/>
          <w:szCs w:val="19"/>
          <w:color w:val="auto"/>
        </w:rPr>
        <w:t>in the case of an Underwritten Offering or Overnight Underwritten Offering, use its reasonable best efforts to furnish, or cause to be furnished, upon request and addressed to the underwriters and to the Holders, (i) an opinion of counsel for the Company, dated the effective date of the applicable Registration Statement or the date of any amendment or supplement thereto, and a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of the opinion and the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Overnight Underwritten Offerings of securities, and such other matters as such underwriters or a Holder may reasonably request;</w:t>
      </w:r>
    </w:p>
    <w:p>
      <w:pPr>
        <w:spacing w:after="0" w:line="105" w:lineRule="exact"/>
        <w:rPr>
          <w:rFonts w:ascii="Arial" w:cs="Arial" w:eastAsia="Arial" w:hAnsi="Arial"/>
          <w:sz w:val="21"/>
          <w:szCs w:val="21"/>
          <w:color w:val="auto"/>
        </w:rPr>
      </w:pPr>
    </w:p>
    <w:p>
      <w:pPr>
        <w:jc w:val="both"/>
        <w:ind w:firstLine="1305"/>
        <w:spacing w:after="0" w:line="329" w:lineRule="auto"/>
        <w:tabs>
          <w:tab w:leader="none" w:pos="1815" w:val="left"/>
        </w:tabs>
        <w:numPr>
          <w:ilvl w:val="0"/>
          <w:numId w:val="11"/>
        </w:numPr>
        <w:rPr>
          <w:rFonts w:ascii="Arial" w:cs="Arial" w:eastAsia="Arial" w:hAnsi="Arial"/>
          <w:sz w:val="19"/>
          <w:szCs w:val="19"/>
          <w:color w:val="auto"/>
        </w:rPr>
      </w:pPr>
      <w:r>
        <w:rPr>
          <w:rFonts w:ascii="Arial" w:cs="Arial" w:eastAsia="Arial" w:hAnsi="Arial"/>
          <w:sz w:val="18"/>
          <w:szCs w:val="18"/>
          <w:color w:val="auto"/>
        </w:rPr>
        <w:t>otherwise use its reasonable best efforts to comply with all applicable rules and regulations of the SEC, and make available to its security holders, as soon as reasonably practicable, an earnings statement covering the period of at least twelve (12) months, but not more than eighteen (18) months, beginning with the first full calendar month after the effective date of such registration statement, which earnings statement shall satisfy the provisions of Section 11(a) of the Securities Act and Rule 158 promulgated thereunder;</w:t>
      </w:r>
    </w:p>
    <w:p>
      <w:pPr>
        <w:sectPr>
          <w:pgSz w:w="11900" w:h="16838" w:orient="portrait"/>
          <w:cols w:equalWidth="0" w:num="1">
            <w:col w:w="11420"/>
          </w:cols>
          <w:pgMar w:left="240" w:top="150" w:right="239" w:bottom="0" w:gutter="0" w:footer="0" w:header="0"/>
        </w:sectPr>
      </w:pPr>
    </w:p>
    <w:bookmarkStart w:id="15" w:name="page16"/>
    <w:bookmarkEnd w:id="15"/>
    <w:p>
      <w:pPr>
        <w:jc w:val="both"/>
        <w:ind w:firstLine="1305"/>
        <w:spacing w:after="0" w:line="284" w:lineRule="auto"/>
        <w:tabs>
          <w:tab w:leader="none" w:pos="1680" w:val="left"/>
        </w:tabs>
        <w:numPr>
          <w:ilvl w:val="1"/>
          <w:numId w:val="12"/>
        </w:numPr>
        <w:rPr>
          <w:rFonts w:ascii="Arial" w:cs="Arial" w:eastAsia="Arial" w:hAnsi="Arial"/>
          <w:sz w:val="22"/>
          <w:szCs w:val="22"/>
          <w:color w:val="auto"/>
        </w:rPr>
      </w:pPr>
      <w:r>
        <w:rPr>
          <w:rFonts w:ascii="Arial" w:cs="Arial" w:eastAsia="Arial" w:hAnsi="Arial"/>
          <w:sz w:val="20"/>
          <w:szCs w:val="20"/>
          <w:color w:val="auto"/>
        </w:rPr>
        <w:t xml:space="preserve">make available to the appropriate representatives of the Managing Underwriter and the Holders access to such information and the Company personnel as is reasonable and customary to enable such parties to establish a due diligence defense under the Securities Act;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Company need not disclose any information to any such representative unless and until such representative has entered into a</w:t>
      </w:r>
      <w:r>
        <w:rPr>
          <w:rFonts w:ascii="Arial" w:cs="Arial" w:eastAsia="Arial" w:hAnsi="Arial"/>
          <w:sz w:val="20"/>
          <w:szCs w:val="20"/>
          <w:i w:val="1"/>
          <w:iCs w:val="1"/>
          <w:color w:val="auto"/>
        </w:rPr>
        <w:t xml:space="preserve"> </w:t>
      </w:r>
      <w:r>
        <w:rPr>
          <w:rFonts w:ascii="Arial" w:cs="Arial" w:eastAsia="Arial" w:hAnsi="Arial"/>
          <w:sz w:val="20"/>
          <w:szCs w:val="20"/>
          <w:color w:val="auto"/>
        </w:rPr>
        <w:t>confidentiality agreement with the Company;</w:t>
      </w:r>
    </w:p>
    <w:p>
      <w:pPr>
        <w:spacing w:after="0" w:line="113" w:lineRule="exact"/>
        <w:rPr>
          <w:rFonts w:ascii="Arial" w:cs="Arial" w:eastAsia="Arial" w:hAnsi="Arial"/>
          <w:sz w:val="22"/>
          <w:szCs w:val="22"/>
          <w:color w:val="auto"/>
        </w:rPr>
      </w:pPr>
    </w:p>
    <w:p>
      <w:pPr>
        <w:ind w:firstLine="1305"/>
        <w:spacing w:after="0" w:line="399" w:lineRule="auto"/>
        <w:tabs>
          <w:tab w:leader="none" w:pos="1728" w:val="left"/>
        </w:tabs>
        <w:numPr>
          <w:ilvl w:val="1"/>
          <w:numId w:val="12"/>
        </w:numPr>
        <w:rPr>
          <w:rFonts w:ascii="Arial" w:cs="Arial" w:eastAsia="Arial" w:hAnsi="Arial"/>
          <w:sz w:val="18"/>
          <w:szCs w:val="18"/>
          <w:color w:val="auto"/>
        </w:rPr>
      </w:pPr>
      <w:r>
        <w:rPr>
          <w:rFonts w:ascii="Arial" w:cs="Arial" w:eastAsia="Arial" w:hAnsi="Arial"/>
          <w:sz w:val="17"/>
          <w:szCs w:val="17"/>
          <w:color w:val="auto"/>
        </w:rPr>
        <w:t>use its reasonable best efforts to cause all Registrable Securities registered pursuant to this Agreement to be listed on each securities exchange or nationally recognized quotation system on which similar securities issued by the Company are then listed or quoted;</w:t>
      </w:r>
    </w:p>
    <w:p>
      <w:pPr>
        <w:spacing w:after="0" w:line="19" w:lineRule="exact"/>
        <w:rPr>
          <w:rFonts w:ascii="Arial" w:cs="Arial" w:eastAsia="Arial" w:hAnsi="Arial"/>
          <w:sz w:val="18"/>
          <w:szCs w:val="18"/>
          <w:color w:val="auto"/>
        </w:rPr>
      </w:pPr>
    </w:p>
    <w:p>
      <w:pPr>
        <w:jc w:val="both"/>
        <w:ind w:firstLine="1305"/>
        <w:spacing w:after="0" w:line="285" w:lineRule="auto"/>
        <w:tabs>
          <w:tab w:leader="none" w:pos="1829" w:val="left"/>
        </w:tabs>
        <w:numPr>
          <w:ilvl w:val="1"/>
          <w:numId w:val="12"/>
        </w:numPr>
        <w:rPr>
          <w:rFonts w:ascii="Arial" w:cs="Arial" w:eastAsia="Arial" w:hAnsi="Arial"/>
          <w:sz w:val="22"/>
          <w:szCs w:val="22"/>
          <w:color w:val="auto"/>
        </w:rPr>
      </w:pPr>
      <w:r>
        <w:rPr>
          <w:rFonts w:ascii="Arial" w:cs="Arial" w:eastAsia="Arial" w:hAnsi="Arial"/>
          <w:sz w:val="20"/>
          <w:szCs w:val="20"/>
          <w:color w:val="auto"/>
        </w:rPr>
        <w:t>use its reasonable best efforts to cause the Registrable Securities to be registered with or approved by such other governmental agencies or authorities as may be necessary by virtue of the business and operations of the Company to enable the Holders to consummate the disposition of such Registrable Securities;</w:t>
      </w:r>
    </w:p>
    <w:p>
      <w:pPr>
        <w:spacing w:after="0" w:line="112" w:lineRule="exact"/>
        <w:rPr>
          <w:rFonts w:ascii="Arial" w:cs="Arial" w:eastAsia="Arial" w:hAnsi="Arial"/>
          <w:sz w:val="22"/>
          <w:szCs w:val="22"/>
          <w:color w:val="auto"/>
        </w:rPr>
      </w:pPr>
    </w:p>
    <w:p>
      <w:pPr>
        <w:ind w:firstLine="1305"/>
        <w:spacing w:after="0" w:line="293" w:lineRule="auto"/>
        <w:tabs>
          <w:tab w:leader="none" w:pos="1869" w:val="left"/>
        </w:tabs>
        <w:numPr>
          <w:ilvl w:val="1"/>
          <w:numId w:val="12"/>
        </w:numPr>
        <w:rPr>
          <w:rFonts w:ascii="Arial" w:cs="Arial" w:eastAsia="Arial" w:hAnsi="Arial"/>
          <w:sz w:val="22"/>
          <w:szCs w:val="22"/>
          <w:color w:val="auto"/>
        </w:rPr>
      </w:pPr>
      <w:r>
        <w:rPr>
          <w:rFonts w:ascii="Arial" w:cs="Arial" w:eastAsia="Arial" w:hAnsi="Arial"/>
          <w:sz w:val="20"/>
          <w:szCs w:val="20"/>
          <w:color w:val="auto"/>
        </w:rPr>
        <w:t>use its reasonable best efforts to provide a transfer agent and registrar for all Registrable Securities covered by such Registration Statement not later than the effective date of such registration statement;</w:t>
      </w:r>
    </w:p>
    <w:p>
      <w:pPr>
        <w:spacing w:after="0" w:line="99" w:lineRule="exact"/>
        <w:rPr>
          <w:rFonts w:ascii="Arial" w:cs="Arial" w:eastAsia="Arial" w:hAnsi="Arial"/>
          <w:sz w:val="22"/>
          <w:szCs w:val="22"/>
          <w:color w:val="auto"/>
        </w:rPr>
      </w:pPr>
    </w:p>
    <w:p>
      <w:pPr>
        <w:jc w:val="both"/>
        <w:ind w:firstLine="1305"/>
        <w:spacing w:after="0" w:line="283" w:lineRule="auto"/>
        <w:tabs>
          <w:tab w:leader="none" w:pos="1904" w:val="left"/>
        </w:tabs>
        <w:numPr>
          <w:ilvl w:val="1"/>
          <w:numId w:val="12"/>
        </w:numPr>
        <w:rPr>
          <w:rFonts w:ascii="Arial" w:cs="Arial" w:eastAsia="Arial" w:hAnsi="Arial"/>
          <w:sz w:val="22"/>
          <w:szCs w:val="22"/>
          <w:color w:val="auto"/>
        </w:rPr>
      </w:pPr>
      <w:r>
        <w:rPr>
          <w:rFonts w:ascii="Arial" w:cs="Arial" w:eastAsia="Arial" w:hAnsi="Arial"/>
          <w:sz w:val="20"/>
          <w:szCs w:val="20"/>
          <w:color w:val="auto"/>
        </w:rPr>
        <w:t>enter into customary agreements and take such other actions as are reasonably requested by the Holders or the underwriters,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w:t>
      </w:r>
    </w:p>
    <w:p>
      <w:pPr>
        <w:spacing w:after="0" w:line="116" w:lineRule="exact"/>
        <w:rPr>
          <w:rFonts w:ascii="Arial" w:cs="Arial" w:eastAsia="Arial" w:hAnsi="Arial"/>
          <w:sz w:val="22"/>
          <w:szCs w:val="22"/>
          <w:color w:val="auto"/>
        </w:rPr>
      </w:pPr>
    </w:p>
    <w:p>
      <w:pPr>
        <w:jc w:val="both"/>
        <w:ind w:firstLine="1305"/>
        <w:spacing w:after="0" w:line="325" w:lineRule="auto"/>
        <w:tabs>
          <w:tab w:leader="none" w:pos="1742" w:val="left"/>
        </w:tabs>
        <w:numPr>
          <w:ilvl w:val="1"/>
          <w:numId w:val="12"/>
        </w:numPr>
        <w:rPr>
          <w:rFonts w:ascii="Arial" w:cs="Arial" w:eastAsia="Arial" w:hAnsi="Arial"/>
          <w:sz w:val="19"/>
          <w:szCs w:val="19"/>
          <w:color w:val="auto"/>
        </w:rPr>
      </w:pPr>
      <w:r>
        <w:rPr>
          <w:rFonts w:ascii="Arial" w:cs="Arial" w:eastAsia="Arial" w:hAnsi="Arial"/>
          <w:sz w:val="18"/>
          <w:szCs w:val="18"/>
          <w:color w:val="auto"/>
        </w:rPr>
        <w:t>use its reasonable best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w:t>
      </w:r>
    </w:p>
    <w:p>
      <w:pPr>
        <w:spacing w:after="0" w:line="82" w:lineRule="exact"/>
        <w:rPr>
          <w:rFonts w:ascii="Arial" w:cs="Arial" w:eastAsia="Arial" w:hAnsi="Arial"/>
          <w:sz w:val="19"/>
          <w:szCs w:val="19"/>
          <w:color w:val="auto"/>
        </w:rPr>
      </w:pPr>
    </w:p>
    <w:p>
      <w:pPr>
        <w:ind w:left="1760" w:hanging="455"/>
        <w:spacing w:after="0"/>
        <w:tabs>
          <w:tab w:leader="none" w:pos="1760" w:val="left"/>
        </w:tabs>
        <w:numPr>
          <w:ilvl w:val="1"/>
          <w:numId w:val="12"/>
        </w:numPr>
        <w:rPr>
          <w:rFonts w:ascii="Arial" w:cs="Arial" w:eastAsia="Arial" w:hAnsi="Arial"/>
          <w:sz w:val="19"/>
          <w:szCs w:val="19"/>
          <w:color w:val="auto"/>
        </w:rPr>
      </w:pPr>
      <w:r>
        <w:rPr>
          <w:rFonts w:ascii="Arial" w:cs="Arial" w:eastAsia="Arial" w:hAnsi="Arial"/>
          <w:sz w:val="18"/>
          <w:szCs w:val="18"/>
          <w:color w:val="auto"/>
        </w:rPr>
        <w:t xml:space="preserve">each Holder, upon receipt of notice from the Company of the happening of any event of the kind described in </w:t>
      </w:r>
      <w:r>
        <w:rPr>
          <w:rFonts w:ascii="Arial" w:cs="Arial" w:eastAsia="Arial" w:hAnsi="Arial"/>
          <w:sz w:val="18"/>
          <w:szCs w:val="18"/>
          <w:u w:val="single" w:color="auto"/>
          <w:color w:val="auto"/>
        </w:rPr>
        <w:t>subsection</w:t>
      </w:r>
    </w:p>
    <w:p>
      <w:pPr>
        <w:spacing w:after="0" w:line="65" w:lineRule="exact"/>
        <w:rPr>
          <w:rFonts w:ascii="Arial" w:cs="Arial" w:eastAsia="Arial" w:hAnsi="Arial"/>
          <w:sz w:val="19"/>
          <w:szCs w:val="19"/>
          <w:color w:val="auto"/>
        </w:rPr>
      </w:pPr>
    </w:p>
    <w:p>
      <w:pPr>
        <w:jc w:val="both"/>
        <w:ind w:firstLine="8"/>
        <w:spacing w:after="0" w:line="323" w:lineRule="auto"/>
        <w:tabs>
          <w:tab w:leader="none" w:pos="274"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forthwith discontinue disposition of the Registrable Securities until such Holder’s receipt of the copies of the supplemented or amended prospectus contemplated by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Holder will, or will request the Managing Underwriter or Underwriters, if any, to deliver to the Company (at the Company’s expense) all copies in their possession or control, other than permanent file copies then in such Holder’s possession, of the prospectus covering such Registrable Securities current at the time of receipt of such notice;</w:t>
      </w:r>
    </w:p>
    <w:p>
      <w:pPr>
        <w:spacing w:after="0" w:line="84" w:lineRule="exact"/>
        <w:rPr>
          <w:rFonts w:ascii="Arial" w:cs="Arial" w:eastAsia="Arial" w:hAnsi="Arial"/>
          <w:sz w:val="18"/>
          <w:szCs w:val="18"/>
          <w:u w:val="single" w:color="auto"/>
          <w:color w:val="auto"/>
        </w:rPr>
      </w:pPr>
    </w:p>
    <w:p>
      <w:pPr>
        <w:jc w:val="both"/>
        <w:ind w:firstLine="1305"/>
        <w:spacing w:after="0" w:line="283" w:lineRule="auto"/>
        <w:tabs>
          <w:tab w:leader="none" w:pos="1769" w:val="left"/>
        </w:tabs>
        <w:numPr>
          <w:ilvl w:val="1"/>
          <w:numId w:val="13"/>
        </w:numPr>
        <w:rPr>
          <w:rFonts w:ascii="Arial" w:cs="Arial" w:eastAsia="Arial" w:hAnsi="Arial"/>
          <w:sz w:val="22"/>
          <w:szCs w:val="22"/>
          <w:color w:val="auto"/>
        </w:rPr>
      </w:pPr>
      <w:r>
        <w:rPr>
          <w:rFonts w:ascii="Arial" w:cs="Arial" w:eastAsia="Arial" w:hAnsi="Arial"/>
          <w:sz w:val="20"/>
          <w:szCs w:val="20"/>
          <w:color w:val="auto"/>
        </w:rPr>
        <w:t>if requested by a Holder, (i) as soon as practicable incorporate in a prospectus supplement or post-effective amendment such information as a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the registration statement; and</w:t>
      </w:r>
    </w:p>
    <w:p>
      <w:pPr>
        <w:spacing w:after="0" w:line="113" w:lineRule="exact"/>
        <w:rPr>
          <w:rFonts w:ascii="Arial" w:cs="Arial" w:eastAsia="Arial" w:hAnsi="Arial"/>
          <w:sz w:val="22"/>
          <w:szCs w:val="22"/>
          <w:color w:val="auto"/>
        </w:rPr>
      </w:pPr>
    </w:p>
    <w:p>
      <w:pPr>
        <w:ind w:right="20" w:firstLine="1305"/>
        <w:spacing w:after="0" w:line="293" w:lineRule="auto"/>
        <w:tabs>
          <w:tab w:leader="none" w:pos="1787" w:val="left"/>
        </w:tabs>
        <w:numPr>
          <w:ilvl w:val="1"/>
          <w:numId w:val="13"/>
        </w:numPr>
        <w:rPr>
          <w:rFonts w:ascii="Arial" w:cs="Arial" w:eastAsia="Arial" w:hAnsi="Arial"/>
          <w:sz w:val="22"/>
          <w:szCs w:val="22"/>
          <w:color w:val="auto"/>
        </w:rPr>
      </w:pPr>
      <w:r>
        <w:rPr>
          <w:rFonts w:ascii="Arial" w:cs="Arial" w:eastAsia="Arial" w:hAnsi="Arial"/>
          <w:sz w:val="20"/>
          <w:szCs w:val="20"/>
          <w:color w:val="auto"/>
        </w:rPr>
        <w:t>use its reasonable best efforts to take all other steps reasonably necessary to effect the registration of the Registrable Securities contemplated hereby.</w:t>
      </w:r>
    </w:p>
    <w:p>
      <w:pPr>
        <w:spacing w:after="0" w:line="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19"/>
          <w:szCs w:val="19"/>
          <w:u w:val="single" w:color="auto"/>
          <w:color w:val="auto"/>
        </w:rPr>
        <w:t>Cooperation by Holders</w:t>
      </w:r>
      <w:r>
        <w:rPr>
          <w:rFonts w:ascii="Arial" w:cs="Arial" w:eastAsia="Arial" w:hAnsi="Arial"/>
          <w:sz w:val="19"/>
          <w:szCs w:val="19"/>
          <w:color w:val="auto"/>
        </w:rPr>
        <w:t>. The Company shall have no obligation to include in any Registration Statement contemplated</w:t>
      </w:r>
      <w:r>
        <w:rPr>
          <w:rFonts w:ascii="Arial" w:cs="Arial" w:eastAsia="Arial" w:hAnsi="Arial"/>
          <w:sz w:val="22"/>
          <w:szCs w:val="22"/>
          <w:color w:val="auto"/>
        </w:rPr>
        <w:t xml:space="preserve"> </w:t>
      </w:r>
      <w:r>
        <w:rPr>
          <w:rFonts w:ascii="Arial" w:cs="Arial" w:eastAsia="Arial" w:hAnsi="Arial"/>
          <w:sz w:val="19"/>
          <w:szCs w:val="19"/>
          <w:color w:val="auto"/>
        </w:rPr>
        <w:t>by this Agreement Registrable Securities of a Holder who has failed to timely furnish such information which, in the opinion of counsel to the Company, is reasonably required to be furnished or confirmed in order for the Registration Statement or prospectus supplement thereto, as applicable, to comply with the Securities Act.</w:t>
      </w:r>
    </w:p>
    <w:p>
      <w:pPr>
        <w:spacing w:after="0" w:line="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19"/>
          <w:szCs w:val="19"/>
          <w:u w:val="single" w:color="auto"/>
          <w:color w:val="auto"/>
        </w:rPr>
        <w:t>Restrictions on Public Sale by Holders of Registrable Securities</w:t>
      </w:r>
      <w:r>
        <w:rPr>
          <w:rFonts w:ascii="Arial" w:cs="Arial" w:eastAsia="Arial" w:hAnsi="Arial"/>
          <w:sz w:val="19"/>
          <w:szCs w:val="19"/>
          <w:color w:val="auto"/>
        </w:rPr>
        <w:t>. Each Holder of Registrable Securities participating in</w:t>
      </w:r>
      <w:r>
        <w:rPr>
          <w:rFonts w:ascii="Arial" w:cs="Arial" w:eastAsia="Arial" w:hAnsi="Arial"/>
          <w:sz w:val="22"/>
          <w:szCs w:val="22"/>
          <w:color w:val="auto"/>
        </w:rPr>
        <w:t xml:space="preserve"> </w:t>
      </w:r>
      <w:r>
        <w:rPr>
          <w:rFonts w:ascii="Arial" w:cs="Arial" w:eastAsia="Arial" w:hAnsi="Arial"/>
          <w:sz w:val="19"/>
          <w:szCs w:val="19"/>
          <w:color w:val="auto"/>
        </w:rPr>
        <w:t xml:space="preserve">an Underwritten Offering or Overnight Underwritten Offering of equity securities by the Company agrees, if requested by such Managing Underwriter or Underwriters with respect to such Underwritten Offering or Overnight Underwritten Offering such Holder is participating in, not to effect any public sale or distribution of the Registrable Securities for a period of up to ninety (90) days following completion of such Underwritten Offering or Overnight Underwritten Offering,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Company gives written notice to the Holders of the date of the commencement and termination of such period with respect to any such Underwritten Offering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not apply to a Holder that holds less than $10 million of Registrable Securities, which value shall be determined by multiplying the number of Registrable Securities owned by the volume weighted average closing price of Common Stock (as reported by The New York Stock Exchange or, if The New York Stock Exchange is not the Company’s primary securities exchange or market, such primary securities exchange or market) for the ten (10) trading days immediately preceding the date on which the determination is made.</w:t>
      </w:r>
    </w:p>
    <w:p>
      <w:pPr>
        <w:sectPr>
          <w:pgSz w:w="11900" w:h="16838" w:orient="portrait"/>
          <w:cols w:equalWidth="0" w:num="1">
            <w:col w:w="11420"/>
          </w:cols>
          <w:pgMar w:left="240" w:top="150" w:right="239" w:bottom="18" w:gutter="0" w:footer="0" w:header="0"/>
        </w:sectPr>
      </w:pPr>
    </w:p>
    <w:bookmarkStart w:id="16" w:name="page17"/>
    <w:bookmarkEnd w:id="16"/>
    <w:p>
      <w:pPr>
        <w:spacing w:after="0" w:line="1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w:t>
      </w:r>
    </w:p>
    <w:p>
      <w:pPr>
        <w:spacing w:after="0" w:line="178" w:lineRule="exact"/>
        <w:rPr>
          <w:sz w:val="20"/>
          <w:szCs w:val="20"/>
          <w:color w:val="auto"/>
        </w:rPr>
      </w:pPr>
    </w:p>
    <w:p>
      <w:pPr>
        <w:jc w:val="both"/>
        <w:ind w:left="-660" w:firstLine="1305"/>
        <w:spacing w:after="0" w:line="283" w:lineRule="auto"/>
        <w:tabs>
          <w:tab w:leader="none" w:pos="1178"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w:t>
      </w:r>
      <w:r>
        <w:rPr>
          <w:rFonts w:ascii="Arial" w:cs="Arial" w:eastAsia="Arial" w:hAnsi="Arial"/>
          <w:sz w:val="20"/>
          <w:szCs w:val="20"/>
          <w:b w:val="1"/>
          <w:bCs w:val="1"/>
          <w:color w:val="auto"/>
        </w:rPr>
        <w:t>Registration Expenses</w:t>
      </w:r>
      <w:r>
        <w:rPr>
          <w:rFonts w:ascii="Arial" w:cs="Arial" w:eastAsia="Arial" w:hAnsi="Arial"/>
          <w:sz w:val="20"/>
          <w:szCs w:val="20"/>
          <w:color w:val="auto"/>
        </w:rPr>
        <w:t>”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fees and disbursements of (x) one counsel to the Holders and (y) counsel and independent public accountants (and, if applicable, independent reserve engineers) for the Company, including the expenses of any legal opinions or letters, special audits or “comfort letters” required by or incident to such performance and compliance.</w:t>
      </w:r>
    </w:p>
    <w:p>
      <w:pPr>
        <w:spacing w:after="0" w:line="117" w:lineRule="exact"/>
        <w:rPr>
          <w:rFonts w:ascii="Arial" w:cs="Arial" w:eastAsia="Arial" w:hAnsi="Arial"/>
          <w:sz w:val="22"/>
          <w:szCs w:val="22"/>
          <w:color w:val="auto"/>
        </w:rPr>
      </w:pPr>
    </w:p>
    <w:p>
      <w:pPr>
        <w:jc w:val="both"/>
        <w:ind w:left="-660" w:firstLine="1305"/>
        <w:spacing w:after="0" w:line="285" w:lineRule="auto"/>
        <w:tabs>
          <w:tab w:leader="none" w:pos="1150"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The Company will pay all Registration Expenses as determined in good faith, including, in the case of an Underwritten Offering or Overnight Underwritten Offering, whether or not any sale is made pursuant to a Registration Statement;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Holders shall pay any and all applicable Selling Expenses.</w:t>
      </w:r>
    </w:p>
    <w:p>
      <w:pPr>
        <w:spacing w:after="0" w:line="9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4" w:lineRule="exact"/>
        <w:rPr>
          <w:sz w:val="20"/>
          <w:szCs w:val="20"/>
          <w:color w:val="auto"/>
        </w:rPr>
      </w:pPr>
    </w:p>
    <w:p>
      <w:pPr>
        <w:jc w:val="both"/>
        <w:ind w:left="-660" w:firstLine="1305"/>
        <w:spacing w:after="0" w:line="315" w:lineRule="auto"/>
        <w:tabs>
          <w:tab w:leader="none" w:pos="1124"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In the event of a registration of any Registrable Securities under the Securities Act pursuant to this Agreement, the Company will indemnify and hold harmless each Holder thereunder, its Affiliates and their respective directors, officers, managers, employees and agents and each underwriter pursuant to the applicable underwriting agreement with such underwriter and each Person, if any, who controls such Holder or underwriter within the meaning of the Securities Act and the Exchange Act and its directors, officers, employees and agents (collectively, the “</w:t>
      </w:r>
      <w:r>
        <w:rPr>
          <w:rFonts w:ascii="Arial" w:cs="Arial" w:eastAsia="Arial" w:hAnsi="Arial"/>
          <w:sz w:val="18"/>
          <w:szCs w:val="18"/>
          <w:b w:val="1"/>
          <w:bCs w:val="1"/>
          <w:color w:val="auto"/>
        </w:rPr>
        <w:t>Holder Indemnified Persons</w:t>
      </w:r>
      <w:r>
        <w:rPr>
          <w:rFonts w:ascii="Arial" w:cs="Arial" w:eastAsia="Arial" w:hAnsi="Arial"/>
          <w:sz w:val="18"/>
          <w:szCs w:val="18"/>
          <w:color w:val="auto"/>
        </w:rPr>
        <w:t>”), against any losses, claims, damages, expenses or liabilities (including reasonable attorneys’, accountants’ and experts’ fees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xml:space="preserve">”), joint or several, to which such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(iii) a Holder being deemed to be an “underwriter,” as defined in Section 2(a)(11) of the Securities Act, in connection with an offering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(iv) any violation by the Company of the Securities Act, the Exchange Act, any state securities law or any rules or regulations applicable to the Company, in connection with the Registration Statement in respect of any registration of the Company’s securities, and will reimburse each such Holder Indemnified Person for any legal or other expenses reasonably incurred by them in connection with investigating or defending any such Loss or actions or proceedings;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Holder Indemnified Person in writing specifically for use in a Registration Statement or any prospectus contained therein or any amendment or supplement thereof. Such indemnity shall remain in full force and effect regardless of any investigation made by or on behalf of such Holder Indemnified Person and shall survive the transfer of such securities by such Holder.</w:t>
      </w:r>
    </w:p>
    <w:p>
      <w:pPr>
        <w:spacing w:after="0" w:line="100" w:lineRule="exact"/>
        <w:rPr>
          <w:rFonts w:ascii="Arial" w:cs="Arial" w:eastAsia="Arial" w:hAnsi="Arial"/>
          <w:sz w:val="19"/>
          <w:szCs w:val="19"/>
          <w:color w:val="auto"/>
        </w:rPr>
      </w:pPr>
    </w:p>
    <w:p>
      <w:pPr>
        <w:jc w:val="both"/>
        <w:ind w:left="-660" w:firstLine="1305"/>
        <w:spacing w:after="0" w:line="321" w:lineRule="auto"/>
        <w:tabs>
          <w:tab w:leader="none" w:pos="1082"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By Each Holder</w:t>
      </w:r>
      <w:r>
        <w:rPr>
          <w:rFonts w:ascii="Arial" w:cs="Arial" w:eastAsia="Arial" w:hAnsi="Arial"/>
          <w:sz w:val="18"/>
          <w:szCs w:val="18"/>
          <w:i w:val="1"/>
          <w:iCs w:val="1"/>
          <w:color w:val="auto"/>
        </w:rPr>
        <w:t>.</w:t>
      </w:r>
      <w:r>
        <w:rPr>
          <w:rFonts w:ascii="Arial" w:cs="Arial" w:eastAsia="Arial" w:hAnsi="Arial"/>
          <w:sz w:val="18"/>
          <w:szCs w:val="18"/>
          <w:color w:val="auto"/>
        </w:rPr>
        <w:t xml:space="preserve"> Each Holder agrees severally and not jointly to indemnify and hold harmless the Company, its directors and officers, and each Person, if any, who controls the Company within the meaning of the Securities Act or of the Exchange Act, against any Losses to the same extent as the foregoing indemnity from the Company to the Holders, but only with respect to information regarding such Holder furnished in writing by or on behalf of such Holder expressly for inclusion in any Registration Statement contemplated by this Agreement or any prospectus contained therein or any amendment or supplement thereof relating to the Registrable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liability of each Holder shall not be greater in amount than the dollar amount of the proceeds (net of any Selling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such Holder from the sale of the Registrable Securities giving rise to such indemnification.</w:t>
      </w:r>
    </w:p>
    <w:p>
      <w:pPr>
        <w:spacing w:after="0" w:line="86" w:lineRule="exact"/>
        <w:rPr>
          <w:rFonts w:ascii="Arial" w:cs="Arial" w:eastAsia="Arial" w:hAnsi="Arial"/>
          <w:sz w:val="19"/>
          <w:szCs w:val="19"/>
          <w:color w:val="auto"/>
        </w:rPr>
      </w:pPr>
    </w:p>
    <w:p>
      <w:pPr>
        <w:jc w:val="both"/>
        <w:ind w:left="-660" w:firstLine="1305"/>
        <w:spacing w:after="0" w:line="316" w:lineRule="auto"/>
        <w:tabs>
          <w:tab w:leader="none" w:pos="1137" w:val="left"/>
        </w:tabs>
        <w:numPr>
          <w:ilvl w:val="0"/>
          <w:numId w:val="15"/>
        </w:numPr>
        <w:rPr>
          <w:rFonts w:ascii="Arial" w:cs="Arial" w:eastAsia="Arial" w:hAnsi="Arial"/>
          <w:sz w:val="19"/>
          <w:szCs w:val="19"/>
          <w:color w:val="auto"/>
        </w:rPr>
      </w:pPr>
      <w:r>
        <w:rPr>
          <w:rFonts w:ascii="Arial" w:cs="Arial" w:eastAsia="Arial" w:hAnsi="Arial"/>
          <w:sz w:val="18"/>
          <w:szCs w:val="18"/>
          <w:u w:val="single" w:color="auto"/>
          <w:color w:val="auto"/>
        </w:rPr>
        <w:t>Notice</w:t>
      </w:r>
      <w:r>
        <w:rPr>
          <w:rFonts w:ascii="Arial" w:cs="Arial" w:eastAsia="Arial" w:hAnsi="Arial"/>
          <w:sz w:val="18"/>
          <w:szCs w:val="18"/>
          <w:i w:val="1"/>
          <w:iCs w:val="1"/>
          <w:color w:val="auto"/>
        </w:rPr>
        <w:t>.</w:t>
      </w:r>
      <w:r>
        <w:rPr>
          <w:rFonts w:ascii="Arial" w:cs="Arial" w:eastAsia="Arial" w:hAnsi="Arial"/>
          <w:sz w:val="18"/>
          <w:szCs w:val="18"/>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to notify the indemnifying party shall not relieve it from any liability that it may have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w:t>
      </w:r>
    </w:p>
    <w:p>
      <w:pPr>
        <w:sectPr>
          <w:pgSz w:w="11900" w:h="16962" w:orient="portrait"/>
          <w:cols w:equalWidth="0" w:num="1">
            <w:col w:w="10760"/>
          </w:cols>
          <w:pgMar w:left="900" w:top="132" w:right="239" w:bottom="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20"/>
          <w:szCs w:val="20"/>
          <w:color w:val="auto"/>
        </w:rPr>
        <w:t>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w:t>
      </w:r>
    </w:p>
    <w:p>
      <w:pPr>
        <w:spacing w:after="0" w:line="111" w:lineRule="exact"/>
        <w:rPr>
          <w:sz w:val="20"/>
          <w:szCs w:val="20"/>
          <w:color w:val="auto"/>
        </w:rPr>
      </w:pPr>
    </w:p>
    <w:p>
      <w:pPr>
        <w:jc w:val="both"/>
        <w:ind w:firstLine="1305"/>
        <w:spacing w:after="0" w:line="316" w:lineRule="auto"/>
        <w:tabs>
          <w:tab w:leader="none" w:pos="1728" w:val="left"/>
        </w:tabs>
        <w:numPr>
          <w:ilvl w:val="0"/>
          <w:numId w:val="16"/>
        </w:numPr>
        <w:rPr>
          <w:rFonts w:ascii="Arial" w:cs="Arial" w:eastAsia="Arial" w:hAnsi="Arial"/>
          <w:sz w:val="19"/>
          <w:szCs w:val="19"/>
          <w:color w:val="auto"/>
        </w:rPr>
      </w:pPr>
      <w:r>
        <w:rPr>
          <w:rFonts w:ascii="Arial" w:cs="Arial" w:eastAsia="Arial" w:hAnsi="Arial"/>
          <w:sz w:val="18"/>
          <w:szCs w:val="18"/>
          <w:u w:val="single" w:color="auto"/>
          <w:color w:val="auto"/>
        </w:rPr>
        <w:t>Contribution</w:t>
      </w:r>
      <w:r>
        <w:rPr>
          <w:rFonts w:ascii="Arial" w:cs="Arial" w:eastAsia="Arial" w:hAnsi="Arial"/>
          <w:sz w:val="18"/>
          <w:szCs w:val="18"/>
          <w:i w:val="1"/>
          <w:iCs w:val="1"/>
          <w:color w:val="auto"/>
        </w:rPr>
        <w:t>.</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is held by a court or government agency of competent jurisdiction to be unavailable to the Company or any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Holder Indemnified Person, on the other hand, in such proportion as is appropriate to reflect the relative fault of the Company, on the one hand, and of such Holder Indemnified Person, on the other, in connection with the statements or omissions which resulted in such Losses, as well as any other relevant equitable considerations;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no event shall any Holder be required to contribute an aggregate amount in excess of the dollar amount of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any Holder from the sale of Registrable Securities giving rise to such indemnification. The relative fault of the Company, on the one hand, and each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89" w:lineRule="exact"/>
        <w:rPr>
          <w:rFonts w:ascii="Arial" w:cs="Arial" w:eastAsia="Arial" w:hAnsi="Arial"/>
          <w:sz w:val="19"/>
          <w:szCs w:val="19"/>
          <w:color w:val="auto"/>
        </w:rPr>
      </w:pPr>
    </w:p>
    <w:p>
      <w:pPr>
        <w:ind w:firstLine="1305"/>
        <w:spacing w:after="0" w:line="293" w:lineRule="auto"/>
        <w:tabs>
          <w:tab w:leader="none" w:pos="1784" w:val="left"/>
        </w:tabs>
        <w:numPr>
          <w:ilvl w:val="0"/>
          <w:numId w:val="16"/>
        </w:numPr>
        <w:rPr>
          <w:rFonts w:ascii="Arial" w:cs="Arial" w:eastAsia="Arial" w:hAnsi="Arial"/>
          <w:sz w:val="22"/>
          <w:szCs w:val="22"/>
          <w:color w:val="auto"/>
        </w:rPr>
      </w:pPr>
      <w:r>
        <w:rPr>
          <w:rFonts w:ascii="Arial" w:cs="Arial" w:eastAsia="Arial" w:hAnsi="Arial"/>
          <w:sz w:val="20"/>
          <w:szCs w:val="20"/>
          <w:u w:val="single" w:color="auto"/>
          <w:color w:val="auto"/>
        </w:rPr>
        <w:t>Other Indemnification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shall be in addition to any other rights to indemnification or contribution which an indemnified party may have pursuant to law, equity, contract or otherwise.</w:t>
      </w:r>
    </w:p>
    <w:p>
      <w:pPr>
        <w:spacing w:after="0" w:line="81" w:lineRule="exact"/>
        <w:rPr>
          <w:sz w:val="20"/>
          <w:szCs w:val="20"/>
          <w:color w:val="auto"/>
        </w:rPr>
      </w:pPr>
    </w:p>
    <w:p>
      <w:pPr>
        <w:ind w:firstLine="648"/>
        <w:spacing w:after="0" w:line="308"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the benefits of certain rules and regulations of the SEC that may</w:t>
      </w:r>
      <w:r>
        <w:rPr>
          <w:rFonts w:ascii="Arial" w:cs="Arial" w:eastAsia="Arial" w:hAnsi="Arial"/>
          <w:sz w:val="21"/>
          <w:szCs w:val="21"/>
          <w:color w:val="auto"/>
        </w:rPr>
        <w:t xml:space="preserve"> </w:t>
      </w:r>
      <w:r>
        <w:rPr>
          <w:rFonts w:ascii="Arial" w:cs="Arial" w:eastAsia="Arial" w:hAnsi="Arial"/>
          <w:sz w:val="18"/>
          <w:szCs w:val="18"/>
          <w:color w:val="auto"/>
        </w:rPr>
        <w:t>permit the sale of the Registrable Securities to the public without registration, the Company agrees to use its reasonable best efforts to:</w:t>
      </w:r>
    </w:p>
    <w:p>
      <w:pPr>
        <w:spacing w:after="0" w:line="87" w:lineRule="exact"/>
        <w:rPr>
          <w:sz w:val="20"/>
          <w:szCs w:val="20"/>
          <w:color w:val="auto"/>
        </w:rPr>
      </w:pPr>
    </w:p>
    <w:p>
      <w:pPr>
        <w:ind w:firstLine="1305"/>
        <w:spacing w:after="0" w:line="293" w:lineRule="auto"/>
        <w:tabs>
          <w:tab w:leader="none" w:pos="1757" w:val="left"/>
        </w:tabs>
        <w:numPr>
          <w:ilvl w:val="0"/>
          <w:numId w:val="17"/>
        </w:numPr>
        <w:rPr>
          <w:rFonts w:ascii="Arial" w:cs="Arial" w:eastAsia="Arial" w:hAnsi="Arial"/>
          <w:sz w:val="22"/>
          <w:szCs w:val="22"/>
          <w:color w:val="auto"/>
        </w:rPr>
      </w:pPr>
      <w:r>
        <w:rPr>
          <w:rFonts w:ascii="Arial" w:cs="Arial" w:eastAsia="Arial" w:hAnsi="Arial"/>
          <w:sz w:val="20"/>
          <w:szCs w:val="20"/>
          <w:color w:val="auto"/>
        </w:rPr>
        <w:t>make and keep public information regarding the Company available, as those terms are understood and defined in Rule 144, at all times from and after the Closing Date until there are no Registrable Securities outstanding;</w:t>
      </w:r>
    </w:p>
    <w:p>
      <w:pPr>
        <w:spacing w:after="0" w:line="99" w:lineRule="exact"/>
        <w:rPr>
          <w:rFonts w:ascii="Arial" w:cs="Arial" w:eastAsia="Arial" w:hAnsi="Arial"/>
          <w:sz w:val="22"/>
          <w:szCs w:val="22"/>
          <w:color w:val="auto"/>
        </w:rPr>
      </w:pPr>
    </w:p>
    <w:p>
      <w:pPr>
        <w:ind w:right="20" w:firstLine="1305"/>
        <w:spacing w:after="0" w:line="321" w:lineRule="auto"/>
        <w:tabs>
          <w:tab w:leader="none" w:pos="1756" w:val="left"/>
        </w:tabs>
        <w:numPr>
          <w:ilvl w:val="0"/>
          <w:numId w:val="17"/>
        </w:numPr>
        <w:rPr>
          <w:rFonts w:ascii="Arial" w:cs="Arial" w:eastAsia="Arial" w:hAnsi="Arial"/>
          <w:sz w:val="21"/>
          <w:szCs w:val="21"/>
          <w:color w:val="auto"/>
        </w:rPr>
      </w:pPr>
      <w:r>
        <w:rPr>
          <w:rFonts w:ascii="Arial" w:cs="Arial" w:eastAsia="Arial" w:hAnsi="Arial"/>
          <w:sz w:val="19"/>
          <w:szCs w:val="19"/>
          <w:color w:val="auto"/>
        </w:rPr>
        <w:t>file with the SEC in a timely manner all reports and other documents required of the Company under the Securities Act and the Exchange Act at all times from and after the Closing Date until there are no Registrable Securities outstanding;</w:t>
      </w:r>
    </w:p>
    <w:p>
      <w:pPr>
        <w:spacing w:after="0" w:line="73" w:lineRule="exact"/>
        <w:rPr>
          <w:rFonts w:ascii="Arial" w:cs="Arial" w:eastAsia="Arial" w:hAnsi="Arial"/>
          <w:sz w:val="21"/>
          <w:szCs w:val="21"/>
          <w:color w:val="auto"/>
        </w:rPr>
      </w:pPr>
    </w:p>
    <w:p>
      <w:pPr>
        <w:jc w:val="both"/>
        <w:ind w:firstLine="1305"/>
        <w:spacing w:after="0" w:line="305" w:lineRule="auto"/>
        <w:tabs>
          <w:tab w:leader="none" w:pos="1770" w:val="left"/>
        </w:tabs>
        <w:numPr>
          <w:ilvl w:val="0"/>
          <w:numId w:val="17"/>
        </w:numPr>
        <w:rPr>
          <w:rFonts w:ascii="Arial" w:cs="Arial" w:eastAsia="Arial" w:hAnsi="Arial"/>
          <w:sz w:val="21"/>
          <w:szCs w:val="21"/>
          <w:color w:val="auto"/>
        </w:rPr>
      </w:pPr>
      <w:r>
        <w:rPr>
          <w:rFonts w:ascii="Arial" w:cs="Arial" w:eastAsia="Arial" w:hAnsi="Arial"/>
          <w:sz w:val="19"/>
          <w:szCs w:val="19"/>
          <w:color w:val="auto"/>
        </w:rPr>
        <w:t>so long as a Holder owns any Registrable Securities, furnish to such Holder forthwith upon request a copy of the most recent annual or quarterly report of the Company, and such other reports and documents so filed as such Holder may reasonably request in availing itself of any rule or regulation of the SEC allowing such Holder to sell any such securities without registration; and</w:t>
      </w:r>
    </w:p>
    <w:p>
      <w:pPr>
        <w:spacing w:after="0" w:line="96" w:lineRule="exact"/>
        <w:rPr>
          <w:rFonts w:ascii="Arial" w:cs="Arial" w:eastAsia="Arial" w:hAnsi="Arial"/>
          <w:sz w:val="21"/>
          <w:szCs w:val="21"/>
          <w:color w:val="auto"/>
        </w:rPr>
      </w:pPr>
    </w:p>
    <w:p>
      <w:pPr>
        <w:jc w:val="both"/>
        <w:ind w:firstLine="1305"/>
        <w:spacing w:after="0" w:line="285" w:lineRule="auto"/>
        <w:tabs>
          <w:tab w:leader="none" w:pos="1756" w:val="left"/>
        </w:tabs>
        <w:numPr>
          <w:ilvl w:val="0"/>
          <w:numId w:val="17"/>
        </w:numPr>
        <w:rPr>
          <w:rFonts w:ascii="Arial" w:cs="Arial" w:eastAsia="Arial" w:hAnsi="Arial"/>
          <w:sz w:val="22"/>
          <w:szCs w:val="22"/>
          <w:color w:val="auto"/>
        </w:rPr>
      </w:pPr>
      <w:r>
        <w:rPr>
          <w:rFonts w:ascii="Arial" w:cs="Arial" w:eastAsia="Arial" w:hAnsi="Arial"/>
          <w:sz w:val="20"/>
          <w:szCs w:val="20"/>
          <w:color w:val="auto"/>
        </w:rPr>
        <w:t>take such further action as any Holder may reasonably request, all to the extent required from time to time to enable the Holders to sell Registrable Securities without registration under the Securities Act within the limitations of the exemption provided by Rule 144.</w:t>
      </w:r>
    </w:p>
    <w:p>
      <w:pPr>
        <w:spacing w:after="0" w:line="9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18"/>
          <w:szCs w:val="18"/>
          <w:u w:val="single" w:color="auto"/>
          <w:color w:val="auto"/>
        </w:rPr>
        <w:t>Transfer or Assignment of Registration Rights</w:t>
      </w:r>
      <w:r>
        <w:rPr>
          <w:rFonts w:ascii="Arial" w:cs="Arial" w:eastAsia="Arial" w:hAnsi="Arial"/>
          <w:sz w:val="18"/>
          <w:szCs w:val="18"/>
          <w:color w:val="auto"/>
        </w:rPr>
        <w:t>. The rights to cause the Company to include Registrable Securities in any</w:t>
      </w:r>
      <w:r>
        <w:rPr>
          <w:rFonts w:ascii="Arial" w:cs="Arial" w:eastAsia="Arial" w:hAnsi="Arial"/>
          <w:sz w:val="21"/>
          <w:szCs w:val="21"/>
          <w:color w:val="auto"/>
        </w:rPr>
        <w:t xml:space="preserve"> </w:t>
      </w:r>
      <w:r>
        <w:rPr>
          <w:rFonts w:ascii="Arial" w:cs="Arial" w:eastAsia="Arial" w:hAnsi="Arial"/>
          <w:sz w:val="18"/>
          <w:szCs w:val="18"/>
          <w:color w:val="auto"/>
        </w:rPr>
        <w:t xml:space="preserve">Registration Statement contemplated by this Agreement may be transferred or assigned by any Holder with a transfer of Registrable Securities to any Affiliate of Chevron; </w:t>
      </w:r>
      <w:r>
        <w:rPr>
          <w:rFonts w:ascii="Arial" w:cs="Arial" w:eastAsia="Arial" w:hAnsi="Arial"/>
          <w:sz w:val="18"/>
          <w:szCs w:val="18"/>
          <w:i w:val="1"/>
          <w:iCs w:val="1"/>
          <w:color w:val="auto"/>
        </w:rPr>
        <w:t>provided</w:t>
      </w:r>
      <w:r>
        <w:rPr>
          <w:rFonts w:ascii="Arial" w:cs="Arial" w:eastAsia="Arial" w:hAnsi="Arial"/>
          <w:sz w:val="18"/>
          <w:szCs w:val="18"/>
          <w:color w:val="auto"/>
        </w:rPr>
        <w:t>, that (a) the Company is given prompt written notice after such transfer, stating the name and address of each such transferee and identifying the securities with respect to which such registration rights are being transferred or assigned and (b) each such transferee or assignee assumes in writing responsibility for its portion of the obligations of the Holder under this Agreement.</w:t>
      </w:r>
    </w:p>
    <w:p>
      <w:pPr>
        <w:spacing w:after="0" w:line="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19"/>
          <w:szCs w:val="19"/>
          <w:u w:val="single" w:color="auto"/>
          <w:color w:val="auto"/>
        </w:rPr>
        <w:t>Information by Holder</w:t>
      </w:r>
      <w:r>
        <w:rPr>
          <w:rFonts w:ascii="Arial" w:cs="Arial" w:eastAsia="Arial" w:hAnsi="Arial"/>
          <w:sz w:val="19"/>
          <w:szCs w:val="19"/>
          <w:color w:val="auto"/>
        </w:rPr>
        <w:t>. Any Holder or Holders of Registrable Securities included in any Registration Statement shall</w:t>
      </w:r>
      <w:r>
        <w:rPr>
          <w:rFonts w:ascii="Arial" w:cs="Arial" w:eastAsia="Arial" w:hAnsi="Arial"/>
          <w:sz w:val="22"/>
          <w:szCs w:val="22"/>
          <w:color w:val="auto"/>
        </w:rPr>
        <w:t xml:space="preserve"> </w:t>
      </w:r>
      <w:r>
        <w:rPr>
          <w:rFonts w:ascii="Arial" w:cs="Arial" w:eastAsia="Arial" w:hAnsi="Arial"/>
          <w:sz w:val="19"/>
          <w:szCs w:val="19"/>
          <w:color w:val="auto"/>
        </w:rPr>
        <w:t>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19"/>
          <w:szCs w:val="19"/>
          <w:u w:val="single" w:color="auto"/>
          <w:color w:val="auto"/>
        </w:rPr>
        <w:t>No Inconsistent Agreements; Limitation on Subsequent Registration Rights</w:t>
      </w:r>
      <w:r>
        <w:rPr>
          <w:rFonts w:ascii="Arial" w:cs="Arial" w:eastAsia="Arial" w:hAnsi="Arial"/>
          <w:sz w:val="19"/>
          <w:szCs w:val="19"/>
          <w:color w:val="auto"/>
        </w:rPr>
        <w:t>. The Company has not entered, as of the</w:t>
      </w:r>
      <w:r>
        <w:rPr>
          <w:rFonts w:ascii="Arial" w:cs="Arial" w:eastAsia="Arial" w:hAnsi="Arial"/>
          <w:sz w:val="22"/>
          <w:szCs w:val="22"/>
          <w:color w:val="auto"/>
        </w:rPr>
        <w:t xml:space="preserve"> </w:t>
      </w:r>
      <w:r>
        <w:rPr>
          <w:rFonts w:ascii="Arial" w:cs="Arial" w:eastAsia="Arial" w:hAnsi="Arial"/>
          <w:sz w:val="19"/>
          <w:szCs w:val="19"/>
          <w:color w:val="auto"/>
        </w:rPr>
        <w:t>date hereof, and the Company shall not enter, after the date of this Agreement, into any agreement with respect to any of its securities that is inconsistent with the rights granted to Chevron in this Agreement.</w:t>
      </w:r>
    </w:p>
    <w:p>
      <w:pPr>
        <w:spacing w:after="0" w:line="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19"/>
          <w:szCs w:val="19"/>
          <w:u w:val="single" w:color="auto"/>
          <w:color w:val="auto"/>
        </w:rPr>
        <w:t>Transfer Restrictions</w:t>
      </w:r>
      <w:r>
        <w:rPr>
          <w:rFonts w:ascii="Arial" w:cs="Arial" w:eastAsia="Arial" w:hAnsi="Arial"/>
          <w:sz w:val="19"/>
          <w:szCs w:val="19"/>
          <w:color w:val="auto"/>
        </w:rPr>
        <w:t>. Except as permitted by</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each Holder shall not, without the prior consent of a majority</w:t>
      </w:r>
      <w:r>
        <w:rPr>
          <w:rFonts w:ascii="Arial" w:cs="Arial" w:eastAsia="Arial" w:hAnsi="Arial"/>
          <w:sz w:val="22"/>
          <w:szCs w:val="22"/>
          <w:color w:val="auto"/>
        </w:rPr>
        <w:t xml:space="preserve"> </w:t>
      </w:r>
      <w:r>
        <w:rPr>
          <w:rFonts w:ascii="Arial" w:cs="Arial" w:eastAsia="Arial" w:hAnsi="Arial"/>
          <w:sz w:val="19"/>
          <w:szCs w:val="19"/>
          <w:color w:val="auto"/>
        </w:rPr>
        <w:t>of the Unaffiliated Directors, transfer any Securities:</w:t>
      </w:r>
    </w:p>
    <w:p>
      <w:pPr>
        <w:spacing w:after="0" w:line="110" w:lineRule="exact"/>
        <w:rPr>
          <w:sz w:val="20"/>
          <w:szCs w:val="20"/>
          <w:color w:val="auto"/>
        </w:rPr>
      </w:pPr>
    </w:p>
    <w:p>
      <w:pPr>
        <w:jc w:val="both"/>
        <w:ind w:firstLine="1305"/>
        <w:spacing w:after="0" w:line="365" w:lineRule="auto"/>
        <w:tabs>
          <w:tab w:leader="none" w:pos="1757" w:val="left"/>
        </w:tabs>
        <w:numPr>
          <w:ilvl w:val="0"/>
          <w:numId w:val="18"/>
        </w:numPr>
        <w:rPr>
          <w:rFonts w:ascii="Arial" w:cs="Arial" w:eastAsia="Arial" w:hAnsi="Arial"/>
          <w:sz w:val="19"/>
          <w:szCs w:val="19"/>
          <w:color w:val="auto"/>
        </w:rPr>
      </w:pPr>
      <w:r>
        <w:rPr>
          <w:rFonts w:ascii="Arial" w:cs="Arial" w:eastAsia="Arial" w:hAnsi="Arial"/>
          <w:sz w:val="18"/>
          <w:szCs w:val="18"/>
          <w:color w:val="auto"/>
        </w:rPr>
        <w:t>to, or in a transaction with, any person or “group” (within the meaning of Section 13(d)(3) of the Exchange Act) where any such person or “group” would acquire in such transaction or, to the knowledge of the such Holder after reasonable inquiry, owns or would</w:t>
      </w:r>
    </w:p>
    <w:p>
      <w:pPr>
        <w:sectPr>
          <w:pgSz w:w="11900" w:h="16838" w:orient="portrait"/>
          <w:cols w:equalWidth="0" w:num="1">
            <w:col w:w="11420"/>
          </w:cols>
          <w:pgMar w:left="240" w:top="150" w:right="239" w:bottom="0" w:gutter="0" w:footer="0" w:header="0"/>
        </w:sectPr>
      </w:pPr>
    </w:p>
    <w:bookmarkStart w:id="18" w:name="page19"/>
    <w:bookmarkEnd w:id="18"/>
    <w:p>
      <w:pPr>
        <w:spacing w:after="0" w:line="303" w:lineRule="auto"/>
        <w:rPr>
          <w:sz w:val="20"/>
          <w:szCs w:val="20"/>
          <w:color w:val="auto"/>
        </w:rPr>
      </w:pPr>
      <w:r>
        <w:rPr>
          <w:rFonts w:ascii="Arial" w:cs="Arial" w:eastAsia="Arial" w:hAnsi="Arial"/>
          <w:sz w:val="20"/>
          <w:szCs w:val="20"/>
          <w:color w:val="auto"/>
        </w:rPr>
        <w:t>own, following such transaction, beneficial ownership of an aggregate number of Voting Securities representing 5% or more of the Voting Power; or</w:t>
      </w:r>
    </w:p>
    <w:p>
      <w:pPr>
        <w:spacing w:after="0" w:line="95" w:lineRule="exact"/>
        <w:rPr>
          <w:sz w:val="20"/>
          <w:szCs w:val="20"/>
          <w:color w:val="auto"/>
        </w:rPr>
      </w:pPr>
    </w:p>
    <w:p>
      <w:pPr>
        <w:jc w:val="both"/>
        <w:ind w:firstLine="1305"/>
        <w:spacing w:after="0" w:line="285" w:lineRule="auto"/>
        <w:tabs>
          <w:tab w:leader="none" w:pos="1850" w:val="left"/>
        </w:tabs>
        <w:numPr>
          <w:ilvl w:val="0"/>
          <w:numId w:val="19"/>
        </w:numPr>
        <w:rPr>
          <w:rFonts w:ascii="Arial" w:cs="Arial" w:eastAsia="Arial" w:hAnsi="Arial"/>
          <w:sz w:val="22"/>
          <w:szCs w:val="22"/>
          <w:color w:val="auto"/>
        </w:rPr>
      </w:pPr>
      <w:r>
        <w:rPr>
          <w:rFonts w:ascii="Arial" w:cs="Arial" w:eastAsia="Arial" w:hAnsi="Arial"/>
          <w:sz w:val="20"/>
          <w:szCs w:val="20"/>
          <w:color w:val="auto"/>
        </w:rPr>
        <w:t>to, or in a transaction with, any person, or “group” (within the meaning of Section 13(d)(3) of the Exchange Act) including, any person that, to the knowledge of such Holder after reasonable inquiry, competes directly or indirectly with the business of the Company in any material respect;</w:t>
      </w:r>
    </w:p>
    <w:p>
      <w:pPr>
        <w:spacing w:after="0" w:line="99" w:lineRule="exact"/>
        <w:rPr>
          <w:sz w:val="20"/>
          <w:szCs w:val="20"/>
          <w:color w:val="auto"/>
        </w:rPr>
      </w:pPr>
    </w:p>
    <w:p>
      <w:pPr>
        <w:spacing w:after="0" w:line="316"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restrictions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2.12</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apply to any Securities transferred pursuant to a registration statement or a public</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in compliance with any applicable requirements of U.S. federal or state securities laws (including Rule 144).</w:t>
      </w:r>
    </w:p>
    <w:p>
      <w:pPr>
        <w:spacing w:after="0" w:line="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8"/>
          <w:szCs w:val="18"/>
          <w:u w:val="single" w:color="auto"/>
          <w:color w:val="auto"/>
        </w:rPr>
        <w:t>Other Limitations</w:t>
      </w:r>
      <w:r>
        <w:rPr>
          <w:rFonts w:ascii="Arial" w:cs="Arial" w:eastAsia="Arial" w:hAnsi="Arial"/>
          <w:sz w:val="18"/>
          <w:szCs w:val="18"/>
          <w:color w:val="auto"/>
        </w:rPr>
        <w:t>. The Holders may not effect a sale or disposition through the Registration Statement referenced in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shares of the Common Stock constituting the Securities, except as follows:</w:t>
      </w:r>
    </w:p>
    <w:p>
      <w:pPr>
        <w:spacing w:after="0" w:line="173" w:lineRule="exact"/>
        <w:rPr>
          <w:sz w:val="20"/>
          <w:szCs w:val="20"/>
          <w:color w:val="auto"/>
        </w:rPr>
      </w:pPr>
    </w:p>
    <w:p>
      <w:pPr>
        <w:ind w:left="1720" w:hanging="415"/>
        <w:spacing w:after="0"/>
        <w:tabs>
          <w:tab w:leader="none" w:pos="1720" w:val="left"/>
        </w:tabs>
        <w:numPr>
          <w:ilvl w:val="0"/>
          <w:numId w:val="20"/>
        </w:numPr>
        <w:rPr>
          <w:rFonts w:ascii="Arial" w:cs="Arial" w:eastAsia="Arial" w:hAnsi="Arial"/>
          <w:sz w:val="22"/>
          <w:szCs w:val="22"/>
          <w:color w:val="auto"/>
        </w:rPr>
      </w:pPr>
      <w:r>
        <w:rPr>
          <w:rFonts w:ascii="Arial" w:cs="Arial" w:eastAsia="Arial" w:hAnsi="Arial"/>
          <w:sz w:val="20"/>
          <w:szCs w:val="20"/>
          <w:color w:val="auto"/>
        </w:rPr>
        <w:t>no more than 1,000,000 of such shares may be sold within thirty (30) days after the Effectiveness Date;</w:t>
      </w:r>
    </w:p>
    <w:p>
      <w:pPr>
        <w:spacing w:after="0" w:line="168" w:lineRule="exact"/>
        <w:rPr>
          <w:rFonts w:ascii="Arial" w:cs="Arial" w:eastAsia="Arial" w:hAnsi="Arial"/>
          <w:sz w:val="22"/>
          <w:szCs w:val="22"/>
          <w:color w:val="auto"/>
        </w:rPr>
      </w:pPr>
    </w:p>
    <w:p>
      <w:pPr>
        <w:jc w:val="both"/>
        <w:ind w:firstLine="1305"/>
        <w:spacing w:after="0" w:line="285" w:lineRule="auto"/>
        <w:tabs>
          <w:tab w:leader="none" w:pos="1769" w:val="left"/>
        </w:tabs>
        <w:numPr>
          <w:ilvl w:val="0"/>
          <w:numId w:val="20"/>
        </w:numPr>
        <w:rPr>
          <w:rFonts w:ascii="Arial" w:cs="Arial" w:eastAsia="Arial" w:hAnsi="Arial"/>
          <w:sz w:val="22"/>
          <w:szCs w:val="22"/>
          <w:color w:val="auto"/>
        </w:rPr>
      </w:pPr>
      <w:r>
        <w:rPr>
          <w:rFonts w:ascii="Arial" w:cs="Arial" w:eastAsia="Arial" w:hAnsi="Arial"/>
          <w:sz w:val="20"/>
          <w:szCs w:val="20"/>
          <w:color w:val="auto"/>
        </w:rPr>
        <w:t>an additional 1,000,000 shares may be sold during the period beginning on the thirty-first (31st) day and ending on the sixtieth (60th) day after the Effectiveness Date, plus the number of shares fewer than 1,000,000 that were not sold within the thirty (30) day period referenced above in clause (a); and</w:t>
      </w:r>
    </w:p>
    <w:p>
      <w:pPr>
        <w:spacing w:after="0" w:line="112" w:lineRule="exact"/>
        <w:rPr>
          <w:rFonts w:ascii="Arial" w:cs="Arial" w:eastAsia="Arial" w:hAnsi="Arial"/>
          <w:sz w:val="22"/>
          <w:szCs w:val="22"/>
          <w:color w:val="auto"/>
        </w:rPr>
      </w:pPr>
    </w:p>
    <w:p>
      <w:pPr>
        <w:ind w:firstLine="1305"/>
        <w:spacing w:after="0" w:line="293" w:lineRule="auto"/>
        <w:tabs>
          <w:tab w:leader="none" w:pos="1851" w:val="left"/>
        </w:tabs>
        <w:numPr>
          <w:ilvl w:val="0"/>
          <w:numId w:val="20"/>
        </w:numPr>
        <w:rPr>
          <w:rFonts w:ascii="Arial" w:cs="Arial" w:eastAsia="Arial" w:hAnsi="Arial"/>
          <w:sz w:val="22"/>
          <w:szCs w:val="22"/>
          <w:color w:val="auto"/>
        </w:rPr>
      </w:pPr>
      <w:r>
        <w:rPr>
          <w:rFonts w:ascii="Arial" w:cs="Arial" w:eastAsia="Arial" w:hAnsi="Arial"/>
          <w:sz w:val="20"/>
          <w:szCs w:val="20"/>
          <w:color w:val="auto"/>
        </w:rPr>
        <w:t>all remaining shares constituting the Securities may be sold at any time after the sixtieth (60th) day following the Effectiveness Date, including all shares not sold within the sixty (60) day period referenced above in clauses (a) and (b).</w:t>
      </w:r>
    </w:p>
    <w:p>
      <w:pPr>
        <w:spacing w:after="0" w:line="7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19"/>
          <w:szCs w:val="19"/>
          <w:u w:val="single" w:color="auto"/>
          <w:color w:val="auto"/>
        </w:rPr>
        <w:t>Communications</w:t>
      </w:r>
      <w:r>
        <w:rPr>
          <w:rFonts w:ascii="Arial" w:cs="Arial" w:eastAsia="Arial" w:hAnsi="Arial"/>
          <w:sz w:val="19"/>
          <w:szCs w:val="19"/>
          <w:color w:val="auto"/>
        </w:rPr>
        <w:t>. All notices and other communications provided for hereunder shall be in writing and shall be given by</w:t>
      </w:r>
      <w:r>
        <w:rPr>
          <w:rFonts w:ascii="Arial" w:cs="Arial" w:eastAsia="Arial" w:hAnsi="Arial"/>
          <w:sz w:val="22"/>
          <w:szCs w:val="22"/>
          <w:color w:val="auto"/>
        </w:rPr>
        <w:t xml:space="preserve"> </w:t>
      </w:r>
      <w:r>
        <w:rPr>
          <w:rFonts w:ascii="Arial" w:cs="Arial" w:eastAsia="Arial" w:hAnsi="Arial"/>
          <w:sz w:val="19"/>
          <w:szCs w:val="19"/>
          <w:color w:val="auto"/>
        </w:rPr>
        <w:t>hand delivery, electronic mail, registered or certified mail, return receipt requested, regular mail or air courier guaranteeing overnight delivery to the following addresses: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If to the Company, to:</w:t>
      </w:r>
    </w:p>
    <w:p>
      <w:pPr>
        <w:spacing w:after="0" w:line="33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California Resources Corporation</w:t>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9200 Oakdale Avenue,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420"/>
        <w:spacing w:after="0"/>
        <w:rPr>
          <w:sz w:val="20"/>
          <w:szCs w:val="20"/>
          <w:color w:val="auto"/>
        </w:rPr>
      </w:pPr>
      <w:r>
        <w:rPr>
          <w:rFonts w:ascii="Arial" w:cs="Arial" w:eastAsia="Arial" w:hAnsi="Arial"/>
          <w:sz w:val="20"/>
          <w:szCs w:val="20"/>
          <w:color w:val="auto"/>
        </w:rPr>
        <w:t>Los Angeles, California 91311</w:t>
      </w:r>
    </w:p>
    <w:p>
      <w:pPr>
        <w:spacing w:after="0" w:line="38"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Michael L. Preston</w:t>
      </w:r>
    </w:p>
    <w:p>
      <w:pPr>
        <w:spacing w:after="0" w:line="15"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Executive Vice President,</w:t>
      </w:r>
    </w:p>
    <w:p>
      <w:pPr>
        <w:ind w:left="2900"/>
        <w:spacing w:after="0"/>
        <w:rPr>
          <w:sz w:val="20"/>
          <w:szCs w:val="20"/>
          <w:color w:val="auto"/>
        </w:rPr>
      </w:pPr>
      <w:r>
        <w:rPr>
          <w:rFonts w:ascii="Arial" w:cs="Arial" w:eastAsia="Arial" w:hAnsi="Arial"/>
          <w:sz w:val="20"/>
          <w:szCs w:val="20"/>
          <w:color w:val="auto"/>
        </w:rPr>
        <w:t>General Counsel and Corporate Secretary</w:t>
      </w:r>
    </w:p>
    <w:p>
      <w:pPr>
        <w:spacing w:after="0" w:line="38"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Michael.Preston@crc.com</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If to Chevron, to:</w:t>
      </w:r>
    </w:p>
    <w:p>
      <w:pPr>
        <w:spacing w:after="0" w:line="37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Chevron U.S.A. Inc.</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1200 Smith Street, 25th Floor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Houston, Texas 77002</w:t>
      </w:r>
    </w:p>
    <w:p>
      <w:pPr>
        <w:spacing w:after="0" w:line="54"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A&amp;D Manager</w:t>
      </w:r>
    </w:p>
    <w:p>
      <w:pPr>
        <w:spacing w:after="0" w:line="54" w:lineRule="exact"/>
        <w:rPr>
          <w:sz w:val="20"/>
          <w:szCs w:val="20"/>
          <w:color w:val="auto"/>
        </w:rPr>
      </w:pPr>
    </w:p>
    <w:p>
      <w:pPr>
        <w:ind w:left="1420"/>
        <w:spacing w:after="0"/>
        <w:tabs>
          <w:tab w:leader="none" w:pos="2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a&amp;d_manager@chevron.com</w:t>
      </w:r>
    </w:p>
    <w:p>
      <w:pPr>
        <w:spacing w:after="0" w:line="337"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or, if to a transferee of a Holder, to the transferee at the address specified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above.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w:t>
      </w:r>
    </w:p>
    <w:p>
      <w:pPr>
        <w:spacing w:after="0" w:line="74" w:lineRule="exact"/>
        <w:rPr>
          <w:sz w:val="20"/>
          <w:szCs w:val="20"/>
          <w:color w:val="auto"/>
        </w:rPr>
      </w:pPr>
    </w:p>
    <w:p>
      <w:pPr>
        <w:jc w:val="both"/>
        <w:ind w:right="20" w:firstLine="648"/>
        <w:spacing w:after="0" w:line="28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inure to the benefit of and be binding upon the permitted successors and</w:t>
      </w:r>
      <w:r>
        <w:rPr>
          <w:rFonts w:ascii="Arial" w:cs="Arial" w:eastAsia="Arial" w:hAnsi="Arial"/>
          <w:sz w:val="22"/>
          <w:szCs w:val="22"/>
          <w:color w:val="auto"/>
        </w:rPr>
        <w:t xml:space="preserve"> </w:t>
      </w:r>
      <w:r>
        <w:rPr>
          <w:rFonts w:ascii="Arial" w:cs="Arial" w:eastAsia="Arial" w:hAnsi="Arial"/>
          <w:sz w:val="19"/>
          <w:szCs w:val="19"/>
          <w:color w:val="auto"/>
        </w:rPr>
        <w:t>assigns of each of the parties, including subsequent Holders of Registrable Securities to the extent permitted herein.</w:t>
      </w:r>
    </w:p>
    <w:p>
      <w:pPr>
        <w:spacing w:after="0" w:line="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19"/>
          <w:szCs w:val="19"/>
          <w:u w:val="single" w:color="auto"/>
          <w:color w:val="auto"/>
        </w:rPr>
        <w:t>Assignment of Rights</w:t>
      </w:r>
      <w:r>
        <w:rPr>
          <w:rFonts w:ascii="Arial" w:cs="Arial" w:eastAsia="Arial" w:hAnsi="Arial"/>
          <w:sz w:val="19"/>
          <w:szCs w:val="19"/>
          <w:color w:val="auto"/>
        </w:rPr>
        <w:t>. All or any portion of the rights and obligations of any Holder under this Agreement may be</w:t>
      </w:r>
      <w:r>
        <w:rPr>
          <w:rFonts w:ascii="Arial" w:cs="Arial" w:eastAsia="Arial" w:hAnsi="Arial"/>
          <w:sz w:val="22"/>
          <w:szCs w:val="22"/>
          <w:color w:val="auto"/>
        </w:rPr>
        <w:t xml:space="preserve"> </w:t>
      </w:r>
      <w:r>
        <w:rPr>
          <w:rFonts w:ascii="Arial" w:cs="Arial" w:eastAsia="Arial" w:hAnsi="Arial"/>
          <w:sz w:val="19"/>
          <w:szCs w:val="19"/>
          <w:color w:val="auto"/>
        </w:rPr>
        <w:t xml:space="preserve">transferred or assigned by such Holder only in accordance with </w:t>
      </w:r>
      <w:r>
        <w:rPr>
          <w:rFonts w:ascii="Arial" w:cs="Arial" w:eastAsia="Arial" w:hAnsi="Arial"/>
          <w:sz w:val="19"/>
          <w:szCs w:val="19"/>
          <w:u w:val="single" w:color="auto"/>
          <w:color w:val="auto"/>
        </w:rPr>
        <w:t>Section 2.9</w:t>
      </w:r>
      <w:r>
        <w:rPr>
          <w:rFonts w:ascii="Arial" w:cs="Arial" w:eastAsia="Arial" w:hAnsi="Arial"/>
          <w:sz w:val="19"/>
          <w:szCs w:val="19"/>
          <w:color w:val="auto"/>
        </w:rPr>
        <w: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19"/>
          <w:szCs w:val="19"/>
          <w:u w:val="single" w:color="auto"/>
          <w:color w:val="auto"/>
        </w:rPr>
        <w:t>Recapitalization Affecting the Stock</w:t>
      </w:r>
      <w:r>
        <w:rPr>
          <w:rFonts w:ascii="Arial" w:cs="Arial" w:eastAsia="Arial" w:hAnsi="Arial"/>
          <w:sz w:val="19"/>
          <w:szCs w:val="19"/>
          <w:color w:val="auto"/>
        </w:rPr>
        <w:t>. The Company agrees that it shall not effect or permit to occur any combination or</w:t>
      </w:r>
      <w:r>
        <w:rPr>
          <w:rFonts w:ascii="Arial" w:cs="Arial" w:eastAsia="Arial" w:hAnsi="Arial"/>
          <w:sz w:val="22"/>
          <w:szCs w:val="22"/>
          <w:color w:val="auto"/>
        </w:rPr>
        <w:t xml:space="preserve"> </w:t>
      </w:r>
      <w:r>
        <w:rPr>
          <w:rFonts w:ascii="Arial" w:cs="Arial" w:eastAsia="Arial" w:hAnsi="Arial"/>
          <w:sz w:val="19"/>
          <w:szCs w:val="19"/>
          <w:color w:val="auto"/>
        </w:rPr>
        <w:t>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w:t>
      </w:r>
    </w:p>
    <w:p>
      <w:pPr>
        <w:sectPr>
          <w:pgSz w:w="11900" w:h="16838" w:orient="portrait"/>
          <w:cols w:equalWidth="0" w:num="1">
            <w:col w:w="11420"/>
          </w:cols>
          <w:pgMar w:left="240" w:top="150" w:right="239" w:bottom="0" w:gutter="0" w:footer="0" w:header="0"/>
        </w:sectPr>
      </w:pPr>
    </w:p>
    <w:bookmarkStart w:id="19" w:name="page20"/>
    <w:bookmarkEnd w:id="19"/>
    <w:p>
      <w:pPr>
        <w:jc w:val="both"/>
        <w:ind w:firstLine="648"/>
        <w:spacing w:after="0" w:line="309"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Damages in the event of breach of this Agreement by a party hereto may be difficult, if not</w:t>
      </w:r>
      <w:r>
        <w:rPr>
          <w:rFonts w:ascii="Arial" w:cs="Arial" w:eastAsia="Arial" w:hAnsi="Arial"/>
          <w:sz w:val="21"/>
          <w:szCs w:val="21"/>
          <w:color w:val="auto"/>
        </w:rPr>
        <w:t xml:space="preserve"> </w:t>
      </w:r>
      <w:r>
        <w:rPr>
          <w:rFonts w:ascii="Arial" w:cs="Arial" w:eastAsia="Arial" w:hAnsi="Arial"/>
          <w:sz w:val="18"/>
          <w:szCs w:val="18"/>
          <w:color w:val="auto"/>
        </w:rPr>
        <w:t>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which such Person may have.</w:t>
      </w:r>
    </w:p>
    <w:p>
      <w:pPr>
        <w:spacing w:after="0" w:line="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different parties hereto in separate</w:t>
      </w:r>
      <w:r>
        <w:rPr>
          <w:rFonts w:ascii="Arial" w:cs="Arial" w:eastAsia="Arial" w:hAnsi="Arial"/>
          <w:sz w:val="22"/>
          <w:szCs w:val="22"/>
          <w:color w:val="auto"/>
        </w:rPr>
        <w:t xml:space="preserve"> </w:t>
      </w:r>
      <w:r>
        <w:rPr>
          <w:rFonts w:ascii="Arial" w:cs="Arial" w:eastAsia="Arial" w:hAnsi="Arial"/>
          <w:sz w:val="19"/>
          <w:szCs w:val="19"/>
          <w:color w:val="auto"/>
        </w:rPr>
        <w:t>counterparts, each of which counterparts, when so executed and delivered, shall be deemed to be an original and all of which counterparts, taken together, shall constitute but one and the same Agreement. The parties hereto may deliver this Agreement by facsimile or by electronic mail and each party shall be permitted to rely upon the signatures so transmitted to the same extent and effect as if they were original signatures.</w:t>
      </w:r>
    </w:p>
    <w:p>
      <w:pPr>
        <w:spacing w:after="0" w:line="9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convenience of reference only and shall not limit or otherwise affect</w:t>
      </w:r>
      <w:r>
        <w:rPr>
          <w:rFonts w:ascii="Arial" w:cs="Arial" w:eastAsia="Arial" w:hAnsi="Arial"/>
          <w:sz w:val="22"/>
          <w:szCs w:val="22"/>
          <w:color w:val="auto"/>
        </w:rPr>
        <w:t xml:space="preserve"> </w:t>
      </w:r>
      <w:r>
        <w:rPr>
          <w:rFonts w:ascii="Arial" w:cs="Arial" w:eastAsia="Arial" w:hAnsi="Arial"/>
          <w:sz w:val="19"/>
          <w:szCs w:val="19"/>
          <w:color w:val="auto"/>
        </w:rPr>
        <w:t>the meaning hereof.</w:t>
      </w:r>
    </w:p>
    <w:p>
      <w:pPr>
        <w:spacing w:after="0" w:line="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is governed by and construed and enforced in accordance with the laws of the State of</w:t>
      </w:r>
      <w:r>
        <w:rPr>
          <w:rFonts w:ascii="Arial" w:cs="Arial" w:eastAsia="Arial" w:hAnsi="Arial"/>
          <w:sz w:val="22"/>
          <w:szCs w:val="22"/>
          <w:color w:val="auto"/>
        </w:rPr>
        <w:t xml:space="preserve"> </w:t>
      </w:r>
      <w:r>
        <w:rPr>
          <w:rFonts w:ascii="Arial" w:cs="Arial" w:eastAsia="Arial" w:hAnsi="Arial"/>
          <w:sz w:val="19"/>
          <w:szCs w:val="19"/>
          <w:color w:val="auto"/>
        </w:rPr>
        <w:t>Delaware, without giving effect to any conflicts of law principles that would result in the application of any law other than the law of the State of Delaware.</w:t>
      </w:r>
    </w:p>
    <w:p>
      <w:pPr>
        <w:spacing w:after="0" w:line="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18"/>
          <w:szCs w:val="18"/>
          <w:u w:val="single" w:color="auto"/>
          <w:color w:val="auto"/>
        </w:rPr>
        <w:t>Jurisdiction</w:t>
      </w:r>
      <w:r>
        <w:rPr>
          <w:rFonts w:ascii="Arial" w:cs="Arial" w:eastAsia="Arial" w:hAnsi="Arial"/>
          <w:sz w:val="18"/>
          <w:szCs w:val="18"/>
          <w:color w:val="auto"/>
        </w:rPr>
        <w:t>. Each of the parties irrevocably agrees that any legal action or proceeding with respect to this Agreement</w:t>
      </w:r>
      <w:r>
        <w:rPr>
          <w:rFonts w:ascii="Arial" w:cs="Arial" w:eastAsia="Arial" w:hAnsi="Arial"/>
          <w:sz w:val="21"/>
          <w:szCs w:val="21"/>
          <w:color w:val="auto"/>
        </w:rPr>
        <w:t xml:space="preserve"> </w:t>
      </w:r>
      <w:r>
        <w:rPr>
          <w:rFonts w:ascii="Arial" w:cs="Arial" w:eastAsia="Arial" w:hAnsi="Arial"/>
          <w:sz w:val="18"/>
          <w:szCs w:val="18"/>
          <w:color w:val="auto"/>
        </w:rPr>
        <w:t>and the rights and obligations arising hereunder shall be brought and determined exclusively in the Court of Chancery of the State of Delaware or, if such Court does not have subject matter jurisdiction, to the Superior Court of the State of Delaware or, if jurisdiction is vested exclusively in the Federal courts of the United States, the Federal courts of the United States sitting in the State of Delaware, and any appellate court from any such state or Federal court, and hereby irrevocably and unconditionally agree that all claims with respect to any such claim shall be heard and determined in such Delaware court or in such Federal court, as applicable. The parties agree that a final judgment in any such claim is conclusive and may be enforced in any other jurisdiction by suit on the judgment or in any other manner provided by law. In addition, each of the parties hereby irrevocably and unconditionally agrees (1) that it is and shall continue to be subject to the jurisdiction of the courts of the State of Delaware and of the federal courts sitting in the State of Delaware, and (2)(A) to the extent that such party is not otherwise subject to service of process in the State of Delaware, to appoint and maintain an agent in the State of Delaware as such party’s agent for acceptance of legal processes and notify the other parties of the name and address of such agent, and (B) to the fullest extent permitted by law, that service of process may also be made on such party by prepaid certified mail with a proof of mailing receipt validated by the U.S. Postal Service constituting evidence of valid service, and that, to the fullest extent permitted by applicable law, service made pursuant to (2)(A) or (B) above shall have the same legal force and effect as if served upon such party personally within the State of Delaware.</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TO THE EXTENT NOT PROHIBITED BY APPLICABLE LAW THAT CANNOT BE</w:t>
      </w:r>
      <w:r>
        <w:rPr>
          <w:rFonts w:ascii="Arial" w:cs="Arial" w:eastAsia="Arial" w:hAnsi="Arial"/>
          <w:sz w:val="22"/>
          <w:szCs w:val="22"/>
          <w:color w:val="auto"/>
        </w:rPr>
        <w:t xml:space="preserve"> </w:t>
      </w:r>
      <w:r>
        <w:rPr>
          <w:rFonts w:ascii="Arial" w:cs="Arial" w:eastAsia="Arial" w:hAnsi="Arial"/>
          <w:sz w:val="19"/>
          <w:szCs w:val="19"/>
          <w:color w:val="auto"/>
        </w:rPr>
        <w:t xml:space="preserve">WAIVED, EACH PARTY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ANY COURT AS WRITTEN EVIDENCE OF THE CONSENT OF EACH SUCH PARTY TO THE WAIVER OF ITS RIGHT TO TRIAL BY JURY.</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19"/>
          <w:szCs w:val="19"/>
          <w:u w:val="single" w:color="auto"/>
          <w:color w:val="auto"/>
        </w:rPr>
        <w:t>Severability of Provisions</w:t>
      </w:r>
      <w:r>
        <w:rPr>
          <w:rFonts w:ascii="Arial" w:cs="Arial" w:eastAsia="Arial" w:hAnsi="Arial"/>
          <w:sz w:val="19"/>
          <w:szCs w:val="19"/>
          <w:color w:val="auto"/>
        </w:rPr>
        <w:t>. Any provision of this Agreement which is prohibited or unenforceable in any jurisdiction</w:t>
      </w:r>
      <w:r>
        <w:rPr>
          <w:rFonts w:ascii="Arial" w:cs="Arial" w:eastAsia="Arial" w:hAnsi="Arial"/>
          <w:sz w:val="22"/>
          <w:szCs w:val="22"/>
          <w:color w:val="auto"/>
        </w:rPr>
        <w:t xml:space="preserve"> </w:t>
      </w:r>
      <w:r>
        <w:rPr>
          <w:rFonts w:ascii="Arial" w:cs="Arial" w:eastAsia="Arial" w:hAnsi="Arial"/>
          <w:sz w:val="19"/>
          <w:szCs w:val="19"/>
          <w:color w:val="auto"/>
        </w:rPr>
        <w:t>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is intended by the parties as a final expression of their agreement and intended to be</w:t>
      </w:r>
      <w:r>
        <w:rPr>
          <w:rFonts w:ascii="Arial" w:cs="Arial" w:eastAsia="Arial" w:hAnsi="Arial"/>
          <w:sz w:val="22"/>
          <w:szCs w:val="22"/>
          <w:color w:val="auto"/>
        </w:rPr>
        <w:t xml:space="preserve"> </w:t>
      </w:r>
      <w:r>
        <w:rPr>
          <w:rFonts w:ascii="Arial" w:cs="Arial" w:eastAsia="Arial" w:hAnsi="Arial"/>
          <w:sz w:val="19"/>
          <w:szCs w:val="19"/>
          <w:color w:val="auto"/>
        </w:rPr>
        <w:t>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and the Asset Sale and Purchase Agreement supersede all prior agreements and understandings between the parties with respect to such subject matter.</w:t>
      </w:r>
    </w:p>
    <w:p>
      <w:pPr>
        <w:spacing w:after="0" w:line="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only by means of a written amendment signed by each of the parties</w:t>
      </w:r>
      <w:r>
        <w:rPr>
          <w:rFonts w:ascii="Arial" w:cs="Arial" w:eastAsia="Arial" w:hAnsi="Arial"/>
          <w:sz w:val="22"/>
          <w:szCs w:val="22"/>
          <w:color w:val="auto"/>
        </w:rPr>
        <w:t xml:space="preserve"> </w:t>
      </w:r>
      <w:r>
        <w:rPr>
          <w:rFonts w:ascii="Arial" w:cs="Arial" w:eastAsia="Arial" w:hAnsi="Arial"/>
          <w:sz w:val="19"/>
          <w:szCs w:val="19"/>
          <w:color w:val="auto"/>
        </w:rPr>
        <w:t xml:space="preserve">hereto or thereto affected by such amendment;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may only be amended by means of a written amendment signed by the Company and the Holders of a majority of the then outstanding Registrable Securities and (ii) no such amendment shall materially and adversely affect the rights of any Holder hereunder without the consent of such Holder.</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19"/>
          <w:szCs w:val="19"/>
          <w:u w:val="single" w:color="auto"/>
          <w:color w:val="auto"/>
        </w:rPr>
        <w:t>No Presumption</w:t>
      </w:r>
      <w:r>
        <w:rPr>
          <w:rFonts w:ascii="Arial" w:cs="Arial" w:eastAsia="Arial" w:hAnsi="Arial"/>
          <w:sz w:val="19"/>
          <w:szCs w:val="19"/>
          <w:color w:val="auto"/>
        </w:rPr>
        <w:t>. In the event any claim is made by a party relating to any conflict, omission, or ambiguity in this</w:t>
      </w:r>
      <w:r>
        <w:rPr>
          <w:rFonts w:ascii="Arial" w:cs="Arial" w:eastAsia="Arial" w:hAnsi="Arial"/>
          <w:sz w:val="22"/>
          <w:szCs w:val="22"/>
          <w:color w:val="auto"/>
        </w:rPr>
        <w:t xml:space="preserve"> </w:t>
      </w:r>
      <w:r>
        <w:rPr>
          <w:rFonts w:ascii="Arial" w:cs="Arial" w:eastAsia="Arial" w:hAnsi="Arial"/>
          <w:sz w:val="19"/>
          <w:szCs w:val="19"/>
          <w:color w:val="auto"/>
        </w:rPr>
        <w:t>Agreement, no presumption or burden of proof or persuasion shall be implied by virtue of the fact that this Agreement was prepared by or at the request of a particular party or its counsel.</w:t>
      </w:r>
    </w:p>
    <w:p>
      <w:pPr>
        <w:spacing w:after="0" w:line="87"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7"/>
          <w:szCs w:val="17"/>
          <w:u w:val="single" w:color="auto"/>
          <w:color w:val="auto"/>
        </w:rPr>
        <w:t>Obligations Limited to Parties to Agreement</w:t>
      </w:r>
      <w:r>
        <w:rPr>
          <w:rFonts w:ascii="Arial" w:cs="Arial" w:eastAsia="Arial" w:hAnsi="Arial"/>
          <w:sz w:val="17"/>
          <w:szCs w:val="17"/>
          <w:color w:val="auto"/>
        </w:rPr>
        <w:t>. Each of the parties hereto covenants, agrees and acknowledges that no</w:t>
      </w:r>
      <w:r>
        <w:rPr>
          <w:rFonts w:ascii="Arial" w:cs="Arial" w:eastAsia="Arial" w:hAnsi="Arial"/>
          <w:sz w:val="19"/>
          <w:szCs w:val="19"/>
          <w:color w:val="auto"/>
        </w:rPr>
        <w:t xml:space="preserve"> </w:t>
      </w:r>
      <w:r>
        <w:rPr>
          <w:rFonts w:ascii="Arial" w:cs="Arial" w:eastAsia="Arial" w:hAnsi="Arial"/>
          <w:sz w:val="17"/>
          <w:szCs w:val="17"/>
          <w:color w:val="auto"/>
        </w:rPr>
        <w:t>Person other than Chevron (and its transferees or assignees) and the Company shall have any obligation hereunder and no recourse under this</w:t>
      </w:r>
    </w:p>
    <w:p>
      <w:pPr>
        <w:sectPr>
          <w:pgSz w:w="11900" w:h="16839" w:orient="portrait"/>
          <w:cols w:equalWidth="0" w:num="1">
            <w:col w:w="11420"/>
          </w:cols>
          <w:pgMar w:left="240" w:top="132" w:right="239" w:bottom="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9"/>
          <w:szCs w:val="19"/>
          <w:color w:val="auto"/>
        </w:rPr>
        <w:t>Agreement shall be had against any former, current or future director, officer, employee, agent, general or limited partner, manager, member, stockholder or Affiliate of Chevron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Chevron or any former, current or future director, officer, employee, agent, general or limited partner, manager, member, stockholder or Affiliate of any of the foregoing, as such, for any obligations of Chevron under this Agreement or for any claim based on, in respect of or by reason of such obligation or its creation.</w:t>
      </w:r>
    </w:p>
    <w:p>
      <w:pPr>
        <w:spacing w:after="0" w:line="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18"/>
          <w:szCs w:val="18"/>
          <w:u w:val="single" w:color="auto"/>
          <w:color w:val="auto"/>
        </w:rPr>
        <w:t>Independent Nature of Holder’s Obligations</w:t>
      </w:r>
      <w:r>
        <w:rPr>
          <w:rFonts w:ascii="Arial" w:cs="Arial" w:eastAsia="Arial" w:hAnsi="Arial"/>
          <w:sz w:val="18"/>
          <w:szCs w:val="18"/>
          <w:color w:val="auto"/>
        </w:rPr>
        <w:t>. The obligations of each Holder under this Agreement are several and not</w:t>
      </w:r>
      <w:r>
        <w:rPr>
          <w:rFonts w:ascii="Arial" w:cs="Arial" w:eastAsia="Arial" w:hAnsi="Arial"/>
          <w:sz w:val="21"/>
          <w:szCs w:val="21"/>
          <w:color w:val="auto"/>
        </w:rPr>
        <w:t xml:space="preserve"> </w:t>
      </w:r>
      <w:r>
        <w:rPr>
          <w:rFonts w:ascii="Arial" w:cs="Arial" w:eastAsia="Arial" w:hAnsi="Arial"/>
          <w:sz w:val="18"/>
          <w:szCs w:val="18"/>
          <w:color w:val="auto"/>
        </w:rPr>
        <w:t>joint with the obligations of any other Holder, and no Holder shall be responsible in any way for the performance of the obligations of any other Holder under this Agreement. Nothing contained herein, and no action taken by any Holder pursuant thereto, shall be deemed to constitute the Holder as a partnership, an association, a joint venture or any other kind of group or entity, or create a presumption that a Holder is in any way acting in concert or as a group with respect to such obligations or the transactions contemplated by this Agreement. Each Holder shall be entitled to independently protect and enforce its rights, including, the rights arising out of this Agreement, and it shall not be necessary for any other Holder to be joined as an additional party in any proceeding for such purpose.</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Company and each of the Holders shall cooperate with each other and shall take such further</w:t>
      </w:r>
      <w:r>
        <w:rPr>
          <w:rFonts w:ascii="Arial" w:cs="Arial" w:eastAsia="Arial" w:hAnsi="Arial"/>
          <w:sz w:val="22"/>
          <w:szCs w:val="22"/>
          <w:color w:val="auto"/>
        </w:rPr>
        <w:t xml:space="preserve"> </w:t>
      </w:r>
      <w:r>
        <w:rPr>
          <w:rFonts w:ascii="Arial" w:cs="Arial" w:eastAsia="Arial" w:hAnsi="Arial"/>
          <w:sz w:val="19"/>
          <w:szCs w:val="19"/>
          <w:color w:val="auto"/>
        </w:rPr>
        <w:t>action and shall execute and deliver such further documents as may be reasonably requested by any other party in order to carry out the provisions and purposes of this Agreement.</w:t>
      </w:r>
    </w:p>
    <w:p>
      <w:pPr>
        <w:spacing w:after="0" w:line="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15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with respect to any Holder upon the earlier of such Holder together with</w:t>
      </w:r>
      <w:r>
        <w:rPr>
          <w:rFonts w:ascii="Arial" w:cs="Arial" w:eastAsia="Arial" w:hAnsi="Arial"/>
          <w:sz w:val="22"/>
          <w:szCs w:val="22"/>
          <w:color w:val="auto"/>
        </w:rPr>
        <w:t xml:space="preserve"> </w:t>
      </w:r>
      <w:r>
        <w:rPr>
          <w:rFonts w:ascii="Arial" w:cs="Arial" w:eastAsia="Arial" w:hAnsi="Arial"/>
          <w:sz w:val="19"/>
          <w:szCs w:val="19"/>
          <w:color w:val="auto"/>
        </w:rPr>
        <w:t xml:space="preserve">its Affiliates ceasing to hold or Beneficially Own (i) at least 1% of the Common Stock or (ii) any Registrable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survive such termination.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Elk Hills Divestment</w:t>
            </w:r>
          </w:p>
        </w:tc>
        <w:tc>
          <w:tcPr>
            <w:tcW w:w="4720" w:type="dxa"/>
            <w:vAlign w:val="bottom"/>
          </w:tcPr>
          <w:p>
            <w:pPr>
              <w:spacing w:after="0"/>
              <w:rPr>
                <w:sz w:val="17"/>
                <w:szCs w:val="17"/>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4720" w:type="dxa"/>
            <w:vAlign w:val="bottom"/>
          </w:tcPr>
          <w:p>
            <w:pPr>
              <w:spacing w:after="0"/>
              <w:rPr>
                <w:sz w:val="22"/>
                <w:szCs w:val="22"/>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6"/>
                <w:szCs w:val="16"/>
                <w:color w:val="auto"/>
              </w:rPr>
              <w:t>Execution Version</w:t>
            </w:r>
          </w:p>
        </w:tc>
        <w:tc>
          <w:tcPr>
            <w:tcW w:w="4720" w:type="dxa"/>
            <w:vAlign w:val="bottom"/>
          </w:tcPr>
          <w:p>
            <w:pPr>
              <w:jc w:val="right"/>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20"/>
          </w:cols>
          <w:pgMar w:left="240" w:top="150"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COMPANY:</w:t>
      </w:r>
    </w:p>
    <w:p>
      <w:pPr>
        <w:spacing w:after="0" w:line="35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40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Todd A. Stevens</w:t>
            </w:r>
          </w:p>
        </w:tc>
      </w:tr>
      <w:tr>
        <w:trPr>
          <w:trHeight w:val="280"/>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5300" w:type="dxa"/>
            <w:vAlign w:val="bottom"/>
          </w:tcPr>
          <w:p>
            <w:pPr>
              <w:ind w:left="40"/>
              <w:spacing w:after="0"/>
              <w:rPr>
                <w:sz w:val="20"/>
                <w:szCs w:val="20"/>
                <w:color w:val="auto"/>
              </w:rPr>
            </w:pPr>
            <w:r>
              <w:rPr>
                <w:rFonts w:ascii="Arial" w:cs="Arial" w:eastAsia="Arial" w:hAnsi="Arial"/>
                <w:sz w:val="22"/>
                <w:szCs w:val="22"/>
                <w:color w:val="auto"/>
              </w:rPr>
              <w:t>Todd A. Stevens</w:t>
            </w:r>
          </w:p>
        </w:tc>
      </w:tr>
      <w:tr>
        <w:trPr>
          <w:trHeight w:val="297"/>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680"/>
          </w:cols>
          <w:pgMar w:left="900" w:top="744" w:right="31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CHEVRON:</w:t>
      </w: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CHEVRON U.S.A.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42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Pr>
          <w:p>
            <w:pPr>
              <w:ind w:left="20"/>
              <w:spacing w:after="0"/>
              <w:rPr>
                <w:sz w:val="20"/>
                <w:szCs w:val="20"/>
                <w:color w:val="auto"/>
              </w:rPr>
            </w:pPr>
            <w:r>
              <w:rPr>
                <w:rFonts w:ascii="Arial" w:cs="Arial" w:eastAsia="Arial" w:hAnsi="Arial"/>
                <w:sz w:val="20"/>
                <w:szCs w:val="20"/>
                <w:color w:val="auto"/>
              </w:rPr>
              <w:t>/s/ R. Jeff Kolb</w:t>
            </w:r>
          </w:p>
        </w:tc>
        <w:tc>
          <w:tcPr>
            <w:tcW w:w="0" w:type="dxa"/>
            <w:vAlign w:val="bottom"/>
          </w:tcPr>
          <w:p>
            <w:pPr>
              <w:spacing w:after="0"/>
              <w:rPr>
                <w:sz w:val="1"/>
                <w:szCs w:val="1"/>
                <w:color w:val="auto"/>
              </w:rPr>
            </w:pPr>
          </w:p>
        </w:tc>
      </w:tr>
      <w:tr>
        <w:trPr>
          <w:trHeight w:val="23"/>
        </w:trPr>
        <w:tc>
          <w:tcPr>
            <w:tcW w:w="9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80" w:type="dxa"/>
            <w:vAlign w:val="bottom"/>
            <w:vMerge w:val="continue"/>
          </w:tcPr>
          <w:p>
            <w:pPr>
              <w:spacing w:after="0"/>
              <w:rPr>
                <w:sz w:val="22"/>
                <w:szCs w:val="22"/>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R. Jeff Kolb</w:t>
            </w:r>
          </w:p>
        </w:tc>
        <w:tc>
          <w:tcPr>
            <w:tcW w:w="0" w:type="dxa"/>
            <w:vAlign w:val="bottom"/>
          </w:tcPr>
          <w:p>
            <w:pPr>
              <w:spacing w:after="0"/>
              <w:rPr>
                <w:sz w:val="1"/>
                <w:szCs w:val="1"/>
                <w:color w:val="auto"/>
              </w:rPr>
            </w:pPr>
          </w:p>
        </w:tc>
      </w:tr>
      <w:tr>
        <w:trPr>
          <w:trHeight w:val="284"/>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ind w:left="20"/>
              <w:spacing w:after="0"/>
              <w:rPr>
                <w:sz w:val="20"/>
                <w:szCs w:val="20"/>
                <w:color w:val="auto"/>
              </w:rPr>
            </w:pPr>
            <w:r>
              <w:rPr>
                <w:rFonts w:ascii="Arial" w:cs="Arial" w:eastAsia="Arial" w:hAnsi="Arial"/>
                <w:sz w:val="20"/>
                <w:szCs w:val="20"/>
                <w:color w:val="auto"/>
              </w:rPr>
              <w:t>Acquisition and Divestiture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700"/>
          </w:cols>
          <w:pgMar w:left="900" w:top="744"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OF DISTRIBUTION</w:t>
      </w:r>
    </w:p>
    <w:p>
      <w:pPr>
        <w:spacing w:after="0" w:line="262"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selling stockholders may use any one or more of the following methods when disposing of shares or interests therein:</w:t>
      </w:r>
    </w:p>
    <w:p>
      <w:pPr>
        <w:spacing w:after="0" w:line="25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ordinary brokerage transactions and transactions in which the broker-dealer solicits purchasers;</w:t>
      </w:r>
    </w:p>
    <w:p>
      <w:pPr>
        <w:spacing w:after="0" w:line="26"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block trades in which the broker-dealer will attempt to sell the shares as agent, but may position and resell a portion of the block as principal to facilitate the transaction;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purchases by a broker-dealer as principal and resale by the broker-dealer for its account;</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exchange distribution in accordance with the rules of the applicable exchange;</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privately negotiated transactions;</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short sales effected after the date the registration statement of which this Prospectus is a part is declared effective by the SEC;</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broker-dealers may agree with the selling stockholders to sell a specified number of such shares at a stipulated price per share;</w:t>
      </w:r>
    </w:p>
    <w:p>
      <w:pPr>
        <w:spacing w:after="0" w:line="33"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2"/>
          <w:szCs w:val="22"/>
          <w:color w:val="auto"/>
        </w:rPr>
        <w:t>one or more underwritten offerings on a firm commitment or best efforts basis;</w:t>
      </w:r>
    </w:p>
    <w:p>
      <w:pPr>
        <w:spacing w:after="0" w:line="21"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combination of any such methods of sale; and</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other method permitted by applicable law.</w:t>
      </w:r>
    </w:p>
    <w:p>
      <w:pPr>
        <w:spacing w:after="0" w:line="40"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w:t>
      </w:r>
    </w:p>
    <w:p>
      <w:pPr>
        <w:spacing w:after="0" w:line="178"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420"/>
          </w:cols>
          <w:pgMar w:left="240" w:top="738" w:right="239" w:bottom="1440" w:gutter="0" w:footer="0" w:header="0"/>
        </w:sectPr>
      </w:pPr>
    </w:p>
    <w:bookmarkStart w:id="24" w:name="page25"/>
    <w:bookmarkEnd w:id="24"/>
    <w:p>
      <w:pPr>
        <w:jc w:val="both"/>
        <w:spacing w:after="0" w:line="303" w:lineRule="auto"/>
        <w:rPr>
          <w:sz w:val="20"/>
          <w:szCs w:val="20"/>
          <w:color w:val="auto"/>
        </w:rPr>
      </w:pPr>
      <w:r>
        <w:rPr>
          <w:rFonts w:ascii="Arial" w:cs="Arial" w:eastAsia="Arial" w:hAnsi="Arial"/>
          <w:sz w:val="20"/>
          <w:szCs w:val="20"/>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6"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9"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68"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64"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have agreed to indemnify the selling stockholders against certain liabilities relating to the registration of the shares offered by this prospectus.</w:t>
      </w:r>
    </w:p>
    <w:p>
      <w:pPr>
        <w:spacing w:after="0" w:line="176"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without restriction pursuant to Rule 144 of the Securities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OF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Elk Hills Divestment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Registration Rights Agreement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Execution Version</w:t>
      </w:r>
    </w:p>
    <w:p>
      <w:pPr>
        <w:sectPr>
          <w:pgSz w:w="11900" w:h="16838" w:orient="portrait"/>
          <w:cols w:equalWidth="0" w:num="1">
            <w:col w:w="11420"/>
          </w:cols>
          <w:pgMar w:left="240" w:top="75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32"/>
          <w:szCs w:val="32"/>
          <w:b w:val="1"/>
          <w:bCs w:val="1"/>
          <w:color w:val="auto"/>
        </w:rPr>
        <w:t>NEWS RELEASE</w:t>
      </w:r>
      <w:r>
        <w:rPr>
          <w:sz w:val="20"/>
          <w:szCs w:val="20"/>
          <w:color w:val="auto"/>
        </w:rPr>
        <w:tab/>
      </w:r>
      <w:r>
        <w:rPr>
          <w:rFonts w:ascii="Arial" w:cs="Arial" w:eastAsia="Arial" w:hAnsi="Arial"/>
          <w:sz w:val="21"/>
          <w:szCs w:val="21"/>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Acquisition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Consolidates Interests in Elk Hills Field</w:t>
      </w:r>
    </w:p>
    <w:p>
      <w:pPr>
        <w:spacing w:after="0" w:line="293" w:lineRule="exact"/>
        <w:rPr>
          <w:sz w:val="20"/>
          <w:szCs w:val="20"/>
          <w:color w:val="auto"/>
        </w:rPr>
      </w:pPr>
    </w:p>
    <w:p>
      <w:pPr>
        <w:ind w:right="40"/>
        <w:spacing w:after="0" w:line="368" w:lineRule="auto"/>
        <w:rPr>
          <w:sz w:val="20"/>
          <w:szCs w:val="20"/>
          <w:color w:val="auto"/>
        </w:rPr>
      </w:pPr>
      <w:r>
        <w:rPr>
          <w:rFonts w:ascii="Arial" w:cs="Arial" w:eastAsia="Arial" w:hAnsi="Arial"/>
          <w:sz w:val="20"/>
          <w:szCs w:val="20"/>
          <w:color w:val="auto"/>
        </w:rPr>
        <w:t>LOS ANGELES, April 9, 2018 – California Resources Corporation (NYSE: CRC) today announced that it has executed and closed a purchase and sale agreement with Chevron to acquire the remaining working, surface and mineral interests in the 47,000-acre Elk Hills field in the San Joaquin Basin of California. Consolidating sole ownership of the Elk Hills field, CRC paid cash consideration of $460 million and issued 2.85 million CRC common shares to Chevron, subject to customary post-closing adjustments. The effective date of the transaction was April 1, 2018.</w:t>
      </w:r>
    </w:p>
    <w:p>
      <w:pPr>
        <w:spacing w:after="0" w:line="128" w:lineRule="exact"/>
        <w:rPr>
          <w:sz w:val="20"/>
          <w:szCs w:val="20"/>
          <w:color w:val="auto"/>
        </w:rPr>
      </w:pPr>
    </w:p>
    <w:p>
      <w:pPr>
        <w:ind w:right="200"/>
        <w:spacing w:after="0" w:line="367" w:lineRule="auto"/>
        <w:rPr>
          <w:sz w:val="20"/>
          <w:szCs w:val="20"/>
          <w:color w:val="auto"/>
        </w:rPr>
      </w:pPr>
      <w:r>
        <w:rPr>
          <w:rFonts w:ascii="Arial" w:cs="Arial" w:eastAsia="Arial" w:hAnsi="Arial"/>
          <w:sz w:val="20"/>
          <w:szCs w:val="20"/>
          <w:color w:val="auto"/>
        </w:rPr>
        <w:t>Todd Stevens, President and Chief Executive Officer, stated, “This acquisition is a natural fit that immediately accretes value to CRC, improving our cash flow and credit metrics. With a surface area larger than Washington, D.C., the Elk Hills field is our flagship asset. We have operated this field for over 20 years and have developed a deep knowledge of the geology and strong operational expertise to deliver robust value from this asset. We intend to apply this know-how to our newly acquired position, as well as transfer learnings and efficiencies to enhance CRC’s assets across California. We would like to thank Chevron for their partnership over the past 20 years. Acquiring sole ownership of such a prolific field is an ideal use of proceeds from our recent midstream joint venture transaction, adding both immediate production and cash flow, while providing for quick synergies and tremendous long-term development opportunities.”</w:t>
      </w:r>
    </w:p>
    <w:p>
      <w:pPr>
        <w:spacing w:after="0" w:line="131" w:lineRule="exact"/>
        <w:rPr>
          <w:sz w:val="20"/>
          <w:szCs w:val="20"/>
          <w:color w:val="auto"/>
        </w:rPr>
      </w:pPr>
    </w:p>
    <w:p>
      <w:pPr>
        <w:ind w:right="80"/>
        <w:spacing w:after="0" w:line="367" w:lineRule="auto"/>
        <w:rPr>
          <w:sz w:val="20"/>
          <w:szCs w:val="20"/>
          <w:color w:val="auto"/>
        </w:rPr>
      </w:pPr>
      <w:r>
        <w:rPr>
          <w:rFonts w:ascii="Arial" w:cs="Arial" w:eastAsia="Arial" w:hAnsi="Arial"/>
          <w:sz w:val="20"/>
          <w:szCs w:val="20"/>
          <w:color w:val="auto"/>
        </w:rPr>
        <w:t>The acquisition includes Chevron’s non-operated working interests ranging between 20% to 22% in different producing horizons within the Elk Hills field. In 2017, the acquired interests produced approximately 13,300 barrels of equivalent (BOE) per day with 46% oil and 9% natural gas liquids. CRC estimates that if it had owned 100% of the field last year, these interests would have added approximately 64 million BOE of proved reserves at year-end 2017, of which approximately 75% are considered proved developed. CRC estimates that these interests would have generated approximately $100 million of annual operating cash flow in 2017 assuming current prices.</w:t>
      </w:r>
    </w:p>
    <w:p>
      <w:pPr>
        <w:sectPr>
          <w:pgSz w:w="11900" w:h="16838" w:orient="portrait"/>
          <w:cols w:equalWidth="0" w:num="1">
            <w:col w:w="11420"/>
          </w:cols>
          <w:pgMar w:left="240" w:top="769"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Page 2</w:t>
      </w:r>
    </w:p>
    <w:p>
      <w:pPr>
        <w:spacing w:after="0" w:line="200" w:lineRule="exact"/>
        <w:rPr>
          <w:sz w:val="20"/>
          <w:szCs w:val="20"/>
          <w:color w:val="auto"/>
        </w:rPr>
      </w:pPr>
    </w:p>
    <w:p>
      <w:pPr>
        <w:spacing w:after="0" w:line="353"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CRC now owns Elk Hills in fee simple, the most complete form of ownership, holding a 100% working interest and a 100% net revenue interest, as well as all surface lands in the Elk Hills field. The field has an estimated 8.5 billion BOE of original oil in place and 32 major producing zones currently identified. CRC expects to achieve approximately $5 million of annualized operational savings within six months of closing and approximately $15 million of additional synergies within the next 18 months as it streamlines processes and leverages its substantial infrastructure already in place. Elk Hills is CRC’s lowest cost operating area and with a 100% ownership interest would have accounted for approximately 43% of its 2017 pro-forma production. Because of the low operating costs at Elk Hills, this acquisition will immediately reduce CRC’s corporate per unit production costs by approximately $0.55 per BOE, in addition to lowering general and administrative costs by about $0.20 per BOE. Additional information regarding the transaction described above is available in CRC’s latest corporate presentation on the “Earnings and Presentations” page in the Investor Relations section on www.crc.com.</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Elk Hills Field</w:t>
      </w:r>
    </w:p>
    <w:p>
      <w:pPr>
        <w:spacing w:after="0" w:line="321" w:lineRule="exact"/>
        <w:rPr>
          <w:sz w:val="20"/>
          <w:szCs w:val="20"/>
          <w:color w:val="auto"/>
        </w:rPr>
      </w:pPr>
    </w:p>
    <w:p>
      <w:pPr>
        <w:ind w:right="120"/>
        <w:spacing w:after="0" w:line="367" w:lineRule="auto"/>
        <w:rPr>
          <w:sz w:val="20"/>
          <w:szCs w:val="20"/>
          <w:color w:val="auto"/>
        </w:rPr>
      </w:pPr>
      <w:r>
        <w:rPr>
          <w:rFonts w:ascii="Arial" w:cs="Arial" w:eastAsia="Arial" w:hAnsi="Arial"/>
          <w:sz w:val="20"/>
          <w:szCs w:val="20"/>
          <w:color w:val="auto"/>
        </w:rPr>
        <w:t>The Elk Hills Field is a world-class onshore asset located 20 miles southwest of Bakersfield in Kern County. The field, covering nearly 75 square miles, was discovered in 1911 and has produced over 2 billion barrels of oil equivalent (BOE), making it one of the most productive fields in the United States. During 2017, we produced 48,000 BOE per day (37 percent of CRC’s total production) on average from our 3,000 wells at Elk Hills. At year-end 2017, CRC’s approximate 78% interest in Elk Hills had proved reserves of 206 million BOE, of which 75% are considered proved developed. Elk Hills is the largest natural gas and natural gas liquids field in California, generating over half of the state’s natural gas production.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California Resources Corporation</w:t>
      </w:r>
    </w:p>
    <w:p>
      <w:pPr>
        <w:spacing w:after="0" w:line="28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California Resources Corporation is the largest oil and natural gas exploration and production company in California on a gross-operated basis. The Company operates its world 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ectPr>
          <w:pgSz w:w="11900" w:h="16838" w:orient="portrait"/>
          <w:cols w:equalWidth="0" w:num="1">
            <w:col w:w="11300"/>
          </w:cols>
          <w:pgMar w:left="240" w:top="811" w:right="35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5808980</wp:posOffset>
            </wp:positionH>
            <wp:positionV relativeFrom="page">
              <wp:posOffset>88900</wp:posOffset>
            </wp:positionV>
            <wp:extent cx="159512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11480"/>
                    </a:xfrm>
                    <a:prstGeom prst="rect">
                      <a:avLst/>
                    </a:prstGeom>
                    <a:noFill/>
                  </pic:spPr>
                </pic:pic>
              </a:graphicData>
            </a:graphic>
          </wp:anchor>
        </w:drawing>
        <w:t>Page 3</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67" w:lineRule="exact"/>
        <w:rPr>
          <w:sz w:val="20"/>
          <w:szCs w:val="20"/>
          <w:color w:val="auto"/>
        </w:rPr>
      </w:pPr>
    </w:p>
    <w:p>
      <w:pPr>
        <w:spacing w:after="0" w:line="312" w:lineRule="auto"/>
        <w:rPr>
          <w:sz w:val="20"/>
          <w:szCs w:val="20"/>
          <w:color w:val="auto"/>
        </w:rPr>
      </w:pPr>
      <w:r>
        <w:rPr>
          <w:rFonts w:ascii="Arial" w:cs="Arial" w:eastAsia="Arial" w:hAnsi="Arial"/>
          <w:sz w:val="20"/>
          <w:szCs w:val="20"/>
          <w:color w:val="auto"/>
        </w:rPr>
        <w:t>This release contains forward-looking statements that involve risks and uncertainties that could materially affect our expected results of operations, liquidity, cash flows and business prospects. Such statements include those regarding our expectations as to future: financial position, liquidity, cash flows and results of operations; business prospects; transactions and projects; operating costs; operations and operational results including capital investment and expected VCI; and budgets.</w:t>
      </w:r>
    </w:p>
    <w:p>
      <w:pPr>
        <w:spacing w:after="0" w:line="236" w:lineRule="exact"/>
        <w:rPr>
          <w:sz w:val="20"/>
          <w:szCs w:val="20"/>
          <w:color w:val="auto"/>
        </w:rPr>
      </w:pPr>
    </w:p>
    <w:p>
      <w:pPr>
        <w:ind w:right="320"/>
        <w:spacing w:after="0" w:line="297" w:lineRule="auto"/>
        <w:rPr>
          <w:sz w:val="20"/>
          <w:szCs w:val="20"/>
          <w:color w:val="auto"/>
        </w:rPr>
      </w:pPr>
      <w:r>
        <w:rPr>
          <w:rFonts w:ascii="Arial" w:cs="Arial" w:eastAsia="Arial" w:hAnsi="Arial"/>
          <w:sz w:val="20"/>
          <w:szCs w:val="20"/>
          <w:color w:val="auto"/>
        </w:rPr>
        <w:t>Actual results may differ from anticipated results, sometimes materially, and reported results should not be considered an indication of future performance. While we believe the assumptions or bases underlying our expectations are reasonable and make them in good faith, they almost always vary from actual results, sometimes materially. Factors (but not necessarily all the factors) that could cause results to differ include the factors discussed in “Risk Factors” in our Annual Report on Form 10-K available on our website at www.crc.com.</w:t>
      </w:r>
    </w:p>
    <w:p>
      <w:pPr>
        <w:spacing w:after="0" w:line="252" w:lineRule="exact"/>
        <w:rPr>
          <w:sz w:val="20"/>
          <w:szCs w:val="20"/>
          <w:color w:val="auto"/>
        </w:rPr>
      </w:pPr>
    </w:p>
    <w:p>
      <w:pPr>
        <w:ind w:right="220"/>
        <w:spacing w:after="0" w:line="297" w:lineRule="auto"/>
        <w:rPr>
          <w:sz w:val="20"/>
          <w:szCs w:val="20"/>
          <w:color w:val="auto"/>
        </w:rPr>
      </w:pPr>
      <w:r>
        <w:rPr>
          <w:rFonts w:ascii="Arial" w:cs="Arial" w:eastAsia="Arial" w:hAnsi="Arial"/>
          <w:sz w:val="20"/>
          <w:szCs w:val="20"/>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4"/>
          </w:tcPr>
          <w:p>
            <w:pPr>
              <w:spacing w:after="0"/>
              <w:rPr>
                <w:sz w:val="20"/>
                <w:szCs w:val="20"/>
                <w:color w:val="auto"/>
              </w:rPr>
            </w:pPr>
            <w:r>
              <w:rPr>
                <w:rFonts w:ascii="Arial" w:cs="Arial" w:eastAsia="Arial" w:hAnsi="Arial"/>
                <w:sz w:val="20"/>
                <w:szCs w:val="20"/>
                <w:b w:val="1"/>
                <w:bCs w:val="1"/>
                <w:color w:val="auto"/>
              </w:rPr>
              <w:t>Contacts:</w:t>
            </w:r>
          </w:p>
        </w:tc>
        <w:tc>
          <w:tcPr>
            <w:tcW w:w="12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95"/>
        </w:trPr>
        <w:tc>
          <w:tcPr>
            <w:tcW w:w="4480" w:type="dxa"/>
            <w:vAlign w:val="bottom"/>
            <w:gridSpan w:val="4"/>
          </w:tcPr>
          <w:p>
            <w:pPr>
              <w:ind w:left="40"/>
              <w:spacing w:after="0"/>
              <w:rPr>
                <w:sz w:val="20"/>
                <w:szCs w:val="20"/>
                <w:color w:val="auto"/>
              </w:rPr>
            </w:pPr>
            <w:r>
              <w:rPr>
                <w:rFonts w:ascii="Arial" w:cs="Arial" w:eastAsia="Arial" w:hAnsi="Arial"/>
                <w:sz w:val="20"/>
                <w:szCs w:val="20"/>
                <w:color w:val="auto"/>
              </w:rPr>
              <w:t>Scott Espenshade (Investor Relations)</w:t>
            </w:r>
          </w:p>
        </w:tc>
        <w:tc>
          <w:tcPr>
            <w:tcW w:w="126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Margita Thompson (Media)</w:t>
            </w:r>
          </w:p>
        </w:tc>
      </w:tr>
      <w:tr>
        <w:trPr>
          <w:trHeight w:val="216"/>
        </w:trPr>
        <w:tc>
          <w:tcPr>
            <w:tcW w:w="2540" w:type="dxa"/>
            <w:vAlign w:val="bottom"/>
            <w:gridSpan w:val="3"/>
          </w:tcPr>
          <w:p>
            <w:pPr>
              <w:ind w:left="40"/>
              <w:spacing w:after="0" w:line="216" w:lineRule="exact"/>
              <w:rPr>
                <w:sz w:val="20"/>
                <w:szCs w:val="20"/>
                <w:color w:val="auto"/>
              </w:rPr>
            </w:pPr>
            <w:r>
              <w:rPr>
                <w:rFonts w:ascii="Arial" w:cs="Arial" w:eastAsia="Arial" w:hAnsi="Arial"/>
                <w:sz w:val="20"/>
                <w:szCs w:val="20"/>
                <w:color w:val="auto"/>
              </w:rPr>
              <w:t>818 661-6010</w:t>
            </w:r>
          </w:p>
        </w:tc>
        <w:tc>
          <w:tcPr>
            <w:tcW w:w="1940" w:type="dxa"/>
            <w:vAlign w:val="bottom"/>
          </w:tcPr>
          <w:p>
            <w:pPr>
              <w:spacing w:after="0"/>
              <w:rPr>
                <w:sz w:val="18"/>
                <w:szCs w:val="18"/>
                <w:color w:val="auto"/>
              </w:rPr>
            </w:pPr>
          </w:p>
        </w:tc>
        <w:tc>
          <w:tcPr>
            <w:tcW w:w="3820" w:type="dxa"/>
            <w:vAlign w:val="bottom"/>
            <w:gridSpan w:val="2"/>
          </w:tcPr>
          <w:p>
            <w:pPr>
              <w:ind w:left="1260"/>
              <w:spacing w:after="0" w:line="216" w:lineRule="exact"/>
              <w:rPr>
                <w:sz w:val="20"/>
                <w:szCs w:val="20"/>
                <w:color w:val="auto"/>
              </w:rPr>
            </w:pPr>
            <w:r>
              <w:rPr>
                <w:rFonts w:ascii="Arial" w:cs="Arial" w:eastAsia="Arial" w:hAnsi="Arial"/>
                <w:sz w:val="20"/>
                <w:szCs w:val="20"/>
                <w:color w:val="auto"/>
              </w:rPr>
              <w:t>818 661-6005</w:t>
            </w:r>
          </w:p>
        </w:tc>
      </w:tr>
      <w:tr>
        <w:trPr>
          <w:trHeight w:val="193"/>
        </w:trPr>
        <w:tc>
          <w:tcPr>
            <w:tcW w:w="4480" w:type="dxa"/>
            <w:vAlign w:val="bottom"/>
            <w:gridSpan w:val="4"/>
          </w:tcPr>
          <w:p>
            <w:pPr>
              <w:ind w:left="40"/>
              <w:spacing w:after="0" w:line="193" w:lineRule="exact"/>
              <w:rPr>
                <w:sz w:val="20"/>
                <w:szCs w:val="20"/>
                <w:color w:val="auto"/>
              </w:rPr>
            </w:pPr>
            <w:r>
              <w:rPr>
                <w:rFonts w:ascii="Arial" w:cs="Arial" w:eastAsia="Arial" w:hAnsi="Arial"/>
                <w:sz w:val="20"/>
                <w:szCs w:val="20"/>
                <w:color w:val="0000FF"/>
              </w:rPr>
              <w:t>Scott.Espenshade@crc.com</w:t>
            </w:r>
          </w:p>
        </w:tc>
        <w:tc>
          <w:tcPr>
            <w:tcW w:w="1260" w:type="dxa"/>
            <w:vAlign w:val="bottom"/>
          </w:tcPr>
          <w:p>
            <w:pPr>
              <w:spacing w:after="0"/>
              <w:rPr>
                <w:sz w:val="16"/>
                <w:szCs w:val="16"/>
                <w:color w:val="auto"/>
              </w:rPr>
            </w:pPr>
          </w:p>
        </w:tc>
        <w:tc>
          <w:tcPr>
            <w:tcW w:w="2560" w:type="dxa"/>
            <w:vAlign w:val="bottom"/>
          </w:tcPr>
          <w:p>
            <w:pPr>
              <w:spacing w:after="0" w:line="193" w:lineRule="exact"/>
              <w:rPr>
                <w:sz w:val="20"/>
                <w:szCs w:val="20"/>
                <w:color w:val="auto"/>
              </w:rPr>
            </w:pPr>
            <w:r>
              <w:rPr>
                <w:rFonts w:ascii="Arial" w:cs="Arial" w:eastAsia="Arial" w:hAnsi="Arial"/>
                <w:sz w:val="20"/>
                <w:szCs w:val="20"/>
                <w:color w:val="0000FF"/>
                <w:w w:val="98"/>
              </w:rPr>
              <w:t>Margita.Thompson@crc.com</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r>
      <w:tr>
        <w:trPr>
          <w:trHeight w:val="71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20" w:type="dxa"/>
            <w:vAlign w:val="bottom"/>
            <w:gridSpan w:val="2"/>
          </w:tcPr>
          <w:p>
            <w:pPr>
              <w:jc w:val="right"/>
              <w:ind w:right="2321"/>
              <w:spacing w:after="0"/>
              <w:rPr>
                <w:sz w:val="20"/>
                <w:szCs w:val="20"/>
                <w:color w:val="auto"/>
              </w:rPr>
            </w:pPr>
            <w:r>
              <w:rPr>
                <w:rFonts w:ascii="Arial" w:cs="Arial" w:eastAsia="Arial" w:hAnsi="Arial"/>
                <w:sz w:val="19"/>
                <w:szCs w:val="19"/>
                <w:color w:val="auto"/>
              </w:rPr>
              <w:t>###</w:t>
            </w:r>
          </w:p>
        </w:tc>
      </w:tr>
    </w:tbl>
    <w:p>
      <w:pPr>
        <w:spacing w:after="0" w:line="1" w:lineRule="exact"/>
        <w:rPr>
          <w:sz w:val="20"/>
          <w:szCs w:val="20"/>
          <w:color w:val="auto"/>
        </w:rPr>
      </w:pPr>
    </w:p>
    <w:sectPr>
      <w:pgSz w:w="11900" w:h="16838" w:orient="portrait"/>
      <w:cols w:equalWidth="0" w:num="1">
        <w:col w:w="11400"/>
      </w:cols>
      <w:pgMar w:left="240" w:top="8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lvl w:ilvl="1">
      <w:lvlJc w:val="left"/>
      <w:lvlText w:val="(%2)"/>
      <w:numFmt w:val="lowerRoman"/>
      <w:start w:val="1"/>
    </w:lvl>
  </w:abstractNum>
  <w:abstractNum w:abstractNumId="4">
    <w:nsid w:val="3352255A"/>
    <w:multiLevelType w:val="hybridMultilevel"/>
    <w:lvl w:ilvl="0">
      <w:lvlJc w:val="left"/>
      <w:lvlText w:val="%1"/>
      <w:numFmt w:val="decimal"/>
      <w:start w:val="1"/>
    </w:lvl>
    <w:lvl w:ilvl="1">
      <w:lvlJc w:val="left"/>
      <w:lvlText w:val="(%2)"/>
      <w:numFmt w:val="lowerLetter"/>
      <w:start w:val="3"/>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lvl w:ilvl="1">
      <w:lvlJc w:val="left"/>
      <w:lvlText w:val="(%2)"/>
      <w:numFmt w:val="lowerLetter"/>
      <w:start w:val="3"/>
    </w:lvl>
  </w:abstractNum>
  <w:abstractNum w:abstractNumId="8">
    <w:nsid w:val="1BEFD79F"/>
    <w:multiLevelType w:val="hybridMultilevel"/>
    <w:lvl w:ilvl="0">
      <w:lvlJc w:val="left"/>
      <w:lvlText w:val="(%1)"/>
      <w:numFmt w:val="lowerLetter"/>
      <w:start w:val="9"/>
    </w:lvl>
    <w:lvl w:ilvl="1">
      <w:lvlJc w:val="left"/>
      <w:lvlText w:val="(%2)"/>
      <w:numFmt w:val="lowerLetter"/>
      <w:start w:val="4"/>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3"/>
    </w:lvl>
  </w:abstractNum>
  <w:abstractNum w:abstractNumId="11">
    <w:nsid w:val="4E6AFB66"/>
    <w:multiLevelType w:val="hybridMultilevel"/>
    <w:lvl w:ilvl="0">
      <w:lvlJc w:val="left"/>
      <w:lvlText w:val="%1"/>
      <w:numFmt w:val="lowerLetter"/>
      <w:start w:val="1"/>
    </w:lvl>
    <w:lvl w:ilvl="1">
      <w:lvlJc w:val="left"/>
      <w:lvlText w:val="(%2)"/>
      <w:numFmt w:val="lowerLetter"/>
      <w:start w:val="10"/>
    </w:lvl>
  </w:abstractNum>
  <w:abstractNum w:abstractNumId="12">
    <w:nsid w:val="25E45D32"/>
    <w:multiLevelType w:val="hybridMultilevel"/>
    <w:lvl w:ilvl="0">
      <w:lvlJc w:val="left"/>
      <w:lvlText w:val="(%1)"/>
      <w:numFmt w:val="lowerLetter"/>
      <w:start w:val="6"/>
    </w:lvl>
    <w:lvl w:ilvl="1">
      <w:lvlJc w:val="left"/>
      <w:lvlText w:val="(%2)"/>
      <w:numFmt w:val="lowerLetter"/>
      <w:start w:val="17"/>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2019-12-28T23:06:13Z</dcterms:created>
  <dcterms:modified xsi:type="dcterms:W3CDTF">2019-12-28T23:06:13Z</dcterms:modified>
</cp:coreProperties>
</file>