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report (Date of earliest event reported): June 16, 2023</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California Resources Corporation</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1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001-36478</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42" w:lineRule="exact"/>
        <w:rPr>
          <w:sz w:val="24"/>
          <w:szCs w:val="24"/>
          <w:color w:val="auto"/>
        </w:rPr>
      </w:pPr>
    </w:p>
    <w:p>
      <w:pPr>
        <w:sectPr>
          <w:pgSz w:w="11900" w:h="16838" w:orient="portrait"/>
          <w:cols w:equalWidth="0" w:num="3">
            <w:col w:w="4500" w:space="720"/>
            <w:col w:w="3000" w:space="720"/>
            <w:col w:w="2220"/>
          </w:cols>
          <w:pgMar w:left="320" w:top="1401" w:right="419" w:bottom="1440" w:gutter="0" w:footer="0" w:header="0"/>
          <w:type w:val="continuous"/>
        </w:sectPr>
      </w:pPr>
    </w:p>
    <w:p>
      <w:pPr>
        <w:spacing w:after="0" w:line="20"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8"/>
          <w:szCs w:val="18"/>
          <w:color w:val="auto"/>
        </w:rPr>
        <w:t>(IRS Employer</w:t>
      </w: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400" w:space="720"/>
            <w:col w:w="286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1 World Trade Center</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1500</w:t>
      </w:r>
    </w:p>
    <w:p>
      <w:pPr>
        <w:spacing w:after="0" w:line="29"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90831</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97"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66"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36"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34"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500" w:space="720"/>
            <w:col w:w="226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5" w:lineRule="exact"/>
        <w:rPr>
          <w:sz w:val="24"/>
          <w:szCs w:val="24"/>
          <w:color w:val="auto"/>
        </w:rPr>
      </w:pPr>
    </w:p>
    <w:p>
      <w:pPr>
        <w:ind w:right="40"/>
        <w:spacing w:after="0" w:line="24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760095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205740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line="308" w:lineRule="exact"/>
        <w:rPr>
          <w:sz w:val="20"/>
          <w:szCs w:val="20"/>
          <w:color w:val="auto"/>
        </w:rPr>
      </w:pPr>
    </w:p>
    <w:p>
      <w:pPr>
        <w:ind w:left="960" w:hanging="1278"/>
        <w:spacing w:after="0" w:line="243" w:lineRule="auto"/>
        <w:tabs>
          <w:tab w:leader="none" w:pos="940" w:val="left"/>
        </w:tabs>
        <w:rPr>
          <w:sz w:val="20"/>
          <w:szCs w:val="20"/>
          <w:color w:val="auto"/>
        </w:rPr>
      </w:pPr>
      <w:r>
        <w:rPr>
          <w:rFonts w:ascii="Arial" w:cs="Arial" w:eastAsia="Arial" w:hAnsi="Arial"/>
          <w:sz w:val="18"/>
          <w:szCs w:val="18"/>
          <w:b w:val="1"/>
          <w:bCs w:val="1"/>
          <w:color w:val="auto"/>
        </w:rPr>
        <w:t>Item 5.02</w:t>
        <w:tab/>
        <w:t>Departures of Directors or Certain Officers; Election of Directors; Appointment of Certain Officers; Compensatory Arrangements of Certain Officers.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of Shawn Kerns</w:t>
      </w:r>
    </w:p>
    <w:p>
      <w:pPr>
        <w:spacing w:after="0" w:line="23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On June 16, 2023, California Resources Corporation (the “Company”) announced that Shawn Kerns, Executive Vice President and Chief Operating Officer, will retire from the Company effective as of July 31, 2023. Mr. Kerns’ departure did not result from any dispute or disagreement with the Company on any</w:t>
      </w:r>
    </w:p>
    <w:p>
      <w:pPr>
        <w:spacing w:after="0" w:line="233" w:lineRule="auto"/>
        <w:rPr>
          <w:sz w:val="20"/>
          <w:szCs w:val="20"/>
          <w:color w:val="auto"/>
        </w:rPr>
      </w:pPr>
      <w:r>
        <w:rPr>
          <w:rFonts w:ascii="Arial" w:cs="Arial" w:eastAsia="Arial" w:hAnsi="Arial"/>
          <w:sz w:val="18"/>
          <w:szCs w:val="18"/>
          <w:color w:val="auto"/>
        </w:rPr>
        <w:t>matter relating to the Company’s operations, financial statements, internal controls, policies or practices. Mr. Kerns will receive the payments and benefits in accordance with Section 7(f) of his Employment Agreement (previously filed as Exhibit 10.1 to the Company’s Current Report on Form 8-K filed June 11, 2021), Section 3 of his Retention Bonus Agreement granted to him on February 24, 2023 (previously disclosed within the Company’s Annual Report on Form 10-K filed February 24, 2023) and a “Qualifying Termination” under each of his outstanding equity-based compensation awards granted pursuant the Company’s 2021 Long-Term Incentive Plan (as amended, the “LTIP”). The Company would like to thank Mr. Kerns for his years of dedicated service and wish him well in his retirement.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Omar Hayat as Executive Vice President – Operations</w:t>
      </w:r>
    </w:p>
    <w:p>
      <w:pPr>
        <w:spacing w:after="0" w:line="23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On June 16, 2023, Omar Hayat was appointed as Executive Vice President – Operations, effective as of June 19, 2023. Mr. Hayat, age 47, has been Senior Vice President of Operations for the Company since April 2023 with responsibilities for statewide operations. From March 2021 to March 2023, he served as Vice President of Operations for the Elk Hills field. From October 2019 to February 2021, he served as Operations Manager for various San Joaquin Valley</w:t>
      </w:r>
    </w:p>
    <w:p>
      <w:pPr>
        <w:spacing w:after="0" w:line="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assets. Prior to that, he held various technical and operational positions with the Company, Occidental Petroleum, Aera Energy and Engro Chemical (formerly Exxon Chemical). Mr. Hayat holds an MBA from UCLA, an MS in Petroleum Engineering from Stanford University, and a BS in Metallurgical Engineering from GIK Institute of Engineering and Technology, Pakistan.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There are no arrangements or understandings between Mr. Hayat and any other persons pursuant to which he was selected to serve as the Company’s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 Operations. There are no family relationships between Mr. Hayat and any director or executive officer of the Company, and Mr.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Hayat has no direct or indirect material interest in any transaction required to be disclosed pursuant to Item 404(a) of Regulation S-K.</w:t>
      </w:r>
    </w:p>
    <w:p>
      <w:pPr>
        <w:spacing w:after="0" w:line="25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connection with Mr. Hayat’s appointment as Executive Vice President – Operations, Mr. Hayat will receive an annual base salary of $400,000. He will also be eligible to receive: (i) an annual cash bonus with a target value equal to 100% of his annual base salary; (ii) participation in those benefit plans and programs of the Company available to similarly situated executives; and (iii) annual long-term incentive awards (expected to be comprised 60% of performance stock units and 40% of restricted stock units) under the LTIP with a target grant value of 400% of Mr. Hayat’s base salary as in effect on the applicable grant date (which, for the 2023 year, will consist of a combination of the LTIP awards he received earlier in the 2023 year in his previous role, as well as new LTIP award grants that will increase his target grant date values to the amounts set forth herein). The performance stock unit awards are expected to vest over a three-year cliff vesting period beginning on the date of grant, and the restricted stock units are expected to vest in three equal installments over a three-year vesting period beginning on the date of grant. The terms and conditions of his additional LTIP awards will be governed by individual award agreements to be entered into between the Company and Mr. Hayat in connection with the grant of those LTIP awards. He will continue to be a participant in the Company’s Executive Severance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Indemnification Agreement</w:t>
      </w:r>
    </w:p>
    <w:p>
      <w:pPr>
        <w:spacing w:after="0" w:line="23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effectiveness of Mr. Hayat's appointment as Executive Vice President – Operations on June 19, 2023, the Company will enter into an Indemnification Agreement (the “Indemnification Agreement”) with Mr. Hayat, pursuant to which the Company will agree to indemnify Mr. Hayat to the fullest extent permitted under Delaware law against liability that may arise by reason of his service to the Company and to advance his expenses incurred as a result of any proceeding against him to which he could be indemnified. The foregoing description of the Indemnification Agreement is qualified in its entirety by reference to the full and complete text of the Indemnification Agreement, a form of which is filed herewith as Exhibit 10.1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(d)  Exhibits</w:t>
            </w:r>
          </w:p>
        </w:tc>
        <w:tc>
          <w:tcPr>
            <w:tcW w:w="7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93"/>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8880" w:type="dxa"/>
            <w:vAlign w:val="bottom"/>
            <w:gridSpan w:val="2"/>
          </w:tcPr>
          <w:p>
            <w:pPr>
              <w:ind w:left="408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460" w:type="dxa"/>
            <w:vAlign w:val="bottom"/>
          </w:tcPr>
          <w:p>
            <w:pPr>
              <w:jc w:val="right"/>
              <w:ind w:right="991"/>
              <w:spacing w:after="0"/>
              <w:rPr>
                <w:sz w:val="20"/>
                <w:szCs w:val="20"/>
                <w:color w:val="auto"/>
              </w:rPr>
            </w:pPr>
            <w:r>
              <w:rPr>
                <w:rFonts w:ascii="Arial" w:cs="Arial" w:eastAsia="Arial" w:hAnsi="Arial"/>
                <w:sz w:val="18"/>
                <w:szCs w:val="18"/>
                <w:color w:val="auto"/>
              </w:rPr>
              <w:t>10.1</w:t>
            </w:r>
          </w:p>
        </w:tc>
        <w:tc>
          <w:tcPr>
            <w:tcW w:w="8880" w:type="dxa"/>
            <w:vAlign w:val="bottom"/>
            <w:tcBorders>
              <w:bottom w:val="single" w:sz="8" w:color="0000FF"/>
            </w:tcBorders>
            <w:gridSpan w:val="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Form of Indemnification Agreement between the Company and its directors and executive officers (filed as Exhibit 10.1 to th</w:t>
              </w:r>
            </w:hyperlink>
          </w:p>
        </w:tc>
      </w:tr>
      <w:tr>
        <w:trPr>
          <w:trHeight w:val="193"/>
        </w:trPr>
        <w:tc>
          <w:tcPr>
            <w:tcW w:w="2460" w:type="dxa"/>
            <w:vAlign w:val="bottom"/>
          </w:tcPr>
          <w:p>
            <w:pPr>
              <w:spacing w:after="0"/>
              <w:rPr>
                <w:sz w:val="16"/>
                <w:szCs w:val="16"/>
                <w:color w:val="auto"/>
              </w:rPr>
            </w:pPr>
          </w:p>
        </w:tc>
        <w:tc>
          <w:tcPr>
            <w:tcW w:w="7540" w:type="dxa"/>
            <w:vAlign w:val="bottom"/>
            <w:tcBorders>
              <w:bottom w:val="single" w:sz="8" w:color="0000FF"/>
            </w:tcBorders>
          </w:tcPr>
          <w:p>
            <w:pPr>
              <w:spacing w:after="0" w:line="194"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Company’s Current Report on Form 8-K filed on October 27, 2020 and incorporated herein by reference).</w:t>
              </w:r>
            </w:hyperlink>
          </w:p>
        </w:tc>
        <w:tc>
          <w:tcPr>
            <w:tcW w:w="1340" w:type="dxa"/>
            <w:vAlign w:val="bottom"/>
          </w:tcPr>
          <w:p>
            <w:pPr>
              <w:spacing w:after="0"/>
              <w:rPr>
                <w:sz w:val="16"/>
                <w:szCs w:val="16"/>
                <w:color w:val="auto"/>
              </w:rPr>
            </w:pPr>
          </w:p>
        </w:tc>
      </w:tr>
    </w:tbl>
    <w:p>
      <w:pPr>
        <w:spacing w:after="0" w:line="68" w:lineRule="exact"/>
        <w:rPr>
          <w:sz w:val="20"/>
          <w:szCs w:val="20"/>
          <w:color w:val="auto"/>
        </w:rPr>
      </w:pPr>
    </w:p>
    <w:p>
      <w:pPr>
        <w:ind w:left="2460" w:hanging="1363"/>
        <w:spacing w:after="0"/>
        <w:tabs>
          <w:tab w:leader="none" w:pos="2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460" w:firstLine="6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33"/>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40"/>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7"/>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June 16, 2023</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4" Type="http://schemas.openxmlformats.org/officeDocument/2006/relationships/hyperlink" Target="http://www.sec.gov/Archives/edgar/data/1609253/000160925320000141/a20201022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2023-06-16T15:24:10Z</dcterms:created>
  <dcterms:modified xsi:type="dcterms:W3CDTF">2023-06-16T15:24:10Z</dcterms:modified>
</cp:coreProperties>
</file>