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364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ARES MANAGEMENT LLC</w:t>
              </w:r>
            </w:hyperlink>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California Resources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CRC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3640" w:type="dxa"/>
            <w:vAlign w:val="bottom"/>
            <w:gridSpan w:val="4"/>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700" w:type="dxa"/>
            <w:vAlign w:val="bottom"/>
            <w:gridSpan w:val="2"/>
            <w:vMerge w:val="continue"/>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3640" w:type="dxa"/>
            <w:vAlign w:val="bottom"/>
            <w:gridSpan w:val="4"/>
            <w:vMerge w:val="continue"/>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60" w:type="dxa"/>
            <w:vAlign w:val="bottom"/>
            <w:tcBorders>
              <w:bottom w:val="single" w:sz="8" w:color="0000EE"/>
            </w:tcBorders>
          </w:tcPr>
          <w:p>
            <w:pPr>
              <w:spacing w:after="0"/>
              <w:rPr>
                <w:sz w:val="2"/>
                <w:szCs w:val="2"/>
                <w:color w:val="auto"/>
              </w:rPr>
            </w:pPr>
          </w:p>
        </w:tc>
        <w:tc>
          <w:tcPr>
            <w:tcW w:w="1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600" w:type="dxa"/>
            <w:vAlign w:val="bottom"/>
            <w:vMerge w:val="restart"/>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60" w:type="dxa"/>
            <w:vAlign w:val="bottom"/>
          </w:tcPr>
          <w:p>
            <w:pPr>
              <w:spacing w:after="0"/>
              <w:rPr>
                <w:sz w:val="5"/>
                <w:szCs w:val="5"/>
                <w:color w:val="auto"/>
              </w:rPr>
            </w:pPr>
          </w:p>
        </w:tc>
        <w:tc>
          <w:tcPr>
            <w:tcW w:w="1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40" w:type="dxa"/>
            <w:vAlign w:val="bottom"/>
          </w:tcPr>
          <w:p>
            <w:pPr>
              <w:spacing w:after="0"/>
              <w:rPr>
                <w:sz w:val="8"/>
                <w:szCs w:val="8"/>
                <w:color w:val="auto"/>
              </w:rPr>
            </w:pPr>
          </w:p>
        </w:tc>
        <w:tc>
          <w:tcPr>
            <w:tcW w:w="1000" w:type="dxa"/>
            <w:vAlign w:val="bottom"/>
            <w:tcBorders>
              <w:top w:val="single" w:sz="8" w:color="0000EE"/>
            </w:tcBorders>
          </w:tcPr>
          <w:p>
            <w:pPr>
              <w:spacing w:after="0"/>
              <w:rPr>
                <w:sz w:val="8"/>
                <w:szCs w:val="8"/>
                <w:color w:val="auto"/>
              </w:rPr>
            </w:pPr>
          </w:p>
        </w:tc>
        <w:tc>
          <w:tcPr>
            <w:tcW w:w="104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40" w:type="dxa"/>
            <w:vAlign w:val="bottom"/>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60" w:type="dxa"/>
            <w:vAlign w:val="bottom"/>
          </w:tcPr>
          <w:p>
            <w:pPr>
              <w:spacing w:after="0"/>
              <w:rPr>
                <w:sz w:val="7"/>
                <w:szCs w:val="7"/>
                <w:color w:val="auto"/>
              </w:rPr>
            </w:pPr>
          </w:p>
        </w:tc>
        <w:tc>
          <w:tcPr>
            <w:tcW w:w="14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104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10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26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16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9"/>
        </w:trPr>
        <w:tc>
          <w:tcPr>
            <w:tcW w:w="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16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40" w:type="dxa"/>
            <w:vAlign w:val="bottom"/>
          </w:tcPr>
          <w:p>
            <w:pPr>
              <w:spacing w:after="0"/>
              <w:rPr>
                <w:sz w:val="13"/>
                <w:szCs w:val="13"/>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(Last)</w:t>
            </w:r>
          </w:p>
        </w:tc>
        <w:tc>
          <w:tcPr>
            <w:tcW w:w="1040" w:type="dxa"/>
            <w:vAlign w:val="bottom"/>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4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3"/>
                <w:szCs w:val="13"/>
                <w:color w:val="auto"/>
              </w:rPr>
            </w:pPr>
          </w:p>
        </w:tc>
        <w:tc>
          <w:tcPr>
            <w:tcW w:w="1200" w:type="dxa"/>
            <w:vAlign w:val="bottom"/>
          </w:tcPr>
          <w:p>
            <w:pPr>
              <w:ind w:left="1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Arial" w:cs="Arial" w:eastAsia="Arial" w:hAnsi="Arial"/>
                <w:sz w:val="17"/>
                <w:szCs w:val="17"/>
                <w:color w:val="0000FF"/>
              </w:rPr>
              <w:t>2000 AVENUE OF THE STARS, 12TH FLOOR</w:t>
            </w:r>
          </w:p>
        </w:tc>
        <w:tc>
          <w:tcPr>
            <w:tcW w:w="2420" w:type="dxa"/>
            <w:vAlign w:val="bottom"/>
            <w:gridSpan w:val="3"/>
          </w:tcPr>
          <w:p>
            <w:pPr>
              <w:ind w:left="160"/>
              <w:spacing w:after="0"/>
              <w:rPr>
                <w:sz w:val="20"/>
                <w:szCs w:val="20"/>
                <w:color w:val="auto"/>
              </w:rPr>
            </w:pPr>
            <w:r>
              <w:rPr>
                <w:rFonts w:ascii="Arial" w:cs="Arial" w:eastAsia="Arial" w:hAnsi="Arial"/>
                <w:sz w:val="17"/>
                <w:szCs w:val="17"/>
                <w:color w:val="0000FF"/>
              </w:rPr>
              <w:t>06/16/2021</w:t>
            </w:r>
          </w:p>
        </w:tc>
        <w:tc>
          <w:tcPr>
            <w:tcW w:w="1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260" w:type="dxa"/>
            <w:vAlign w:val="bottom"/>
            <w:tcBorders>
              <w:bottom w:val="single" w:sz="8" w:color="2C2C2C"/>
            </w:tcBorders>
          </w:tcPr>
          <w:p>
            <w:pPr>
              <w:spacing w:after="0"/>
              <w:rPr>
                <w:sz w:val="18"/>
                <w:szCs w:val="18"/>
                <w:color w:val="auto"/>
              </w:rPr>
            </w:pPr>
          </w:p>
        </w:tc>
        <w:tc>
          <w:tcPr>
            <w:tcW w:w="1480" w:type="dxa"/>
            <w:vAlign w:val="bottom"/>
            <w:tcBorders>
              <w:bottom w:val="single" w:sz="8" w:color="2C2C2C"/>
            </w:tcBorders>
          </w:tcPr>
          <w:p>
            <w:pPr>
              <w:spacing w:after="0"/>
              <w:rPr>
                <w:sz w:val="18"/>
                <w:szCs w:val="18"/>
                <w:color w:val="auto"/>
              </w:rPr>
            </w:pPr>
          </w:p>
        </w:tc>
        <w:tc>
          <w:tcPr>
            <w:tcW w:w="3300" w:type="dxa"/>
            <w:vAlign w:val="bottom"/>
            <w:tcBorders>
              <w:bottom w:val="single" w:sz="8" w:color="2C2C2C"/>
            </w:tcBorders>
            <w:gridSpan w:val="3"/>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104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1040" w:type="dxa"/>
            <w:vAlign w:val="bottom"/>
            <w:gridSpan w:val="2"/>
            <w:vMerge w:val="continue"/>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3"/>
                <w:szCs w:val="13"/>
                <w:color w:val="auto"/>
              </w:rPr>
              <w:t>Line)</w:t>
            </w:r>
          </w:p>
        </w:tc>
        <w:tc>
          <w:tcPr>
            <w:tcW w:w="12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000" w:type="dxa"/>
            <w:vAlign w:val="bottom"/>
            <w:vMerge w:val="restart"/>
          </w:tcPr>
          <w:p>
            <w:pPr>
              <w:spacing w:after="0"/>
              <w:rPr>
                <w:sz w:val="20"/>
                <w:szCs w:val="20"/>
                <w:color w:val="auto"/>
              </w:rPr>
            </w:pPr>
            <w:r>
              <w:rPr>
                <w:rFonts w:ascii="Arial" w:cs="Arial" w:eastAsia="Arial" w:hAnsi="Arial"/>
                <w:sz w:val="17"/>
                <w:szCs w:val="17"/>
                <w:color w:val="0000FF"/>
              </w:rPr>
              <w:t>LOS</w:t>
            </w:r>
          </w:p>
        </w:tc>
        <w:tc>
          <w:tcPr>
            <w:tcW w:w="10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60" w:type="dxa"/>
            <w:vAlign w:val="bottom"/>
          </w:tcPr>
          <w:p>
            <w:pPr>
              <w:spacing w:after="0"/>
              <w:rPr>
                <w:sz w:val="5"/>
                <w:szCs w:val="5"/>
                <w:color w:val="auto"/>
              </w:rPr>
            </w:pPr>
          </w:p>
        </w:tc>
        <w:tc>
          <w:tcPr>
            <w:tcW w:w="14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1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040" w:type="dxa"/>
            <w:vAlign w:val="bottom"/>
            <w:vMerge w:val="restart"/>
          </w:tcPr>
          <w:p>
            <w:pPr>
              <w:ind w:left="220"/>
              <w:spacing w:after="0"/>
              <w:rPr>
                <w:sz w:val="20"/>
                <w:szCs w:val="20"/>
                <w:color w:val="auto"/>
              </w:rPr>
            </w:pPr>
            <w:r>
              <w:rPr>
                <w:rFonts w:ascii="Arial" w:cs="Arial" w:eastAsia="Arial" w:hAnsi="Arial"/>
                <w:sz w:val="17"/>
                <w:szCs w:val="17"/>
                <w:color w:val="0000FF"/>
              </w:rPr>
              <w:t>CA</w:t>
            </w:r>
          </w:p>
        </w:tc>
        <w:tc>
          <w:tcPr>
            <w:tcW w:w="1600" w:type="dxa"/>
            <w:vAlign w:val="bottom"/>
            <w:gridSpan w:val="2"/>
            <w:vMerge w:val="restart"/>
          </w:tcPr>
          <w:p>
            <w:pPr>
              <w:ind w:left="400"/>
              <w:spacing w:after="0"/>
              <w:rPr>
                <w:sz w:val="20"/>
                <w:szCs w:val="20"/>
                <w:color w:val="auto"/>
              </w:rPr>
            </w:pPr>
            <w:r>
              <w:rPr>
                <w:rFonts w:ascii="Arial" w:cs="Arial" w:eastAsia="Arial" w:hAnsi="Arial"/>
                <w:sz w:val="17"/>
                <w:szCs w:val="17"/>
                <w:color w:val="0000FF"/>
              </w:rPr>
              <w:t>90067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0" w:type="dxa"/>
            <w:vAlign w:val="bottom"/>
            <w:gridSpan w:val="2"/>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000" w:type="dxa"/>
            <w:vAlign w:val="bottom"/>
            <w:vMerge w:val="restart"/>
          </w:tcPr>
          <w:p>
            <w:pPr>
              <w:spacing w:after="0"/>
              <w:rPr>
                <w:sz w:val="20"/>
                <w:szCs w:val="20"/>
                <w:color w:val="auto"/>
              </w:rPr>
            </w:pPr>
            <w:r>
              <w:rPr>
                <w:rFonts w:ascii="Arial" w:cs="Arial" w:eastAsia="Arial" w:hAnsi="Arial"/>
                <w:sz w:val="17"/>
                <w:szCs w:val="17"/>
                <w:color w:val="0000FF"/>
              </w:rPr>
              <w:t>ANGELES</w:t>
            </w:r>
          </w:p>
        </w:tc>
        <w:tc>
          <w:tcPr>
            <w:tcW w:w="1040" w:type="dxa"/>
            <w:vAlign w:val="bottom"/>
            <w:vMerge w:val="continue"/>
          </w:tcPr>
          <w:p>
            <w:pPr>
              <w:spacing w:after="0"/>
              <w:rPr>
                <w:sz w:val="9"/>
                <w:szCs w:val="9"/>
                <w:color w:val="auto"/>
              </w:rPr>
            </w:pPr>
          </w:p>
        </w:tc>
        <w:tc>
          <w:tcPr>
            <w:tcW w:w="16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2800" w:type="dxa"/>
            <w:vAlign w:val="bottom"/>
            <w:gridSpan w:val="2"/>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28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60" w:type="dxa"/>
            <w:vAlign w:val="bottom"/>
          </w:tcPr>
          <w:p>
            <w:pPr>
              <w:spacing w:after="0"/>
              <w:rPr>
                <w:sz w:val="5"/>
                <w:szCs w:val="5"/>
                <w:color w:val="auto"/>
              </w:rPr>
            </w:pPr>
          </w:p>
        </w:tc>
        <w:tc>
          <w:tcPr>
            <w:tcW w:w="1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40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ectPr>
          <w:pgSz w:w="11900" w:h="16838" w:orient="portrait"/>
          <w:cols w:equalWidth="0" w:num="1">
            <w:col w:w="11080"/>
          </w:cols>
          <w:pgMar w:left="460" w:top="225" w:right="359" w:bottom="0" w:gutter="0" w:footer="0" w:header="0"/>
          <w:type w:val="continuous"/>
        </w:sectPr>
      </w:pPr>
    </w:p>
    <w:p>
      <w:pPr>
        <w:spacing w:after="0" w:line="140" w:lineRule="exact"/>
        <w:rPr>
          <w:sz w:val="20"/>
          <w:szCs w:val="20"/>
          <w:color w:val="auto"/>
        </w:rPr>
      </w:pPr>
    </w:p>
    <w:p>
      <w:pPr>
        <w:ind w:left="80" w:firstLine="7"/>
        <w:spacing w:after="0" w:line="257" w:lineRule="auto"/>
        <w:tabs>
          <w:tab w:leader="none" w:pos="228" w:val="left"/>
        </w:tabs>
        <w:numPr>
          <w:ilvl w:val="0"/>
          <w:numId w:val="1"/>
        </w:numPr>
        <w:rPr>
          <w:rFonts w:ascii="Arial" w:cs="Arial" w:eastAsia="Arial" w:hAnsi="Arial"/>
          <w:sz w:val="13"/>
          <w:szCs w:val="13"/>
          <w:b w:val="1"/>
          <w:bCs w:val="1"/>
          <w:color w:val="auto"/>
        </w:rPr>
      </w:pPr>
      <w:r>
        <w:rPr>
          <w:rFonts w:ascii="Arial" w:cs="Arial" w:eastAsia="Arial" w:hAnsi="Arial"/>
          <w:sz w:val="13"/>
          <w:szCs w:val="13"/>
          <w:b w:val="1"/>
          <w:bCs w:val="1"/>
          <w:color w:val="auto"/>
        </w:rPr>
        <w:t>Title of Security (Instr. 3)</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040" w:type="dxa"/>
            <w:vAlign w:val="bottom"/>
          </w:tcPr>
          <w:p>
            <w:pPr>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5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 Disposed Of</w:t>
            </w:r>
          </w:p>
        </w:tc>
        <w:tc>
          <w:tcPr>
            <w:tcW w:w="1820" w:type="dxa"/>
            <w:vAlign w:val="bottom"/>
          </w:tcPr>
          <w:p>
            <w:pPr>
              <w:ind w:left="60"/>
              <w:spacing w:after="0"/>
              <w:rPr>
                <w:sz w:val="20"/>
                <w:szCs w:val="20"/>
                <w:color w:val="auto"/>
              </w:rPr>
            </w:pPr>
            <w:r>
              <w:rPr>
                <w:rFonts w:ascii="Arial" w:cs="Arial" w:eastAsia="Arial" w:hAnsi="Arial"/>
                <w:sz w:val="12"/>
                <w:szCs w:val="12"/>
                <w:b w:val="1"/>
                <w:bCs w:val="1"/>
                <w:color w:val="auto"/>
              </w:rPr>
              <w:t>5. Amount of Securities</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6.</w:t>
            </w:r>
          </w:p>
        </w:tc>
        <w:tc>
          <w:tcPr>
            <w:tcW w:w="1660" w:type="dxa"/>
            <w:vAlign w:val="bottom"/>
          </w:tcPr>
          <w:p>
            <w:pPr>
              <w:ind w:left="8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33"/>
        </w:trPr>
        <w:tc>
          <w:tcPr>
            <w:tcW w:w="10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(Instr. 3, 4 and 5)</w:t>
            </w: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 Owned Following</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1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 Ownership (Instr.</w:t>
            </w:r>
          </w:p>
        </w:tc>
        <w:tc>
          <w:tcPr>
            <w:tcW w:w="0" w:type="dxa"/>
            <w:vAlign w:val="bottom"/>
          </w:tcPr>
          <w:p>
            <w:pPr>
              <w:spacing w:after="0"/>
              <w:rPr>
                <w:sz w:val="1"/>
                <w:szCs w:val="1"/>
                <w:color w:val="auto"/>
              </w:rPr>
            </w:pPr>
          </w:p>
        </w:tc>
      </w:tr>
      <w:tr>
        <w:trPr>
          <w:trHeight w:val="133"/>
        </w:trPr>
        <w:tc>
          <w:tcPr>
            <w:tcW w:w="1040" w:type="dxa"/>
            <w:vAlign w:val="bottom"/>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1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 Transaction(s)</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1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4)</w:t>
            </w:r>
          </w:p>
        </w:tc>
        <w:tc>
          <w:tcPr>
            <w:tcW w:w="0" w:type="dxa"/>
            <w:vAlign w:val="bottom"/>
          </w:tcPr>
          <w:p>
            <w:pPr>
              <w:spacing w:after="0"/>
              <w:rPr>
                <w:sz w:val="1"/>
                <w:szCs w:val="1"/>
                <w:color w:val="auto"/>
              </w:rPr>
            </w:pPr>
          </w:p>
        </w:tc>
      </w:tr>
      <w:tr>
        <w:trPr>
          <w:trHeight w:val="133"/>
        </w:trPr>
        <w:tc>
          <w:tcPr>
            <w:tcW w:w="10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20" w:type="dxa"/>
            <w:vAlign w:val="bottom"/>
          </w:tcPr>
          <w:p>
            <w:pPr>
              <w:spacing w:after="0"/>
              <w:rPr>
                <w:sz w:val="6"/>
                <w:szCs w:val="6"/>
                <w:color w:val="auto"/>
              </w:rPr>
            </w:pPr>
          </w:p>
        </w:tc>
        <w:tc>
          <w:tcPr>
            <w:tcW w:w="7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1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4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(A)</w:t>
            </w:r>
          </w:p>
        </w:tc>
        <w:tc>
          <w:tcPr>
            <w:tcW w:w="6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V</w:t>
            </w:r>
          </w:p>
        </w:tc>
        <w:tc>
          <w:tcPr>
            <w:tcW w:w="1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w:t>
            </w:r>
          </w:p>
        </w:tc>
        <w:tc>
          <w:tcPr>
            <w:tcW w:w="4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or</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w:t>
            </w:r>
          </w:p>
        </w:tc>
        <w:tc>
          <w:tcPr>
            <w:tcW w:w="1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480" w:type="dxa"/>
            <w:vAlign w:val="bottom"/>
          </w:tcPr>
          <w:p>
            <w:pPr>
              <w:ind w:left="220"/>
              <w:spacing w:after="0"/>
              <w:rPr>
                <w:sz w:val="20"/>
                <w:szCs w:val="20"/>
                <w:color w:val="auto"/>
              </w:rPr>
            </w:pPr>
            <w:r>
              <w:rPr>
                <w:rFonts w:ascii="Arial" w:cs="Arial" w:eastAsia="Arial" w:hAnsi="Arial"/>
                <w:sz w:val="12"/>
                <w:szCs w:val="12"/>
                <w:b w:val="1"/>
                <w:bCs w:val="1"/>
                <w:color w:val="auto"/>
              </w:rPr>
              <w:t>(D)</w:t>
            </w:r>
          </w:p>
        </w:tc>
        <w:tc>
          <w:tcPr>
            <w:tcW w:w="6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sectPr>
          <w:pgSz w:w="11900" w:h="16838" w:orient="portrait"/>
          <w:cols w:equalWidth="0" w:num="2">
            <w:col w:w="660" w:space="400"/>
            <w:col w:w="10020"/>
          </w:cols>
          <w:pgMar w:left="460" w:top="225" w:right="359" w:bottom="0" w:gutter="0" w:footer="0" w:header="0"/>
          <w:type w:val="continuous"/>
        </w:sectPr>
      </w:pPr>
    </w:p>
    <w:tbl>
      <w:tblPr>
        <w:tblLayout w:type="fixed"/>
        <w:tblInd w:w="0" w:type="dxa"/>
        <w:tblCellMar>
          <w:top w:w="0" w:type="dxa"/>
          <w:left w:w="0" w:type="dxa"/>
          <w:bottom w:w="0" w:type="dxa"/>
          <w:right w:w="0" w:type="dxa"/>
        </w:tblCellMar>
      </w:tblPr>
      <w:tr>
        <w:trPr>
          <w:trHeight w:val="311"/>
        </w:trPr>
        <w:tc>
          <w:tcPr>
            <w:tcW w:w="20" w:type="dxa"/>
            <w:vAlign w:val="bottom"/>
          </w:tcPr>
          <w:p>
            <w:pPr>
              <w:spacing w:after="0"/>
              <w:rPr>
                <w:sz w:val="24"/>
                <w:szCs w:val="24"/>
                <w:color w:val="auto"/>
              </w:rPr>
            </w:pPr>
          </w:p>
        </w:tc>
        <w:tc>
          <w:tcPr>
            <w:tcW w:w="780" w:type="dxa"/>
            <w:vAlign w:val="bottom"/>
            <w:gridSpan w:val="2"/>
          </w:tcPr>
          <w:p>
            <w:pPr>
              <w:ind w:left="60"/>
              <w:spacing w:after="0"/>
              <w:rPr>
                <w:sz w:val="20"/>
                <w:szCs w:val="20"/>
                <w:color w:val="auto"/>
              </w:rPr>
            </w:pPr>
            <w:r>
              <w:rPr>
                <w:rFonts w:ascii="Arial" w:cs="Arial" w:eastAsia="Arial" w:hAnsi="Arial"/>
                <w:sz w:val="17"/>
                <w:szCs w:val="17"/>
                <w:color w:val="0000FF"/>
              </w:rPr>
              <w:t>Common</w:t>
            </w:r>
          </w:p>
        </w:tc>
        <w:tc>
          <w:tcPr>
            <w:tcW w:w="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20" w:type="dxa"/>
            <w:vAlign w:val="bottom"/>
            <w:gridSpan w:val="5"/>
            <w:vMerge w:val="restart"/>
          </w:tcPr>
          <w:p>
            <w:pPr>
              <w:ind w:left="40"/>
              <w:spacing w:after="0"/>
              <w:rPr>
                <w:sz w:val="20"/>
                <w:szCs w:val="20"/>
                <w:color w:val="auto"/>
              </w:rPr>
            </w:pPr>
            <w:r>
              <w:rPr>
                <w:rFonts w:ascii="Arial" w:cs="Arial" w:eastAsia="Arial" w:hAnsi="Arial"/>
                <w:sz w:val="34"/>
                <w:szCs w:val="34"/>
                <w:color w:val="0000FF"/>
                <w:w w:val="86"/>
                <w:vertAlign w:val="subscript"/>
              </w:rPr>
              <w:t>See Footnotes</w:t>
            </w:r>
            <w:r>
              <w:rPr>
                <w:rFonts w:ascii="Arial" w:cs="Arial" w:eastAsia="Arial" w:hAnsi="Arial"/>
                <w:sz w:val="11"/>
                <w:szCs w:val="11"/>
                <w:color w:val="008000"/>
                <w:w w:val="86"/>
              </w:rPr>
              <w:t>(1)(2)(3)(4)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80" w:type="dxa"/>
            <w:vAlign w:val="bottom"/>
            <w:gridSpan w:val="2"/>
          </w:tcPr>
          <w:p>
            <w:pPr>
              <w:ind w:left="60"/>
              <w:spacing w:after="0" w:line="168" w:lineRule="exact"/>
              <w:rPr>
                <w:sz w:val="20"/>
                <w:szCs w:val="20"/>
                <w:color w:val="auto"/>
              </w:rPr>
            </w:pPr>
            <w:r>
              <w:rPr>
                <w:rFonts w:ascii="Arial" w:cs="Arial" w:eastAsia="Arial" w:hAnsi="Arial"/>
                <w:sz w:val="17"/>
                <w:szCs w:val="17"/>
                <w:color w:val="0000FF"/>
                <w:w w:val="91"/>
              </w:rPr>
              <w:t>Stock, par</w:t>
            </w:r>
          </w:p>
        </w:tc>
        <w:tc>
          <w:tcPr>
            <w:tcW w:w="1920" w:type="dxa"/>
            <w:vAlign w:val="bottom"/>
            <w:gridSpan w:val="2"/>
          </w:tcPr>
          <w:p>
            <w:pPr>
              <w:ind w:left="360"/>
              <w:spacing w:after="0" w:line="168" w:lineRule="exact"/>
              <w:rPr>
                <w:sz w:val="20"/>
                <w:szCs w:val="20"/>
                <w:color w:val="auto"/>
              </w:rPr>
            </w:pPr>
            <w:r>
              <w:rPr>
                <w:rFonts w:ascii="Arial" w:cs="Arial" w:eastAsia="Arial" w:hAnsi="Arial"/>
                <w:sz w:val="17"/>
                <w:szCs w:val="17"/>
                <w:color w:val="0000FF"/>
              </w:rPr>
              <w:t>06/16/2021</w:t>
            </w:r>
          </w:p>
        </w:tc>
        <w:tc>
          <w:tcPr>
            <w:tcW w:w="600" w:type="dxa"/>
            <w:vAlign w:val="bottom"/>
          </w:tcPr>
          <w:p>
            <w:pPr>
              <w:spacing w:after="0"/>
              <w:rPr>
                <w:sz w:val="14"/>
                <w:szCs w:val="14"/>
                <w:color w:val="auto"/>
              </w:rPr>
            </w:pPr>
          </w:p>
        </w:tc>
        <w:tc>
          <w:tcPr>
            <w:tcW w:w="460" w:type="dxa"/>
            <w:vAlign w:val="bottom"/>
          </w:tcPr>
          <w:p>
            <w:pPr>
              <w:ind w:left="100"/>
              <w:spacing w:after="0"/>
              <w:rPr>
                <w:sz w:val="20"/>
                <w:szCs w:val="20"/>
                <w:color w:val="auto"/>
              </w:rPr>
            </w:pPr>
            <w:r>
              <w:rPr>
                <w:rFonts w:ascii="Arial" w:cs="Arial" w:eastAsia="Arial" w:hAnsi="Arial"/>
                <w:sz w:val="13"/>
                <w:szCs w:val="13"/>
                <w:color w:val="0000FF"/>
              </w:rPr>
              <w:t>S</w:t>
            </w:r>
          </w:p>
        </w:tc>
        <w:tc>
          <w:tcPr>
            <w:tcW w:w="1920" w:type="dxa"/>
            <w:vAlign w:val="bottom"/>
            <w:gridSpan w:val="6"/>
          </w:tcPr>
          <w:p>
            <w:pPr>
              <w:ind w:left="320"/>
              <w:spacing w:after="0" w:line="168" w:lineRule="exact"/>
              <w:rPr>
                <w:sz w:val="20"/>
                <w:szCs w:val="20"/>
                <w:color w:val="auto"/>
              </w:rPr>
            </w:pPr>
            <w:r>
              <w:rPr>
                <w:rFonts w:ascii="Arial" w:cs="Arial" w:eastAsia="Arial" w:hAnsi="Arial"/>
                <w:sz w:val="19"/>
                <w:szCs w:val="19"/>
                <w:color w:val="0000FF"/>
                <w:vertAlign w:val="subscript"/>
              </w:rPr>
              <w:t>175,000</w:t>
            </w:r>
            <w:r>
              <w:rPr>
                <w:rFonts w:ascii="Arial" w:cs="Arial" w:eastAsia="Arial" w:hAnsi="Arial"/>
                <w:sz w:val="9"/>
                <w:szCs w:val="9"/>
                <w:color w:val="008000"/>
              </w:rPr>
              <w:t>(1)(2)(3)(4)(5)(6)(7)</w:t>
            </w:r>
          </w:p>
        </w:tc>
        <w:tc>
          <w:tcPr>
            <w:tcW w:w="260" w:type="dxa"/>
            <w:vAlign w:val="bottom"/>
          </w:tcPr>
          <w:p>
            <w:pPr>
              <w:ind w:left="40"/>
              <w:spacing w:after="0" w:line="168" w:lineRule="exact"/>
              <w:rPr>
                <w:sz w:val="20"/>
                <w:szCs w:val="20"/>
                <w:color w:val="auto"/>
              </w:rPr>
            </w:pPr>
            <w:r>
              <w:rPr>
                <w:rFonts w:ascii="Arial" w:cs="Arial" w:eastAsia="Arial" w:hAnsi="Arial"/>
                <w:sz w:val="17"/>
                <w:szCs w:val="17"/>
                <w:color w:val="0000FF"/>
              </w:rPr>
              <w:t>D</w:t>
            </w:r>
          </w:p>
        </w:tc>
        <w:tc>
          <w:tcPr>
            <w:tcW w:w="660" w:type="dxa"/>
            <w:vAlign w:val="bottom"/>
          </w:tcPr>
          <w:p>
            <w:pPr>
              <w:jc w:val="right"/>
              <w:ind w:right="2"/>
              <w:spacing w:after="0" w:line="168" w:lineRule="exact"/>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32.79</w:t>
            </w:r>
          </w:p>
        </w:tc>
        <w:tc>
          <w:tcPr>
            <w:tcW w:w="1960" w:type="dxa"/>
            <w:vAlign w:val="bottom"/>
            <w:gridSpan w:val="4"/>
          </w:tcPr>
          <w:p>
            <w:pPr>
              <w:jc w:val="right"/>
              <w:ind w:right="140"/>
              <w:spacing w:after="0" w:line="168" w:lineRule="exact"/>
              <w:rPr>
                <w:sz w:val="20"/>
                <w:szCs w:val="20"/>
                <w:color w:val="auto"/>
              </w:rPr>
            </w:pPr>
            <w:r>
              <w:rPr>
                <w:rFonts w:ascii="Arial" w:cs="Arial" w:eastAsia="Arial" w:hAnsi="Arial"/>
                <w:sz w:val="19"/>
                <w:szCs w:val="19"/>
                <w:color w:val="0000FF"/>
                <w:vertAlign w:val="subscript"/>
              </w:rPr>
              <w:t>15,001,592</w:t>
            </w:r>
            <w:r>
              <w:rPr>
                <w:rFonts w:ascii="Arial" w:cs="Arial" w:eastAsia="Arial" w:hAnsi="Arial"/>
                <w:sz w:val="9"/>
                <w:szCs w:val="9"/>
                <w:color w:val="008000"/>
              </w:rPr>
              <w:t>(1)(2)(3)(4)(5)(6)(7)</w:t>
            </w:r>
          </w:p>
        </w:tc>
        <w:tc>
          <w:tcPr>
            <w:tcW w:w="680" w:type="dxa"/>
            <w:vAlign w:val="bottom"/>
          </w:tcPr>
          <w:p>
            <w:pPr>
              <w:ind w:left="220"/>
              <w:spacing w:after="0" w:line="168" w:lineRule="exact"/>
              <w:rPr>
                <w:sz w:val="20"/>
                <w:szCs w:val="20"/>
                <w:color w:val="auto"/>
              </w:rPr>
            </w:pPr>
            <w:r>
              <w:rPr>
                <w:rFonts w:ascii="Arial" w:cs="Arial" w:eastAsia="Arial" w:hAnsi="Arial"/>
                <w:sz w:val="17"/>
                <w:szCs w:val="17"/>
                <w:color w:val="0000FF"/>
              </w:rPr>
              <w:t>I</w:t>
            </w:r>
          </w:p>
        </w:tc>
        <w:tc>
          <w:tcPr>
            <w:tcW w:w="182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value $0.01</w:t>
            </w:r>
          </w:p>
        </w:tc>
        <w:tc>
          <w:tcPr>
            <w:tcW w:w="1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color w:val="008000"/>
              </w:rPr>
              <w:t>(5)(6)(7)</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1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80" w:type="dxa"/>
            <w:vAlign w:val="bottom"/>
            <w:gridSpan w:val="2"/>
          </w:tcPr>
          <w:p>
            <w:pPr>
              <w:ind w:left="60"/>
              <w:spacing w:after="0"/>
              <w:rPr>
                <w:sz w:val="20"/>
                <w:szCs w:val="20"/>
                <w:color w:val="auto"/>
              </w:rPr>
            </w:pPr>
            <w:r>
              <w:rPr>
                <w:rFonts w:ascii="Arial" w:cs="Arial" w:eastAsia="Arial" w:hAnsi="Arial"/>
                <w:sz w:val="17"/>
                <w:szCs w:val="17"/>
                <w:color w:val="0000FF"/>
              </w:rPr>
              <w:t>Common</w:t>
            </w:r>
          </w:p>
        </w:tc>
        <w:tc>
          <w:tcPr>
            <w:tcW w:w="7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20" w:type="dxa"/>
            <w:vAlign w:val="bottom"/>
            <w:gridSpan w:val="5"/>
            <w:vMerge w:val="restart"/>
          </w:tcPr>
          <w:p>
            <w:pPr>
              <w:ind w:left="40"/>
              <w:spacing w:after="0"/>
              <w:rPr>
                <w:sz w:val="20"/>
                <w:szCs w:val="20"/>
                <w:color w:val="auto"/>
              </w:rPr>
            </w:pPr>
            <w:r>
              <w:rPr>
                <w:rFonts w:ascii="Arial" w:cs="Arial" w:eastAsia="Arial" w:hAnsi="Arial"/>
                <w:sz w:val="17"/>
                <w:szCs w:val="17"/>
                <w:color w:val="0000FF"/>
                <w:w w:val="95"/>
              </w:rPr>
              <w:t>See Footnotes</w:t>
            </w:r>
            <w:r>
              <w:rPr>
                <w:rFonts w:ascii="Arial" w:cs="Arial" w:eastAsia="Arial" w:hAnsi="Arial"/>
                <w:sz w:val="22"/>
                <w:szCs w:val="22"/>
                <w:color w:val="008000"/>
                <w:w w:val="95"/>
                <w:vertAlign w:val="superscript"/>
              </w:rPr>
              <w:t>(1)(2)(3)(4)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80" w:type="dxa"/>
            <w:vAlign w:val="bottom"/>
            <w:gridSpan w:val="2"/>
          </w:tcPr>
          <w:p>
            <w:pPr>
              <w:ind w:left="60"/>
              <w:spacing w:after="0" w:line="168" w:lineRule="exact"/>
              <w:rPr>
                <w:sz w:val="20"/>
                <w:szCs w:val="20"/>
                <w:color w:val="auto"/>
              </w:rPr>
            </w:pPr>
            <w:r>
              <w:rPr>
                <w:rFonts w:ascii="Arial" w:cs="Arial" w:eastAsia="Arial" w:hAnsi="Arial"/>
                <w:sz w:val="17"/>
                <w:szCs w:val="17"/>
                <w:color w:val="0000FF"/>
                <w:w w:val="91"/>
              </w:rPr>
              <w:t>Stock, par</w:t>
            </w:r>
          </w:p>
        </w:tc>
        <w:tc>
          <w:tcPr>
            <w:tcW w:w="1920" w:type="dxa"/>
            <w:vAlign w:val="bottom"/>
            <w:gridSpan w:val="2"/>
          </w:tcPr>
          <w:p>
            <w:pPr>
              <w:ind w:left="360"/>
              <w:spacing w:after="0" w:line="168" w:lineRule="exact"/>
              <w:rPr>
                <w:sz w:val="20"/>
                <w:szCs w:val="20"/>
                <w:color w:val="auto"/>
              </w:rPr>
            </w:pPr>
            <w:r>
              <w:rPr>
                <w:rFonts w:ascii="Arial" w:cs="Arial" w:eastAsia="Arial" w:hAnsi="Arial"/>
                <w:sz w:val="17"/>
                <w:szCs w:val="17"/>
                <w:color w:val="0000FF"/>
              </w:rPr>
              <w:t>06/17/2021</w:t>
            </w:r>
          </w:p>
        </w:tc>
        <w:tc>
          <w:tcPr>
            <w:tcW w:w="600" w:type="dxa"/>
            <w:vAlign w:val="bottom"/>
          </w:tcPr>
          <w:p>
            <w:pPr>
              <w:spacing w:after="0"/>
              <w:rPr>
                <w:sz w:val="14"/>
                <w:szCs w:val="14"/>
                <w:color w:val="auto"/>
              </w:rPr>
            </w:pPr>
          </w:p>
        </w:tc>
        <w:tc>
          <w:tcPr>
            <w:tcW w:w="460" w:type="dxa"/>
            <w:vAlign w:val="bottom"/>
          </w:tcPr>
          <w:p>
            <w:pPr>
              <w:ind w:left="100"/>
              <w:spacing w:after="0"/>
              <w:rPr>
                <w:sz w:val="20"/>
                <w:szCs w:val="20"/>
                <w:color w:val="auto"/>
              </w:rPr>
            </w:pPr>
            <w:r>
              <w:rPr>
                <w:rFonts w:ascii="Arial" w:cs="Arial" w:eastAsia="Arial" w:hAnsi="Arial"/>
                <w:sz w:val="13"/>
                <w:szCs w:val="13"/>
                <w:color w:val="0000FF"/>
              </w:rPr>
              <w:t>S</w:t>
            </w:r>
          </w:p>
        </w:tc>
        <w:tc>
          <w:tcPr>
            <w:tcW w:w="1920" w:type="dxa"/>
            <w:vAlign w:val="bottom"/>
            <w:gridSpan w:val="6"/>
          </w:tcPr>
          <w:p>
            <w:pPr>
              <w:ind w:left="320"/>
              <w:spacing w:after="0" w:line="168" w:lineRule="exact"/>
              <w:rPr>
                <w:sz w:val="20"/>
                <w:szCs w:val="20"/>
                <w:color w:val="auto"/>
              </w:rPr>
            </w:pPr>
            <w:r>
              <w:rPr>
                <w:rFonts w:ascii="Arial" w:cs="Arial" w:eastAsia="Arial" w:hAnsi="Arial"/>
                <w:sz w:val="19"/>
                <w:szCs w:val="19"/>
                <w:color w:val="0000FF"/>
                <w:vertAlign w:val="subscript"/>
              </w:rPr>
              <w:t>150,000</w:t>
            </w:r>
            <w:r>
              <w:rPr>
                <w:rFonts w:ascii="Arial" w:cs="Arial" w:eastAsia="Arial" w:hAnsi="Arial"/>
                <w:sz w:val="9"/>
                <w:szCs w:val="9"/>
                <w:color w:val="008000"/>
              </w:rPr>
              <w:t>(1)(2)(3)(4)(5)(6)(7)</w:t>
            </w:r>
          </w:p>
        </w:tc>
        <w:tc>
          <w:tcPr>
            <w:tcW w:w="260" w:type="dxa"/>
            <w:vAlign w:val="bottom"/>
          </w:tcPr>
          <w:p>
            <w:pPr>
              <w:ind w:left="40"/>
              <w:spacing w:after="0" w:line="168" w:lineRule="exact"/>
              <w:rPr>
                <w:sz w:val="20"/>
                <w:szCs w:val="20"/>
                <w:color w:val="auto"/>
              </w:rPr>
            </w:pPr>
            <w:r>
              <w:rPr>
                <w:rFonts w:ascii="Arial" w:cs="Arial" w:eastAsia="Arial" w:hAnsi="Arial"/>
                <w:sz w:val="17"/>
                <w:szCs w:val="17"/>
                <w:color w:val="0000FF"/>
              </w:rPr>
              <w:t>D</w:t>
            </w:r>
          </w:p>
        </w:tc>
        <w:tc>
          <w:tcPr>
            <w:tcW w:w="660" w:type="dxa"/>
            <w:vAlign w:val="bottom"/>
          </w:tcPr>
          <w:p>
            <w:pPr>
              <w:jc w:val="right"/>
              <w:ind w:right="2"/>
              <w:spacing w:after="0" w:line="168" w:lineRule="exact"/>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31.34</w:t>
            </w:r>
          </w:p>
        </w:tc>
        <w:tc>
          <w:tcPr>
            <w:tcW w:w="1960" w:type="dxa"/>
            <w:vAlign w:val="bottom"/>
            <w:gridSpan w:val="4"/>
          </w:tcPr>
          <w:p>
            <w:pPr>
              <w:jc w:val="right"/>
              <w:ind w:right="140"/>
              <w:spacing w:after="0" w:line="168" w:lineRule="exact"/>
              <w:rPr>
                <w:sz w:val="20"/>
                <w:szCs w:val="20"/>
                <w:color w:val="auto"/>
              </w:rPr>
            </w:pPr>
            <w:r>
              <w:rPr>
                <w:rFonts w:ascii="Arial" w:cs="Arial" w:eastAsia="Arial" w:hAnsi="Arial"/>
                <w:sz w:val="19"/>
                <w:szCs w:val="19"/>
                <w:color w:val="0000FF"/>
                <w:vertAlign w:val="subscript"/>
              </w:rPr>
              <w:t>14,851,592</w:t>
            </w:r>
            <w:r>
              <w:rPr>
                <w:rFonts w:ascii="Arial" w:cs="Arial" w:eastAsia="Arial" w:hAnsi="Arial"/>
                <w:sz w:val="9"/>
                <w:szCs w:val="9"/>
                <w:color w:val="008000"/>
              </w:rPr>
              <w:t>(1)(2)(3)(4)(5)(6)(7)</w:t>
            </w:r>
          </w:p>
        </w:tc>
        <w:tc>
          <w:tcPr>
            <w:tcW w:w="680" w:type="dxa"/>
            <w:vAlign w:val="bottom"/>
          </w:tcPr>
          <w:p>
            <w:pPr>
              <w:ind w:left="220"/>
              <w:spacing w:after="0" w:line="168" w:lineRule="exact"/>
              <w:rPr>
                <w:sz w:val="20"/>
                <w:szCs w:val="20"/>
                <w:color w:val="auto"/>
              </w:rPr>
            </w:pPr>
            <w:r>
              <w:rPr>
                <w:rFonts w:ascii="Arial" w:cs="Arial" w:eastAsia="Arial" w:hAnsi="Arial"/>
                <w:sz w:val="17"/>
                <w:szCs w:val="17"/>
                <w:color w:val="0000FF"/>
              </w:rPr>
              <w:t>I</w:t>
            </w:r>
          </w:p>
        </w:tc>
        <w:tc>
          <w:tcPr>
            <w:tcW w:w="182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value $0.01</w:t>
            </w:r>
          </w:p>
        </w:tc>
        <w:tc>
          <w:tcPr>
            <w:tcW w:w="1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color w:val="008000"/>
              </w:rPr>
              <w:t>(5)(6)(7)</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1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1820" w:type="dxa"/>
            <w:vAlign w:val="bottom"/>
            <w:tcBorders>
              <w:bottom w:val="single" w:sz="8" w:color="2C2C2C"/>
            </w:tcBorders>
            <w:gridSpan w:val="2"/>
          </w:tcPr>
          <w:p>
            <w:pPr>
              <w:spacing w:after="0"/>
              <w:rPr>
                <w:sz w:val="8"/>
                <w:szCs w:val="8"/>
                <w:color w:val="auto"/>
              </w:rPr>
            </w:pPr>
          </w:p>
        </w:tc>
        <w:tc>
          <w:tcPr>
            <w:tcW w:w="960" w:type="dxa"/>
            <w:vAlign w:val="bottom"/>
            <w:tcBorders>
              <w:bottom w:val="single" w:sz="8" w:color="2C2C2C"/>
            </w:tcBorders>
            <w:gridSpan w:val="2"/>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3460" w:type="dxa"/>
            <w:vAlign w:val="bottom"/>
            <w:tcBorders>
              <w:bottom w:val="single" w:sz="8" w:color="2C2C2C"/>
            </w:tcBorders>
            <w:gridSpan w:val="7"/>
          </w:tcPr>
          <w:p>
            <w:pPr>
              <w:spacing w:after="0"/>
              <w:rPr>
                <w:sz w:val="8"/>
                <w:szCs w:val="8"/>
                <w:color w:val="auto"/>
              </w:rPr>
            </w:pPr>
          </w:p>
        </w:tc>
        <w:tc>
          <w:tcPr>
            <w:tcW w:w="1400" w:type="dxa"/>
            <w:vAlign w:val="bottom"/>
            <w:tcBorders>
              <w:bottom w:val="single" w:sz="8" w:color="2C2C2C"/>
            </w:tcBorders>
            <w:gridSpan w:val="3"/>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760" w:type="dxa"/>
            <w:vAlign w:val="bottom"/>
            <w:tcBorders>
              <w:top w:val="single" w:sz="8" w:color="2C2C2C"/>
            </w:tcBorders>
            <w:gridSpan w:val="16"/>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220" w:type="dxa"/>
            <w:vAlign w:val="bottom"/>
            <w:gridSpan w:val="13"/>
          </w:tcPr>
          <w:p>
            <w:pPr>
              <w:ind w:left="4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00" w:type="dxa"/>
            <w:vAlign w:val="bottom"/>
          </w:tcPr>
          <w:p>
            <w:pPr>
              <w:spacing w:after="0"/>
              <w:rPr>
                <w:sz w:val="20"/>
                <w:szCs w:val="20"/>
                <w:color w:val="auto"/>
              </w:rPr>
            </w:pPr>
            <w:r>
              <w:rPr>
                <w:rFonts w:ascii="Arial" w:cs="Arial" w:eastAsia="Arial" w:hAnsi="Arial"/>
                <w:sz w:val="12"/>
                <w:szCs w:val="12"/>
                <w:b w:val="1"/>
                <w:bCs w:val="1"/>
                <w:color w:val="auto"/>
              </w:rPr>
              <w:t>2.</w:t>
            </w:r>
          </w:p>
        </w:tc>
        <w:tc>
          <w:tcPr>
            <w:tcW w:w="122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gridSpan w:val="2"/>
          </w:tcPr>
          <w:p>
            <w:pPr>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Conversion</w:t>
            </w:r>
          </w:p>
        </w:tc>
        <w:tc>
          <w:tcPr>
            <w:tcW w:w="12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26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or Exercise</w:t>
            </w:r>
          </w:p>
        </w:tc>
        <w:tc>
          <w:tcPr>
            <w:tcW w:w="12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26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Price of</w:t>
            </w:r>
          </w:p>
        </w:tc>
        <w:tc>
          <w:tcPr>
            <w:tcW w:w="1220" w:type="dxa"/>
            <w:vAlign w:val="bottom"/>
          </w:tcPr>
          <w:p>
            <w:pPr>
              <w:spacing w:after="0"/>
              <w:rPr>
                <w:sz w:val="11"/>
                <w:szCs w:val="11"/>
                <w:color w:val="auto"/>
              </w:rPr>
            </w:pP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64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4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60" w:type="dxa"/>
            <w:vAlign w:val="bottom"/>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tcPr>
          <w:p>
            <w:pPr>
              <w:ind w:left="4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260" w:type="dxa"/>
            <w:vAlign w:val="bottom"/>
          </w:tcPr>
          <w:p>
            <w:pPr>
              <w:spacing w:after="0"/>
              <w:rPr>
                <w:sz w:val="11"/>
                <w:szCs w:val="11"/>
                <w:color w:val="auto"/>
              </w:rPr>
            </w:pPr>
          </w:p>
        </w:tc>
        <w:tc>
          <w:tcPr>
            <w:tcW w:w="92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Expiration</w:t>
            </w: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Exercisable  Date</w:t>
            </w:r>
          </w:p>
        </w:tc>
        <w:tc>
          <w:tcPr>
            <w:tcW w:w="260" w:type="dxa"/>
            <w:vAlign w:val="bottom"/>
          </w:tcPr>
          <w:p>
            <w:pPr>
              <w:spacing w:after="0"/>
              <w:rPr>
                <w:sz w:val="13"/>
                <w:szCs w:val="13"/>
                <w:color w:val="auto"/>
              </w:rPr>
            </w:pP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  Shares</w:t>
            </w: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3"/>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700" w:type="dxa"/>
            <w:vAlign w:val="bottom"/>
            <w:tcBorders>
              <w:top w:val="single" w:sz="8" w:color="2C2C2C"/>
            </w:tcBorders>
            <w:gridSpan w:val="4"/>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0" w:type="dxa"/>
            <w:vAlign w:val="bottom"/>
            <w:tcBorders>
              <w:bottom w:val="single" w:sz="8" w:color="0000EE"/>
            </w:tcBorders>
            <w:gridSpan w:val="3"/>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ARES MANAGEMENT LLC</w:t>
              </w:r>
            </w:hyperlink>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(First)</w:t>
            </w:r>
          </w:p>
        </w:tc>
        <w:tc>
          <w:tcPr>
            <w:tcW w:w="1060" w:type="dxa"/>
            <w:vAlign w:val="bottom"/>
            <w:gridSpan w:val="2"/>
          </w:tcPr>
          <w:p>
            <w:pPr>
              <w:ind w:left="20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5"/>
          </w:tcPr>
          <w:p>
            <w:pPr>
              <w:spacing w:after="0"/>
              <w:rPr>
                <w:sz w:val="20"/>
                <w:szCs w:val="20"/>
                <w:color w:val="auto"/>
              </w:rPr>
            </w:pPr>
            <w:r>
              <w:rPr>
                <w:rFonts w:ascii="Arial" w:cs="Arial" w:eastAsia="Arial" w:hAnsi="Arial"/>
                <w:sz w:val="17"/>
                <w:szCs w:val="17"/>
                <w:color w:val="0000FF"/>
              </w:rPr>
              <w:t>2000 AVENUE OF THE STARS, 12TH FLOOR</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70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LOS ANGELES</w:t>
            </w:r>
          </w:p>
        </w:tc>
        <w:tc>
          <w:tcPr>
            <w:tcW w:w="1220" w:type="dxa"/>
            <w:vAlign w:val="bottom"/>
          </w:tcPr>
          <w:p>
            <w:pPr>
              <w:ind w:left="20"/>
              <w:spacing w:after="0"/>
              <w:rPr>
                <w:sz w:val="20"/>
                <w:szCs w:val="20"/>
                <w:color w:val="auto"/>
              </w:rPr>
            </w:pPr>
            <w:r>
              <w:rPr>
                <w:rFonts w:ascii="Arial" w:cs="Arial" w:eastAsia="Arial" w:hAnsi="Arial"/>
                <w:sz w:val="17"/>
                <w:szCs w:val="17"/>
                <w:color w:val="0000FF"/>
              </w:rPr>
              <w:t>CA</w:t>
            </w:r>
          </w:p>
        </w:tc>
        <w:tc>
          <w:tcPr>
            <w:tcW w:w="1060" w:type="dxa"/>
            <w:vAlign w:val="bottom"/>
            <w:gridSpan w:val="2"/>
          </w:tcPr>
          <w:p>
            <w:pPr>
              <w:ind w:left="200"/>
              <w:spacing w:after="0"/>
              <w:rPr>
                <w:sz w:val="20"/>
                <w:szCs w:val="20"/>
                <w:color w:val="auto"/>
              </w:rPr>
            </w:pPr>
            <w:r>
              <w:rPr>
                <w:rFonts w:ascii="Arial" w:cs="Arial" w:eastAsia="Arial" w:hAnsi="Arial"/>
                <w:sz w:val="17"/>
                <w:szCs w:val="17"/>
                <w:color w:val="0000FF"/>
              </w:rPr>
              <w:t>90067</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(City)</w:t>
            </w:r>
          </w:p>
        </w:tc>
        <w:tc>
          <w:tcPr>
            <w:tcW w:w="7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gridSpan w:val="2"/>
          </w:tcPr>
          <w:p>
            <w:pPr>
              <w:ind w:left="20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3"/>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70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5"/>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ACOF Investment Management LLC</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(First)</w:t>
            </w:r>
          </w:p>
        </w:tc>
        <w:tc>
          <w:tcPr>
            <w:tcW w:w="1060" w:type="dxa"/>
            <w:vAlign w:val="bottom"/>
            <w:gridSpan w:val="2"/>
          </w:tcPr>
          <w:p>
            <w:pPr>
              <w:ind w:left="20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5"/>
          </w:tcPr>
          <w:p>
            <w:pPr>
              <w:spacing w:after="0"/>
              <w:rPr>
                <w:sz w:val="20"/>
                <w:szCs w:val="20"/>
                <w:color w:val="auto"/>
              </w:rPr>
            </w:pPr>
            <w:r>
              <w:rPr>
                <w:rFonts w:ascii="Arial" w:cs="Arial" w:eastAsia="Arial" w:hAnsi="Arial"/>
                <w:sz w:val="17"/>
                <w:szCs w:val="17"/>
                <w:color w:val="0000FF"/>
              </w:rPr>
              <w:t>2000 AVENUE OF THE STARS, 12TH FLOOR</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70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LOS ANGELES</w:t>
            </w:r>
          </w:p>
        </w:tc>
        <w:tc>
          <w:tcPr>
            <w:tcW w:w="1220" w:type="dxa"/>
            <w:vAlign w:val="bottom"/>
          </w:tcPr>
          <w:p>
            <w:pPr>
              <w:ind w:left="20"/>
              <w:spacing w:after="0"/>
              <w:rPr>
                <w:sz w:val="20"/>
                <w:szCs w:val="20"/>
                <w:color w:val="auto"/>
              </w:rPr>
            </w:pPr>
            <w:r>
              <w:rPr>
                <w:rFonts w:ascii="Arial" w:cs="Arial" w:eastAsia="Arial" w:hAnsi="Arial"/>
                <w:sz w:val="17"/>
                <w:szCs w:val="17"/>
                <w:color w:val="0000FF"/>
              </w:rPr>
              <w:t>CA</w:t>
            </w:r>
          </w:p>
        </w:tc>
        <w:tc>
          <w:tcPr>
            <w:tcW w:w="1060" w:type="dxa"/>
            <w:vAlign w:val="bottom"/>
            <w:gridSpan w:val="2"/>
          </w:tcPr>
          <w:p>
            <w:pPr>
              <w:ind w:left="200"/>
              <w:spacing w:after="0"/>
              <w:rPr>
                <w:sz w:val="20"/>
                <w:szCs w:val="20"/>
                <w:color w:val="auto"/>
              </w:rPr>
            </w:pPr>
            <w:r>
              <w:rPr>
                <w:rFonts w:ascii="Arial" w:cs="Arial" w:eastAsia="Arial" w:hAnsi="Arial"/>
                <w:sz w:val="17"/>
                <w:szCs w:val="17"/>
                <w:color w:val="0000FF"/>
              </w:rPr>
              <w:t>90067</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(City)</w:t>
            </w:r>
          </w:p>
        </w:tc>
        <w:tc>
          <w:tcPr>
            <w:tcW w:w="7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gridSpan w:val="2"/>
          </w:tcPr>
          <w:p>
            <w:pPr>
              <w:ind w:left="20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-5046980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25" w:right="359" w:bottom="0" w:gutter="0" w:footer="0" w:header="0"/>
          <w:type w:val="continuous"/>
        </w:sectPr>
      </w:pPr>
    </w:p>
    <w:p>
      <w:pPr>
        <w:ind w:left="120"/>
        <w:spacing w:after="0"/>
        <w:rPr>
          <w:rFonts w:ascii="Arial" w:cs="Arial" w:eastAsia="Arial" w:hAnsi="Arial"/>
          <w:sz w:val="19"/>
          <w:szCs w:val="19"/>
          <w:u w:val="single" w:color="auto"/>
          <w:color w:val="0000EE"/>
        </w:rPr>
      </w:pPr>
      <w:hyperlink r:id="rId16">
        <w:r>
          <w:rPr>
            <w:rFonts w:ascii="Arial" w:cs="Arial" w:eastAsia="Arial" w:hAnsi="Arial"/>
            <w:sz w:val="19"/>
            <w:szCs w:val="19"/>
            <w:u w:val="single" w:color="auto"/>
            <w:color w:val="0000EE"/>
          </w:rPr>
          <w:t>ASSF Operating Manager IV, L.P.</w:t>
        </w:r>
      </w:hyperlink>
    </w:p>
    <w:p>
      <w:pPr>
        <w:sectPr>
          <w:pgSz w:w="11900" w:h="16838" w:orient="portrait"/>
          <w:cols w:equalWidth="0" w:num="1">
            <w:col w:w="11080"/>
          </w:cols>
          <w:pgMar w:left="460" w:top="225" w:right="359" w:bottom="0" w:gutter="0" w:footer="0" w:header="0"/>
          <w:type w:val="continuous"/>
        </w:sectPr>
      </w:pPr>
    </w:p>
    <w:bookmarkStart w:id="1" w:name="page2"/>
    <w:bookmarkEnd w:id="1"/>
    <w:p>
      <w:pPr>
        <w:spacing w:after="0" w:line="5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3050540</wp:posOffset>
            </wp:positionH>
            <wp:positionV relativeFrom="page">
              <wp:posOffset>88900</wp:posOffset>
            </wp:positionV>
            <wp:extent cx="42545"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42545" cy="10526395"/>
                    </a:xfrm>
                    <a:prstGeom prst="rect">
                      <a:avLst/>
                    </a:prstGeom>
                    <a:noFill/>
                  </pic:spPr>
                </pic:pic>
              </a:graphicData>
            </a:graphic>
          </wp:anchor>
        </w:drawing>
        <w:drawing>
          <wp:anchor simplePos="0" relativeHeight="251657728" behindDoc="1" locked="0" layoutInCell="0" allowOverlap="1">
            <wp:simplePos x="0" y="0"/>
            <wp:positionH relativeFrom="page">
              <wp:posOffset>283845</wp:posOffset>
            </wp:positionH>
            <wp:positionV relativeFrom="page">
              <wp:posOffset>88900</wp:posOffset>
            </wp:positionV>
            <wp:extent cx="42545" cy="105263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42545" cy="10526395"/>
                    </a:xfrm>
                    <a:prstGeom prst="rect">
                      <a:avLst/>
                    </a:prstGeom>
                    <a:noFill/>
                  </pic:spPr>
                </pic:pic>
              </a:graphicData>
            </a:graphic>
          </wp:anchor>
        </w:drawing>
      </w: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130810</wp:posOffset>
            </wp:positionV>
            <wp:extent cx="267398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520" w:type="dxa"/>
            <w:vAlign w:val="bottom"/>
          </w:tcPr>
          <w:p>
            <w:pPr>
              <w:ind w:left="120"/>
              <w:spacing w:after="0"/>
              <w:rPr>
                <w:sz w:val="20"/>
                <w:szCs w:val="20"/>
                <w:color w:val="auto"/>
              </w:rPr>
            </w:pPr>
            <w:r>
              <w:rPr>
                <w:rFonts w:ascii="Arial" w:cs="Arial" w:eastAsia="Arial" w:hAnsi="Arial"/>
                <w:sz w:val="17"/>
                <w:szCs w:val="17"/>
                <w:color w:val="0000FF"/>
              </w:rPr>
              <w:t>CA</w:t>
            </w:r>
          </w:p>
        </w:tc>
        <w:tc>
          <w:tcPr>
            <w:tcW w:w="1360" w:type="dxa"/>
            <w:vAlign w:val="bottom"/>
          </w:tcPr>
          <w:p>
            <w:pPr>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tcPr>
          <w:p>
            <w:pPr>
              <w:ind w:left="120"/>
              <w:spacing w:after="0"/>
              <w:rPr>
                <w:sz w:val="20"/>
                <w:szCs w:val="20"/>
                <w:color w:val="auto"/>
              </w:rPr>
            </w:pPr>
            <w:r>
              <w:rPr>
                <w:rFonts w:ascii="Arial" w:cs="Arial" w:eastAsia="Arial" w:hAnsi="Arial"/>
                <w:sz w:val="13"/>
                <w:szCs w:val="13"/>
                <w:color w:val="auto"/>
              </w:rPr>
              <w:t>(State)</w:t>
            </w:r>
          </w:p>
        </w:tc>
        <w:tc>
          <w:tcPr>
            <w:tcW w:w="1460" w:type="dxa"/>
            <w:vAlign w:val="bottom"/>
            <w:gridSpan w:val="2"/>
          </w:tcPr>
          <w:p>
            <w:pPr>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800" w:type="dxa"/>
            <w:vAlign w:val="bottom"/>
            <w:tcBorders>
              <w:bottom w:val="single" w:sz="8" w:color="2C2C2C"/>
            </w:tcBorders>
            <w:gridSpan w:val="2"/>
          </w:tcPr>
          <w:p>
            <w:pPr>
              <w:spacing w:after="0"/>
              <w:rPr>
                <w:sz w:val="7"/>
                <w:szCs w:val="7"/>
                <w:color w:val="auto"/>
              </w:rPr>
            </w:pPr>
          </w:p>
        </w:tc>
        <w:tc>
          <w:tcPr>
            <w:tcW w:w="1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90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800" w:type="dxa"/>
            <w:vAlign w:val="bottom"/>
            <w:tcBorders>
              <w:bottom w:val="single" w:sz="8" w:color="0000EE"/>
            </w:tcBorders>
            <w:gridSpan w:val="2"/>
          </w:tcPr>
          <w:p>
            <w:pPr>
              <w:spacing w:after="0" w:line="221" w:lineRule="exact"/>
              <w:rPr>
                <w:rFonts w:ascii="Arial" w:cs="Arial" w:eastAsia="Arial" w:hAnsi="Arial"/>
                <w:sz w:val="21"/>
                <w:szCs w:val="21"/>
                <w:color w:val="0000EE"/>
                <w:w w:val="91"/>
              </w:rPr>
            </w:pPr>
            <w:hyperlink r:id="rId20">
              <w:r>
                <w:rPr>
                  <w:rFonts w:ascii="Arial" w:cs="Arial" w:eastAsia="Arial" w:hAnsi="Arial"/>
                  <w:sz w:val="21"/>
                  <w:szCs w:val="21"/>
                  <w:color w:val="0000EE"/>
                  <w:w w:val="91"/>
                </w:rPr>
                <w:t>Ares Management Holdings L.P.</w:t>
              </w:r>
            </w:hyperlink>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52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tcPr>
          <w:p>
            <w:pPr>
              <w:ind w:left="120"/>
              <w:spacing w:after="0"/>
              <w:rPr>
                <w:sz w:val="20"/>
                <w:szCs w:val="20"/>
                <w:color w:val="auto"/>
              </w:rPr>
            </w:pPr>
            <w:r>
              <w:rPr>
                <w:rFonts w:ascii="Arial" w:cs="Arial" w:eastAsia="Arial" w:hAnsi="Arial"/>
                <w:sz w:val="13"/>
                <w:szCs w:val="13"/>
                <w:color w:val="auto"/>
              </w:rPr>
              <w:t>(First)</w:t>
            </w:r>
          </w:p>
        </w:tc>
        <w:tc>
          <w:tcPr>
            <w:tcW w:w="1460" w:type="dxa"/>
            <w:vAlign w:val="bottom"/>
            <w:gridSpan w:val="2"/>
          </w:tcPr>
          <w:p>
            <w:pPr>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-925830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-925830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-223520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-223520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130810</wp:posOffset>
            </wp:positionV>
            <wp:extent cx="267398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gridSpan w:val="2"/>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26">
              <w:r>
                <w:rPr>
                  <w:rFonts w:ascii="Arial" w:cs="Arial" w:eastAsia="Arial" w:hAnsi="Arial"/>
                  <w:sz w:val="21"/>
                  <w:szCs w:val="21"/>
                  <w:color w:val="0000EE"/>
                </w:rPr>
                <w:t>Ares Holdco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-925830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-925830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-223520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-223520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130810</wp:posOffset>
            </wp:positionV>
            <wp:extent cx="267398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6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32">
              <w:r>
                <w:rPr>
                  <w:rFonts w:ascii="Arial" w:cs="Arial" w:eastAsia="Arial" w:hAnsi="Arial"/>
                  <w:sz w:val="21"/>
                  <w:szCs w:val="21"/>
                  <w:color w:val="0000EE"/>
                </w:rPr>
                <w:t>Ares Management Corp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-925830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-925830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-223520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-223520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130810</wp:posOffset>
            </wp:positionV>
            <wp:extent cx="267398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360" w:type="dxa"/>
            <w:vAlign w:val="bottom"/>
            <w:tcBorders>
              <w:bottom w:val="single" w:sz="8" w:color="2C2C2C"/>
            </w:tcBorders>
            <w:gridSpan w:val="2"/>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38">
              <w:r>
                <w:rPr>
                  <w:rFonts w:ascii="Arial" w:cs="Arial" w:eastAsia="Arial" w:hAnsi="Arial"/>
                  <w:sz w:val="21"/>
                  <w:szCs w:val="21"/>
                  <w:color w:val="0000EE"/>
                </w:rPr>
                <w:t>Ares Management GP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-925830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-925830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-223520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-223520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130810</wp:posOffset>
            </wp:positionV>
            <wp:extent cx="267398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44">
              <w:r>
                <w:rPr>
                  <w:rFonts w:ascii="Arial" w:cs="Arial" w:eastAsia="Arial" w:hAnsi="Arial"/>
                  <w:sz w:val="21"/>
                  <w:szCs w:val="21"/>
                  <w:color w:val="0000EE"/>
                </w:rPr>
                <w:t>Ares Voting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-925830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-925830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-223520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-223520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130810</wp:posOffset>
            </wp:positionV>
            <wp:extent cx="267398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300" w:type="dxa"/>
            <w:vAlign w:val="bottom"/>
            <w:tcBorders>
              <w:bottom w:val="single" w:sz="8" w:color="2C2C2C"/>
            </w:tcBorders>
            <w:gridSpan w:val="2"/>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50">
              <w:r>
                <w:rPr>
                  <w:rFonts w:ascii="Arial" w:cs="Arial" w:eastAsia="Arial" w:hAnsi="Arial"/>
                  <w:sz w:val="21"/>
                  <w:szCs w:val="21"/>
                  <w:color w:val="0000EE"/>
                </w:rPr>
                <w:t>Ares Partners Holdco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20" w:type="dxa"/>
            <w:vAlign w:val="bottom"/>
            <w:tcBorders>
              <w:top w:val="single" w:sz="8" w:color="0000EE"/>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-925830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-925830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-223520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-223520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130810</wp:posOffset>
            </wp:positionV>
            <wp:extent cx="267398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ectPr>
          <w:pgSz w:w="11900" w:h="16892" w:orient="portrait"/>
          <w:cols w:equalWidth="0" w:num="1">
            <w:col w:w="9979"/>
          </w:cols>
          <w:pgMar w:left="480" w:top="179" w:right="1440" w:bottom="0" w:gutter="0" w:footer="0" w:header="0"/>
        </w:sectPr>
      </w:pPr>
    </w:p>
    <w:p>
      <w:pPr>
        <w:spacing w:after="0" w:line="359" w:lineRule="exact"/>
        <w:rPr>
          <w:sz w:val="20"/>
          <w:szCs w:val="20"/>
          <w:color w:val="auto"/>
        </w:rPr>
      </w:pPr>
    </w:p>
    <w:p>
      <w:pPr>
        <w:ind w:left="60"/>
        <w:spacing w:after="0"/>
        <w:rPr>
          <w:sz w:val="20"/>
          <w:szCs w:val="20"/>
          <w:color w:val="auto"/>
        </w:rPr>
      </w:pPr>
      <w:r>
        <w:rPr>
          <w:rFonts w:ascii="Arial" w:cs="Arial" w:eastAsia="Arial" w:hAnsi="Arial"/>
          <w:sz w:val="13"/>
          <w:szCs w:val="13"/>
          <w:color w:val="auto"/>
        </w:rPr>
        <w:t>(Street)</w:t>
      </w:r>
    </w:p>
    <w:p>
      <w:pPr>
        <w:sectPr>
          <w:pgSz w:w="11900" w:h="16892" w:orient="portrait"/>
          <w:cols w:equalWidth="0" w:num="1">
            <w:col w:w="9979"/>
          </w:cols>
          <w:pgMar w:left="480" w:top="179" w:right="1440" w:bottom="0" w:gutter="0" w:footer="0" w:header="0"/>
          <w:type w:val="continuous"/>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528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2809240" cy="528955"/>
                    </a:xfrm>
                    <a:prstGeom prst="rect">
                      <a:avLst/>
                    </a:prstGeom>
                    <a:noFill/>
                  </pic:spPr>
                </pic:pic>
              </a:graphicData>
            </a:graphic>
          </wp:anchor>
        </w:drawing>
      </w:r>
    </w:p>
    <w:tbl>
      <w:tblPr>
        <w:tblLayout w:type="fixed"/>
        <w:tblInd w:w="80" w:type="dxa"/>
        <w:tblCellMar>
          <w:top w:w="0" w:type="dxa"/>
          <w:left w:w="0" w:type="dxa"/>
          <w:bottom w:w="0" w:type="dxa"/>
          <w:right w:w="0" w:type="dxa"/>
        </w:tblCellMar>
      </w:tblPr>
      <w:tr>
        <w:trPr>
          <w:trHeight w:val="220"/>
        </w:trPr>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020" w:type="dxa"/>
            <w:vAlign w:val="bottom"/>
          </w:tcPr>
          <w:p>
            <w:pPr>
              <w:ind w:left="120"/>
              <w:spacing w:after="0"/>
              <w:rPr>
                <w:sz w:val="20"/>
                <w:szCs w:val="20"/>
                <w:color w:val="auto"/>
              </w:rPr>
            </w:pPr>
            <w:r>
              <w:rPr>
                <w:rFonts w:ascii="Arial" w:cs="Arial" w:eastAsia="Arial" w:hAnsi="Arial"/>
                <w:sz w:val="17"/>
                <w:szCs w:val="17"/>
                <w:color w:val="0000FF"/>
              </w:rPr>
              <w:t>CA</w:t>
            </w:r>
          </w:p>
        </w:tc>
        <w:tc>
          <w:tcPr>
            <w:tcW w:w="1860" w:type="dxa"/>
            <w:vAlign w:val="bottom"/>
          </w:tcPr>
          <w:p>
            <w:pPr>
              <w:ind w:left="500"/>
              <w:spacing w:after="0"/>
              <w:rPr>
                <w:sz w:val="20"/>
                <w:szCs w:val="20"/>
                <w:color w:val="auto"/>
              </w:rPr>
            </w:pPr>
            <w:r>
              <w:rPr>
                <w:rFonts w:ascii="Arial" w:cs="Arial" w:eastAsia="Arial" w:hAnsi="Arial"/>
                <w:sz w:val="17"/>
                <w:szCs w:val="17"/>
                <w:color w:val="0000FF"/>
              </w:rPr>
              <w:t>90067</w:t>
            </w:r>
          </w:p>
        </w:tc>
      </w:tr>
      <w:tr>
        <w:trPr>
          <w:trHeight w:val="155"/>
        </w:trPr>
        <w:tc>
          <w:tcPr>
            <w:tcW w:w="12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1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right="40" w:firstLine="7"/>
        <w:spacing w:after="0" w:line="243"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statement is being filed jointly by (i) AF V Energy IV AIV 1A, L.P. ("ACOF AIV 1A"), (ii) AF V Energy IV AIV 1B, L.P. ("ACOF AIV 1B"), (iii) AF V Energy IV AIV 2, L.P. ("ACOF AIV 2" and, together with ACOF AIV 1A and ACOF AIV 1B, the "ACOF AIVs"), (iv) AEOF ECR AIV A-B, L.P. ("AEOF AIV A-B"), (v) AEOF ECR AIV C, L.P. ("AEOF AIV C" and, together with AEOF AIV A-B, the "AEOF AIVs"), (vi) AF Energy Feeder, L.P., (vii) ACOF Investment Management LLC ("ACOF Investment Management"), (viii) SSF IV Energy I AIV 1A, L.P. ("SSF AIV 1A"), (ix) SSF IV Energy I AIV 1B, L.P. ("SSF AIV 1B"), (x) SSF IV Energy I AIV 2, L.P. ("SSF AIV 2" and, together with SSF AIV 1A and SSF AIV 1B, the "SSF AIVs"), (xi) ASSF Operating Manager IV, L.P. ("ASSF Operating Manager IV"), (xii) Ares Management LLC, (Continued in footnote 2)</w:t>
      </w:r>
    </w:p>
    <w:p>
      <w:pPr>
        <w:spacing w:after="0" w:line="29" w:lineRule="exact"/>
        <w:rPr>
          <w:rFonts w:ascii="Arial" w:cs="Arial" w:eastAsia="Arial" w:hAnsi="Arial"/>
          <w:sz w:val="13"/>
          <w:szCs w:val="13"/>
          <w:color w:val="008000"/>
        </w:rPr>
      </w:pPr>
    </w:p>
    <w:p>
      <w:pPr>
        <w:ind w:firstLine="7"/>
        <w:spacing w:after="0" w:line="250"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(xiii) Ares Management Holdings L.P. ("Ares Management Holdings"), (xiv) Ares Holdco LLC ("Ares Holdco"), (xv) Ares Management Corporation ("Ares Management"), (xvi) Ares Voting LLC ("Ares Voting"), (xvii) Ares Management GP LLC ("Ares Management GP") and (xviii) Ares Partners Holdco LLC ("Ares Partners") (collectively, the "Reporting Persons"). Due to the electronic system's limitation of 10 Reporting Persons per joint filing, this statement is being filed in duplicate.</w:t>
      </w:r>
    </w:p>
    <w:p>
      <w:pPr>
        <w:spacing w:after="0" w:line="25" w:lineRule="exact"/>
        <w:rPr>
          <w:rFonts w:ascii="Arial" w:cs="Arial" w:eastAsia="Arial" w:hAnsi="Arial"/>
          <w:sz w:val="13"/>
          <w:szCs w:val="13"/>
          <w:color w:val="008000"/>
        </w:rPr>
      </w:pPr>
    </w:p>
    <w:p>
      <w:pPr>
        <w:ind w:left="140" w:hanging="133"/>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amount of profit potentially recoverable by the Issuer from the reported transactions, if any, has been remitted to the Issuer.</w:t>
      </w:r>
    </w:p>
    <w:p>
      <w:pPr>
        <w:spacing w:after="0" w:line="50" w:lineRule="exact"/>
        <w:rPr>
          <w:rFonts w:ascii="Arial" w:cs="Arial" w:eastAsia="Arial" w:hAnsi="Arial"/>
          <w:sz w:val="13"/>
          <w:szCs w:val="13"/>
          <w:color w:val="008000"/>
        </w:rPr>
      </w:pPr>
    </w:p>
    <w:p>
      <w:pPr>
        <w:ind w:right="80" w:firstLine="7"/>
        <w:spacing w:after="0" w:line="243"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ACOF Investment Management is the manager of each of the ACOF AIVs, the AEOF AIVs and AF Energy Feeder, L.P., and the sole member of ACOF Investment Management is Ares Management LLC. ASSF Operating Manager IV is the manager of the SSF AIVs, and the general partner of ASSF Operating Manager IV is Ares Management LLC. The sole member of Ares Management LLC is Ares Management Holdings and the general partner of Ares Management Holdings is Ares Holdco. The sole member of Ares Holdco is Ares Management. Ares Management GP is the sole holder of the Class B common stock, $0.01 par value per share, of Ares Management (the "Ares Class B Common Stock") and Ares Voting LLC ("Ares Voting") is the sole holder of the Class C common stock, $0.01 par value per share, of Ares Management (the "Ares Class C Common Stock"). (Continued in footnote 5)</w:t>
      </w:r>
    </w:p>
    <w:p>
      <w:pPr>
        <w:spacing w:after="0" w:line="29" w:lineRule="exact"/>
        <w:rPr>
          <w:rFonts w:ascii="Arial" w:cs="Arial" w:eastAsia="Arial" w:hAnsi="Arial"/>
          <w:sz w:val="13"/>
          <w:szCs w:val="13"/>
          <w:color w:val="008000"/>
        </w:rPr>
      </w:pPr>
    </w:p>
    <w:p>
      <w:pPr>
        <w:ind w:right="160" w:firstLine="7"/>
        <w:spacing w:after="0" w:line="245"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Pursuant to Ares Management's Certificate of Incorporation, the holders of the Ares Class B Common Stock and the Ares Class C Common Stock, collectively, will generally have the majority of the votes on any matter submitted to the stockholders of Ares Management if certain conditions are met. The sole member of both Ares Management GP and Ares Voting is Ares Partners. Ares Partners is managed by a board of managers, which is composed of Michael Arougheti, Ryan Berry, R. Kipp deVeer, David Kaplan, Michael McFerran, Antony Ressler and Bennett Rosenthal (collectively, the "Board Members"). Mr. Ressler generally has veto authority over decisions by the Board Members.</w:t>
      </w:r>
    </w:p>
    <w:p>
      <w:pPr>
        <w:spacing w:after="0" w:line="29" w:lineRule="exact"/>
        <w:rPr>
          <w:rFonts w:ascii="Arial" w:cs="Arial" w:eastAsia="Arial" w:hAnsi="Arial"/>
          <w:sz w:val="13"/>
          <w:szCs w:val="13"/>
          <w:color w:val="008000"/>
        </w:rPr>
      </w:pPr>
    </w:p>
    <w:p>
      <w:pPr>
        <w:ind w:right="40" w:firstLine="7"/>
        <w:spacing w:after="0" w:line="243"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Persons collectively beneficially own, or may be deemed to beneficially own, in the aggregate 14,851,592 shares of Common Stock by reason of the direct or indirect beneficial ownership of such shares as follows: (i) ACOF AIV 1A directly holds 699,769 shares of Common Stock, (ii) ACOF AIV 1B directly holds 2,560,797 shares of Common Stock, (iii) ACOF AIV 2 directly holds 2,608,687 shares of Common Stock, (iv) AEOF AIV A-B directly holds 1,894,861 shares of Common Stock, (v) AEOF AIV C directly holds 804,524 shares of Common Stock, (vi) SSF AIV 1A directly holds 139,929 shares of Common Stock, (vii) SSF AIV 1B directly holds 124,754 shares of Common Stock, (viii) SSF AIV 2 directly holds 203,089 shares of Common Stock and (ix) AF Energy Feeder, L.P. directly holds 5,815,182 shares of Common Stock.</w:t>
      </w:r>
    </w:p>
    <w:p>
      <w:pPr>
        <w:spacing w:after="0" w:line="29" w:lineRule="exact"/>
        <w:rPr>
          <w:rFonts w:ascii="Arial" w:cs="Arial" w:eastAsia="Arial" w:hAnsi="Arial"/>
          <w:sz w:val="13"/>
          <w:szCs w:val="13"/>
          <w:color w:val="008000"/>
        </w:rPr>
      </w:pPr>
    </w:p>
    <w:p>
      <w:pPr>
        <w:ind w:right="160" w:firstLine="7"/>
        <w:spacing w:after="0" w:line="245"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of the Reporting Persons (other than the ACOF AIVs, the AEOF AIVs, the SSF AIVs and AF Energy Feeder, L.P with respect to the shares of Common Stock directly held by them) and the Board Members, and the other directors, officers, partners, stockholders, members and managers of the Reporting Persons, expressly disclaims beneficial ownership of the Common Stock, except to the extent of any pecuniary interest therein, and this Form 4 shall not be deemed an admission that any such person or entity is the beneficial owner of, or has any pecuniary interest in, such securities for purposes of Section 16 of the Securities Exchange Act of 1934, as amended, or for any other purposes.</w:t>
      </w:r>
    </w:p>
    <w:p>
      <w:pPr>
        <w:sectPr>
          <w:pgSz w:w="11900" w:h="16859" w:orient="portrait"/>
          <w:cols w:equalWidth="0" w:num="1">
            <w:col w:w="10880"/>
          </w:cols>
          <w:pgMar w:left="500" w:top="144" w:right="519" w:bottom="0" w:gutter="0" w:footer="0" w:header="0"/>
        </w:sectPr>
      </w:pPr>
    </w:p>
    <w:p>
      <w:pPr>
        <w:spacing w:after="0" w:line="5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33794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/s/ 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33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236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102362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MANAGEMENT LLC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607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11607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ASSF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9017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MANAGER IV, L.P.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4330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10433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0299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HOLDINGS L.P. /s/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7381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127381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Sagati Aghili By: 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7886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107886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HOLDCO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69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12369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8">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HOLDCO LLC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3347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9">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0">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1">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2">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0299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3">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CORPORATION /s/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33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4">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Sagati Aghili By: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5">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Sagati 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381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6">
                      <a:extLst>
                        <a:ext uri="{28A0092B-C50C-407E-A947-70E740481C1C}"/>
                      </a:extLst>
                    </a:blip>
                    <a:srcRect/>
                    <a:stretch>
                      <a:fillRect/>
                    </a:stretch>
                  </pic:blipFill>
                  <pic:spPr bwMode="auto">
                    <a:xfrm>
                      <a:off x="0" y="0"/>
                      <a:ext cx="12738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7">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12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8">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LLC /s/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3223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9">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By: 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1953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0">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1">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VOTING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5189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2">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Ares Partners Holdco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5001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3">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Sole Member /s/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0871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4">
                      <a:extLst>
                        <a:ext uri="{28A0092B-C50C-407E-A947-70E740481C1C}"/>
                      </a:extLst>
                    </a:blip>
                    <a:srcRect/>
                    <a:stretch>
                      <a:fillRect/>
                    </a:stretch>
                  </pic:blipFill>
                  <pic:spPr bwMode="auto">
                    <a:xfrm>
                      <a:off x="0" y="0"/>
                      <a:ext cx="11087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Sagati Aghili By: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5">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Sagati 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381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6">
                      <a:extLst>
                        <a:ext uri="{28A0092B-C50C-407E-A947-70E740481C1C}"/>
                      </a:extLst>
                    </a:blip>
                    <a:srcRect/>
                    <a:stretch>
                      <a:fillRect/>
                    </a:stretch>
                  </pic:blipFill>
                  <pic:spPr bwMode="auto">
                    <a:xfrm>
                      <a:off x="0" y="0"/>
                      <a:ext cx="12738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7">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Partners Holdco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5539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8">
                      <a:extLst>
                        <a:ext uri="{28A0092B-C50C-407E-A947-70E740481C1C}"/>
                      </a:extLst>
                    </a:blip>
                    <a:srcRect/>
                    <a:stretch>
                      <a:fillRect/>
                    </a:stretch>
                  </pic:blipFill>
                  <pic:spPr bwMode="auto">
                    <a:xfrm>
                      <a:off x="0" y="0"/>
                      <a:ext cx="125539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/s/ 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33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9">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0">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1">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rPr>
          <w:sz w:val="20"/>
          <w:szCs w:val="20"/>
          <w:color w:val="auto"/>
        </w:rPr>
      </w:pPr>
      <w:r>
        <w:rPr>
          <w:rFonts w:ascii="Arial" w:cs="Arial" w:eastAsia="Arial" w:hAnsi="Arial"/>
          <w:sz w:val="15"/>
          <w:szCs w:val="15"/>
          <w:color w:val="0000FF"/>
        </w:rPr>
        <w:t>06/21/2021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06/21/2021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06/21/2021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5"/>
          <w:szCs w:val="15"/>
          <w:color w:val="0000FF"/>
        </w:rPr>
        <w:t>06/21/2021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06/21/2021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06/21/2021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06/21/2021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06/21/2021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06/21/2021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21" w:lineRule="exact"/>
        <w:rPr>
          <w:sz w:val="20"/>
          <w:szCs w:val="20"/>
          <w:color w:val="auto"/>
        </w:rPr>
      </w:pPr>
    </w:p>
    <w:p>
      <w:pPr>
        <w:sectPr>
          <w:pgSz w:w="11900" w:h="16859" w:orient="portrait"/>
          <w:cols w:equalWidth="0" w:num="2">
            <w:col w:w="8680" w:space="60"/>
            <w:col w:w="2140"/>
          </w:cols>
          <w:pgMar w:left="500" w:top="144" w:right="519" w:bottom="0" w:gutter="0" w:footer="0" w:header="0"/>
          <w:type w:val="continuous"/>
        </w:sectPr>
      </w:pPr>
    </w:p>
    <w:p>
      <w:pPr>
        <w:jc w:val="right"/>
        <w:ind w:right="1860"/>
        <w:spacing w:after="0"/>
        <w:tabs>
          <w:tab w:leader="none" w:pos="2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80" w:firstLine="7"/>
        <w:spacing w:after="0" w:line="361"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ectPr>
          <w:pgSz w:w="11900" w:h="16859" w:orient="portrait"/>
          <w:cols w:equalWidth="0" w:num="1">
            <w:col w:w="10880"/>
          </w:cols>
          <w:pgMar w:left="500" w:top="144" w:right="519" w:bottom="0" w:gutter="0" w:footer="0" w:header="0"/>
          <w:type w:val="continuous"/>
        </w:sectPr>
      </w:pPr>
    </w:p>
    <w:bookmarkStart w:id="3" w:name="page4"/>
    <w:bookmarkEnd w:id="3"/>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4"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78" Type="http://schemas.openxmlformats.org/officeDocument/2006/relationships/image" Target="media/image61.png"/><Relationship Id="rId79" Type="http://schemas.openxmlformats.org/officeDocument/2006/relationships/image" Target="media/image62.png"/><Relationship Id="rId80" Type="http://schemas.openxmlformats.org/officeDocument/2006/relationships/image" Target="media/image63.png"/><Relationship Id="rId81" Type="http://schemas.openxmlformats.org/officeDocument/2006/relationships/image" Target="media/image64.png"/><Relationship Id="rId82" Type="http://schemas.openxmlformats.org/officeDocument/2006/relationships/image" Target="media/image65.png"/><Relationship Id="rId83" Type="http://schemas.openxmlformats.org/officeDocument/2006/relationships/image" Target="media/image66.png"/><Relationship Id="rId84" Type="http://schemas.openxmlformats.org/officeDocument/2006/relationships/image" Target="media/image67.png"/><Relationship Id="rId85" Type="http://schemas.openxmlformats.org/officeDocument/2006/relationships/image" Target="media/image68.png"/><Relationship Id="rId86" Type="http://schemas.openxmlformats.org/officeDocument/2006/relationships/image" Target="media/image69.png"/><Relationship Id="rId87" Type="http://schemas.openxmlformats.org/officeDocument/2006/relationships/image" Target="media/image70.png"/><Relationship Id="rId88" Type="http://schemas.openxmlformats.org/officeDocument/2006/relationships/image" Target="media/image71.png"/><Relationship Id="rId89" Type="http://schemas.openxmlformats.org/officeDocument/2006/relationships/image" Target="media/image72.png"/><Relationship Id="rId90" Type="http://schemas.openxmlformats.org/officeDocument/2006/relationships/image" Target="media/image73.png"/><Relationship Id="rId91" Type="http://schemas.openxmlformats.org/officeDocument/2006/relationships/image" Target="media/image74.png"/><Relationship Id="rId92" Type="http://schemas.openxmlformats.org/officeDocument/2006/relationships/image" Target="media/image75.png"/><Relationship Id="rId93" Type="http://schemas.openxmlformats.org/officeDocument/2006/relationships/image" Target="media/image76.png"/><Relationship Id="rId94" Type="http://schemas.openxmlformats.org/officeDocument/2006/relationships/image" Target="media/image77.png"/><Relationship Id="rId95" Type="http://schemas.openxmlformats.org/officeDocument/2006/relationships/image" Target="media/image78.png"/><Relationship Id="rId96" Type="http://schemas.openxmlformats.org/officeDocument/2006/relationships/image" Target="media/image79.png"/><Relationship Id="rId97" Type="http://schemas.openxmlformats.org/officeDocument/2006/relationships/image" Target="media/image80.png"/><Relationship Id="rId98" Type="http://schemas.openxmlformats.org/officeDocument/2006/relationships/image" Target="media/image81.png"/><Relationship Id="rId99" Type="http://schemas.openxmlformats.org/officeDocument/2006/relationships/image" Target="media/image82.png"/><Relationship Id="rId100" Type="http://schemas.openxmlformats.org/officeDocument/2006/relationships/image" Target="media/image83.png"/><Relationship Id="rId101" Type="http://schemas.openxmlformats.org/officeDocument/2006/relationships/image" Target="media/image84.png"/><Relationship Id="rId102" Type="http://schemas.openxmlformats.org/officeDocument/2006/relationships/image" Target="media/image85.png"/><Relationship Id="rId103" Type="http://schemas.openxmlformats.org/officeDocument/2006/relationships/image" Target="media/image86.png"/><Relationship Id="rId104" Type="http://schemas.openxmlformats.org/officeDocument/2006/relationships/image" Target="media/image87.png"/><Relationship Id="rId105" Type="http://schemas.openxmlformats.org/officeDocument/2006/relationships/image" Target="media/image88.png"/><Relationship Id="rId106" Type="http://schemas.openxmlformats.org/officeDocument/2006/relationships/image" Target="media/image89.png"/><Relationship Id="rId107" Type="http://schemas.openxmlformats.org/officeDocument/2006/relationships/image" Target="media/image90.png"/><Relationship Id="rId108" Type="http://schemas.openxmlformats.org/officeDocument/2006/relationships/image" Target="media/image91.png"/><Relationship Id="rId109" Type="http://schemas.openxmlformats.org/officeDocument/2006/relationships/image" Target="media/image92.png"/><Relationship Id="rId110" Type="http://schemas.openxmlformats.org/officeDocument/2006/relationships/image" Target="media/image93.png"/><Relationship Id="rId12" Type="http://schemas.openxmlformats.org/officeDocument/2006/relationships/hyperlink" Target="http://www.sec.gov/cgi-bin/browse-edgar?action=getcompany&amp;CIK=0001259313"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684171" TargetMode="External"/><Relationship Id="rId16" Type="http://schemas.openxmlformats.org/officeDocument/2006/relationships/hyperlink" Target="http://www.sec.gov/cgi-bin/browse-edgar?action=getcompany&amp;CIK=0001683967" TargetMode="External"/><Relationship Id="rId20" Type="http://schemas.openxmlformats.org/officeDocument/2006/relationships/hyperlink" Target="http://www.sec.gov/cgi-bin/browse-edgar?action=getcompany&amp;CIK=0001536937" TargetMode="External"/><Relationship Id="rId26" Type="http://schemas.openxmlformats.org/officeDocument/2006/relationships/hyperlink" Target="http://www.sec.gov/cgi-bin/browse-edgar?action=getcompany&amp;CIK=0001669983" TargetMode="External"/><Relationship Id="rId32" Type="http://schemas.openxmlformats.org/officeDocument/2006/relationships/hyperlink" Target="http://www.sec.gov/cgi-bin/browse-edgar?action=getcompany&amp;CIK=0001176948" TargetMode="External"/><Relationship Id="rId38" Type="http://schemas.openxmlformats.org/officeDocument/2006/relationships/hyperlink" Target="http://www.sec.gov/cgi-bin/browse-edgar?action=getcompany&amp;CIK=0001620264" TargetMode="External"/><Relationship Id="rId44" Type="http://schemas.openxmlformats.org/officeDocument/2006/relationships/hyperlink" Target="http://www.sec.gov/cgi-bin/browse-edgar?action=getcompany&amp;CIK=0001761656" TargetMode="External"/><Relationship Id="rId50" Type="http://schemas.openxmlformats.org/officeDocument/2006/relationships/hyperlink" Target="http://www.sec.gov/cgi-bin/browse-edgar?action=getcompany&amp;CIK=00016202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2021-06-21T15:06:09Z</dcterms:created>
  <dcterms:modified xsi:type="dcterms:W3CDTF">2021-06-21T15:06:09Z</dcterms:modified>
</cp:coreProperties>
</file>