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August 20, 2018</w:t>
      </w:r>
    </w:p>
    <w:p>
      <w:pPr>
        <w:spacing w:after="0" w:line="194"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Resources Corporation</w:t>
      </w:r>
    </w:p>
    <w:p>
      <w:pPr>
        <w:spacing w:after="0" w:line="6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5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_____________________</w:t>
      </w:r>
    </w:p>
    <w:p>
      <w:pPr>
        <w:sectPr>
          <w:pgSz w:w="11900" w:h="16838" w:orient="portrait"/>
          <w:cols w:equalWidth="0" w:num="1">
            <w:col w:w="11300"/>
          </w:cols>
          <w:pgMar w:left="240" w:top="1350" w:right="359" w:bottom="1440" w:gutter="0" w:footer="0" w:header="0"/>
        </w:sectPr>
      </w:pPr>
    </w:p>
    <w:p>
      <w:pPr>
        <w:spacing w:after="0" w:line="387"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60" w:space="720"/>
            <w:col w:w="2720" w:space="720"/>
            <w:col w:w="2480"/>
          </w:cols>
          <w:pgMar w:left="240" w:top="135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3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60" w:space="720"/>
            <w:col w:w="2580" w:space="720"/>
            <w:col w:w="2720"/>
          </w:cols>
          <w:pgMar w:left="240" w:top="1350" w:right="359" w:bottom="1440" w:gutter="0" w:footer="0" w:header="0"/>
          <w:type w:val="continuous"/>
        </w:sectPr>
      </w:pPr>
    </w:p>
    <w:p>
      <w:pPr>
        <w:spacing w:after="0" w:line="169"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9200 Oakdale Avenue, Suite 900</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91311</w:t>
      </w:r>
    </w:p>
    <w:p>
      <w:pPr>
        <w:spacing w:after="0" w:line="101" w:lineRule="exact"/>
        <w:rPr>
          <w:sz w:val="24"/>
          <w:szCs w:val="24"/>
          <w:color w:val="auto"/>
        </w:rPr>
      </w:pPr>
    </w:p>
    <w:p>
      <w:pPr>
        <w:sectPr>
          <w:pgSz w:w="11900" w:h="16838" w:orient="portrait"/>
          <w:cols w:equalWidth="0" w:num="2">
            <w:col w:w="7460" w:space="720"/>
            <w:col w:w="3120"/>
          </w:cols>
          <w:pgMar w:left="240" w:top="1350" w:right="35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00" w:space="720"/>
            <w:col w:w="3280"/>
          </w:cols>
          <w:pgMar w:left="240" w:top="1350"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350" w:right="35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On August 20, 2018, California Resources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amendment to its credit agreement with JPMorgan Chase Bank, N.A., as Administrative Agent, Swingline Lender and a Letter of Credit Issuer, Bank of America, N.A., as Syndication Agent, Swingline Lender and a Letter of Credit Issuer, and the lenders named therein, dated as of September 24, 2014 (as previously amended, the “</w:t>
      </w:r>
      <w:r>
        <w:rPr>
          <w:rFonts w:ascii="Arial" w:cs="Arial" w:eastAsia="Arial" w:hAnsi="Arial"/>
          <w:sz w:val="17"/>
          <w:szCs w:val="17"/>
          <w:u w:val="single" w:color="auto"/>
          <w:color w:val="auto"/>
        </w:rPr>
        <w:t>2014 Credit Agreement</w:t>
      </w:r>
      <w:r>
        <w:rPr>
          <w:rFonts w:ascii="Arial" w:cs="Arial" w:eastAsia="Arial" w:hAnsi="Arial"/>
          <w:sz w:val="17"/>
          <w:szCs w:val="17"/>
          <w:color w:val="auto"/>
        </w:rPr>
        <w:t>”).</w:t>
      </w:r>
    </w:p>
    <w:p>
      <w:pPr>
        <w:spacing w:after="0" w:line="1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purpose of the amendment is to increase the Company’s ability to repurchase and refinance its outstanding indebtedness. Upon effectiveness of the amendment, the Company’s 2014 Credit Agreement would be amended to, among other things:</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permit the Company to draw on its revolver to repurchase its second lien notes and senior notes at a discount to par in an amount up to $300 million;</w:t>
      </w:r>
    </w:p>
    <w:p>
      <w:pPr>
        <w:spacing w:after="0" w:line="46"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permit the Company to draw on its revolver to repurchase its second lien notes and senior notes at a discount to par, without regard to time limit, in an amount not to exceed a specified portion of proceeds from future dispositions of certain assets;</w:t>
      </w:r>
    </w:p>
    <w:p>
      <w:pPr>
        <w:ind w:left="660" w:right="4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any repurchase of certain of the Company’s indebtedness, increase the minimum liquidity required to make such repurchase (calculated on a pro forma basis after giving effect to the repurchase) from $250 million to $300 million; and</w:t>
      </w:r>
    </w:p>
    <w:p>
      <w:pPr>
        <w:ind w:left="660" w:right="12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the Company’s ability to refinance its outstanding term loans, second lien notes and senior notes, in each case by allowing the use of permitted refinancing indebtedness for such refinancing so long as certain conditions set forth in the proposed amended 2014 Credit Agreement are met.</w:t>
      </w:r>
    </w:p>
    <w:p>
      <w:pPr>
        <w:spacing w:after="0" w:line="13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description above is qualified in its entirety by the amendment, which is filed as Exhibit 10.1 to this current report on Form 8-K and is incorporated by reference into this Item 1.01. The effectiveness of the amendment is subject to satisfaction of certain conditions precedent described therein. The Company can provide no assurances that the amendment will become effective.</w:t>
      </w:r>
    </w:p>
    <w:p>
      <w:pPr>
        <w:spacing w:after="0" w:line="39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August 21, 2018, the Board of Directors (the “Board”) of California Resources Corporation (the “Company”) voted to increase the size of the Board to 10 members and elected Ms. Laurie Siegel to fill the resulting vacancy. The Board determined that Ms. Siegel qualifies as an independent director under the director independence standards set forth in the rules and regulations of the Securities and Exchange Commission (the “SEC”) and the applicable listing standards of the New York Stock Exchange (“NYSE”).</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Ms. Siegel is the President of LAS Advisory Services, a firm providing advice to organizations on issues related to talent management, succession planning, organizational capability and culture. From 2003 to 2012, Ms. Siegel served as Senior Vice President of Human Resources and Internal Communications of Tyco International Ltd., a diversified manufacturing and service company. From 1994 to 2002, she held various positions with Honeywell International Inc., including Vice President of Human Resources - Specialty Materials. She was previously a director of global compensation at Avon Products and a principal of Strategic Compensation Associates.</w:t>
      </w:r>
    </w:p>
    <w:p>
      <w:pPr>
        <w:spacing w:after="0" w:line="14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Ms. Siegel is currently Program Chair of the G100 Talent Consortium. Ms. Siegel is a director and compensation committee chair of the board of directors of each of CenturyLink, Inc., a broadband, telecommunications and data hosting company, FactSet Research Systems Inc, a multinational financial data and software company, and Volt Information Services, a provider of global infrastructure solutions in technology, information services and staffing acquisition.</w:t>
      </w:r>
    </w:p>
    <w:p>
      <w:pPr>
        <w:spacing w:after="0" w:line="146"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Ms. Siegel has an MBA and a Master’s degree in City and Regional Planning, both from Harvard University, and a Bachelor’s degree from the University of Michigan.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arrangements or understandings between Ms. Siegel and any other persons under which she was selected as a director.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2" w:name="page3"/>
    <w:bookmarkEnd w:id="2"/>
    <w:p>
      <w:pPr>
        <w:ind w:firstLine="324"/>
        <w:spacing w:after="0" w:line="257" w:lineRule="auto"/>
        <w:rPr>
          <w:sz w:val="20"/>
          <w:szCs w:val="20"/>
          <w:color w:val="auto"/>
        </w:rPr>
      </w:pPr>
      <w:r>
        <w:rPr>
          <w:rFonts w:ascii="Arial" w:cs="Arial" w:eastAsia="Arial" w:hAnsi="Arial"/>
          <w:sz w:val="18"/>
          <w:szCs w:val="18"/>
          <w:color w:val="auto"/>
        </w:rPr>
        <w:t>In connection with her appointment, the Company and Ms. Siegel will enter into an indemnification agreement which requires the Company to indemnify her to the fullest extent permitted under Delaware law against liability that may arise by reason of her service as a director, and to advance expenses incurred as a result of any proceeding against her as to which she could be indemnified. The foregoing description of the indemnification agreement is not complete and is qualified in its entirety by reference to the full text of the indemnification agreement, a form of which is filed as Exhibit 10.14 to Amendment No. 3 to the Company’s Information Statement on Form 10 filed September 22, 2014.</w:t>
      </w:r>
    </w:p>
    <w:p>
      <w:pPr>
        <w:spacing w:after="0" w:line="14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Ms. Siegel will receive the same director compensation as is paid to the other non-employee directors under the Company’s compensation program for non-employee directors. The specific terms of such compensation are described further in the Company’s annual definitive proxy statement that was filed with the SEC on March 27, 2018.</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12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5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Number</w:t>
            </w:r>
          </w:p>
        </w:tc>
        <w:tc>
          <w:tcPr>
            <w:tcW w:w="520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 of the Exhibits</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gridSpan w:val="3"/>
          </w:tcPr>
          <w:p>
            <w:pPr>
              <w:jc w:val="right"/>
              <w:ind w:right="480"/>
              <w:spacing w:after="0"/>
              <w:rPr>
                <w:rFonts w:ascii="Arial" w:cs="Arial" w:eastAsia="Arial" w:hAnsi="Arial"/>
                <w:sz w:val="18"/>
                <w:szCs w:val="18"/>
                <w:color w:val="0000FF"/>
              </w:rPr>
            </w:pPr>
            <w:hyperlink w:anchor="page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200" w:type="dxa"/>
            <w:vAlign w:val="bottom"/>
            <w:gridSpan w:val="3"/>
          </w:tcPr>
          <w:p>
            <w:pPr>
              <w:ind w:left="540"/>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Eighth Amendment to Credit Agreement, dated August 20, 2018</w:t>
              </w:r>
            </w:hyperlink>
          </w:p>
        </w:tc>
      </w:tr>
      <w:tr>
        <w:trPr>
          <w:trHeight w:val="72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60" w:type="dxa"/>
            <w:vAlign w:val="bottom"/>
            <w:tcBorders>
              <w:top w:val="single" w:sz="8" w:color="0000FF"/>
            </w:tcBorders>
            <w:gridSpan w:val="2"/>
          </w:tcPr>
          <w:p>
            <w:pPr>
              <w:jc w:val="right"/>
              <w:ind w:right="12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760" w:right="239" w:bottom="1440" w:gutter="0" w:footer="0" w:header="0"/>
        </w:sectPr>
      </w:pPr>
    </w:p>
    <w:bookmarkStart w:id="3" w:name="page4"/>
    <w:bookmarkEnd w:id="3"/>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0600"/>
          </w:cols>
          <w:pgMar w:left="240" w:top="1440" w:right="1059" w:bottom="1440" w:gutter="0" w:footer="0" w:header="0"/>
        </w:sectPr>
      </w:pPr>
    </w:p>
    <w:p>
      <w:pPr>
        <w:spacing w:after="0" w:line="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760" w:space="440"/>
            <w:col w:w="4400"/>
          </w:cols>
          <w:pgMar w:left="240" w:top="1440" w:right="1059" w:bottom="1440" w:gutter="0" w:footer="0" w:header="0"/>
          <w:type w:val="continuous"/>
        </w:sectPr>
      </w:pPr>
    </w:p>
    <w:p>
      <w:pPr>
        <w:ind w:left="5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680" w:space="520"/>
            <w:col w:w="4400"/>
          </w:cols>
          <w:pgMar w:left="240" w:top="1440" w:right="10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24, 2018</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00"/>
          </w:cols>
          <w:pgMar w:left="240" w:top="1440" w:right="105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EIGHTH AMENDMENT</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DATED AS OF AUGUST 20, 2018</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CALIFORNIA RESOURCES CORPORATION,</w:t>
      </w:r>
    </w:p>
    <w:p>
      <w:pPr>
        <w:spacing w:after="0" w:line="2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AS THE BORROWER,</w:t>
      </w:r>
    </w:p>
    <w:p>
      <w:pPr>
        <w:spacing w:after="0" w:line="20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THE LENDERS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63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EIGHTH AMENDMENT TO CREDIT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Eighth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August 20, 2018, is among California Resources Corporation,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of the undersigned Guarantors, each Lender party hereto, and JPMorgan Chase Bank, N.A., as administrative agent for the Lenders (in such capacity, together with its successors and assigns,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656"/>
        <w:spacing w:after="0" w:line="247" w:lineRule="auto"/>
        <w:tabs>
          <w:tab w:leader="none" w:pos="1088"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Borrower, the Administrative Agent and the Lenders from time to time party thereto have entered into that certain Credit Agreement dated as of September 24, 2014 (as amended by the First Amendment to Credit Agreement dated as of February 25, 2015, the Second Amendment to Credit Agreement dated as of November 2, 2015, the Third Amendment to Credit Agreement dated as of February 23, 2016, the Fourth Amendment to Credit Agreement dated as of April 22, 2016, the Fifth Amendment and Waiver to Credit Agreement dated as of August 12, 2016, the Sixth Amendment to Credit Agreement dated as of February 14, 2017, the Seventh Amendment to Credit Agreement dated as of November 9, 2017 and as further amended, restated, modified or supplemented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firstLine="656"/>
        <w:spacing w:after="0" w:line="251" w:lineRule="auto"/>
        <w:tabs>
          <w:tab w:leader="none" w:pos="109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Borrower has requested and the Administrative Agent and the Lenders party hereto have agreed to amend certain provisions of the Credit Agreement on the terms and conditions set forth herein.</w:t>
      </w:r>
    </w:p>
    <w:p>
      <w:pPr>
        <w:spacing w:after="0" w:line="173" w:lineRule="exact"/>
        <w:rPr>
          <w:rFonts w:ascii="Arial" w:cs="Arial" w:eastAsia="Arial" w:hAnsi="Arial"/>
          <w:sz w:val="22"/>
          <w:szCs w:val="22"/>
          <w:color w:val="auto"/>
        </w:rPr>
      </w:pPr>
    </w:p>
    <w:p>
      <w:pPr>
        <w:jc w:val="both"/>
        <w:ind w:firstLine="656"/>
        <w:spacing w:after="0"/>
        <w:tabs>
          <w:tab w:leader="none" w:pos="1208" w:val="left"/>
        </w:tabs>
        <w:numPr>
          <w:ilvl w:val="0"/>
          <w:numId w:val="3"/>
        </w:numPr>
        <w:rPr>
          <w:rFonts w:ascii="Arial" w:cs="Arial" w:eastAsia="Arial" w:hAnsi="Arial"/>
          <w:sz w:val="22"/>
          <w:szCs w:val="22"/>
          <w:color w:val="auto"/>
        </w:rPr>
      </w:pPr>
      <w:r>
        <w:rPr>
          <w:rFonts w:ascii="Arial" w:cs="Arial" w:eastAsia="Arial" w:hAnsi="Arial"/>
          <w:sz w:val="22"/>
          <w:szCs w:val="22"/>
          <w:color w:val="auto"/>
        </w:rPr>
        <w:t>NOW, THEREFORE, to induce the Administrative Agent and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in this Amendment, each capitalized term used in this Amendment, including the recitals hereto, has the meaning assigned to such term in the Credit Agreement as amended hereby. Unless otherwise indicated, all section references in this Amendment refer to sections of the Credit Agreement.</w:t>
      </w:r>
    </w:p>
    <w:p>
      <w:pPr>
        <w:spacing w:after="0" w:line="18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206"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Amendment to Section 1.1</w:t>
      </w:r>
      <w:r>
        <w:rPr>
          <w:rFonts w:ascii="Arial" w:cs="Arial" w:eastAsia="Arial" w:hAnsi="Arial"/>
          <w:sz w:val="19"/>
          <w:szCs w:val="19"/>
          <w:color w:val="auto"/>
        </w:rPr>
        <w:t>.</w:t>
      </w:r>
    </w:p>
    <w:p>
      <w:pPr>
        <w:spacing w:after="0" w:line="206" w:lineRule="exact"/>
        <w:rPr>
          <w:sz w:val="20"/>
          <w:szCs w:val="20"/>
          <w:color w:val="auto"/>
        </w:rPr>
      </w:pPr>
    </w:p>
    <w:p>
      <w:pPr>
        <w:ind w:left="1540" w:hanging="884"/>
        <w:spacing w:after="0"/>
        <w:tabs>
          <w:tab w:leader="none" w:pos="154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following defined terms are hereby added in appropriate alphabetical order to read in their entirety as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612" w:right="239" w:bottom="1440" w:gutter="0" w:footer="0" w:header="0"/>
        </w:sectPr>
      </w:pPr>
    </w:p>
    <w:bookmarkStart w:id="6" w:name="page7"/>
    <w:bookmarkEnd w:id="6"/>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Eighth Amendment</w:t>
      </w:r>
      <w:r>
        <w:rPr>
          <w:rFonts w:ascii="Arial" w:cs="Arial" w:eastAsia="Arial" w:hAnsi="Arial"/>
          <w:sz w:val="22"/>
          <w:szCs w:val="22"/>
          <w:color w:val="auto"/>
        </w:rPr>
        <w:t>” shall mean that certain Eighth Amendment to Credit Agreement, dated as of August 15, 2018, among the Borrower, the Guarantors, the Administrative Agent and the Lenders party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Eighth Amendment Effective Date</w:t>
      </w:r>
      <w:r>
        <w:rPr>
          <w:rFonts w:ascii="Arial" w:cs="Arial" w:eastAsia="Arial" w:hAnsi="Arial"/>
          <w:sz w:val="22"/>
          <w:szCs w:val="22"/>
          <w:color w:val="auto"/>
        </w:rPr>
        <w:t>” shall mean the Effective Date (as defined in the Eighth Amendment).</w:t>
      </w:r>
    </w:p>
    <w:p>
      <w:pPr>
        <w:spacing w:after="0" w:line="206"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Addition of Section 9.26</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 new Section 9.26 is hereby added to the Credit Agreement to read in its entirety as follows: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9.26 </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As of the Eighth Amendment Effective Date, to the best knowledge of the Borrower, the information included in the Beneficial Ownership Certification provided on or prior to the Eighth Amendment Effective Date to any Lender in connection with this Agreement is true and correct in all respects.</w:t>
      </w:r>
    </w:p>
    <w:p>
      <w:pPr>
        <w:spacing w:after="0" w:line="186"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Amendments to Section 10.1(f)</w:t>
      </w:r>
      <w:r>
        <w:rPr>
          <w:rFonts w:ascii="Arial" w:cs="Arial" w:eastAsia="Arial" w:hAnsi="Arial"/>
          <w:sz w:val="19"/>
          <w:szCs w:val="19"/>
          <w:color w:val="auto"/>
        </w:rPr>
        <w:t>.</w:t>
      </w:r>
    </w:p>
    <w:p>
      <w:pPr>
        <w:spacing w:after="0" w:line="206" w:lineRule="exact"/>
        <w:rPr>
          <w:sz w:val="20"/>
          <w:szCs w:val="20"/>
          <w:color w:val="auto"/>
        </w:rPr>
      </w:pPr>
    </w:p>
    <w:p>
      <w:pPr>
        <w:ind w:left="1120" w:hanging="464"/>
        <w:spacing w:after="0"/>
        <w:tabs>
          <w:tab w:leader="none" w:pos="112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Section 10.1(f) of the Credit Agreement is hereby amended as follows:</w:t>
      </w:r>
    </w:p>
    <w:p>
      <w:pPr>
        <w:spacing w:after="0" w:line="206" w:lineRule="exact"/>
        <w:rPr>
          <w:rFonts w:ascii="Arial" w:cs="Arial" w:eastAsia="Arial" w:hAnsi="Arial"/>
          <w:sz w:val="22"/>
          <w:szCs w:val="22"/>
          <w:color w:val="auto"/>
        </w:rPr>
      </w:pPr>
    </w:p>
    <w:p>
      <w:pPr>
        <w:ind w:left="1480" w:hanging="419"/>
        <w:spacing w:after="0"/>
        <w:tabs>
          <w:tab w:leader="none" w:pos="1480" w:val="left"/>
        </w:tabs>
        <w:numPr>
          <w:ilvl w:val="1"/>
          <w:numId w:val="5"/>
        </w:numPr>
        <w:rPr>
          <w:rFonts w:ascii="Arial" w:cs="Arial" w:eastAsia="Arial" w:hAnsi="Arial"/>
          <w:sz w:val="22"/>
          <w:szCs w:val="22"/>
          <w:color w:val="auto"/>
        </w:rPr>
      </w:pPr>
      <w:r>
        <w:rPr>
          <w:rFonts w:ascii="Arial" w:cs="Arial" w:eastAsia="Arial" w:hAnsi="Arial"/>
          <w:sz w:val="22"/>
          <w:szCs w:val="22"/>
          <w:color w:val="auto"/>
        </w:rPr>
        <w:t>The word “and” at the end of Section 10.1(f)(ii) is hereby replaced with “,”; and</w:t>
      </w:r>
    </w:p>
    <w:p>
      <w:pPr>
        <w:spacing w:after="0" w:line="206" w:lineRule="exact"/>
        <w:rPr>
          <w:rFonts w:ascii="Arial" w:cs="Arial" w:eastAsia="Arial" w:hAnsi="Arial"/>
          <w:sz w:val="22"/>
          <w:szCs w:val="22"/>
          <w:color w:val="auto"/>
        </w:rPr>
      </w:pPr>
    </w:p>
    <w:p>
      <w:pPr>
        <w:ind w:left="1520" w:hanging="459"/>
        <w:spacing w:after="0"/>
        <w:tabs>
          <w:tab w:leader="none" w:pos="1520" w:val="left"/>
        </w:tabs>
        <w:numPr>
          <w:ilvl w:val="1"/>
          <w:numId w:val="5"/>
        </w:numPr>
        <w:rPr>
          <w:rFonts w:ascii="Arial" w:cs="Arial" w:eastAsia="Arial" w:hAnsi="Arial"/>
          <w:sz w:val="22"/>
          <w:szCs w:val="22"/>
          <w:color w:val="auto"/>
        </w:rPr>
      </w:pPr>
      <w:r>
        <w:rPr>
          <w:rFonts w:ascii="Arial" w:cs="Arial" w:eastAsia="Arial" w:hAnsi="Arial"/>
          <w:sz w:val="22"/>
          <w:szCs w:val="22"/>
          <w:color w:val="auto"/>
        </w:rPr>
        <w:t>A new Section 10.1(f)(iv) is hereby added to read in its entirety as follows: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“(iv) 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86"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Addition of Section 10.1(g)</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 new Section 10.1(g) is hereby added to the Credit Agreement to read in its entirety as follows:</w:t>
      </w:r>
    </w:p>
    <w:p>
      <w:pPr>
        <w:spacing w:after="0" w:line="206" w:lineRule="exact"/>
        <w:rPr>
          <w:sz w:val="20"/>
          <w:szCs w:val="20"/>
          <w:color w:val="auto"/>
        </w:rPr>
      </w:pPr>
    </w:p>
    <w:p>
      <w:pPr>
        <w:ind w:right="20" w:firstLine="656"/>
        <w:spacing w:after="0" w:line="328" w:lineRule="auto"/>
        <w:tabs>
          <w:tab w:leader="none" w:pos="1157"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Beneficial Ownership</w:t>
      </w:r>
      <w:r>
        <w:rPr>
          <w:rFonts w:ascii="Arial" w:cs="Arial" w:eastAsia="Arial" w:hAnsi="Arial"/>
          <w:sz w:val="19"/>
          <w:szCs w:val="19"/>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105"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Amendments to Section 11.1</w:t>
      </w:r>
      <w:r>
        <w:rPr>
          <w:rFonts w:ascii="Arial" w:cs="Arial" w:eastAsia="Arial" w:hAnsi="Arial"/>
          <w:sz w:val="19"/>
          <w:szCs w:val="19"/>
          <w:color w:val="auto"/>
        </w:rPr>
        <w:t>.</w:t>
      </w:r>
    </w:p>
    <w:p>
      <w:pPr>
        <w:spacing w:after="0" w:line="206" w:lineRule="exact"/>
        <w:rPr>
          <w:sz w:val="20"/>
          <w:szCs w:val="20"/>
          <w:color w:val="auto"/>
        </w:rPr>
      </w:pPr>
    </w:p>
    <w:p>
      <w:pPr>
        <w:ind w:left="1120" w:hanging="464"/>
        <w:spacing w:after="0"/>
        <w:tabs>
          <w:tab w:leader="none" w:pos="1120" w:val="left"/>
        </w:tabs>
        <w:numPr>
          <w:ilvl w:val="0"/>
          <w:numId w:val="7"/>
        </w:numPr>
        <w:rPr>
          <w:rFonts w:ascii="Arial" w:cs="Arial" w:eastAsia="Arial" w:hAnsi="Arial"/>
          <w:sz w:val="22"/>
          <w:szCs w:val="22"/>
          <w:color w:val="auto"/>
        </w:rPr>
      </w:pPr>
      <w:r>
        <w:rPr>
          <w:rFonts w:ascii="Arial" w:cs="Arial" w:eastAsia="Arial" w:hAnsi="Arial"/>
          <w:sz w:val="22"/>
          <w:szCs w:val="22"/>
          <w:color w:val="auto"/>
        </w:rPr>
        <w:t>Section 11.1(z) of the Credit Agreement is hereby amended as follows:</w:t>
      </w:r>
    </w:p>
    <w:p>
      <w:pPr>
        <w:spacing w:after="0" w:line="206" w:lineRule="exact"/>
        <w:rPr>
          <w:rFonts w:ascii="Arial" w:cs="Arial" w:eastAsia="Arial" w:hAnsi="Arial"/>
          <w:sz w:val="22"/>
          <w:szCs w:val="22"/>
          <w:color w:val="auto"/>
        </w:rPr>
      </w:pPr>
    </w:p>
    <w:p>
      <w:pPr>
        <w:ind w:left="1460" w:hanging="399"/>
        <w:spacing w:after="0"/>
        <w:tabs>
          <w:tab w:leader="none" w:pos="1460" w:val="left"/>
        </w:tabs>
        <w:numPr>
          <w:ilvl w:val="1"/>
          <w:numId w:val="7"/>
        </w:numPr>
        <w:rPr>
          <w:rFonts w:ascii="Arial" w:cs="Arial" w:eastAsia="Arial" w:hAnsi="Arial"/>
          <w:sz w:val="22"/>
          <w:szCs w:val="22"/>
          <w:color w:val="auto"/>
        </w:rPr>
      </w:pPr>
      <w:r>
        <w:rPr>
          <w:rFonts w:ascii="Arial" w:cs="Arial" w:eastAsia="Arial" w:hAnsi="Arial"/>
          <w:sz w:val="22"/>
          <w:szCs w:val="22"/>
          <w:color w:val="auto"/>
        </w:rPr>
        <w:t>An “(x)” is hereby added to the beginning of such Section 11.1(z);</w:t>
      </w:r>
    </w:p>
    <w:p>
      <w:pPr>
        <w:spacing w:after="0" w:line="206" w:lineRule="exact"/>
        <w:rPr>
          <w:rFonts w:ascii="Arial" w:cs="Arial" w:eastAsia="Arial" w:hAnsi="Arial"/>
          <w:sz w:val="22"/>
          <w:szCs w:val="22"/>
          <w:color w:val="auto"/>
        </w:rPr>
      </w:pPr>
    </w:p>
    <w:p>
      <w:pPr>
        <w:ind w:firstLine="1061"/>
        <w:spacing w:after="0" w:line="251" w:lineRule="auto"/>
        <w:tabs>
          <w:tab w:leader="none" w:pos="1596"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phrase “and any Permitted Refinancing Indebtedness issued or incurred to refinance such Indebtedness” is hereby deleted;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34" w:right="239" w:bottom="1440" w:gutter="0" w:footer="0" w:header="0"/>
        </w:sectPr>
      </w:pPr>
    </w:p>
    <w:bookmarkStart w:id="7" w:name="page8"/>
    <w:bookmarkEnd w:id="7"/>
    <w:p>
      <w:pPr>
        <w:ind w:left="652" w:right="1440" w:firstLine="401"/>
        <w:spacing w:after="0" w:line="504" w:lineRule="auto"/>
        <w:tabs>
          <w:tab w:leader="none" w:pos="1585" w:val="left"/>
        </w:tabs>
        <w:numPr>
          <w:ilvl w:val="1"/>
          <w:numId w:val="8"/>
        </w:numPr>
        <w:rPr>
          <w:rFonts w:ascii="Arial" w:cs="Arial" w:eastAsia="Arial" w:hAnsi="Arial"/>
          <w:sz w:val="19"/>
          <w:szCs w:val="19"/>
          <w:color w:val="auto"/>
        </w:rPr>
      </w:pPr>
      <w:r>
        <w:rPr>
          <w:rFonts w:ascii="Arial" w:cs="Arial" w:eastAsia="Arial" w:hAnsi="Arial"/>
          <w:sz w:val="19"/>
          <w:szCs w:val="19"/>
          <w:color w:val="auto"/>
        </w:rPr>
        <w:t>A new phrase is hereby added to the end of such Section 11.1(z) to read in its entirety as follows: “and (y) any Permitted Refinancing Indebtedness issued or incurred to refinance such Indebtedness;”</w:t>
      </w:r>
    </w:p>
    <w:p>
      <w:pPr>
        <w:ind w:left="-8" w:firstLine="656"/>
        <w:spacing w:after="0" w:line="251" w:lineRule="auto"/>
        <w:tabs>
          <w:tab w:leader="none" w:pos="1134" w:val="left"/>
        </w:tabs>
        <w:numPr>
          <w:ilvl w:val="0"/>
          <w:numId w:val="9"/>
        </w:numPr>
        <w:rPr>
          <w:rFonts w:ascii="Arial" w:cs="Arial" w:eastAsia="Arial" w:hAnsi="Arial"/>
          <w:sz w:val="22"/>
          <w:szCs w:val="22"/>
          <w:color w:val="auto"/>
        </w:rPr>
      </w:pPr>
      <w:r>
        <w:rPr>
          <w:rFonts w:ascii="Arial" w:cs="Arial" w:eastAsia="Arial" w:hAnsi="Arial"/>
          <w:sz w:val="22"/>
          <w:szCs w:val="22"/>
          <w:color w:val="auto"/>
        </w:rPr>
        <w:t>Section 11.1(aa) of the Credit Agreement is hereby amended by deleting the phrase “that satisfies the requirements of clause (x) of this Section 11.1(aa)”.</w:t>
      </w:r>
    </w:p>
    <w:p>
      <w:pPr>
        <w:spacing w:after="0" w:line="173" w:lineRule="exact"/>
        <w:rPr>
          <w:sz w:val="20"/>
          <w:szCs w:val="20"/>
          <w:color w:val="auto"/>
        </w:rPr>
      </w:pPr>
    </w:p>
    <w:p>
      <w:pPr>
        <w:ind w:left="732"/>
        <w:spacing w:after="0"/>
        <w:tabs>
          <w:tab w:leader="none" w:pos="1192"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Amendments to Section 11.7</w:t>
      </w:r>
      <w:r>
        <w:rPr>
          <w:rFonts w:ascii="Arial" w:cs="Arial" w:eastAsia="Arial" w:hAnsi="Arial"/>
          <w:sz w:val="19"/>
          <w:szCs w:val="19"/>
          <w:color w:val="auto"/>
        </w:rPr>
        <w:t>.</w:t>
      </w:r>
    </w:p>
    <w:p>
      <w:pPr>
        <w:spacing w:after="0" w:line="206" w:lineRule="exact"/>
        <w:rPr>
          <w:sz w:val="20"/>
          <w:szCs w:val="20"/>
          <w:color w:val="auto"/>
        </w:rPr>
      </w:pPr>
    </w:p>
    <w:p>
      <w:pPr>
        <w:ind w:left="652"/>
        <w:spacing w:after="0"/>
        <w:tabs>
          <w:tab w:leader="none" w:pos="1092"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Section 11.7(a)(iii) of the Credit Agreement is hereby amended and restated in its entirety to read as follows:</w:t>
      </w:r>
    </w:p>
    <w:p>
      <w:pPr>
        <w:spacing w:after="0" w:line="206" w:lineRule="exact"/>
        <w:rPr>
          <w:sz w:val="20"/>
          <w:szCs w:val="20"/>
          <w:color w:val="auto"/>
        </w:rPr>
      </w:pPr>
    </w:p>
    <w:p>
      <w:pPr>
        <w:jc w:val="both"/>
        <w:ind w:left="652" w:firstLine="648"/>
        <w:spacing w:after="0" w:line="244" w:lineRule="auto"/>
        <w:rPr>
          <w:sz w:val="20"/>
          <w:szCs w:val="20"/>
          <w:color w:val="auto"/>
        </w:rPr>
      </w:pPr>
      <w:r>
        <w:rPr>
          <w:rFonts w:ascii="Arial" w:cs="Arial" w:eastAsia="Arial" w:hAnsi="Arial"/>
          <w:sz w:val="21"/>
          <w:szCs w:val="21"/>
          <w:color w:val="auto"/>
        </w:rPr>
        <w:t>“(x) prepay, repurchase, redeem or defease any Permitted Additional Debt, the Senior Notes, Permitted Second Lien Indebtedness or Permitted Junior Refinancing Indebtedness with the proceeds of Revolving Loans in an amount not to exceed $300,000,000 in the aggregate for all such prepayments, repurchases, redemptions and defeasements and (y) following any Non-Borrowing Base Disposition that occurs on or after the Eighth Amendment Effective Date, prepay, repurchase, redeem or defease any Permitted Additional Debt, the Senior Notes, Permitted Second Lien Indebtedness or Permitted Junior Refinancing Indebtedness with the proceeds of Revolving Loans in an amount equal to the positive difference, if any, between (A) the amount of proceeds of such Non-Borrowing Base Disposition that would be permitted to be used to prepay, repurchase, redeem or defease any Permitted Additional Debt, Senior Notes, Permitted Second Lien Indebtedness or Permitted Junior Refinancing Indebtedness pursuant to Section 11.7(a)(i) and (B) the amount of proceeds of such Non-Borrowing Base Disposition that were previously used to prepay, repurchase, redeem or defease Permitted Additional Debt, Senior Notes Permitted Second Lien Indebtedness or Permitted Junior Refinancing Indebtedness pursuant to Section 11.7(a)(i);”</w:t>
      </w:r>
    </w:p>
    <w:p>
      <w:pPr>
        <w:spacing w:after="0" w:line="187" w:lineRule="exact"/>
        <w:rPr>
          <w:sz w:val="20"/>
          <w:szCs w:val="20"/>
          <w:color w:val="auto"/>
        </w:rPr>
      </w:pPr>
    </w:p>
    <w:p>
      <w:pPr>
        <w:ind w:left="1132" w:hanging="484"/>
        <w:spacing w:after="0"/>
        <w:tabs>
          <w:tab w:leader="none" w:pos="1132" w:val="left"/>
        </w:tabs>
        <w:numPr>
          <w:ilvl w:val="1"/>
          <w:numId w:val="10"/>
        </w:numPr>
        <w:rPr>
          <w:rFonts w:ascii="Arial" w:cs="Arial" w:eastAsia="Arial" w:hAnsi="Arial"/>
          <w:sz w:val="19"/>
          <w:szCs w:val="19"/>
          <w:color w:val="auto"/>
        </w:rPr>
      </w:pPr>
      <w:r>
        <w:rPr>
          <w:rFonts w:ascii="Arial" w:cs="Arial" w:eastAsia="Arial" w:hAnsi="Arial"/>
          <w:sz w:val="19"/>
          <w:szCs w:val="19"/>
          <w:color w:val="auto"/>
        </w:rPr>
        <w:t>Section 11.7(a)(iv) of the Credit Agreement is hereby amended by replacing the “.” at the end of such Section 11.7(a)</w:t>
      </w:r>
    </w:p>
    <w:p>
      <w:pPr>
        <w:spacing w:after="0" w:line="42" w:lineRule="exact"/>
        <w:rPr>
          <w:rFonts w:ascii="Arial" w:cs="Arial" w:eastAsia="Arial" w:hAnsi="Arial"/>
          <w:sz w:val="19"/>
          <w:szCs w:val="19"/>
          <w:color w:val="auto"/>
        </w:rPr>
      </w:pPr>
    </w:p>
    <w:p>
      <w:pPr>
        <w:ind w:left="372" w:hanging="372"/>
        <w:spacing w:after="0"/>
        <w:tabs>
          <w:tab w:leader="none" w:pos="372"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 “; and”.</w:t>
      </w:r>
    </w:p>
    <w:p>
      <w:pPr>
        <w:spacing w:after="0" w:line="188" w:lineRule="exact"/>
        <w:rPr>
          <w:rFonts w:ascii="Arial" w:cs="Arial" w:eastAsia="Arial" w:hAnsi="Arial"/>
          <w:sz w:val="22"/>
          <w:szCs w:val="22"/>
          <w:color w:val="auto"/>
        </w:rPr>
      </w:pPr>
    </w:p>
    <w:p>
      <w:pPr>
        <w:ind w:left="1092" w:hanging="444"/>
        <w:spacing w:after="0"/>
        <w:tabs>
          <w:tab w:leader="none" w:pos="1092"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new Section 11.7(a)(v) is hereby added to the Credit Agreement to read in its entirety as follows:</w:t>
      </w:r>
    </w:p>
    <w:p>
      <w:pPr>
        <w:spacing w:after="0" w:line="206" w:lineRule="exact"/>
        <w:rPr>
          <w:sz w:val="20"/>
          <w:szCs w:val="20"/>
          <w:color w:val="auto"/>
        </w:rPr>
      </w:pPr>
    </w:p>
    <w:p>
      <w:pPr>
        <w:jc w:val="both"/>
        <w:ind w:left="652" w:firstLine="648"/>
        <w:spacing w:after="0" w:line="258" w:lineRule="auto"/>
        <w:rPr>
          <w:sz w:val="20"/>
          <w:szCs w:val="20"/>
          <w:color w:val="auto"/>
        </w:rPr>
      </w:pPr>
      <w:r>
        <w:rPr>
          <w:rFonts w:ascii="Arial" w:cs="Arial" w:eastAsia="Arial" w:hAnsi="Arial"/>
          <w:sz w:val="21"/>
          <w:szCs w:val="21"/>
          <w:color w:val="auto"/>
        </w:rPr>
        <w:t>“prepay, repurchase, redeem, defease or exchange the Senior Notes, Permitted Additional Debt, any Permitted Junior Indebtedness or any Permitted Refinancing Indebtedness in respect of the foregoing with Net Cash Proceeds of any Permitted Refinancing Indebtedness issued or incurred to refinance such Indebtedness.”</w:t>
      </w:r>
    </w:p>
    <w:p>
      <w:pPr>
        <w:spacing w:after="0" w:line="167" w:lineRule="exact"/>
        <w:rPr>
          <w:sz w:val="20"/>
          <w:szCs w:val="20"/>
          <w:color w:val="auto"/>
        </w:rPr>
      </w:pPr>
    </w:p>
    <w:p>
      <w:pPr>
        <w:ind w:left="1112" w:hanging="464"/>
        <w:spacing w:after="0"/>
        <w:tabs>
          <w:tab w:leader="none" w:pos="1112"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proviso and the end of Section 11.7(a) is hereby amended as follows:</w:t>
      </w:r>
    </w:p>
    <w:p>
      <w:pPr>
        <w:spacing w:after="0" w:line="206" w:lineRule="exact"/>
        <w:rPr>
          <w:rFonts w:ascii="Arial" w:cs="Arial" w:eastAsia="Arial" w:hAnsi="Arial"/>
          <w:sz w:val="22"/>
          <w:szCs w:val="22"/>
          <w:color w:val="auto"/>
        </w:rPr>
      </w:pPr>
    </w:p>
    <w:p>
      <w:pPr>
        <w:jc w:val="center"/>
        <w:ind w:left="5652" w:right="1160" w:hanging="4599"/>
        <w:spacing w:after="0" w:line="494" w:lineRule="auto"/>
        <w:tabs>
          <w:tab w:leader="none" w:pos="147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amount of “$250,000,000” in clause (1) of such proviso is hereby replaced with “$300,000,000”; 3</w:t>
      </w:r>
    </w:p>
    <w:p>
      <w:pPr>
        <w:sectPr>
          <w:pgSz w:w="11900" w:h="16838" w:orient="portrait"/>
          <w:cols w:equalWidth="0" w:num="1">
            <w:col w:w="11412"/>
          </w:cols>
          <w:pgMar w:left="248" w:top="834" w:right="239" w:bottom="1440" w:gutter="0" w:footer="0" w:header="0"/>
        </w:sectPr>
      </w:pPr>
    </w:p>
    <w:bookmarkStart w:id="8" w:name="page9"/>
    <w:bookmarkEnd w:id="8"/>
    <w:p>
      <w:pPr>
        <w:jc w:val="both"/>
        <w:ind w:firstLine="1061"/>
        <w:spacing w:after="0"/>
        <w:tabs>
          <w:tab w:leader="none" w:pos="1627"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The phrase “of 20% to par or greater” in clause (4) of such proviso is hereby replaced with “to par” and the phrase “in the case of any prepayment, repurchase, redemption, defeasance or exchange pursuant to </w:t>
      </w:r>
      <w:r>
        <w:rPr>
          <w:rFonts w:ascii="Arial" w:cs="Arial" w:eastAsia="Arial" w:hAnsi="Arial"/>
          <w:sz w:val="22"/>
          <w:szCs w:val="22"/>
          <w:u w:val="single" w:color="auto"/>
          <w:color w:val="auto"/>
        </w:rPr>
        <w:t>Sections 11.7(a)(i)</w:t>
      </w:r>
      <w:r>
        <w:rPr>
          <w:rFonts w:ascii="Arial" w:cs="Arial" w:eastAsia="Arial" w:hAnsi="Arial"/>
          <w:sz w:val="22"/>
          <w:szCs w:val="22"/>
          <w:color w:val="auto"/>
        </w:rPr>
        <w:t xml:space="preserve"> to </w:t>
      </w:r>
      <w:r>
        <w:rPr>
          <w:rFonts w:ascii="Arial" w:cs="Arial" w:eastAsia="Arial" w:hAnsi="Arial"/>
          <w:sz w:val="22"/>
          <w:szCs w:val="22"/>
          <w:u w:val="single" w:color="auto"/>
          <w:color w:val="auto"/>
        </w:rPr>
        <w:t>(iv)</w:t>
      </w:r>
      <w:r>
        <w:rPr>
          <w:rFonts w:ascii="Arial" w:cs="Arial" w:eastAsia="Arial" w:hAnsi="Arial"/>
          <w:sz w:val="22"/>
          <w:szCs w:val="22"/>
          <w:color w:val="auto"/>
        </w:rPr>
        <w:t>,” is hereby inserted at the beginning of such clause (4);</w:t>
      </w:r>
    </w:p>
    <w:p>
      <w:pPr>
        <w:spacing w:after="0" w:line="159" w:lineRule="exact"/>
        <w:rPr>
          <w:rFonts w:ascii="Arial" w:cs="Arial" w:eastAsia="Arial" w:hAnsi="Arial"/>
          <w:sz w:val="22"/>
          <w:szCs w:val="22"/>
          <w:color w:val="auto"/>
        </w:rPr>
      </w:pPr>
    </w:p>
    <w:p>
      <w:pPr>
        <w:ind w:left="1600" w:hanging="539"/>
        <w:spacing w:after="0"/>
        <w:tabs>
          <w:tab w:leader="none" w:pos="1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Clause (5) of such proviso is amended and restated in its entirety to read as follows:</w:t>
      </w:r>
    </w:p>
    <w:p>
      <w:pPr>
        <w:spacing w:after="0" w:line="179" w:lineRule="exact"/>
        <w:rPr>
          <w:sz w:val="20"/>
          <w:szCs w:val="20"/>
          <w:color w:val="auto"/>
        </w:rPr>
      </w:pPr>
    </w:p>
    <w:p>
      <w:pPr>
        <w:jc w:val="both"/>
        <w:ind w:left="660" w:firstLine="648"/>
        <w:spacing w:after="0" w:line="282" w:lineRule="auto"/>
        <w:rPr>
          <w:sz w:val="20"/>
          <w:szCs w:val="20"/>
          <w:color w:val="auto"/>
        </w:rPr>
      </w:pPr>
      <w:r>
        <w:rPr>
          <w:rFonts w:ascii="Arial" w:cs="Arial" w:eastAsia="Arial" w:hAnsi="Arial"/>
          <w:sz w:val="19"/>
          <w:szCs w:val="19"/>
          <w:color w:val="auto"/>
        </w:rPr>
        <w:t>“(5) in the case of any prepayment, repurchase, redemption, defeasance or exchange with Net Cash Proceeds of Permitted Refinancing Indebtedness or Permitted Junior Refinancing Indebtedness, if such Permitted Refinancing Indebtedness or Permitted Junior Refinancing Indebtedness is secured by the Liens on the Collateral that secure the First Out Obligations, after giving pro forma effect to such prepayment, repurchase, redemption, defeasance or exchange there is no increase in the Consolidated Interest Charges as were in effect at the Eighth Amendment Effective Date.”</w:t>
      </w:r>
    </w:p>
    <w:p>
      <w:pPr>
        <w:spacing w:after="0" w:line="121" w:lineRule="exact"/>
        <w:rPr>
          <w:sz w:val="20"/>
          <w:szCs w:val="20"/>
          <w:color w:val="auto"/>
        </w:rPr>
      </w:pPr>
    </w:p>
    <w:p>
      <w:pPr>
        <w:ind w:left="740"/>
        <w:spacing w:after="0"/>
        <w:tabs>
          <w:tab w:leader="none" w:pos="120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Amendments to Section 14.6.</w:t>
      </w:r>
    </w:p>
    <w:p>
      <w:pPr>
        <w:spacing w:after="0" w:line="179" w:lineRule="exact"/>
        <w:rPr>
          <w:sz w:val="20"/>
          <w:szCs w:val="20"/>
          <w:color w:val="auto"/>
        </w:rPr>
      </w:pPr>
    </w:p>
    <w:p>
      <w:pPr>
        <w:ind w:left="1300" w:right="460" w:hanging="644"/>
        <w:spacing w:after="0" w:line="410" w:lineRule="auto"/>
        <w:tabs>
          <w:tab w:leader="none" w:pos="1108"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14.6(b)(i)(A)(1) of the Credit Agreement is hereby amended and restated in its entirety to read as follows: “(1) to a Lender, an Affiliate of such assigning Lender or an Approved Fund or”</w:t>
      </w:r>
    </w:p>
    <w:p>
      <w:pPr>
        <w:ind w:firstLine="656"/>
        <w:spacing w:after="0" w:line="251" w:lineRule="auto"/>
        <w:tabs>
          <w:tab w:leader="none" w:pos="1178"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14.6(b)(i)(B) of the Credit Agreement is hereby amended by deleting the phrase “, a Swingline Lender or a Letter of Credit Issuer”.</w:t>
      </w:r>
    </w:p>
    <w:p>
      <w:pPr>
        <w:spacing w:after="0" w:line="14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Effectiveness.</w:t>
      </w:r>
      <w:r>
        <w:rPr>
          <w:rFonts w:ascii="Arial" w:cs="Arial" w:eastAsia="Arial" w:hAnsi="Arial"/>
          <w:sz w:val="22"/>
          <w:szCs w:val="22"/>
          <w:color w:val="auto"/>
        </w:rPr>
        <w:t xml:space="preserve"> This Amendment shall become effective on the first date on which each of the conditions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is satisfied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46" w:lineRule="exact"/>
        <w:rPr>
          <w:sz w:val="20"/>
          <w:szCs w:val="20"/>
          <w:color w:val="auto"/>
        </w:rPr>
      </w:pPr>
    </w:p>
    <w:p>
      <w:pPr>
        <w:jc w:val="both"/>
        <w:ind w:left="80" w:firstLine="648"/>
        <w:spacing w:after="0" w:line="328" w:lineRule="auto"/>
        <w:rPr>
          <w:sz w:val="20"/>
          <w:szCs w:val="20"/>
          <w:color w:val="auto"/>
        </w:rPr>
      </w:pPr>
      <w:r>
        <w:rPr>
          <w:rFonts w:ascii="Arial" w:cs="Arial" w:eastAsia="Arial" w:hAnsi="Arial"/>
          <w:sz w:val="19"/>
          <w:szCs w:val="19"/>
          <w:color w:val="auto"/>
        </w:rPr>
        <w:t>3.1 The Administrative Agent shall have received duly executed counterparts (in such number as may be requested by the Administrative Agent) of this Amendment from the Borrower, each Guarantor and Lenders constituting the Majority Lenders.</w:t>
      </w:r>
    </w:p>
    <w:p>
      <w:pPr>
        <w:spacing w:after="0" w:line="78" w:lineRule="exact"/>
        <w:rPr>
          <w:sz w:val="20"/>
          <w:szCs w:val="20"/>
          <w:color w:val="auto"/>
        </w:rPr>
      </w:pPr>
    </w:p>
    <w:p>
      <w:pPr>
        <w:jc w:val="both"/>
        <w:ind w:left="80" w:firstLine="648"/>
        <w:spacing w:after="0" w:line="275" w:lineRule="auto"/>
        <w:rPr>
          <w:sz w:val="20"/>
          <w:szCs w:val="20"/>
          <w:color w:val="auto"/>
        </w:rPr>
      </w:pPr>
      <w:r>
        <w:rPr>
          <w:rFonts w:ascii="Arial" w:cs="Arial" w:eastAsia="Arial" w:hAnsi="Arial"/>
          <w:sz w:val="19"/>
          <w:szCs w:val="19"/>
          <w:color w:val="auto"/>
        </w:rPr>
        <w:t xml:space="preserve">3.2 The Administrative Agent shall have received a certificate from an Authorized Officer of the Borrower certifying that attached thereto is a true and complete copy of an amendment to the First Out Substitute Credit Facility Agreement that amends Section 11.1 and Section 11.7 thereof in (a) substantially the same manner as the amendments to the Credit Agreement effected by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of this Amendment or (b) a manner otherwise acceptable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(b), either (i) the provisions of the First Out Substitute Credit Facility Agreement after giving effect to the amendments to be made by such amendment are not materially more restrictive, taken as a whole, to the Borrower and its Subsidiaries, than the provisions of the Credit Agreement after giving effect to the amendments to be made by this Amendment or (ii) if such amended provisions are materially more restrictive, the Lenders receive the benefit of the more restrictive terms.</w:t>
      </w:r>
    </w:p>
    <w:p>
      <w:pPr>
        <w:spacing w:after="0" w:line="131" w:lineRule="exact"/>
        <w:rPr>
          <w:sz w:val="20"/>
          <w:szCs w:val="20"/>
          <w:color w:val="auto"/>
        </w:rPr>
      </w:pPr>
    </w:p>
    <w:p>
      <w:pPr>
        <w:jc w:val="both"/>
        <w:ind w:left="80" w:firstLine="648"/>
        <w:spacing w:after="0"/>
        <w:rPr>
          <w:sz w:val="20"/>
          <w:szCs w:val="20"/>
          <w:color w:val="auto"/>
        </w:rPr>
      </w:pPr>
      <w:r>
        <w:rPr>
          <w:rFonts w:ascii="Arial" w:cs="Arial" w:eastAsia="Arial" w:hAnsi="Arial"/>
          <w:sz w:val="22"/>
          <w:szCs w:val="22"/>
          <w:color w:val="auto"/>
        </w:rPr>
        <w:t>3.3 The Borrower shall have paid (a) an amendment fee payable to the Administrative Agent for the account of each of the Lenders executing a counterpart of this Amendment in an amount equal to 10 basis points on each such Lender’s Commitment in effect on the date hereof</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07" w:right="239" w:bottom="1440" w:gutter="0" w:footer="0" w:header="0"/>
        </w:sectPr>
      </w:pPr>
    </w:p>
    <w:bookmarkStart w:id="9" w:name="page10"/>
    <w:bookmarkEnd w:id="9"/>
    <w:p>
      <w:pPr>
        <w:jc w:val="both"/>
        <w:ind w:left="80" w:right="20"/>
        <w:spacing w:after="0" w:line="274" w:lineRule="auto"/>
        <w:rPr>
          <w:sz w:val="20"/>
          <w:szCs w:val="20"/>
          <w:color w:val="auto"/>
        </w:rPr>
      </w:pPr>
      <w:r>
        <w:rPr>
          <w:rFonts w:ascii="Arial" w:cs="Arial" w:eastAsia="Arial" w:hAnsi="Arial"/>
          <w:sz w:val="21"/>
          <w:szCs w:val="21"/>
          <w:color w:val="auto"/>
        </w:rPr>
        <w:t>and (b) to the extent invoiced, all fees and other amounts due and payable on or prior to the Effective Date, including all reasonable out-of-pocket expenses required to be reimbursed or paid by the Borrower under the Credit Agreement.</w:t>
      </w:r>
    </w:p>
    <w:p>
      <w:pPr>
        <w:spacing w:after="0" w:line="151" w:lineRule="exact"/>
        <w:rPr>
          <w:sz w:val="20"/>
          <w:szCs w:val="20"/>
          <w:color w:val="auto"/>
        </w:rPr>
      </w:pPr>
    </w:p>
    <w:p>
      <w:pPr>
        <w:jc w:val="both"/>
        <w:ind w:left="80" w:firstLine="648"/>
        <w:spacing w:after="0" w:line="251" w:lineRule="auto"/>
        <w:rPr>
          <w:sz w:val="20"/>
          <w:szCs w:val="20"/>
          <w:color w:val="auto"/>
        </w:rPr>
      </w:pPr>
      <w:r>
        <w:rPr>
          <w:rFonts w:ascii="Arial" w:cs="Arial" w:eastAsia="Arial" w:hAnsi="Arial"/>
          <w:sz w:val="22"/>
          <w:szCs w:val="22"/>
          <w:color w:val="auto"/>
        </w:rPr>
        <w:t>3.4 No Default or Event of Default shall have occurred and be continuing as of the date hereof, after giving effect to the terms of this Amendment.</w:t>
      </w:r>
    </w:p>
    <w:p>
      <w:pPr>
        <w:spacing w:after="0" w:line="173" w:lineRule="exact"/>
        <w:rPr>
          <w:sz w:val="20"/>
          <w:szCs w:val="20"/>
          <w:color w:val="auto"/>
        </w:rPr>
      </w:pPr>
    </w:p>
    <w:p>
      <w:pPr>
        <w:jc w:val="both"/>
        <w:ind w:left="80" w:firstLine="648"/>
        <w:spacing w:after="0" w:line="249" w:lineRule="auto"/>
        <w:rPr>
          <w:sz w:val="20"/>
          <w:szCs w:val="20"/>
          <w:color w:val="auto"/>
        </w:rPr>
      </w:pPr>
      <w:r>
        <w:rPr>
          <w:rFonts w:ascii="Arial" w:cs="Arial" w:eastAsia="Arial" w:hAnsi="Arial"/>
          <w:sz w:val="21"/>
          <w:szCs w:val="21"/>
          <w:color w:val="auto"/>
        </w:rPr>
        <w:t xml:space="preserve">3.5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Amendment, the condition set forth in this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shall be deemed to be satisfied).</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If one or more of the conditions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has not been satisfied on or before October 31, 2018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this Amendment shall automatically terminate on the Termination Date and shall be of no force or effect.</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6" w:lineRule="exact"/>
        <w:rPr>
          <w:sz w:val="20"/>
          <w:szCs w:val="20"/>
          <w:color w:val="auto"/>
        </w:rPr>
      </w:pPr>
    </w:p>
    <w:p>
      <w:pPr>
        <w:jc w:val="both"/>
        <w:ind w:left="80" w:firstLine="648"/>
        <w:spacing w:after="0" w:line="272" w:lineRule="auto"/>
        <w:rPr>
          <w:sz w:val="20"/>
          <w:szCs w:val="20"/>
          <w:color w:val="auto"/>
        </w:rPr>
      </w:pPr>
      <w:r>
        <w:rPr>
          <w:rFonts w:ascii="Arial" w:cs="Arial" w:eastAsia="Arial" w:hAnsi="Arial"/>
          <w:sz w:val="19"/>
          <w:szCs w:val="19"/>
          <w:color w:val="auto"/>
        </w:rPr>
        <w:t>6.1 (a) On and after the effectiveness of this Amendment, each reference in the Credit Agreement to “this Agreement”, “hereunder”, “hereof” or words of like import referring to the Credit Agreement, and each reference in each other Credit Document to “the Credit Agreement”, “thereunder”, “thereof” or words of like import referring to the Credit Agreement, shall mean and be a reference to the Credit Agreement as amended or otherwise modified by this Amendment; (b) the execution, delivery and effectiveness of this Amendment shall not, except as expressly provided herein, operate as a waiver of any default of the Borrower or any right, power or remedy of the Administrative Agent or the Lenders under any of the Credit Documents, nor constitute a waiver of any provision of any of the Credit Documents; (c) this Amendment may be executed in any number of counterparts, all of which taken together shall constitute one and the same instrument and any of the parties hereto may execute this Agreement by signing any such counterpart; (d) delivery of an executed counterpart of a signature page to this Amendment by telecopier or electronic mail shall be effective as delivery of a manually executed counterpart of this Amendment; and (e) unless otherwise specified, each Lender’s executed signature page to this Amendment constitutes such Lender’s signature in all its capacities under the Credit Agreement.</w:t>
      </w:r>
    </w:p>
    <w:p>
      <w:pPr>
        <w:spacing w:after="0" w:line="200" w:lineRule="exact"/>
        <w:rPr>
          <w:sz w:val="20"/>
          <w:szCs w:val="20"/>
          <w:color w:val="auto"/>
        </w:rPr>
      </w:pPr>
    </w:p>
    <w:p>
      <w:pPr>
        <w:spacing w:after="0" w:line="209" w:lineRule="exact"/>
        <w:rPr>
          <w:sz w:val="20"/>
          <w:szCs w:val="20"/>
          <w:color w:val="auto"/>
        </w:rPr>
      </w:pPr>
    </w:p>
    <w:p>
      <w:pPr>
        <w:jc w:val="both"/>
        <w:ind w:left="80" w:firstLine="648"/>
        <w:spacing w:after="0" w:line="236" w:lineRule="auto"/>
        <w:rPr>
          <w:sz w:val="20"/>
          <w:szCs w:val="20"/>
          <w:color w:val="auto"/>
        </w:rPr>
      </w:pPr>
      <w:r>
        <w:rPr>
          <w:rFonts w:ascii="Arial" w:cs="Arial" w:eastAsia="Arial" w:hAnsi="Arial"/>
          <w:sz w:val="22"/>
          <w:szCs w:val="22"/>
          <w:color w:val="auto"/>
        </w:rPr>
        <w:t>6.2 Neither the execution by the Administrative Agent or the Lenders of this Amendment, nor any other act or omission by the Administrative Agent or the Lenders or their officers in connection herewith, shall be deemed a waiver by the Administrative Agent or the Lenders of any defaults which may exist or which may occur in the future under the Credit Agreement and/or the other Credit Documents (collectively “</w:t>
      </w:r>
      <w:r>
        <w:rPr>
          <w:rFonts w:ascii="Arial" w:cs="Arial" w:eastAsia="Arial" w:hAnsi="Arial"/>
          <w:sz w:val="22"/>
          <w:szCs w:val="22"/>
          <w:u w:val="single" w:color="auto"/>
          <w:color w:val="auto"/>
        </w:rPr>
        <w:t>Violations</w:t>
      </w:r>
      <w:r>
        <w:rPr>
          <w:rFonts w:ascii="Arial" w:cs="Arial" w:eastAsia="Arial" w:hAnsi="Arial"/>
          <w:sz w:val="22"/>
          <w:szCs w:val="22"/>
          <w:color w:val="auto"/>
        </w:rPr>
        <w:t>”). Similarly, nothing contained in this Amendment shall directly or indirectly in any way whatsoever either: (a)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18" w:right="239" w:bottom="1440" w:gutter="0" w:footer="0" w:header="0"/>
        </w:sectPr>
      </w:pPr>
    </w:p>
    <w:bookmarkStart w:id="10" w:name="page11"/>
    <w:bookmarkEnd w:id="10"/>
    <w:p>
      <w:pPr>
        <w:jc w:val="both"/>
        <w:spacing w:after="0" w:line="234" w:lineRule="auto"/>
        <w:rPr>
          <w:sz w:val="20"/>
          <w:szCs w:val="20"/>
          <w:color w:val="auto"/>
        </w:rPr>
      </w:pPr>
      <w:r>
        <w:rPr>
          <w:rFonts w:ascii="Arial" w:cs="Arial" w:eastAsia="Arial" w:hAnsi="Arial"/>
          <w:sz w:val="22"/>
          <w:szCs w:val="22"/>
          <w:color w:val="auto"/>
        </w:rPr>
        <w:t>impair, prejudice or otherwise adversely affect the Administrative Agent’s or the Lenders’ right at any time to exercise any right, privilege or remedy in connection with the Credit Documents with respect to any Violations; (b) except for the amendments set forth herein, amend or alter any provision of the Credit Agreement, the other Credit Documents, or any other contract or instrument; or (c) constitute any course of dealing or other basis for altering any obligation of the Borrower or any right, privilege or remedy of the Administrative Agent or the Lenders under the Credit Agreement, the other Credit Documents, or any other contract or instrument. Nothing in this letter shall be construed to be a consent by the Administrative Agent or the Lenders to any Violations.</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6.3 The Borrower and each Guarantor hereby (a) acknowledges the terms of this Amendment; (b) ratifies and affirms its obligations under, and acknowledges, renews and extends its continued liability under, each Credit Document to which it is a party and agrees that each Credit Document to which it is a party remains in full force and effect, except as expressly amended or modified hereby; and (c) represents and warrants to the Lenders that as of the Effective Date, after giving effect to the terms of this Amendment: (i) all of the representations and warranties contained in each Credit Document to which it is a party are true and correct in all material respects (unless already qualified by materiality in which case such applicable representation and warranty shall be true and correct), except to the extent any such representations and warranties are expressly limited to an earlier date, in which case, such representations and warranties shall continue to be true and correct in all material respects (unless already qualified by materiality in which case such applicable representation and warranty shall be true and correct) as of such specified earlier date, and (ii) no Default or Event of Default has occurred and is continuing.</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6.4 The Borrower represents and warrants that it does not qualify as a “legal entity customer” under the Beneficial Ownership Regulation as of the date hereof and will not so qualify as of the Effective Date, and the parties hereto accordingly acknowledge and agree that no Beneficial Ownership Certification will be delivered in connection with this Amendment.</w:t>
      </w:r>
    </w:p>
    <w:p>
      <w:pPr>
        <w:spacing w:after="0" w:line="13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6.5 This Amendment is a Credit Document as defined and described in the Credit Agreement and all of the terms and provisions of the Credit Agreement relating to Credit Documents shall apply hereto.</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6.6 THE CREDIT AGREEMENT AND THE OTHER CREDIT DOCUMENTS, INCLUDING THIS AMENDMENT, embody the entire agreement and understanding between the parties and supersede all other agreements and understandings between such parties relating to the subject matter hereof and thereof AND MAY NOT BE CONTRADICTED BY EVIDENCE OF PRIOR, CONTEMPORANEOUS OR SUBSEQUENT ORAL AGREEMENTS OF THE PARTIES. THERE ARE NO UNWRITTEN ORAL AGREEMENTS BETWEEN THE PARTIES.</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9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40"/>
          </w:cols>
          <w:pgMar w:left="320" w:top="618" w:right="239" w:bottom="1440" w:gutter="0" w:footer="0" w:header="0"/>
        </w:sectPr>
      </w:pPr>
    </w:p>
    <w:bookmarkStart w:id="11" w:name="page12"/>
    <w:bookmarkEnd w:id="1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by their officers thereunto duly authorized as of the date first above written.</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00" w:type="dxa"/>
            <w:vAlign w:val="bottom"/>
          </w:tcPr>
          <w:p>
            <w:pPr>
              <w:spacing w:after="0"/>
              <w:rPr>
                <w:sz w:val="20"/>
                <w:szCs w:val="20"/>
                <w:color w:val="auto"/>
              </w:rPr>
            </w:pPr>
            <w:r>
              <w:rPr>
                <w:rFonts w:ascii="Arial" w:cs="Arial" w:eastAsia="Arial" w:hAnsi="Arial"/>
                <w:sz w:val="22"/>
                <w:szCs w:val="22"/>
                <w:b w:val="1"/>
                <w:bCs w:val="1"/>
                <w:color w:val="auto"/>
              </w:rPr>
              <w:t>BORROWER:</w:t>
            </w:r>
          </w:p>
        </w:tc>
        <w:tc>
          <w:tcPr>
            <w:tcW w:w="7560" w:type="dxa"/>
            <w:vAlign w:val="bottom"/>
            <w:gridSpan w:val="3"/>
          </w:tcPr>
          <w:p>
            <w:pPr>
              <w:ind w:left="1420"/>
              <w:spacing w:after="0"/>
              <w:rPr>
                <w:sz w:val="20"/>
                <w:szCs w:val="20"/>
                <w:color w:val="auto"/>
              </w:rPr>
            </w:pPr>
            <w:r>
              <w:rPr>
                <w:rFonts w:ascii="Arial" w:cs="Arial" w:eastAsia="Arial" w:hAnsi="Arial"/>
                <w:sz w:val="22"/>
                <w:szCs w:val="22"/>
                <w:b w:val="1"/>
                <w:bCs w:val="1"/>
                <w:color w:val="auto"/>
              </w:rPr>
              <w:t>CALIFORNIA RESOURCES CORPORATION</w:t>
            </w:r>
          </w:p>
        </w:tc>
      </w:tr>
      <w:tr>
        <w:trPr>
          <w:trHeight w:val="956"/>
        </w:trPr>
        <w:tc>
          <w:tcPr>
            <w:tcW w:w="2800" w:type="dxa"/>
            <w:vAlign w:val="bottom"/>
          </w:tcPr>
          <w:p>
            <w:pPr>
              <w:spacing w:after="0"/>
              <w:rPr>
                <w:sz w:val="24"/>
                <w:szCs w:val="24"/>
                <w:color w:val="auto"/>
              </w:rPr>
            </w:pPr>
          </w:p>
        </w:tc>
        <w:tc>
          <w:tcPr>
            <w:tcW w:w="2320" w:type="dxa"/>
            <w:vAlign w:val="bottom"/>
          </w:tcPr>
          <w:p>
            <w:pPr>
              <w:ind w:left="1420"/>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340" w:type="dxa"/>
            <w:vAlign w:val="bottom"/>
          </w:tcPr>
          <w:p>
            <w:pPr>
              <w:spacing w:after="0"/>
              <w:rPr>
                <w:sz w:val="24"/>
                <w:szCs w:val="24"/>
                <w:color w:val="auto"/>
              </w:rPr>
            </w:pPr>
          </w:p>
        </w:tc>
      </w:tr>
      <w:tr>
        <w:trPr>
          <w:trHeight w:val="280"/>
        </w:trPr>
        <w:tc>
          <w:tcPr>
            <w:tcW w:w="2800" w:type="dxa"/>
            <w:vAlign w:val="bottom"/>
          </w:tcPr>
          <w:p>
            <w:pPr>
              <w:spacing w:after="0"/>
              <w:rPr>
                <w:sz w:val="24"/>
                <w:szCs w:val="24"/>
                <w:color w:val="auto"/>
              </w:rPr>
            </w:pPr>
          </w:p>
        </w:tc>
        <w:tc>
          <w:tcPr>
            <w:tcW w:w="2320" w:type="dxa"/>
            <w:vAlign w:val="bottom"/>
          </w:tcPr>
          <w:p>
            <w:pPr>
              <w:ind w:left="1420"/>
              <w:spacing w:after="0"/>
              <w:rPr>
                <w:sz w:val="20"/>
                <w:szCs w:val="20"/>
                <w:color w:val="auto"/>
              </w:rPr>
            </w:pPr>
            <w:r>
              <w:rPr>
                <w:rFonts w:ascii="Arial" w:cs="Arial" w:eastAsia="Arial" w:hAnsi="Arial"/>
                <w:sz w:val="22"/>
                <w:szCs w:val="22"/>
                <w:color w:val="auto"/>
              </w:rPr>
              <w:t>Name:</w:t>
            </w:r>
          </w:p>
        </w:tc>
        <w:tc>
          <w:tcPr>
            <w:tcW w:w="5240" w:type="dxa"/>
            <w:vAlign w:val="bottom"/>
            <w:gridSpan w:val="2"/>
          </w:tcPr>
          <w:p>
            <w:pPr>
              <w:ind w:left="20"/>
              <w:spacing w:after="0"/>
              <w:rPr>
                <w:sz w:val="20"/>
                <w:szCs w:val="20"/>
                <w:color w:val="auto"/>
              </w:rPr>
            </w:pPr>
            <w:r>
              <w:rPr>
                <w:rFonts w:ascii="Arial" w:cs="Arial" w:eastAsia="Arial" w:hAnsi="Arial"/>
                <w:sz w:val="22"/>
                <w:szCs w:val="22"/>
                <w:color w:val="auto"/>
              </w:rPr>
              <w:t>Marshall D. Smith</w:t>
            </w:r>
          </w:p>
        </w:tc>
      </w:tr>
      <w:tr>
        <w:trPr>
          <w:trHeight w:val="297"/>
        </w:trPr>
        <w:tc>
          <w:tcPr>
            <w:tcW w:w="2800" w:type="dxa"/>
            <w:vAlign w:val="bottom"/>
          </w:tcPr>
          <w:p>
            <w:pPr>
              <w:spacing w:after="0"/>
              <w:rPr>
                <w:sz w:val="24"/>
                <w:szCs w:val="24"/>
                <w:color w:val="auto"/>
              </w:rPr>
            </w:pPr>
          </w:p>
        </w:tc>
        <w:tc>
          <w:tcPr>
            <w:tcW w:w="2320" w:type="dxa"/>
            <w:vAlign w:val="bottom"/>
          </w:tcPr>
          <w:p>
            <w:pPr>
              <w:ind w:left="1420"/>
              <w:spacing w:after="0"/>
              <w:rPr>
                <w:sz w:val="20"/>
                <w:szCs w:val="20"/>
                <w:color w:val="auto"/>
              </w:rPr>
            </w:pPr>
            <w:r>
              <w:rPr>
                <w:rFonts w:ascii="Arial" w:cs="Arial" w:eastAsia="Arial" w:hAnsi="Arial"/>
                <w:sz w:val="22"/>
                <w:szCs w:val="22"/>
                <w:color w:val="auto"/>
              </w:rPr>
              <w:t>Title:</w:t>
            </w:r>
          </w:p>
        </w:tc>
        <w:tc>
          <w:tcPr>
            <w:tcW w:w="5240" w:type="dxa"/>
            <w:vAlign w:val="bottom"/>
            <w:gridSpan w:val="2"/>
          </w:tcPr>
          <w:p>
            <w:pPr>
              <w:ind w:left="20"/>
              <w:spacing w:after="0"/>
              <w:rPr>
                <w:sz w:val="20"/>
                <w:szCs w:val="20"/>
                <w:color w:val="auto"/>
              </w:rPr>
            </w:pPr>
            <w:r>
              <w:rPr>
                <w:rFonts w:ascii="Arial" w:cs="Arial" w:eastAsia="Arial" w:hAnsi="Arial"/>
                <w:sz w:val="22"/>
                <w:szCs w:val="22"/>
                <w:color w:val="auto"/>
                <w:w w:val="89"/>
              </w:rPr>
              <w:t>Senior Executive Vice President and Chief Financial Officer</w:t>
            </w:r>
          </w:p>
        </w:tc>
      </w:tr>
    </w:tbl>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631" w:right="2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253"/>
        </w:trPr>
        <w:tc>
          <w:tcPr>
            <w:tcW w:w="2920" w:type="dxa"/>
            <w:vAlign w:val="bottom"/>
          </w:tcPr>
          <w:p>
            <w:pPr>
              <w:spacing w:after="0"/>
              <w:rPr>
                <w:sz w:val="20"/>
                <w:szCs w:val="20"/>
                <w:color w:val="auto"/>
              </w:rPr>
            </w:pPr>
            <w:r>
              <w:rPr>
                <w:rFonts w:ascii="Arial" w:cs="Arial" w:eastAsia="Arial" w:hAnsi="Arial"/>
                <w:sz w:val="22"/>
                <w:szCs w:val="22"/>
                <w:b w:val="1"/>
                <w:bCs w:val="1"/>
                <w:color w:val="auto"/>
              </w:rPr>
              <w:t>GUARANTORS:</w:t>
            </w:r>
          </w:p>
        </w:tc>
        <w:tc>
          <w:tcPr>
            <w:tcW w:w="7440" w:type="dxa"/>
            <w:vAlign w:val="bottom"/>
            <w:gridSpan w:val="3"/>
          </w:tcPr>
          <w:p>
            <w:pPr>
              <w:ind w:left="1300"/>
              <w:spacing w:after="0"/>
              <w:rPr>
                <w:sz w:val="20"/>
                <w:szCs w:val="20"/>
                <w:color w:val="auto"/>
              </w:rPr>
            </w:pPr>
            <w:r>
              <w:rPr>
                <w:rFonts w:ascii="Arial" w:cs="Arial" w:eastAsia="Arial" w:hAnsi="Arial"/>
                <w:sz w:val="22"/>
                <w:szCs w:val="22"/>
                <w:b w:val="1"/>
                <w:bCs w:val="1"/>
                <w:color w:val="auto"/>
              </w:rPr>
              <w:t>CALIFORNIA HEAVY OIL, INC.</w:t>
            </w:r>
          </w:p>
        </w:tc>
      </w:tr>
      <w:tr>
        <w:trPr>
          <w:trHeight w:val="243"/>
        </w:trPr>
        <w:tc>
          <w:tcPr>
            <w:tcW w:w="2920" w:type="dxa"/>
            <w:vAlign w:val="bottom"/>
          </w:tcPr>
          <w:p>
            <w:pPr>
              <w:spacing w:after="0"/>
              <w:rPr>
                <w:sz w:val="21"/>
                <w:szCs w:val="21"/>
                <w:color w:val="auto"/>
              </w:rPr>
            </w:pPr>
          </w:p>
        </w:tc>
        <w:tc>
          <w:tcPr>
            <w:tcW w:w="7440" w:type="dxa"/>
            <w:vAlign w:val="bottom"/>
            <w:gridSpan w:val="3"/>
          </w:tcPr>
          <w:p>
            <w:pPr>
              <w:ind w:left="1300"/>
              <w:spacing w:after="0" w:line="243" w:lineRule="exact"/>
              <w:rPr>
                <w:sz w:val="20"/>
                <w:szCs w:val="20"/>
                <w:color w:val="auto"/>
              </w:rPr>
            </w:pPr>
            <w:r>
              <w:rPr>
                <w:rFonts w:ascii="Arial" w:cs="Arial" w:eastAsia="Arial" w:hAnsi="Arial"/>
                <w:sz w:val="22"/>
                <w:szCs w:val="22"/>
                <w:b w:val="1"/>
                <w:bCs w:val="1"/>
                <w:color w:val="auto"/>
              </w:rPr>
              <w:t>CALIFORNIA RESOURCES LONG BEACH, INC.</w:t>
            </w:r>
          </w:p>
        </w:tc>
      </w:tr>
      <w:tr>
        <w:trPr>
          <w:trHeight w:val="243"/>
        </w:trPr>
        <w:tc>
          <w:tcPr>
            <w:tcW w:w="2920" w:type="dxa"/>
            <w:vAlign w:val="bottom"/>
          </w:tcPr>
          <w:p>
            <w:pPr>
              <w:spacing w:after="0"/>
              <w:rPr>
                <w:sz w:val="21"/>
                <w:szCs w:val="21"/>
                <w:color w:val="auto"/>
              </w:rPr>
            </w:pPr>
          </w:p>
        </w:tc>
        <w:tc>
          <w:tcPr>
            <w:tcW w:w="7440" w:type="dxa"/>
            <w:vAlign w:val="bottom"/>
            <w:gridSpan w:val="3"/>
          </w:tcPr>
          <w:p>
            <w:pPr>
              <w:ind w:left="1300"/>
              <w:spacing w:after="0" w:line="243" w:lineRule="exact"/>
              <w:rPr>
                <w:sz w:val="20"/>
                <w:szCs w:val="20"/>
                <w:color w:val="auto"/>
              </w:rPr>
            </w:pPr>
            <w:r>
              <w:rPr>
                <w:rFonts w:ascii="Arial" w:cs="Arial" w:eastAsia="Arial" w:hAnsi="Arial"/>
                <w:sz w:val="22"/>
                <w:szCs w:val="22"/>
                <w:b w:val="1"/>
                <w:bCs w:val="1"/>
                <w:color w:val="auto"/>
              </w:rPr>
              <w:t>CALIFORNIA RESOURCES PETROLEUM CORPORATION</w:t>
            </w:r>
          </w:p>
        </w:tc>
      </w:tr>
      <w:tr>
        <w:trPr>
          <w:trHeight w:val="243"/>
        </w:trPr>
        <w:tc>
          <w:tcPr>
            <w:tcW w:w="2920" w:type="dxa"/>
            <w:vAlign w:val="bottom"/>
          </w:tcPr>
          <w:p>
            <w:pPr>
              <w:spacing w:after="0"/>
              <w:rPr>
                <w:sz w:val="21"/>
                <w:szCs w:val="21"/>
                <w:color w:val="auto"/>
              </w:rPr>
            </w:pPr>
          </w:p>
        </w:tc>
        <w:tc>
          <w:tcPr>
            <w:tcW w:w="7440" w:type="dxa"/>
            <w:vAlign w:val="bottom"/>
            <w:gridSpan w:val="3"/>
          </w:tcPr>
          <w:p>
            <w:pPr>
              <w:ind w:left="1300"/>
              <w:spacing w:after="0" w:line="243" w:lineRule="exact"/>
              <w:rPr>
                <w:sz w:val="20"/>
                <w:szCs w:val="20"/>
                <w:color w:val="auto"/>
              </w:rPr>
            </w:pPr>
            <w:r>
              <w:rPr>
                <w:rFonts w:ascii="Arial" w:cs="Arial" w:eastAsia="Arial" w:hAnsi="Arial"/>
                <w:sz w:val="22"/>
                <w:szCs w:val="22"/>
                <w:b w:val="1"/>
                <w:bCs w:val="1"/>
                <w:color w:val="auto"/>
              </w:rPr>
              <w:t>CALIFORNIA RESOURCES PRODUCTION CORPORATION</w:t>
            </w:r>
          </w:p>
        </w:tc>
      </w:tr>
      <w:tr>
        <w:trPr>
          <w:trHeight w:val="243"/>
        </w:trPr>
        <w:tc>
          <w:tcPr>
            <w:tcW w:w="2920" w:type="dxa"/>
            <w:vAlign w:val="bottom"/>
          </w:tcPr>
          <w:p>
            <w:pPr>
              <w:spacing w:after="0"/>
              <w:rPr>
                <w:sz w:val="21"/>
                <w:szCs w:val="21"/>
                <w:color w:val="auto"/>
              </w:rPr>
            </w:pPr>
          </w:p>
        </w:tc>
        <w:tc>
          <w:tcPr>
            <w:tcW w:w="7440" w:type="dxa"/>
            <w:vAlign w:val="bottom"/>
            <w:gridSpan w:val="3"/>
          </w:tcPr>
          <w:p>
            <w:pPr>
              <w:ind w:left="1300"/>
              <w:spacing w:after="0" w:line="243" w:lineRule="exact"/>
              <w:rPr>
                <w:sz w:val="20"/>
                <w:szCs w:val="20"/>
                <w:color w:val="auto"/>
              </w:rPr>
            </w:pPr>
            <w:r>
              <w:rPr>
                <w:rFonts w:ascii="Arial" w:cs="Arial" w:eastAsia="Arial" w:hAnsi="Arial"/>
                <w:sz w:val="22"/>
                <w:szCs w:val="22"/>
                <w:b w:val="1"/>
                <w:bCs w:val="1"/>
                <w:color w:val="auto"/>
              </w:rPr>
              <w:t>CALIFORNIA RESOURCES TIDELANDS, INC.</w:t>
            </w:r>
          </w:p>
        </w:tc>
      </w:tr>
      <w:tr>
        <w:trPr>
          <w:trHeight w:val="243"/>
        </w:trPr>
        <w:tc>
          <w:tcPr>
            <w:tcW w:w="2920" w:type="dxa"/>
            <w:vAlign w:val="bottom"/>
          </w:tcPr>
          <w:p>
            <w:pPr>
              <w:spacing w:after="0"/>
              <w:rPr>
                <w:sz w:val="21"/>
                <w:szCs w:val="21"/>
                <w:color w:val="auto"/>
              </w:rPr>
            </w:pPr>
          </w:p>
        </w:tc>
        <w:tc>
          <w:tcPr>
            <w:tcW w:w="7440" w:type="dxa"/>
            <w:vAlign w:val="bottom"/>
            <w:gridSpan w:val="3"/>
          </w:tcPr>
          <w:p>
            <w:pPr>
              <w:ind w:left="1300"/>
              <w:spacing w:after="0" w:line="243" w:lineRule="exact"/>
              <w:rPr>
                <w:sz w:val="20"/>
                <w:szCs w:val="20"/>
                <w:color w:val="auto"/>
              </w:rPr>
            </w:pPr>
            <w:r>
              <w:rPr>
                <w:rFonts w:ascii="Arial" w:cs="Arial" w:eastAsia="Arial" w:hAnsi="Arial"/>
                <w:sz w:val="22"/>
                <w:szCs w:val="22"/>
                <w:b w:val="1"/>
                <w:bCs w:val="1"/>
                <w:color w:val="auto"/>
              </w:rPr>
              <w:t>SOUTHERN SAN JOAQUIN PRODUCTION, INC.</w:t>
            </w:r>
          </w:p>
        </w:tc>
      </w:tr>
      <w:tr>
        <w:trPr>
          <w:trHeight w:val="281"/>
        </w:trPr>
        <w:tc>
          <w:tcPr>
            <w:tcW w:w="2920" w:type="dxa"/>
            <w:vAlign w:val="bottom"/>
          </w:tcPr>
          <w:p>
            <w:pPr>
              <w:spacing w:after="0"/>
              <w:rPr>
                <w:sz w:val="24"/>
                <w:szCs w:val="24"/>
                <w:color w:val="auto"/>
              </w:rPr>
            </w:pPr>
          </w:p>
        </w:tc>
        <w:tc>
          <w:tcPr>
            <w:tcW w:w="7440" w:type="dxa"/>
            <w:vAlign w:val="bottom"/>
            <w:gridSpan w:val="3"/>
          </w:tcPr>
          <w:p>
            <w:pPr>
              <w:ind w:left="1300"/>
              <w:spacing w:after="0"/>
              <w:rPr>
                <w:sz w:val="20"/>
                <w:szCs w:val="20"/>
                <w:color w:val="auto"/>
              </w:rPr>
            </w:pPr>
            <w:r>
              <w:rPr>
                <w:rFonts w:ascii="Arial" w:cs="Arial" w:eastAsia="Arial" w:hAnsi="Arial"/>
                <w:sz w:val="22"/>
                <w:szCs w:val="22"/>
                <w:b w:val="1"/>
                <w:bCs w:val="1"/>
                <w:color w:val="auto"/>
              </w:rPr>
              <w:t>THUMS LONG BEACH COMPANY</w:t>
            </w:r>
          </w:p>
        </w:tc>
      </w:tr>
      <w:tr>
        <w:trPr>
          <w:trHeight w:val="956"/>
        </w:trPr>
        <w:tc>
          <w:tcPr>
            <w:tcW w:w="2920" w:type="dxa"/>
            <w:vAlign w:val="bottom"/>
          </w:tcPr>
          <w:p>
            <w:pPr>
              <w:spacing w:after="0"/>
              <w:rPr>
                <w:sz w:val="24"/>
                <w:szCs w:val="24"/>
                <w:color w:val="auto"/>
              </w:rPr>
            </w:pPr>
          </w:p>
        </w:tc>
        <w:tc>
          <w:tcPr>
            <w:tcW w:w="2200" w:type="dxa"/>
            <w:vAlign w:val="bottom"/>
          </w:tcPr>
          <w:p>
            <w:pPr>
              <w:ind w:left="1300"/>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340" w:type="dxa"/>
            <w:vAlign w:val="bottom"/>
          </w:tcPr>
          <w:p>
            <w:pPr>
              <w:spacing w:after="0"/>
              <w:rPr>
                <w:sz w:val="24"/>
                <w:szCs w:val="24"/>
                <w:color w:val="auto"/>
              </w:rPr>
            </w:pPr>
          </w:p>
        </w:tc>
      </w:tr>
      <w:tr>
        <w:trPr>
          <w:trHeight w:val="280"/>
        </w:trPr>
        <w:tc>
          <w:tcPr>
            <w:tcW w:w="2920" w:type="dxa"/>
            <w:vAlign w:val="bottom"/>
          </w:tcPr>
          <w:p>
            <w:pPr>
              <w:spacing w:after="0"/>
              <w:rPr>
                <w:sz w:val="24"/>
                <w:szCs w:val="24"/>
                <w:color w:val="auto"/>
              </w:rPr>
            </w:pPr>
          </w:p>
        </w:tc>
        <w:tc>
          <w:tcPr>
            <w:tcW w:w="2200" w:type="dxa"/>
            <w:vAlign w:val="bottom"/>
          </w:tcPr>
          <w:p>
            <w:pPr>
              <w:ind w:left="1300"/>
              <w:spacing w:after="0"/>
              <w:rPr>
                <w:sz w:val="20"/>
                <w:szCs w:val="20"/>
                <w:color w:val="auto"/>
              </w:rPr>
            </w:pPr>
            <w:r>
              <w:rPr>
                <w:rFonts w:ascii="Arial" w:cs="Arial" w:eastAsia="Arial" w:hAnsi="Arial"/>
                <w:sz w:val="22"/>
                <w:szCs w:val="22"/>
                <w:color w:val="auto"/>
              </w:rPr>
              <w:t>Name:</w:t>
            </w:r>
          </w:p>
        </w:tc>
        <w:tc>
          <w:tcPr>
            <w:tcW w:w="5240" w:type="dxa"/>
            <w:vAlign w:val="bottom"/>
            <w:gridSpan w:val="2"/>
          </w:tcPr>
          <w:p>
            <w:pPr>
              <w:ind w:left="20"/>
              <w:spacing w:after="0"/>
              <w:rPr>
                <w:sz w:val="20"/>
                <w:szCs w:val="20"/>
                <w:color w:val="auto"/>
              </w:rPr>
            </w:pPr>
            <w:r>
              <w:rPr>
                <w:rFonts w:ascii="Arial" w:cs="Arial" w:eastAsia="Arial" w:hAnsi="Arial"/>
                <w:sz w:val="22"/>
                <w:szCs w:val="22"/>
                <w:color w:val="auto"/>
              </w:rPr>
              <w:t>Marshall D. Smith</w:t>
            </w:r>
          </w:p>
        </w:tc>
      </w:tr>
      <w:tr>
        <w:trPr>
          <w:trHeight w:val="297"/>
        </w:trPr>
        <w:tc>
          <w:tcPr>
            <w:tcW w:w="2920" w:type="dxa"/>
            <w:vAlign w:val="bottom"/>
          </w:tcPr>
          <w:p>
            <w:pPr>
              <w:spacing w:after="0"/>
              <w:rPr>
                <w:sz w:val="24"/>
                <w:szCs w:val="24"/>
                <w:color w:val="auto"/>
              </w:rPr>
            </w:pPr>
          </w:p>
        </w:tc>
        <w:tc>
          <w:tcPr>
            <w:tcW w:w="2200" w:type="dxa"/>
            <w:vAlign w:val="bottom"/>
          </w:tcPr>
          <w:p>
            <w:pPr>
              <w:ind w:left="1300"/>
              <w:spacing w:after="0"/>
              <w:rPr>
                <w:sz w:val="20"/>
                <w:szCs w:val="20"/>
                <w:color w:val="auto"/>
              </w:rPr>
            </w:pPr>
            <w:r>
              <w:rPr>
                <w:rFonts w:ascii="Arial" w:cs="Arial" w:eastAsia="Arial" w:hAnsi="Arial"/>
                <w:sz w:val="22"/>
                <w:szCs w:val="22"/>
                <w:color w:val="auto"/>
              </w:rPr>
              <w:t>Title:</w:t>
            </w:r>
          </w:p>
        </w:tc>
        <w:tc>
          <w:tcPr>
            <w:tcW w:w="5240" w:type="dxa"/>
            <w:vAlign w:val="bottom"/>
            <w:gridSpan w:val="2"/>
          </w:tcPr>
          <w:p>
            <w:pPr>
              <w:ind w:left="20"/>
              <w:spacing w:after="0"/>
              <w:rPr>
                <w:sz w:val="20"/>
                <w:szCs w:val="20"/>
                <w:color w:val="auto"/>
              </w:rPr>
            </w:pPr>
            <w:r>
              <w:rPr>
                <w:rFonts w:ascii="Arial" w:cs="Arial" w:eastAsia="Arial" w:hAnsi="Arial"/>
                <w:sz w:val="22"/>
                <w:szCs w:val="22"/>
                <w:color w:val="auto"/>
                <w:w w:val="89"/>
              </w:rPr>
              <w:t>Senior Executive Vice President and Chief Financial Officer</w:t>
            </w:r>
          </w:p>
        </w:tc>
      </w:tr>
    </w:tbl>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1019"/>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400"/>
          </w:cols>
          <w:pgMar w:left="240" w:top="764" w:right="1259" w:bottom="1440" w:gutter="0" w:footer="0" w:header="0"/>
        </w:sectPr>
      </w:pPr>
    </w:p>
    <w:bookmarkStart w:id="13" w:name="page14"/>
    <w:bookmarkEnd w:id="13"/>
    <w:p>
      <w:pPr>
        <w:ind w:left="4260"/>
        <w:spacing w:after="0"/>
        <w:rPr>
          <w:sz w:val="20"/>
          <w:szCs w:val="20"/>
          <w:color w:val="auto"/>
        </w:rPr>
      </w:pPr>
      <w:r>
        <w:rPr>
          <w:rFonts w:ascii="Arial" w:cs="Arial" w:eastAsia="Arial" w:hAnsi="Arial"/>
          <w:sz w:val="22"/>
          <w:szCs w:val="22"/>
          <w:b w:val="1"/>
          <w:bCs w:val="1"/>
          <w:color w:val="auto"/>
        </w:rPr>
        <w:t>CALIFORNIA RESOURCES ELK HILLS, LLC</w:t>
      </w:r>
    </w:p>
    <w:p>
      <w:pPr>
        <w:spacing w:after="0" w:line="4"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CRC CONSTRUCTION SERVICES, LLC</w:t>
      </w:r>
    </w:p>
    <w:p>
      <w:pPr>
        <w:ind w:left="4260"/>
        <w:spacing w:after="0" w:line="230" w:lineRule="auto"/>
        <w:rPr>
          <w:sz w:val="20"/>
          <w:szCs w:val="20"/>
          <w:color w:val="auto"/>
        </w:rPr>
      </w:pPr>
      <w:r>
        <w:rPr>
          <w:rFonts w:ascii="Arial" w:cs="Arial" w:eastAsia="Arial" w:hAnsi="Arial"/>
          <w:sz w:val="22"/>
          <w:szCs w:val="22"/>
          <w:b w:val="1"/>
          <w:bCs w:val="1"/>
          <w:color w:val="auto"/>
        </w:rPr>
        <w:t>CRC SERVICES, LLC</w:t>
      </w:r>
    </w:p>
    <w:p>
      <w:pPr>
        <w:ind w:left="4260"/>
        <w:spacing w:after="0" w:line="231" w:lineRule="auto"/>
        <w:rPr>
          <w:sz w:val="20"/>
          <w:szCs w:val="20"/>
          <w:color w:val="auto"/>
        </w:rPr>
      </w:pPr>
      <w:r>
        <w:rPr>
          <w:rFonts w:ascii="Arial" w:cs="Arial" w:eastAsia="Arial" w:hAnsi="Arial"/>
          <w:sz w:val="22"/>
          <w:szCs w:val="22"/>
          <w:b w:val="1"/>
          <w:bCs w:val="1"/>
          <w:color w:val="auto"/>
        </w:rPr>
        <w:t>SOCAL HOLDING, LLC</w:t>
      </w:r>
    </w:p>
    <w:p>
      <w:pPr>
        <w:ind w:left="4260"/>
        <w:spacing w:after="0"/>
        <w:rPr>
          <w:sz w:val="20"/>
          <w:szCs w:val="20"/>
          <w:color w:val="auto"/>
        </w:rPr>
      </w:pPr>
      <w:r>
        <w:rPr>
          <w:rFonts w:ascii="Arial" w:cs="Arial" w:eastAsia="Arial" w:hAnsi="Arial"/>
          <w:sz w:val="22"/>
          <w:szCs w:val="22"/>
          <w:b w:val="1"/>
          <w:bCs w:val="1"/>
          <w:color w:val="auto"/>
        </w:rPr>
        <w:t>CALIFORNIA RESOURCES REAL ESTATE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580" w:type="dxa"/>
            <w:vAlign w:val="bottom"/>
          </w:tcPr>
          <w:p>
            <w:pPr>
              <w:spacing w:after="0"/>
              <w:rPr>
                <w:sz w:val="24"/>
                <w:szCs w:val="24"/>
                <w:color w:val="auto"/>
              </w:rPr>
            </w:pP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480" w:type="dxa"/>
            <w:vAlign w:val="bottom"/>
            <w:gridSpan w:val="2"/>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480" w:type="dxa"/>
            <w:vAlign w:val="bottom"/>
            <w:gridSpan w:val="2"/>
          </w:tcPr>
          <w:p>
            <w:pPr>
              <w:ind w:left="20"/>
              <w:spacing w:after="0"/>
              <w:rPr>
                <w:sz w:val="20"/>
                <w:szCs w:val="20"/>
                <w:color w:val="auto"/>
              </w:rPr>
            </w:pPr>
            <w:r>
              <w:rPr>
                <w:rFonts w:ascii="Arial" w:cs="Arial" w:eastAsia="Arial" w:hAnsi="Arial"/>
                <w:sz w:val="22"/>
                <w:szCs w:val="22"/>
                <w:color w:val="auto"/>
                <w:w w:val="90"/>
              </w:rPr>
              <w:t>Senior Executive Vice President and Chief Financial Officer of</w:t>
            </w:r>
          </w:p>
        </w:tc>
      </w:tr>
      <w:tr>
        <w:trPr>
          <w:trHeight w:val="275"/>
        </w:trPr>
        <w:tc>
          <w:tcPr>
            <w:tcW w:w="900" w:type="dxa"/>
            <w:vAlign w:val="bottom"/>
          </w:tcPr>
          <w:p>
            <w:pPr>
              <w:spacing w:after="0"/>
              <w:rPr>
                <w:sz w:val="23"/>
                <w:szCs w:val="23"/>
                <w:color w:val="auto"/>
              </w:rPr>
            </w:pPr>
          </w:p>
        </w:tc>
        <w:tc>
          <w:tcPr>
            <w:tcW w:w="5480" w:type="dxa"/>
            <w:vAlign w:val="bottom"/>
            <w:gridSpan w:val="2"/>
          </w:tcPr>
          <w:p>
            <w:pPr>
              <w:ind w:left="20"/>
              <w:spacing w:after="0"/>
              <w:rPr>
                <w:sz w:val="20"/>
                <w:szCs w:val="20"/>
                <w:color w:val="auto"/>
              </w:rPr>
            </w:pPr>
            <w:r>
              <w:rPr>
                <w:rFonts w:ascii="Arial" w:cs="Arial" w:eastAsia="Arial" w:hAnsi="Arial"/>
                <w:sz w:val="22"/>
                <w:szCs w:val="22"/>
                <w:color w:val="auto"/>
              </w:rPr>
              <w:t>California Resources Corporation, its Sole Member</w:t>
            </w:r>
          </w:p>
        </w:tc>
      </w:tr>
    </w:tbl>
    <w:p>
      <w:pPr>
        <w:spacing w:after="0" w:line="243" w:lineRule="exact"/>
        <w:rPr>
          <w:sz w:val="20"/>
          <w:szCs w:val="20"/>
          <w:color w:val="auto"/>
        </w:rPr>
      </w:pPr>
    </w:p>
    <w:p>
      <w:pPr>
        <w:jc w:val="center"/>
        <w:ind w:right="-779"/>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779"/>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640"/>
          </w:cols>
          <w:pgMar w:left="240" w:top="774" w:right="1019" w:bottom="1440" w:gutter="0" w:footer="0" w:header="0"/>
        </w:sectPr>
      </w:pPr>
    </w:p>
    <w:bookmarkStart w:id="14" w:name="page15"/>
    <w:bookmarkEnd w:id="14"/>
    <w:p>
      <w:pPr>
        <w:ind w:left="4260"/>
        <w:spacing w:after="0"/>
        <w:rPr>
          <w:sz w:val="20"/>
          <w:szCs w:val="20"/>
          <w:color w:val="auto"/>
        </w:rPr>
      </w:pPr>
      <w:r>
        <w:rPr>
          <w:rFonts w:ascii="Arial" w:cs="Arial" w:eastAsia="Arial" w:hAnsi="Arial"/>
          <w:sz w:val="22"/>
          <w:szCs w:val="22"/>
          <w:b w:val="1"/>
          <w:bCs w:val="1"/>
          <w:color w:val="auto"/>
        </w:rPr>
        <w:t>CALIFORNIA RESOURCES WILMINGTON ,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c>
          <w:tcPr>
            <w:tcW w:w="580" w:type="dxa"/>
            <w:vAlign w:val="bottom"/>
          </w:tcPr>
          <w:p>
            <w:pPr>
              <w:spacing w:after="0"/>
              <w:rPr>
                <w:sz w:val="24"/>
                <w:szCs w:val="24"/>
                <w:color w:val="auto"/>
              </w:rPr>
            </w:pP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480" w:type="dxa"/>
            <w:vAlign w:val="bottom"/>
            <w:gridSpan w:val="2"/>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480" w:type="dxa"/>
            <w:vAlign w:val="bottom"/>
            <w:gridSpan w:val="2"/>
          </w:tcPr>
          <w:p>
            <w:pPr>
              <w:ind w:left="20"/>
              <w:spacing w:after="0"/>
              <w:rPr>
                <w:sz w:val="20"/>
                <w:szCs w:val="20"/>
                <w:color w:val="auto"/>
              </w:rPr>
            </w:pPr>
            <w:r>
              <w:rPr>
                <w:rFonts w:ascii="Arial" w:cs="Arial" w:eastAsia="Arial" w:hAnsi="Arial"/>
                <w:sz w:val="22"/>
                <w:szCs w:val="22"/>
                <w:color w:val="auto"/>
                <w:w w:val="90"/>
              </w:rPr>
              <w:t>Senior Executive Vice President and Chief Financial Officer of</w:t>
            </w:r>
          </w:p>
        </w:tc>
      </w:tr>
      <w:tr>
        <w:trPr>
          <w:trHeight w:val="275"/>
        </w:trPr>
        <w:tc>
          <w:tcPr>
            <w:tcW w:w="900" w:type="dxa"/>
            <w:vAlign w:val="bottom"/>
          </w:tcPr>
          <w:p>
            <w:pPr>
              <w:spacing w:after="0"/>
              <w:rPr>
                <w:sz w:val="23"/>
                <w:szCs w:val="23"/>
                <w:color w:val="auto"/>
              </w:rPr>
            </w:pPr>
          </w:p>
        </w:tc>
        <w:tc>
          <w:tcPr>
            <w:tcW w:w="5480" w:type="dxa"/>
            <w:vAlign w:val="bottom"/>
            <w:gridSpan w:val="2"/>
          </w:tcPr>
          <w:p>
            <w:pPr>
              <w:ind w:left="20"/>
              <w:spacing w:after="0"/>
              <w:rPr>
                <w:sz w:val="20"/>
                <w:szCs w:val="20"/>
                <w:color w:val="auto"/>
              </w:rPr>
            </w:pPr>
            <w:r>
              <w:rPr>
                <w:rFonts w:ascii="Arial" w:cs="Arial" w:eastAsia="Arial" w:hAnsi="Arial"/>
                <w:sz w:val="22"/>
                <w:szCs w:val="22"/>
                <w:color w:val="auto"/>
              </w:rPr>
              <w:t>California Resources Corporation, its Sole Member</w:t>
            </w:r>
          </w:p>
        </w:tc>
      </w:tr>
    </w:tbl>
    <w:p>
      <w:pPr>
        <w:spacing w:after="0" w:line="243" w:lineRule="exact"/>
        <w:rPr>
          <w:sz w:val="20"/>
          <w:szCs w:val="20"/>
          <w:color w:val="auto"/>
        </w:rPr>
      </w:pPr>
    </w:p>
    <w:p>
      <w:pPr>
        <w:jc w:val="center"/>
        <w:ind w:right="-779"/>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779"/>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640"/>
          </w:cols>
          <w:pgMar w:left="240" w:top="774" w:right="1019" w:bottom="1440" w:gutter="0" w:footer="0" w:header="0"/>
        </w:sectPr>
      </w:pPr>
    </w:p>
    <w:bookmarkStart w:id="15" w:name="page16"/>
    <w:bookmarkEnd w:id="15"/>
    <w:p>
      <w:pPr>
        <w:ind w:left="4260"/>
        <w:spacing w:after="0"/>
        <w:rPr>
          <w:sz w:val="20"/>
          <w:szCs w:val="20"/>
          <w:color w:val="auto"/>
        </w:rPr>
      </w:pPr>
      <w:r>
        <w:rPr>
          <w:rFonts w:ascii="Arial" w:cs="Arial" w:eastAsia="Arial" w:hAnsi="Arial"/>
          <w:sz w:val="22"/>
          <w:szCs w:val="22"/>
          <w:b w:val="1"/>
          <w:bCs w:val="1"/>
          <w:color w:val="auto"/>
        </w:rPr>
        <w:t>CRC MARKETING,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Danial Adam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Danial Adam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Assistant Secretary</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219"/>
          </w:cols>
          <w:pgMar w:left="240" w:top="774" w:right="1440" w:bottom="1440" w:gutter="0" w:footer="0" w:header="0"/>
        </w:sectPr>
      </w:pPr>
    </w:p>
    <w:bookmarkStart w:id="16" w:name="page17"/>
    <w:bookmarkEnd w:id="16"/>
    <w:p>
      <w:pPr>
        <w:ind w:left="4260"/>
        <w:spacing w:after="0"/>
        <w:rPr>
          <w:sz w:val="20"/>
          <w:szCs w:val="20"/>
          <w:color w:val="auto"/>
        </w:rPr>
      </w:pPr>
      <w:r>
        <w:rPr>
          <w:rFonts w:ascii="Arial" w:cs="Arial" w:eastAsia="Arial" w:hAnsi="Arial"/>
          <w:sz w:val="22"/>
          <w:szCs w:val="22"/>
          <w:b w:val="1"/>
          <w:bCs w:val="1"/>
          <w:color w:val="auto"/>
        </w:rPr>
        <w:t>TIDELANDS OIL PRODUCTION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Ivan Gaydarov</w:t>
            </w:r>
          </w:p>
        </w:tc>
        <w:tc>
          <w:tcPr>
            <w:tcW w:w="1120" w:type="dxa"/>
            <w:vAlign w:val="bottom"/>
          </w:tcPr>
          <w:p>
            <w:pPr>
              <w:spacing w:after="0"/>
              <w:rPr>
                <w:sz w:val="24"/>
                <w:szCs w:val="24"/>
                <w:color w:val="auto"/>
              </w:rPr>
            </w:pP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6020" w:type="dxa"/>
            <w:vAlign w:val="bottom"/>
            <w:gridSpan w:val="2"/>
          </w:tcPr>
          <w:p>
            <w:pPr>
              <w:ind w:left="20"/>
              <w:spacing w:after="0"/>
              <w:rPr>
                <w:sz w:val="20"/>
                <w:szCs w:val="20"/>
                <w:color w:val="auto"/>
              </w:rPr>
            </w:pPr>
            <w:r>
              <w:rPr>
                <w:rFonts w:ascii="Arial" w:cs="Arial" w:eastAsia="Arial" w:hAnsi="Arial"/>
                <w:sz w:val="22"/>
                <w:szCs w:val="22"/>
                <w:color w:val="auto"/>
              </w:rPr>
              <w:t>Ivan Gaydarov</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6020" w:type="dxa"/>
            <w:vAlign w:val="bottom"/>
            <w:gridSpan w:val="2"/>
          </w:tcPr>
          <w:p>
            <w:pPr>
              <w:ind w:left="20"/>
              <w:spacing w:after="0"/>
              <w:rPr>
                <w:sz w:val="20"/>
                <w:szCs w:val="20"/>
                <w:color w:val="auto"/>
              </w:rPr>
            </w:pPr>
            <w:r>
              <w:rPr>
                <w:rFonts w:ascii="Arial" w:cs="Arial" w:eastAsia="Arial" w:hAnsi="Arial"/>
                <w:sz w:val="22"/>
                <w:szCs w:val="22"/>
                <w:color w:val="auto"/>
                <w:w w:val="88"/>
              </w:rPr>
              <w:t>Vice President and Treasurer of California Resources Tidelands, Inc.,</w:t>
            </w:r>
          </w:p>
        </w:tc>
      </w:tr>
      <w:tr>
        <w:trPr>
          <w:trHeight w:val="275"/>
        </w:trPr>
        <w:tc>
          <w:tcPr>
            <w:tcW w:w="900" w:type="dxa"/>
            <w:vAlign w:val="bottom"/>
          </w:tcPr>
          <w:p>
            <w:pPr>
              <w:spacing w:after="0"/>
              <w:rPr>
                <w:sz w:val="23"/>
                <w:szCs w:val="23"/>
                <w:color w:val="auto"/>
              </w:rPr>
            </w:pPr>
          </w:p>
        </w:tc>
        <w:tc>
          <w:tcPr>
            <w:tcW w:w="6020" w:type="dxa"/>
            <w:vAlign w:val="bottom"/>
            <w:gridSpan w:val="2"/>
          </w:tcPr>
          <w:p>
            <w:pPr>
              <w:ind w:left="20"/>
              <w:spacing w:after="0"/>
              <w:rPr>
                <w:sz w:val="20"/>
                <w:szCs w:val="20"/>
                <w:color w:val="auto"/>
              </w:rPr>
            </w:pPr>
            <w:r>
              <w:rPr>
                <w:rFonts w:ascii="Arial" w:cs="Arial" w:eastAsia="Arial" w:hAnsi="Arial"/>
                <w:sz w:val="22"/>
                <w:szCs w:val="22"/>
                <w:color w:val="auto"/>
              </w:rPr>
              <w:t>its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020"/>
        <w:spacing w:after="0"/>
        <w:rPr>
          <w:sz w:val="20"/>
          <w:szCs w:val="20"/>
          <w:color w:val="auto"/>
        </w:rPr>
      </w:pPr>
      <w:r>
        <w:rPr>
          <w:rFonts w:ascii="Arial" w:cs="Arial" w:eastAsia="Arial" w:hAnsi="Arial"/>
          <w:sz w:val="22"/>
          <w:szCs w:val="22"/>
          <w:b w:val="1"/>
          <w:bCs w:val="1"/>
          <w:color w:val="auto"/>
        </w:rPr>
        <w:t>CALIFORNIA RESOURCES COLES LEVEE,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Ivan Gaydarov</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Ivan Gaydarov</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CALIFORNIA RESOURCES COLES LEVEE,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26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Ivan Gaydarov</w:t>
            </w:r>
          </w:p>
        </w:tc>
        <w:tc>
          <w:tcPr>
            <w:tcW w:w="900" w:type="dxa"/>
            <w:vAlign w:val="bottom"/>
          </w:tcPr>
          <w:p>
            <w:pPr>
              <w:spacing w:after="0"/>
              <w:rPr>
                <w:sz w:val="24"/>
                <w:szCs w:val="24"/>
                <w:color w:val="auto"/>
              </w:rPr>
            </w:pP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Ivan Gaydarov</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800" w:type="dxa"/>
            <w:vAlign w:val="bottom"/>
            <w:gridSpan w:val="2"/>
          </w:tcPr>
          <w:p>
            <w:pPr>
              <w:ind w:left="20"/>
              <w:spacing w:after="0"/>
              <w:rPr>
                <w:sz w:val="20"/>
                <w:szCs w:val="20"/>
                <w:color w:val="auto"/>
              </w:rPr>
            </w:pPr>
            <w:r>
              <w:rPr>
                <w:rFonts w:ascii="Arial" w:cs="Arial" w:eastAsia="Arial" w:hAnsi="Arial"/>
                <w:sz w:val="22"/>
                <w:szCs w:val="22"/>
                <w:color w:val="auto"/>
                <w:w w:val="87"/>
              </w:rPr>
              <w:t>Vice President and Treasurer of California Resources Coles Levee,</w:t>
            </w:r>
          </w:p>
        </w:tc>
      </w:tr>
      <w:tr>
        <w:trPr>
          <w:trHeight w:val="275"/>
        </w:trPr>
        <w:tc>
          <w:tcPr>
            <w:tcW w:w="900" w:type="dxa"/>
            <w:vAlign w:val="bottom"/>
          </w:tcPr>
          <w:p>
            <w:pPr>
              <w:spacing w:after="0"/>
              <w:rPr>
                <w:sz w:val="23"/>
                <w:szCs w:val="23"/>
                <w:color w:val="auto"/>
              </w:rPr>
            </w:pPr>
          </w:p>
        </w:tc>
        <w:tc>
          <w:tcPr>
            <w:tcW w:w="5800" w:type="dxa"/>
            <w:vAlign w:val="bottom"/>
            <w:gridSpan w:val="2"/>
          </w:tcPr>
          <w:p>
            <w:pPr>
              <w:ind w:left="20"/>
              <w:spacing w:after="0"/>
              <w:rPr>
                <w:sz w:val="20"/>
                <w:szCs w:val="20"/>
                <w:color w:val="auto"/>
              </w:rPr>
            </w:pPr>
            <w:r>
              <w:rPr>
                <w:rFonts w:ascii="Arial" w:cs="Arial" w:eastAsia="Arial" w:hAnsi="Arial"/>
                <w:sz w:val="22"/>
                <w:szCs w:val="22"/>
                <w:color w:val="auto"/>
              </w:rPr>
              <w:t>LLC, its General Partner</w:t>
            </w:r>
          </w:p>
        </w:tc>
      </w:tr>
    </w:tbl>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180"/>
          </w:cols>
          <w:pgMar w:left="240" w:top="774" w:right="479" w:bottom="1440" w:gutter="0" w:footer="0" w:header="0"/>
        </w:sectPr>
      </w:pPr>
    </w:p>
    <w:bookmarkStart w:id="17" w:name="page18"/>
    <w:bookmarkEnd w:id="17"/>
    <w:p>
      <w:pPr>
        <w:ind w:left="5640"/>
        <w:spacing w:after="0"/>
        <w:rPr>
          <w:sz w:val="20"/>
          <w:szCs w:val="20"/>
          <w:color w:val="auto"/>
        </w:rPr>
      </w:pPr>
      <w:r>
        <w:rPr>
          <w:rFonts w:ascii="Arial" w:cs="Arial" w:eastAsia="Arial" w:hAnsi="Arial"/>
          <w:sz w:val="21"/>
          <w:szCs w:val="21"/>
          <w:b w:val="1"/>
          <w:bCs w:val="1"/>
          <w:color w:val="auto"/>
        </w:rPr>
        <w:t>JPMORGAN CHASE BANK, N.A.</w:t>
      </w:r>
      <w:r>
        <w:rPr>
          <w:rFonts w:ascii="Arial" w:cs="Arial" w:eastAsia="Arial" w:hAnsi="Arial"/>
          <w:sz w:val="21"/>
          <w:szCs w:val="21"/>
          <w:color w:val="auto"/>
        </w:rPr>
        <w:t>, as Administrative Agent</w:t>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and Lender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Benjamin MacDonald</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BENJAMIN MACDONALD</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18" w:name="page19"/>
    <w:bookmarkEnd w:id="18"/>
    <w:p>
      <w:pPr>
        <w:ind w:left="5640"/>
        <w:spacing w:after="0"/>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as Syndication Agent, Letter of</w:t>
      </w:r>
    </w:p>
    <w:p>
      <w:pPr>
        <w:spacing w:after="0" w:line="49"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Credit Issuer, Swingline Lender, and as Revolving Lender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Edna Aguilar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Name:</w:t>
        <w:tab/>
        <w:t>Edna Aguilar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58"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080"/>
          </w:cols>
          <w:pgMar w:left="240" w:top="774" w:right="579" w:bottom="1440" w:gutter="0" w:footer="0" w:header="0"/>
        </w:sectPr>
      </w:pPr>
    </w:p>
    <w:bookmarkStart w:id="19" w:name="page20"/>
    <w:bookmarkEnd w:id="19"/>
    <w:p>
      <w:pPr>
        <w:ind w:left="5640"/>
        <w:spacing w:after="0"/>
        <w:rPr>
          <w:sz w:val="20"/>
          <w:szCs w:val="20"/>
          <w:color w:val="auto"/>
        </w:rPr>
      </w:pPr>
      <w:r>
        <w:rPr>
          <w:rFonts w:ascii="Arial" w:cs="Arial" w:eastAsia="Arial" w:hAnsi="Arial"/>
          <w:sz w:val="22"/>
          <w:szCs w:val="22"/>
          <w:b w:val="1"/>
          <w:bCs w:val="1"/>
          <w:color w:val="auto"/>
        </w:rPr>
        <w:t xml:space="preserve">CITIBANK, N.A., </w:t>
      </w:r>
      <w:r>
        <w:rPr>
          <w:rFonts w:ascii="Arial" w:cs="Arial" w:eastAsia="Arial" w:hAnsi="Arial"/>
          <w:sz w:val="22"/>
          <w:szCs w:val="22"/>
          <w:color w:val="auto"/>
        </w:rPr>
        <w:t>as Documentation Agent, Letter of Credit</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Issuer, Revolving Lender and Term Loan Lender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Eamon Baqui</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Eamon Baqui</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Vice President</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20" w:name="page21"/>
    <w:bookmarkEnd w:id="20"/>
    <w:p>
      <w:pPr>
        <w:ind w:left="5640"/>
        <w:spacing w:after="0"/>
        <w:rPr>
          <w:sz w:val="20"/>
          <w:szCs w:val="20"/>
          <w:color w:val="auto"/>
        </w:rPr>
      </w:pPr>
      <w:r>
        <w:rPr>
          <w:rFonts w:ascii="Arial" w:cs="Arial" w:eastAsia="Arial" w:hAnsi="Arial"/>
          <w:sz w:val="22"/>
          <w:szCs w:val="22"/>
          <w:b w:val="1"/>
          <w:bCs w:val="1"/>
          <w:color w:val="auto"/>
        </w:rPr>
        <w:t xml:space="preserve">WELLS FARGO BANK, NATIONAL ASSOCIATION, </w:t>
      </w:r>
      <w:r>
        <w:rPr>
          <w:rFonts w:ascii="Arial" w:cs="Arial" w:eastAsia="Arial" w:hAnsi="Arial"/>
          <w:sz w:val="22"/>
          <w:szCs w:val="22"/>
          <w:color w:val="auto"/>
        </w:rPr>
        <w:t>as</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Documentation Agent, Letter of Credit Issuer, Revolving Lender</w:t>
      </w:r>
    </w:p>
    <w:p>
      <w:pPr>
        <w:spacing w:after="0" w:line="25"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and Term Loan Lender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A. Tribolet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Name:</w:t>
        <w:tab/>
        <w:t>Michael A. Tribolet</w:t>
      </w:r>
    </w:p>
    <w:p>
      <w:pPr>
        <w:spacing w:after="0" w:line="44"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240"/>
          </w:cols>
          <w:pgMar w:left="240" w:top="774" w:right="419" w:bottom="1440" w:gutter="0" w:footer="0" w:header="0"/>
        </w:sectPr>
      </w:pPr>
    </w:p>
    <w:bookmarkStart w:id="21" w:name="page22"/>
    <w:bookmarkEnd w:id="21"/>
    <w:p>
      <w:pPr>
        <w:ind w:left="5640"/>
        <w:spacing w:after="0"/>
        <w:rPr>
          <w:sz w:val="20"/>
          <w:szCs w:val="20"/>
          <w:color w:val="auto"/>
        </w:rPr>
      </w:pPr>
      <w:r>
        <w:rPr>
          <w:rFonts w:ascii="Arial" w:cs="Arial" w:eastAsia="Arial" w:hAnsi="Arial"/>
          <w:sz w:val="21"/>
          <w:szCs w:val="21"/>
          <w:b w:val="1"/>
          <w:bCs w:val="1"/>
          <w:color w:val="auto"/>
        </w:rPr>
        <w:t xml:space="preserve">MUFG Bank, Ltd. </w:t>
      </w:r>
      <w:r>
        <w:rPr>
          <w:rFonts w:ascii="Arial" w:cs="Arial" w:eastAsia="Arial" w:hAnsi="Arial"/>
          <w:sz w:val="21"/>
          <w:szCs w:val="21"/>
          <w:color w:val="auto"/>
        </w:rPr>
        <w:t>(f/k/a The Bank of Tokyo-Mitsubishi UFJ,</w:t>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Ltd.), as a Lender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Sparks</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Kevin Sparks</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22" w:name="page23"/>
    <w:bookmarkEnd w:id="22"/>
    <w:p>
      <w:pPr>
        <w:ind w:left="5640"/>
        <w:spacing w:after="0"/>
        <w:rPr>
          <w:sz w:val="20"/>
          <w:szCs w:val="20"/>
          <w:color w:val="auto"/>
        </w:rPr>
      </w:pPr>
      <w:r>
        <w:rPr>
          <w:rFonts w:ascii="Arial" w:cs="Arial" w:eastAsia="Arial" w:hAnsi="Arial"/>
          <w:sz w:val="22"/>
          <w:szCs w:val="22"/>
          <w:b w:val="1"/>
          <w:bCs w:val="1"/>
          <w:color w:val="auto"/>
        </w:rPr>
        <w:t xml:space="preserve">[LENDER] </w:t>
      </w: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Karen Boyer</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Karen Boyer</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23" w:name="page24"/>
    <w:bookmarkEnd w:id="23"/>
    <w:p>
      <w:pPr>
        <w:ind w:left="5640"/>
        <w:spacing w:after="0"/>
        <w:rPr>
          <w:sz w:val="20"/>
          <w:szCs w:val="20"/>
          <w:color w:val="auto"/>
        </w:rPr>
      </w:pPr>
      <w:r>
        <w:rPr>
          <w:rFonts w:ascii="Arial" w:cs="Arial" w:eastAsia="Arial" w:hAnsi="Arial"/>
          <w:sz w:val="22"/>
          <w:szCs w:val="22"/>
          <w:b w:val="1"/>
          <w:bCs w:val="1"/>
          <w:color w:val="auto"/>
        </w:rPr>
        <w:t>Morgan Stanley Senior Funding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Newman</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Kevin Newman</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24" w:name="page25"/>
    <w:bookmarkEnd w:id="24"/>
    <w:p>
      <w:pPr>
        <w:jc w:val="right"/>
        <w:ind w:right="1139"/>
        <w:spacing w:after="0"/>
        <w:rPr>
          <w:sz w:val="20"/>
          <w:szCs w:val="20"/>
          <w:color w:val="auto"/>
        </w:rPr>
      </w:pPr>
      <w:r>
        <w:rPr>
          <w:rFonts w:ascii="Arial" w:cs="Arial" w:eastAsia="Arial" w:hAnsi="Arial"/>
          <w:sz w:val="22"/>
          <w:szCs w:val="22"/>
          <w:b w:val="1"/>
          <w:bCs w:val="1"/>
          <w:color w:val="auto"/>
        </w:rPr>
        <w:t xml:space="preserve">HSBC BANK USA, N.A., </w:t>
      </w:r>
      <w:r>
        <w:rPr>
          <w:rFonts w:ascii="Arial" w:cs="Arial" w:eastAsia="Arial" w:hAnsi="Arial"/>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Benjamin Halperin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Name:</w:t>
        <w:tab/>
        <w:t>Benjamin Halperin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8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Benjamin Halperin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Authorized Signatory #21357</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219"/>
          </w:cols>
          <w:pgMar w:left="240" w:top="774" w:right="1440" w:bottom="1440" w:gutter="0" w:footer="0" w:header="0"/>
        </w:sectPr>
      </w:pPr>
    </w:p>
    <w:bookmarkStart w:id="25" w:name="page26"/>
    <w:bookmarkEnd w:id="25"/>
    <w:p>
      <w:pPr>
        <w:ind w:left="5640"/>
        <w:spacing w:after="0"/>
        <w:rPr>
          <w:sz w:val="20"/>
          <w:szCs w:val="20"/>
          <w:color w:val="auto"/>
        </w:rPr>
      </w:pPr>
      <w:r>
        <w:rPr>
          <w:rFonts w:ascii="Arial" w:cs="Arial" w:eastAsia="Arial" w:hAnsi="Arial"/>
          <w:sz w:val="22"/>
          <w:szCs w:val="22"/>
          <w:b w:val="1"/>
          <w:bCs w:val="1"/>
          <w:color w:val="auto"/>
        </w:rPr>
        <w:t>GOLDMAN SACHS BANK USA, as a Lender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Jamie Minieri</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Jamie Minieri</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26" w:name="page27"/>
    <w:bookmarkEnd w:id="26"/>
    <w:p>
      <w:pPr>
        <w:ind w:left="5640"/>
        <w:spacing w:after="0"/>
        <w:rPr>
          <w:sz w:val="20"/>
          <w:szCs w:val="20"/>
          <w:color w:val="auto"/>
        </w:rPr>
      </w:pPr>
      <w:r>
        <w:rPr>
          <w:rFonts w:ascii="Arial" w:cs="Arial" w:eastAsia="Arial" w:hAnsi="Arial"/>
          <w:sz w:val="22"/>
          <w:szCs w:val="22"/>
          <w:b w:val="1"/>
          <w:bCs w:val="1"/>
          <w:color w:val="auto"/>
        </w:rPr>
        <w:t>COMPASS BANK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Rachel Festervand</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Rachel Festervand</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Sr. Vice President</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27" w:name="page28"/>
    <w:bookmarkEnd w:id="27"/>
    <w:p>
      <w:pPr>
        <w:ind w:left="5640"/>
        <w:spacing w:after="0"/>
        <w:rPr>
          <w:sz w:val="20"/>
          <w:szCs w:val="20"/>
          <w:color w:val="auto"/>
        </w:rPr>
      </w:pPr>
      <w:r>
        <w:rPr>
          <w:rFonts w:ascii="Arial" w:cs="Arial" w:eastAsia="Arial" w:hAnsi="Arial"/>
          <w:sz w:val="22"/>
          <w:szCs w:val="22"/>
          <w:b w:val="1"/>
          <w:bCs w:val="1"/>
          <w:color w:val="auto"/>
        </w:rPr>
        <w:t>Mizuho Bank, Ltd.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46355</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72"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Name:</w:t>
        <w:tab/>
        <w:t>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Eighth Amendment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219"/>
          </w:cols>
          <w:pgMar w:left="240" w:top="774" w:right="1440" w:bottom="1440" w:gutter="0" w:footer="0" w:header="0"/>
        </w:sectPr>
      </w:pPr>
    </w:p>
    <w:bookmarkStart w:id="28" w:name="page29"/>
    <w:bookmarkEnd w:id="28"/>
    <w:p>
      <w:pPr>
        <w:ind w:left="5640"/>
        <w:spacing w:after="0"/>
        <w:rPr>
          <w:sz w:val="20"/>
          <w:szCs w:val="20"/>
          <w:color w:val="auto"/>
        </w:rPr>
      </w:pPr>
      <w:r>
        <w:rPr>
          <w:rFonts w:ascii="Arial" w:cs="Arial" w:eastAsia="Arial" w:hAnsi="Arial"/>
          <w:sz w:val="22"/>
          <w:szCs w:val="22"/>
          <w:b w:val="1"/>
          <w:bCs w:val="1"/>
          <w:color w:val="auto"/>
        </w:rPr>
        <w:t>SOCIETE GENERALE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Diego Medina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28575</wp:posOffset>
            </wp:positionV>
            <wp:extent cx="3035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46"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22"/>
          <w:szCs w:val="22"/>
          <w:color w:val="auto"/>
        </w:rPr>
        <w:t>Diego Medina</w:t>
      </w:r>
    </w:p>
    <w:p>
      <w:pPr>
        <w:spacing w:after="0" w:line="152" w:lineRule="exact"/>
        <w:rPr>
          <w:sz w:val="20"/>
          <w:szCs w:val="20"/>
          <w:color w:val="auto"/>
        </w:rPr>
      </w:pPr>
    </w:p>
    <w:p>
      <w:pPr>
        <w:ind w:left="5640"/>
        <w:spacing w:after="0"/>
        <w:tabs>
          <w:tab w:leader="none" w:pos="6640" w:val="left"/>
        </w:tabs>
        <w:rPr>
          <w:sz w:val="20"/>
          <w:szCs w:val="20"/>
          <w:color w:val="auto"/>
        </w:rPr>
      </w:pPr>
      <w:r>
        <w:rPr>
          <w:rFonts w:ascii="Arial" w:cs="Arial" w:eastAsia="Arial" w:hAnsi="Arial"/>
          <w:sz w:val="22"/>
          <w:szCs w:val="22"/>
          <w:b w:val="1"/>
          <w:bCs w:val="1"/>
          <w:color w:val="auto"/>
        </w:rPr>
        <w:t>Title:</w:t>
      </w:r>
      <w:r>
        <w:rPr>
          <w:sz w:val="20"/>
          <w:szCs w:val="20"/>
          <w:color w:val="auto"/>
        </w:rPr>
        <w:tab/>
      </w:r>
      <w:r>
        <w:rPr>
          <w:rFonts w:ascii="Arial" w:cs="Arial" w:eastAsia="Arial" w:hAnsi="Arial"/>
          <w:sz w:val="22"/>
          <w:szCs w:val="22"/>
          <w:color w:val="auto"/>
        </w:rPr>
        <w:t>Director</w:t>
      </w:r>
    </w:p>
    <w:p>
      <w:pPr>
        <w:spacing w:after="0" w:line="271"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Eighth Amendment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219"/>
          </w:cols>
          <w:pgMar w:left="240" w:top="774" w:right="1440" w:bottom="1440" w:gutter="0" w:footer="0" w:header="0"/>
        </w:sectPr>
      </w:pPr>
    </w:p>
    <w:bookmarkStart w:id="29" w:name="page30"/>
    <w:bookmarkEnd w:id="29"/>
    <w:p>
      <w:pPr>
        <w:ind w:left="5640"/>
        <w:spacing w:after="0"/>
        <w:rPr>
          <w:sz w:val="20"/>
          <w:szCs w:val="20"/>
          <w:color w:val="auto"/>
        </w:rPr>
      </w:pPr>
      <w:r>
        <w:rPr>
          <w:rFonts w:ascii="Arial" w:cs="Arial" w:eastAsia="Arial" w:hAnsi="Arial"/>
          <w:sz w:val="22"/>
          <w:szCs w:val="22"/>
          <w:b w:val="1"/>
          <w:bCs w:val="1"/>
          <w:color w:val="auto"/>
        </w:rPr>
        <w:t>DNB Capital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Byron Cooley</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Byron Cooley</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r>
        <w:trPr>
          <w:trHeight w:val="966"/>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Dupree</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Robert Dupree</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30" w:name="page31"/>
    <w:bookmarkEnd w:id="30"/>
    <w:p>
      <w:pPr>
        <w:ind w:left="5640"/>
        <w:spacing w:after="0"/>
        <w:rPr>
          <w:sz w:val="20"/>
          <w:szCs w:val="20"/>
          <w:color w:val="auto"/>
        </w:rPr>
      </w:pPr>
      <w:r>
        <w:rPr>
          <w:rFonts w:ascii="Arial" w:cs="Arial" w:eastAsia="Arial" w:hAnsi="Arial"/>
          <w:sz w:val="22"/>
          <w:szCs w:val="22"/>
          <w:b w:val="1"/>
          <w:bCs w:val="1"/>
          <w:color w:val="auto"/>
        </w:rPr>
        <w:t>Sumitomo Mitsui Banking Corp.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Hiroyuki Maeda</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Hirouki Maeda</w:t>
            </w:r>
          </w:p>
        </w:tc>
      </w:tr>
      <w:tr>
        <w:trPr>
          <w:trHeight w:val="291"/>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Managing Director &amp; Joint General Counsel</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31" w:name="page32"/>
    <w:bookmarkEnd w:id="31"/>
    <w:p>
      <w:pPr>
        <w:ind w:left="5640"/>
        <w:spacing w:after="0"/>
        <w:rPr>
          <w:sz w:val="20"/>
          <w:szCs w:val="20"/>
          <w:color w:val="auto"/>
        </w:rPr>
      </w:pPr>
      <w:r>
        <w:rPr>
          <w:rFonts w:ascii="Arial" w:cs="Arial" w:eastAsia="Arial" w:hAnsi="Arial"/>
          <w:sz w:val="22"/>
          <w:szCs w:val="22"/>
          <w:b w:val="1"/>
          <w:bCs w:val="1"/>
          <w:color w:val="auto"/>
        </w:rPr>
        <w:t xml:space="preserve">BANK OF AMERICA, N.A., </w:t>
      </w:r>
      <w:r>
        <w:rPr>
          <w:rFonts w:ascii="Arial" w:cs="Arial" w:eastAsia="Arial" w:hAnsi="Arial"/>
          <w:sz w:val="22"/>
          <w:szCs w:val="22"/>
          <w:color w:val="auto"/>
        </w:rPr>
        <w:t>as Syndication Agent, Letter of</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Credit Issuer, Swingline Lender, and as Revolving Lender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Neil Derfler</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Neil Derfler</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Relationship Manager -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Francesco Di Mario</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Francesco Di Mario</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Head of Credit - First Vice President</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32" w:name="page33"/>
    <w:bookmarkEnd w:id="32"/>
    <w:p>
      <w:pPr>
        <w:ind w:left="5640"/>
        <w:spacing w:after="0"/>
        <w:rPr>
          <w:sz w:val="20"/>
          <w:szCs w:val="20"/>
          <w:color w:val="auto"/>
        </w:rPr>
      </w:pPr>
      <w:r>
        <w:rPr>
          <w:rFonts w:ascii="Arial" w:cs="Arial" w:eastAsia="Arial" w:hAnsi="Arial"/>
          <w:sz w:val="22"/>
          <w:szCs w:val="22"/>
          <w:b w:val="1"/>
          <w:bCs w:val="1"/>
          <w:color w:val="auto"/>
        </w:rPr>
        <w:t>BP Energy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Timothy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Name:</w:t>
        <w:tab/>
        <w:t>Timothy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8" w:lineRule="exact"/>
        <w:rPr>
          <w:sz w:val="20"/>
          <w:szCs w:val="20"/>
          <w:color w:val="auto"/>
        </w:rPr>
      </w:pPr>
    </w:p>
    <w:p>
      <w:pPr>
        <w:ind w:left="564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24765</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Eighth Amendment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0219"/>
          </w:cols>
          <w:pgMar w:left="240" w:top="774" w:right="1440" w:bottom="1440" w:gutter="0" w:footer="0" w:header="0"/>
        </w:sectPr>
      </w:pPr>
    </w:p>
    <w:bookmarkStart w:id="33" w:name="page34"/>
    <w:bookmarkEnd w:id="33"/>
    <w:p>
      <w:pPr>
        <w:ind w:left="5640"/>
        <w:spacing w:after="0"/>
        <w:rPr>
          <w:sz w:val="20"/>
          <w:szCs w:val="20"/>
          <w:color w:val="auto"/>
        </w:rPr>
      </w:pPr>
      <w:r>
        <w:rPr>
          <w:rFonts w:ascii="Arial" w:cs="Arial" w:eastAsia="Arial" w:hAnsi="Arial"/>
          <w:sz w:val="22"/>
          <w:szCs w:val="22"/>
          <w:b w:val="1"/>
          <w:bCs w:val="1"/>
          <w:color w:val="auto"/>
        </w:rPr>
        <w:t>BANC OF AMERICA CREDIT PRODUCTS,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Margaret Sang</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Margaret Sang</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p>
      <w:pPr>
        <w:sectPr>
          <w:pgSz w:w="11900" w:h="16838" w:orient="portrait"/>
          <w:cols w:equalWidth="0" w:num="1">
            <w:col w:w="11420"/>
          </w:cols>
          <w:pgMar w:left="240" w:top="774" w:right="239" w:bottom="1440" w:gutter="0" w:footer="0" w:header="0"/>
        </w:sectPr>
      </w:pPr>
    </w:p>
    <w:bookmarkStart w:id="34" w:name="page35"/>
    <w:bookmarkEnd w:id="34"/>
    <w:p>
      <w:pPr>
        <w:ind w:left="5640"/>
        <w:spacing w:after="0"/>
        <w:rPr>
          <w:sz w:val="20"/>
          <w:szCs w:val="20"/>
          <w:color w:val="auto"/>
        </w:rPr>
      </w:pPr>
      <w:r>
        <w:rPr>
          <w:rFonts w:ascii="Arial" w:cs="Arial" w:eastAsia="Arial" w:hAnsi="Arial"/>
          <w:sz w:val="22"/>
          <w:szCs w:val="22"/>
          <w:b w:val="1"/>
          <w:bCs w:val="1"/>
          <w:color w:val="auto"/>
        </w:rPr>
        <w:t>Morgan Stanley Bank NA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40" w:type="dxa"/>
        <w:tblCellMar>
          <w:top w:w="0" w:type="dxa"/>
          <w:left w:w="0" w:type="dxa"/>
          <w:bottom w:w="0" w:type="dxa"/>
          <w:right w:w="0" w:type="dxa"/>
        </w:tblCellMar>
      </w:tblPr>
      <w:tr>
        <w:trPr>
          <w:trHeight w:val="28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Newman</w:t>
            </w:r>
          </w:p>
        </w:tc>
      </w:tr>
      <w:tr>
        <w:trPr>
          <w:trHeight w:val="280"/>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Kevin Newman</w:t>
            </w:r>
          </w:p>
        </w:tc>
      </w:tr>
      <w:tr>
        <w:trPr>
          <w:trHeight w:val="297"/>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Eighth Amendment</w:t>
      </w:r>
    </w:p>
    <w:p>
      <w:pPr>
        <w:spacing w:after="0"/>
        <w:rPr>
          <w:sz w:val="20"/>
          <w:szCs w:val="20"/>
          <w:color w:val="auto"/>
        </w:rPr>
      </w:pPr>
      <w:r>
        <w:rPr>
          <w:rFonts w:ascii="Arial" w:cs="Arial" w:eastAsia="Arial" w:hAnsi="Arial"/>
          <w:sz w:val="13"/>
          <w:szCs w:val="13"/>
          <w:color w:val="auto"/>
        </w:rPr>
        <w:t>509265-1868-26987857.8</w:t>
      </w:r>
    </w:p>
    <w:sectPr>
      <w:pgSz w:w="11900" w:h="16838" w:orient="portrait"/>
      <w:cols w:equalWidth="0" w:num="1">
        <w:col w:w="11420"/>
      </w:cols>
      <w:pgMar w:left="240" w:top="7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lvl w:ilvl="1">
      <w:lvlJc w:val="left"/>
      <w:lvlText w:val="(%2)"/>
      <w:numFmt w:val="lowerRoman"/>
      <w:start w:val="1"/>
    </w:lvl>
  </w:abstractNum>
  <w:abstractNum w:abstractNumId="5">
    <w:nsid w:val="4DB127F8"/>
    <w:multiLevelType w:val="hybridMultilevel"/>
    <w:lvl w:ilvl="0">
      <w:lvlJc w:val="left"/>
      <w:lvlText w:val="(%1)"/>
      <w:numFmt w:val="lowerLetter"/>
      <w:start w:val="7"/>
    </w:lvl>
  </w:abstractNum>
  <w:abstractNum w:abstractNumId="6">
    <w:nsid w:val="216231B"/>
    <w:multiLevelType w:val="hybridMultilevel"/>
    <w:lvl w:ilvl="0">
      <w:lvlJc w:val="left"/>
      <w:lvlText w:val="(%1)"/>
      <w:numFmt w:val="lowerLetter"/>
      <w:start w:val="1"/>
    </w:lvl>
    <w:lvl w:ilvl="1">
      <w:lvlJc w:val="left"/>
      <w:lvlText w:val="(%2)"/>
      <w:numFmt w:val="lowerRoman"/>
      <w:start w:val="1"/>
    </w:lvl>
  </w:abstractNum>
  <w:abstractNum w:abstractNumId="7">
    <w:nsid w:val="1F16E9E8"/>
    <w:multiLevelType w:val="hybridMultilevel"/>
    <w:lvl w:ilvl="0">
      <w:lvlJc w:val="left"/>
      <w:lvlText w:val="%1"/>
      <w:numFmt w:val="lowerLetter"/>
      <w:start w:val="1"/>
    </w:lvl>
    <w:lvl w:ilvl="1">
      <w:lvlJc w:val="left"/>
      <w:lvlText w:val="(%2)"/>
      <w:numFmt w:val="lowerLetter"/>
      <w:start w:val="61"/>
    </w:lvl>
  </w:abstractNum>
  <w:abstractNum w:abstractNumId="8">
    <w:nsid w:val="1190CDE7"/>
    <w:multiLevelType w:val="hybridMultilevel"/>
    <w:lvl w:ilvl="0">
      <w:lvlJc w:val="left"/>
      <w:lvlText w:val="(%1)"/>
      <w:numFmt w:val="lowerLetter"/>
      <w:start w:val="2"/>
    </w:lvl>
    <w:lvl w:ilvl="1">
      <w:lvlJc w:val="left"/>
      <w:lvlText w:val="%2"/>
      <w:numFmt w:val="lowerLetter"/>
      <w:start w:val="1"/>
    </w:lvl>
  </w:abstractNum>
  <w:abstractNum w:abstractNumId="9">
    <w:nsid w:val="66EF438D"/>
    <w:multiLevelType w:val="hybridMultilevel"/>
    <w:lvl w:ilvl="0">
      <w:lvlJc w:val="left"/>
      <w:lvlText w:val="%1"/>
      <w:numFmt w:val="lowerRoman"/>
      <w:start w:val="1"/>
    </w:lvl>
    <w:lvl w:ilvl="1">
      <w:lvlJc w:val="left"/>
      <w:lvlText w:val="(%2)"/>
      <w:numFmt w:val="lowerLetter"/>
      <w:start w:val="2"/>
    </w:lvl>
  </w:abstractNum>
  <w:abstractNum w:abstractNumId="10">
    <w:nsid w:val="140E0F76"/>
    <w:multiLevelType w:val="hybridMultilevel"/>
    <w:lvl w:ilvl="0">
      <w:lvlJc w:val="left"/>
      <w:lvlText w:val="(%1)"/>
      <w:numFmt w:val="lowerRoman"/>
      <w:start w:val="4"/>
    </w:lvl>
    <w:lvl w:ilvl="1">
      <w:lvlJc w:val="left"/>
      <w:lvlText w:val="(%2)"/>
      <w:numFmt w:val="lowerLetter"/>
      <w:start w:val="3"/>
    </w:lvl>
  </w:abstractNum>
  <w:abstractNum w:abstractNumId="11">
    <w:nsid w:val="3352255A"/>
    <w:multiLevelType w:val="hybridMultilevel"/>
    <w:lvl w:ilvl="0">
      <w:lvlJc w:val="left"/>
      <w:lvlText w:val="(%1)"/>
      <w:numFmt w:val="lowerLetter"/>
      <w:start w:val="4"/>
    </w:lvl>
    <w:lvl w:ilvl="1">
      <w:lvlJc w:val="left"/>
      <w:lvlText w:val="(%2)"/>
      <w:numFmt w:val="lowerLetter"/>
      <w:start w:val="9"/>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2019-12-28T19:55:56Z</dcterms:created>
  <dcterms:modified xsi:type="dcterms:W3CDTF">2019-12-28T19:55:56Z</dcterms:modified>
</cp:coreProperties>
</file>