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September 30, 2021</w:t>
      </w:r>
    </w:p>
    <w:p>
      <w:pPr>
        <w:jc w:val="center"/>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7" w:lineRule="exact"/>
        <w:rPr>
          <w:sz w:val="24"/>
          <w:szCs w:val="24"/>
          <w:color w:val="auto"/>
        </w:rPr>
      </w:pPr>
    </w:p>
    <w:tbl>
      <w:tblPr>
        <w:tblLayout w:type="fixed"/>
        <w:tblInd w:w="1700" w:type="dxa"/>
        <w:tblCellMar>
          <w:top w:w="0" w:type="dxa"/>
          <w:left w:w="0" w:type="dxa"/>
          <w:bottom w:w="0" w:type="dxa"/>
          <w:right w:w="0" w:type="dxa"/>
        </w:tblCellMar>
      </w:tblPr>
      <w:tr>
        <w:trPr>
          <w:trHeight w:val="261"/>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195"/>
        </w:trPr>
        <w:tc>
          <w:tcPr>
            <w:tcW w:w="4360" w:type="dxa"/>
            <w:vAlign w:val="bottom"/>
          </w:tcPr>
          <w:p>
            <w:pPr>
              <w:ind w:left="20"/>
              <w:spacing w:after="0" w:line="195"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195" w:lineRule="exact"/>
              <w:rPr>
                <w:sz w:val="20"/>
                <w:szCs w:val="20"/>
                <w:color w:val="auto"/>
              </w:rPr>
            </w:pPr>
            <w:r>
              <w:rPr>
                <w:rFonts w:ascii="Arial" w:cs="Arial" w:eastAsia="Arial" w:hAnsi="Arial"/>
                <w:sz w:val="20"/>
                <w:szCs w:val="20"/>
                <w:color w:val="auto"/>
              </w:rPr>
              <w:t>(I.R.S. Employer</w:t>
            </w:r>
          </w:p>
        </w:tc>
      </w:tr>
      <w:tr>
        <w:trPr>
          <w:trHeight w:val="237"/>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27200 Tourney Road,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Santa Clarita, California 91355</w:t>
      </w: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29" w:right="339" w:bottom="1440" w:gutter="0" w:footer="0" w:header="0"/>
        </w:sectPr>
      </w:pPr>
    </w:p>
    <w:p>
      <w:pPr>
        <w:spacing w:after="0" w:line="12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2"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41"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29" w:right="339" w:bottom="1440" w:gutter="0" w:footer="0" w:header="0"/>
          <w:type w:val="continuous"/>
        </w:sectPr>
      </w:pPr>
    </w:p>
    <w:p>
      <w:pPr>
        <w:spacing w:after="0" w:line="145" w:lineRule="exact"/>
        <w:rPr>
          <w:sz w:val="24"/>
          <w:szCs w:val="24"/>
          <w:color w:val="auto"/>
        </w:rPr>
      </w:pPr>
    </w:p>
    <w:p>
      <w:pPr>
        <w:jc w:val="both"/>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8" w:lineRule="exact"/>
        <w:rPr>
          <w:sz w:val="24"/>
          <w:szCs w:val="24"/>
          <w:color w:val="auto"/>
        </w:rPr>
      </w:pPr>
    </w:p>
    <w:p>
      <w:pPr>
        <w:jc w:val="both"/>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6"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9" w:right="339" w:bottom="1440" w:gutter="0" w:footer="0" w:header="0"/>
          <w:type w:val="continuous"/>
        </w:sectPr>
      </w:pPr>
    </w:p>
    <w:p>
      <w:pPr>
        <w:spacing w:after="0" w:line="108" w:lineRule="exact"/>
        <w:rPr>
          <w:sz w:val="24"/>
          <w:szCs w:val="24"/>
          <w:color w:val="auto"/>
        </w:rPr>
      </w:pPr>
    </w:p>
    <w:p>
      <w:pPr>
        <w:ind w:left="1040"/>
        <w:spacing w:after="0" w:line="276"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24"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29" w:right="339" w:bottom="1440" w:gutter="0" w:footer="0" w:header="0"/>
          <w:type w:val="continuous"/>
        </w:sectPr>
      </w:pPr>
    </w:p>
    <w:p>
      <w:pPr>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last practicable date.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October 31, 2021 was 80,392,897.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60" w:type="dxa"/>
            <w:vAlign w:val="bottom"/>
          </w:tcPr>
          <w:p>
            <w:pPr>
              <w:spacing w:after="0"/>
              <w:rPr>
                <w:sz w:val="20"/>
                <w:szCs w:val="20"/>
                <w:color w:val="auto"/>
              </w:rPr>
            </w:pPr>
          </w:p>
        </w:tc>
        <w:tc>
          <w:tcPr>
            <w:tcW w:w="7520" w:type="dxa"/>
            <w:vAlign w:val="bottom"/>
          </w:tcPr>
          <w:p>
            <w:pPr>
              <w:ind w:left="1460"/>
              <w:spacing w:after="0"/>
              <w:rPr>
                <w:sz w:val="20"/>
                <w:szCs w:val="20"/>
                <w:color w:val="auto"/>
              </w:rPr>
            </w:pPr>
            <w:r>
              <w:rPr>
                <w:rFonts w:ascii="Arial" w:cs="Arial" w:eastAsia="Arial" w:hAnsi="Arial"/>
                <w:sz w:val="18"/>
                <w:szCs w:val="18"/>
                <w:b w:val="1"/>
                <w:bCs w:val="1"/>
                <w:color w:val="auto"/>
              </w:rPr>
              <w:t>California Resources Corporation and Subsidiaries</w:t>
            </w:r>
          </w:p>
        </w:tc>
        <w:tc>
          <w:tcPr>
            <w:tcW w:w="740" w:type="dxa"/>
            <w:vAlign w:val="bottom"/>
          </w:tcPr>
          <w:p>
            <w:pPr>
              <w:spacing w:after="0"/>
              <w:rPr>
                <w:sz w:val="20"/>
                <w:szCs w:val="20"/>
                <w:color w:val="auto"/>
              </w:rPr>
            </w:pPr>
          </w:p>
        </w:tc>
      </w:tr>
      <w:tr>
        <w:trPr>
          <w:trHeight w:val="459"/>
        </w:trPr>
        <w:tc>
          <w:tcPr>
            <w:tcW w:w="960" w:type="dxa"/>
            <w:vAlign w:val="bottom"/>
          </w:tcPr>
          <w:p>
            <w:pPr>
              <w:spacing w:after="0"/>
              <w:rPr>
                <w:sz w:val="24"/>
                <w:szCs w:val="24"/>
                <w:color w:val="auto"/>
              </w:rPr>
            </w:pPr>
          </w:p>
        </w:tc>
        <w:tc>
          <w:tcPr>
            <w:tcW w:w="7520" w:type="dxa"/>
            <w:vAlign w:val="bottom"/>
          </w:tcPr>
          <w:p>
            <w:pPr>
              <w:ind w:left="290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351"/>
        </w:trPr>
        <w:tc>
          <w:tcPr>
            <w:tcW w:w="9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Income (Loss)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9">
              <w:r>
                <w:rPr>
                  <w:rFonts w:ascii="Arial" w:cs="Arial" w:eastAsia="Arial" w:hAnsi="Arial"/>
                  <w:sz w:val="18"/>
                  <w:szCs w:val="18"/>
                  <w:b w:val="1"/>
                  <w:bCs w:val="1"/>
                  <w:color w:val="auto"/>
                </w:rPr>
                <w:t>8</w:t>
              </w:r>
            </w:hyperlink>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24</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24</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24</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Production</w:t>
            </w:r>
          </w:p>
        </w:tc>
        <w:tc>
          <w:tcPr>
            <w:tcW w:w="74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25</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Prices and Realizations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27</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tcPr>
          <w:p>
            <w:pPr>
              <w:jc w:val="right"/>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29</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Liquidity and Capital Resources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36</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2021 Capital Program</w:t>
            </w:r>
          </w:p>
        </w:tc>
        <w:tc>
          <w:tcPr>
            <w:tcW w:w="740" w:type="dxa"/>
            <w:vAlign w:val="bottom"/>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38</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Regulatory Update</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39</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Dividends</w:t>
            </w:r>
          </w:p>
        </w:tc>
        <w:tc>
          <w:tcPr>
            <w:tcW w:w="740" w:type="dxa"/>
            <w:vAlign w:val="bottom"/>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39</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 Repurchase Program</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39</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Divestitures</w:t>
            </w:r>
          </w:p>
        </w:tc>
        <w:tc>
          <w:tcPr>
            <w:tcW w:w="740" w:type="dxa"/>
            <w:vAlign w:val="bottom"/>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40</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Acquisitions and Joint Ventures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40</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Seasonality</w:t>
            </w:r>
          </w:p>
        </w:tc>
        <w:tc>
          <w:tcPr>
            <w:tcW w:w="740" w:type="dxa"/>
            <w:vAlign w:val="bottom"/>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40</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Fixed and Variable Costs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40</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40</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41</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Forward-Looking Statements</w:t>
            </w:r>
          </w:p>
        </w:tc>
        <w:tc>
          <w:tcPr>
            <w:tcW w:w="740" w:type="dxa"/>
            <w:vAlign w:val="bottom"/>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42</w:t>
              </w:r>
            </w:hyperlink>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3</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44</w:t>
              </w:r>
            </w:hyperlink>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4</w:t>
            </w:r>
          </w:p>
        </w:tc>
        <w:tc>
          <w:tcPr>
            <w:tcW w:w="75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44</w:t>
              </w:r>
            </w:hyperlink>
          </w:p>
        </w:tc>
      </w:tr>
      <w:tr>
        <w:trPr>
          <w:trHeight w:val="216"/>
        </w:trPr>
        <w:tc>
          <w:tcPr>
            <w:tcW w:w="96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45</w:t>
              </w:r>
            </w:hyperlink>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1A</w:t>
            </w:r>
          </w:p>
        </w:tc>
        <w:tc>
          <w:tcPr>
            <w:tcW w:w="75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45</w:t>
              </w:r>
            </w:hyperlink>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45</w:t>
              </w:r>
            </w:hyperlink>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5</w:t>
            </w:r>
          </w:p>
        </w:tc>
        <w:tc>
          <w:tcPr>
            <w:tcW w:w="7520" w:type="dxa"/>
            <w:vAlign w:val="bottom"/>
          </w:tcPr>
          <w:p>
            <w:pPr>
              <w:ind w:left="180"/>
              <w:spacing w:after="0"/>
              <w:rPr>
                <w:sz w:val="20"/>
                <w:szCs w:val="20"/>
                <w:color w:val="auto"/>
              </w:rPr>
            </w:pPr>
            <w:r>
              <w:rPr>
                <w:rFonts w:ascii="Arial" w:cs="Arial" w:eastAsia="Arial" w:hAnsi="Arial"/>
                <w:sz w:val="18"/>
                <w:szCs w:val="18"/>
                <w:color w:val="auto"/>
              </w:rPr>
              <w:t>Other Disclosures</w:t>
            </w:r>
          </w:p>
        </w:tc>
        <w:tc>
          <w:tcPr>
            <w:tcW w:w="740" w:type="dxa"/>
            <w:vAlign w:val="bottom"/>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45</w:t>
              </w:r>
            </w:hyperlink>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6</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Exhibits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886" w:right="1339" w:bottom="1440" w:gutter="0" w:footer="0" w:header="0"/>
        </w:sectPr>
      </w:pPr>
    </w:p>
    <w:bookmarkStart w:id="3" w:name="page4"/>
    <w:bookmarkEnd w:id="3"/>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 and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right"/>
              <w:ind w:right="119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20"/>
                <w:szCs w:val="20"/>
                <w:color w:val="auto"/>
              </w:rPr>
            </w:pPr>
          </w:p>
        </w:tc>
      </w:tr>
      <w:tr>
        <w:trPr>
          <w:trHeight w:val="214"/>
        </w:trPr>
        <w:tc>
          <w:tcPr>
            <w:tcW w:w="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r>
      <w:tr>
        <w:trPr>
          <w:trHeight w:val="239"/>
        </w:trPr>
        <w:tc>
          <w:tcPr>
            <w:tcW w:w="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7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OTHER NONCURRENT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77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Liabilities associated with assets held for sale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Fair value of derivative contracts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74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9"/>
                <w:szCs w:val="19"/>
                <w:color w:val="auto"/>
              </w:rPr>
            </w:pP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Fair value of derivative contracts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9"/>
                <w:szCs w:val="19"/>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8"/>
        </w:trPr>
        <w:tc>
          <w:tcPr>
            <w:tcW w:w="40" w:type="dxa"/>
            <w:vAlign w:val="bottom"/>
            <w:shd w:val="clear" w:color="auto" w:fill="CCEEFF"/>
          </w:tcPr>
          <w:p>
            <w:pPr>
              <w:spacing w:after="0"/>
              <w:rPr>
                <w:sz w:val="16"/>
                <w:szCs w:val="16"/>
                <w:color w:val="auto"/>
              </w:rPr>
            </w:pPr>
          </w:p>
        </w:tc>
        <w:tc>
          <w:tcPr>
            <w:tcW w:w="774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7"/>
        </w:trPr>
        <w:tc>
          <w:tcPr>
            <w:tcW w:w="40" w:type="dxa"/>
            <w:vAlign w:val="bottom"/>
            <w:shd w:val="clear" w:color="auto" w:fill="CCEEFF"/>
          </w:tcPr>
          <w:p>
            <w:pPr>
              <w:spacing w:after="0"/>
              <w:rPr>
                <w:sz w:val="18"/>
                <w:szCs w:val="18"/>
                <w:color w:val="auto"/>
              </w:rPr>
            </w:pPr>
          </w:p>
        </w:tc>
        <w:tc>
          <w:tcPr>
            <w:tcW w:w="7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September 30, 2021 and December 31, 2020</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188"/>
        </w:trPr>
        <w:tc>
          <w:tcPr>
            <w:tcW w:w="40" w:type="dxa"/>
            <w:vAlign w:val="bottom"/>
          </w:tcPr>
          <w:p>
            <w:pPr>
              <w:spacing w:after="0"/>
              <w:rPr>
                <w:sz w:val="16"/>
                <w:szCs w:val="16"/>
                <w:color w:val="auto"/>
              </w:rPr>
            </w:pPr>
          </w:p>
        </w:tc>
        <w:tc>
          <w:tcPr>
            <w:tcW w:w="7740" w:type="dxa"/>
            <w:vAlign w:val="bottom"/>
          </w:tcPr>
          <w:p>
            <w:pPr>
              <w:ind w:left="320"/>
              <w:spacing w:after="0" w:line="189" w:lineRule="exact"/>
              <w:rPr>
                <w:sz w:val="20"/>
                <w:szCs w:val="20"/>
                <w:color w:val="auto"/>
              </w:rPr>
            </w:pPr>
            <w:r>
              <w:rPr>
                <w:rFonts w:ascii="Arial" w:cs="Arial" w:eastAsia="Arial" w:hAnsi="Arial"/>
                <w:sz w:val="18"/>
                <w:szCs w:val="18"/>
                <w:color w:val="auto"/>
              </w:rPr>
              <w:t>Common stock (200,000,000 shares authorized at $0.01 par value) (83,367,076 and</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40" w:type="dxa"/>
            <w:vAlign w:val="bottom"/>
          </w:tcPr>
          <w:p>
            <w:pPr>
              <w:spacing w:after="0"/>
              <w:rPr>
                <w:sz w:val="15"/>
                <w:szCs w:val="15"/>
                <w:color w:val="auto"/>
              </w:rPr>
            </w:pPr>
          </w:p>
        </w:tc>
        <w:tc>
          <w:tcPr>
            <w:tcW w:w="7740" w:type="dxa"/>
            <w:vAlign w:val="bottom"/>
          </w:tcPr>
          <w:p>
            <w:pPr>
              <w:ind w:left="480"/>
              <w:spacing w:after="0" w:line="176" w:lineRule="exact"/>
              <w:rPr>
                <w:sz w:val="20"/>
                <w:szCs w:val="20"/>
                <w:color w:val="auto"/>
              </w:rPr>
            </w:pPr>
            <w:r>
              <w:rPr>
                <w:rFonts w:ascii="Arial" w:cs="Arial" w:eastAsia="Arial" w:hAnsi="Arial"/>
                <w:sz w:val="18"/>
                <w:szCs w:val="18"/>
                <w:color w:val="auto"/>
              </w:rPr>
              <w:t>83,319,660 shares issued; 80,775,277 and 83,319,660 shares outstanding at</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4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September 30, 2021 and December 31, 2020)</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188"/>
        </w:trPr>
        <w:tc>
          <w:tcPr>
            <w:tcW w:w="40" w:type="dxa"/>
            <w:vAlign w:val="bottom"/>
            <w:shd w:val="clear" w:color="auto" w:fill="CCEEFF"/>
          </w:tcPr>
          <w:p>
            <w:pPr>
              <w:spacing w:after="0"/>
              <w:rPr>
                <w:sz w:val="16"/>
                <w:szCs w:val="16"/>
                <w:color w:val="auto"/>
              </w:rPr>
            </w:pPr>
          </w:p>
        </w:tc>
        <w:tc>
          <w:tcPr>
            <w:tcW w:w="774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Treasury stock (2,591,799 shares held at cost at September 30, 2021 and no shares held at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7"/>
        </w:trPr>
        <w:tc>
          <w:tcPr>
            <w:tcW w:w="40" w:type="dxa"/>
            <w:vAlign w:val="bottom"/>
            <w:shd w:val="clear" w:color="auto" w:fill="CCEEFF"/>
          </w:tcPr>
          <w:p>
            <w:pPr>
              <w:spacing w:after="0"/>
              <w:rPr>
                <w:sz w:val="18"/>
                <w:szCs w:val="18"/>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Accumulated other comprehensive gain (loss)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equity attributable to common stock</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Equity attributable to noncontrolling interests</w:t>
            </w:r>
          </w:p>
        </w:tc>
        <w:tc>
          <w:tcPr>
            <w:tcW w:w="160" w:type="dxa"/>
            <w:vAlign w:val="bottom"/>
          </w:tcPr>
          <w:p>
            <w:pPr>
              <w:spacing w:after="0"/>
              <w:rPr>
                <w:sz w:val="19"/>
                <w:szCs w:val="19"/>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77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r>
      <w:tr>
        <w:trPr>
          <w:trHeight w:val="223"/>
        </w:trPr>
        <w:tc>
          <w:tcPr>
            <w:tcW w:w="7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17145</wp:posOffset>
            </wp:positionV>
            <wp:extent cx="2194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4" w:name="page5"/>
    <w:bookmarkEnd w:id="4"/>
    <w:p>
      <w:pPr>
        <w:jc w:val="center"/>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Operations For the three and nine months ended September 30, 2021 and 2020 </w:t>
      </w:r>
      <w:r>
        <w:rPr>
          <w:rFonts w:ascii="Arial" w:cs="Arial" w:eastAsia="Arial" w:hAnsi="Arial"/>
          <w:sz w:val="18"/>
          <w:szCs w:val="18"/>
          <w:color w:val="auto"/>
        </w:rPr>
        <w:t>(dollars 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Successor</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Predecessor</w:t>
            </w: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Successor</w:t>
            </w: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Predecessor</w:t>
            </w:r>
          </w:p>
        </w:tc>
      </w:tr>
      <w:tr>
        <w:trPr>
          <w:trHeight w:val="158"/>
        </w:trPr>
        <w:tc>
          <w:tcPr>
            <w:tcW w:w="4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rPr>
              <w:t>Three months</w:t>
            </w: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rPr>
              <w:t>Three months</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rPr>
              <w:t>Nine months</w:t>
            </w: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rPr>
              <w:t>Nine months</w:t>
            </w:r>
          </w:p>
        </w:tc>
      </w:tr>
      <w:tr>
        <w:trPr>
          <w:trHeight w:val="162"/>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80"/>
              <w:spacing w:after="0" w:line="162" w:lineRule="exact"/>
              <w:rPr>
                <w:sz w:val="20"/>
                <w:szCs w:val="20"/>
                <w:color w:val="auto"/>
              </w:rPr>
            </w:pPr>
            <w:r>
              <w:rPr>
                <w:rFonts w:ascii="Arial" w:cs="Arial" w:eastAsia="Arial" w:hAnsi="Arial"/>
                <w:sz w:val="16"/>
                <w:szCs w:val="16"/>
                <w:b w:val="1"/>
                <w:bCs w:val="1"/>
                <w:color w:val="auto"/>
              </w:rPr>
              <w:t>ended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7"/>
              </w:rPr>
              <w:t>ended</w:t>
            </w:r>
          </w:p>
        </w:tc>
        <w:tc>
          <w:tcPr>
            <w:tcW w:w="140" w:type="dxa"/>
            <w:vAlign w:val="bottom"/>
          </w:tcPr>
          <w:p>
            <w:pPr>
              <w:spacing w:after="0"/>
              <w:rPr>
                <w:sz w:val="14"/>
                <w:szCs w:val="14"/>
                <w:color w:val="auto"/>
              </w:rPr>
            </w:pPr>
          </w:p>
        </w:tc>
        <w:tc>
          <w:tcPr>
            <w:tcW w:w="1640" w:type="dxa"/>
            <w:vAlign w:val="bottom"/>
            <w:gridSpan w:val="2"/>
          </w:tcPr>
          <w:p>
            <w:pPr>
              <w:jc w:val="center"/>
              <w:ind w:right="460"/>
              <w:spacing w:after="0" w:line="162" w:lineRule="exact"/>
              <w:rPr>
                <w:sz w:val="20"/>
                <w:szCs w:val="20"/>
                <w:color w:val="auto"/>
              </w:rPr>
            </w:pPr>
            <w:r>
              <w:rPr>
                <w:rFonts w:ascii="Arial" w:cs="Arial" w:eastAsia="Arial" w:hAnsi="Arial"/>
                <w:sz w:val="16"/>
                <w:szCs w:val="16"/>
                <w:b w:val="1"/>
                <w:bCs w:val="1"/>
                <w:color w:val="auto"/>
                <w:w w:val="97"/>
              </w:rPr>
              <w:t>ended</w:t>
            </w:r>
          </w:p>
        </w:tc>
        <w:tc>
          <w:tcPr>
            <w:tcW w:w="160" w:type="dxa"/>
            <w:vAlign w:val="bottom"/>
          </w:tcPr>
          <w:p>
            <w:pPr>
              <w:spacing w:after="0"/>
              <w:rPr>
                <w:sz w:val="14"/>
                <w:szCs w:val="14"/>
                <w:color w:val="auto"/>
              </w:rPr>
            </w:pPr>
          </w:p>
        </w:tc>
        <w:tc>
          <w:tcPr>
            <w:tcW w:w="13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ended</w:t>
            </w:r>
          </w:p>
        </w:tc>
      </w:tr>
      <w:tr>
        <w:trPr>
          <w:trHeight w:val="215"/>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4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2020</w:t>
            </w:r>
          </w:p>
        </w:tc>
      </w:tr>
      <w:tr>
        <w:trPr>
          <w:trHeight w:val="208"/>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Oil, natural gas and NGL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213"/>
        </w:trPr>
        <w:tc>
          <w:tcPr>
            <w:tcW w:w="4620" w:type="dxa"/>
            <w:vAlign w:val="bottom"/>
          </w:tcPr>
          <w:p>
            <w:pPr>
              <w:ind w:left="360"/>
              <w:spacing w:after="0"/>
              <w:rPr>
                <w:sz w:val="20"/>
                <w:szCs w:val="20"/>
                <w:color w:val="auto"/>
              </w:rPr>
            </w:pPr>
            <w:r>
              <w:rPr>
                <w:rFonts w:ascii="Arial" w:cs="Arial" w:eastAsia="Arial" w:hAnsi="Arial"/>
                <w:sz w:val="16"/>
                <w:szCs w:val="16"/>
                <w:color w:val="auto"/>
              </w:rPr>
              <w:t>Net (loss) gain from commodity derivatives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9"/>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of purchased natural gas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4620" w:type="dxa"/>
            <w:vAlign w:val="bottom"/>
          </w:tcPr>
          <w:p>
            <w:pPr>
              <w:ind w:left="360"/>
              <w:spacing w:after="0"/>
              <w:rPr>
                <w:sz w:val="20"/>
                <w:szCs w:val="20"/>
                <w:color w:val="auto"/>
              </w:rPr>
            </w:pPr>
            <w:r>
              <w:rPr>
                <w:rFonts w:ascii="Arial" w:cs="Arial" w:eastAsia="Arial" w:hAnsi="Arial"/>
                <w:sz w:val="16"/>
                <w:szCs w:val="16"/>
                <w:color w:val="auto"/>
              </w:rPr>
              <w:t>Electricity sales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46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revenues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r>
      <w:tr>
        <w:trPr>
          <w:trHeight w:val="77"/>
        </w:trPr>
        <w:tc>
          <w:tcPr>
            <w:tcW w:w="4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costs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3"/>
        </w:trPr>
        <w:tc>
          <w:tcPr>
            <w:tcW w:w="462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9"/>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depletion and amortization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3"/>
        </w:trPr>
        <w:tc>
          <w:tcPr>
            <w:tcW w:w="4620" w:type="dxa"/>
            <w:vAlign w:val="bottom"/>
          </w:tcPr>
          <w:p>
            <w:pPr>
              <w:ind w:left="360"/>
              <w:spacing w:after="0"/>
              <w:rPr>
                <w:sz w:val="20"/>
                <w:szCs w:val="20"/>
                <w:color w:val="auto"/>
              </w:rPr>
            </w:pPr>
            <w:r>
              <w:rPr>
                <w:rFonts w:ascii="Arial" w:cs="Arial" w:eastAsia="Arial" w:hAnsi="Arial"/>
                <w:sz w:val="16"/>
                <w:szCs w:val="16"/>
                <w:color w:val="auto"/>
              </w:rPr>
              <w:t>Asset impairments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1,736</w:t>
            </w:r>
          </w:p>
        </w:tc>
      </w:tr>
      <w:tr>
        <w:trPr>
          <w:trHeight w:val="219"/>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on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4620" w:type="dxa"/>
            <w:vAlign w:val="bottom"/>
          </w:tcPr>
          <w:p>
            <w:pPr>
              <w:ind w:left="360"/>
              <w:spacing w:after="0"/>
              <w:rPr>
                <w:sz w:val="20"/>
                <w:szCs w:val="20"/>
                <w:color w:val="auto"/>
              </w:rPr>
            </w:pPr>
            <w:r>
              <w:rPr>
                <w:rFonts w:ascii="Arial" w:cs="Arial" w:eastAsia="Arial" w:hAnsi="Arial"/>
                <w:sz w:val="16"/>
                <w:szCs w:val="16"/>
                <w:color w:val="auto"/>
              </w:rPr>
              <w:t>Exploration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Purchased natural gas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4620" w:type="dxa"/>
            <w:vAlign w:val="bottom"/>
          </w:tcPr>
          <w:p>
            <w:pPr>
              <w:ind w:left="360"/>
              <w:spacing w:after="0"/>
              <w:rPr>
                <w:sz w:val="20"/>
                <w:szCs w:val="20"/>
                <w:color w:val="auto"/>
              </w:rPr>
            </w:pPr>
            <w:r>
              <w:rPr>
                <w:rFonts w:ascii="Arial" w:cs="Arial" w:eastAsia="Arial" w:hAnsi="Arial"/>
                <w:sz w:val="16"/>
                <w:szCs w:val="16"/>
                <w:color w:val="auto"/>
              </w:rPr>
              <w:t>Electricity generation expenses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Transportation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4620" w:type="dxa"/>
            <w:vAlign w:val="bottom"/>
          </w:tcPr>
          <w:p>
            <w:pPr>
              <w:ind w:left="360"/>
              <w:spacing w:after="0"/>
              <w:rPr>
                <w:sz w:val="20"/>
                <w:szCs w:val="20"/>
                <w:color w:val="auto"/>
              </w:rPr>
            </w:pPr>
            <w:r>
              <w:rPr>
                <w:rFonts w:ascii="Arial" w:cs="Arial" w:eastAsia="Arial" w:hAnsi="Arial"/>
                <w:sz w:val="16"/>
                <w:szCs w:val="16"/>
                <w:color w:val="auto"/>
              </w:rPr>
              <w:t>Accretion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expenses, net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46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3,035</w:t>
            </w:r>
          </w:p>
        </w:tc>
      </w:tr>
      <w:tr>
        <w:trPr>
          <w:trHeight w:val="213"/>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asset divestitures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(1,777)</w:t>
            </w:r>
          </w:p>
        </w:tc>
      </w:tr>
      <w:tr>
        <w:trPr>
          <w:trHeight w:val="98"/>
        </w:trPr>
        <w:tc>
          <w:tcPr>
            <w:tcW w:w="4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Reorganization items,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4620" w:type="dxa"/>
            <w:vAlign w:val="bottom"/>
          </w:tcPr>
          <w:p>
            <w:pPr>
              <w:ind w:left="360"/>
              <w:spacing w:after="0"/>
              <w:rPr>
                <w:sz w:val="20"/>
                <w:szCs w:val="20"/>
                <w:color w:val="auto"/>
              </w:rPr>
            </w:pPr>
            <w:r>
              <w:rPr>
                <w:rFonts w:ascii="Arial" w:cs="Arial" w:eastAsia="Arial" w:hAnsi="Arial"/>
                <w:sz w:val="16"/>
                <w:szCs w:val="16"/>
                <w:color w:val="auto"/>
              </w:rPr>
              <w:t>Interest and debt expense,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4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gain on early extinguishment of debt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4620" w:type="dxa"/>
            <w:vAlign w:val="bottom"/>
          </w:tcPr>
          <w:p>
            <w:pPr>
              <w:ind w:left="360"/>
              <w:spacing w:after="0"/>
              <w:rPr>
                <w:sz w:val="20"/>
                <w:szCs w:val="20"/>
                <w:color w:val="auto"/>
              </w:rPr>
            </w:pPr>
            <w:r>
              <w:rPr>
                <w:rFonts w:ascii="Arial" w:cs="Arial" w:eastAsia="Arial" w:hAnsi="Arial"/>
                <w:sz w:val="16"/>
                <w:szCs w:val="16"/>
                <w:color w:val="auto"/>
              </w:rPr>
              <w:t>Other non-operating expenses, net</w:t>
            </w:r>
          </w:p>
        </w:tc>
        <w:tc>
          <w:tcPr>
            <w:tcW w:w="14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r>
      <w:tr>
        <w:trPr>
          <w:trHeight w:val="95"/>
        </w:trPr>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62"/>
        </w:trPr>
        <w:tc>
          <w:tcPr>
            <w:tcW w:w="46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NET INCOME ATTRIBUTABLE TO NONCONTROLLING</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Mezzanine equity</w:t>
            </w:r>
          </w:p>
        </w:tc>
        <w:tc>
          <w:tcPr>
            <w:tcW w:w="14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3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NET INCOME (LOSS) ATTRIBUTABLE TO COMMON STOCK </w:t>
            </w: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 per share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1.26</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(1.23)</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(39.64)</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w:t>
            </w:r>
          </w:p>
        </w:tc>
      </w:tr>
      <w:tr>
        <w:trPr>
          <w:trHeight w:val="108"/>
        </w:trPr>
        <w:tc>
          <w:tcPr>
            <w:tcW w:w="4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186"/>
        </w:trPr>
        <w:tc>
          <w:tcPr>
            <w:tcW w:w="462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82.6</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-6774815</wp:posOffset>
            </wp:positionV>
            <wp:extent cx="7132320" cy="6797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7976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ind w:right="-47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(dollars in millions)</w:t>
      </w:r>
    </w:p>
    <w:p>
      <w:pPr>
        <w:sectPr>
          <w:pgSz w:w="11900" w:h="16838" w:orient="portrait"/>
          <w:cols w:equalWidth="0" w:num="1">
            <w:col w:w="10960"/>
          </w:cols>
          <w:pgMar w:left="220" w:top="927"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460" w:val="left"/>
        </w:tabs>
        <w:rPr>
          <w:sz w:val="20"/>
          <w:szCs w:val="20"/>
          <w:color w:val="auto"/>
        </w:rPr>
      </w:pPr>
      <w:r>
        <w:rPr>
          <w:rFonts w:ascii="Arial" w:cs="Arial" w:eastAsia="Arial" w:hAnsi="Arial"/>
          <w:sz w:val="18"/>
          <w:szCs w:val="18"/>
          <w:b w:val="1"/>
          <w:bCs w:val="1"/>
          <w:color w:val="auto"/>
        </w:rPr>
        <w:t>income (loss)</w:t>
      </w:r>
      <w:r>
        <w:rPr>
          <w:sz w:val="20"/>
          <w:szCs w:val="20"/>
          <w:color w:val="auto"/>
        </w:rPr>
        <w:tab/>
      </w:r>
      <w:r>
        <w:rPr>
          <w:rFonts w:ascii="Arial" w:cs="Arial" w:eastAsia="Arial" w:hAnsi="Arial"/>
          <w:sz w:val="17"/>
          <w:szCs w:val="17"/>
          <w:color w:val="auto"/>
        </w:rPr>
        <w:t>$</w:t>
      </w:r>
    </w:p>
    <w:p>
      <w:pPr>
        <w:spacing w:after="0" w:line="58" w:lineRule="exact"/>
        <w:rPr>
          <w:sz w:val="20"/>
          <w:szCs w:val="20"/>
          <w:color w:val="auto"/>
        </w:rPr>
      </w:pPr>
    </w:p>
    <w:p>
      <w:pPr>
        <w:ind w:left="40" w:hanging="19"/>
        <w:spacing w:after="0" w:line="266" w:lineRule="auto"/>
        <w:rPr>
          <w:sz w:val="20"/>
          <w:szCs w:val="20"/>
          <w:color w:val="auto"/>
        </w:rPr>
      </w:pPr>
      <w:r>
        <w:rPr>
          <w:rFonts w:ascii="Arial" w:cs="Arial" w:eastAsia="Arial" w:hAnsi="Arial"/>
          <w:sz w:val="18"/>
          <w:szCs w:val="18"/>
          <w:color w:val="auto"/>
        </w:rPr>
        <w:t>ncome attributable to noncontrolling interests r comprehensive income:</w:t>
      </w:r>
    </w:p>
    <w:p>
      <w:pPr>
        <w:ind w:left="340" w:right="340" w:hanging="341"/>
        <w:spacing w:after="0" w:line="200" w:lineRule="auto"/>
        <w:rPr>
          <w:sz w:val="20"/>
          <w:szCs w:val="20"/>
          <w:color w:val="auto"/>
        </w:rPr>
      </w:pPr>
      <w:r>
        <w:rPr>
          <w:rFonts w:ascii="Arial" w:cs="Arial" w:eastAsia="Arial" w:hAnsi="Arial"/>
          <w:sz w:val="18"/>
          <w:szCs w:val="18"/>
          <w:color w:val="auto"/>
        </w:rPr>
        <w:t>ctuarial gain associated with pension and postretirement plans</w:t>
      </w:r>
      <w:r>
        <w:rPr>
          <w:rFonts w:ascii="Arial" w:cs="Arial" w:eastAsia="Arial" w:hAnsi="Arial"/>
          <w:sz w:val="23"/>
          <w:szCs w:val="23"/>
          <w:color w:val="auto"/>
          <w:vertAlign w:val="superscript"/>
        </w:rPr>
        <w:t>(a)</w:t>
      </w:r>
    </w:p>
    <w:p>
      <w:pPr>
        <w:spacing w:after="0" w:line="219" w:lineRule="auto"/>
        <w:rPr>
          <w:sz w:val="20"/>
          <w:szCs w:val="20"/>
          <w:color w:val="auto"/>
        </w:rPr>
      </w:pPr>
      <w:r>
        <w:rPr>
          <w:rFonts w:ascii="Arial" w:cs="Arial" w:eastAsia="Arial" w:hAnsi="Arial"/>
          <w:sz w:val="18"/>
          <w:szCs w:val="18"/>
          <w:color w:val="auto"/>
        </w:rPr>
        <w:t>et prior service cost credit</w:t>
      </w:r>
      <w:r>
        <w:rPr>
          <w:rFonts w:ascii="Arial" w:cs="Arial" w:eastAsia="Arial" w:hAnsi="Arial"/>
          <w:sz w:val="23"/>
          <w:szCs w:val="23"/>
          <w:color w:val="auto"/>
          <w:vertAlign w:val="superscript"/>
        </w:rPr>
        <w:t>(a)</w:t>
      </w:r>
    </w:p>
    <w:p>
      <w:pPr>
        <w:ind w:left="120" w:right="20" w:hanging="85"/>
        <w:spacing w:after="0" w:line="227" w:lineRule="auto"/>
        <w:rPr>
          <w:sz w:val="20"/>
          <w:szCs w:val="20"/>
          <w:color w:val="auto"/>
        </w:rPr>
      </w:pPr>
      <w:r>
        <w:rPr>
          <w:rFonts w:ascii="Arial" w:cs="Arial" w:eastAsia="Arial" w:hAnsi="Arial"/>
          <w:sz w:val="18"/>
          <w:szCs w:val="18"/>
          <w:b w:val="1"/>
          <w:bCs w:val="1"/>
          <w:color w:val="auto"/>
        </w:rPr>
        <w:t xml:space="preserve">prehensive income (loss) attributable to </w:t>
      </w:r>
      <w:r>
        <w:rPr>
          <w:rFonts w:ascii="Arial" w:cs="Arial" w:eastAsia="Arial" w:hAnsi="Arial"/>
          <w:sz w:val="18"/>
          <w:szCs w:val="18"/>
          <w:color w:val="auto"/>
        </w:rPr>
        <w:t>$</w:t>
      </w:r>
      <w:r>
        <w:rPr>
          <w:rFonts w:ascii="Arial" w:cs="Arial" w:eastAsia="Arial" w:hAnsi="Arial"/>
          <w:sz w:val="18"/>
          <w:szCs w:val="18"/>
          <w:b w:val="1"/>
          <w:bCs w:val="1"/>
          <w:color w:val="auto"/>
        </w:rPr>
        <w:t xml:space="preserve"> common stock</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1540" w:type="dxa"/>
            <w:vAlign w:val="bottom"/>
          </w:tcPr>
          <w:p>
            <w:pPr>
              <w:jc w:val="right"/>
              <w:ind w:right="470"/>
              <w:spacing w:after="0"/>
              <w:rPr>
                <w:sz w:val="20"/>
                <w:szCs w:val="20"/>
                <w:color w:val="auto"/>
              </w:rPr>
            </w:pPr>
            <w:r>
              <w:rPr>
                <w:rFonts w:ascii="Arial" w:cs="Arial" w:eastAsia="Arial" w:hAnsi="Arial"/>
                <w:sz w:val="18"/>
                <w:szCs w:val="18"/>
                <w:b w:val="1"/>
                <w:bCs w:val="1"/>
                <w:color w:val="auto"/>
              </w:rPr>
              <w:t>Successor</w:t>
            </w:r>
          </w:p>
        </w:tc>
        <w:tc>
          <w:tcPr>
            <w:tcW w:w="1960" w:type="dxa"/>
            <w:vAlign w:val="bottom"/>
            <w:gridSpan w:val="3"/>
          </w:tcPr>
          <w:p>
            <w:pPr>
              <w:ind w:left="280"/>
              <w:spacing w:after="0"/>
              <w:rPr>
                <w:sz w:val="20"/>
                <w:szCs w:val="20"/>
                <w:color w:val="auto"/>
              </w:rPr>
            </w:pPr>
            <w:r>
              <w:rPr>
                <w:rFonts w:ascii="Arial" w:cs="Arial" w:eastAsia="Arial" w:hAnsi="Arial"/>
                <w:sz w:val="18"/>
                <w:szCs w:val="18"/>
                <w:b w:val="1"/>
                <w:bCs w:val="1"/>
                <w:color w:val="auto"/>
              </w:rPr>
              <w:t>Predecessor</w:t>
            </w:r>
          </w:p>
        </w:tc>
        <w:tc>
          <w:tcPr>
            <w:tcW w:w="1540" w:type="dxa"/>
            <w:vAlign w:val="bottom"/>
          </w:tcPr>
          <w:p>
            <w:pPr>
              <w:jc w:val="center"/>
              <w:ind w:right="390"/>
              <w:spacing w:after="0"/>
              <w:rPr>
                <w:sz w:val="20"/>
                <w:szCs w:val="20"/>
                <w:color w:val="auto"/>
              </w:rPr>
            </w:pPr>
            <w:r>
              <w:rPr>
                <w:rFonts w:ascii="Arial" w:cs="Arial" w:eastAsia="Arial" w:hAnsi="Arial"/>
                <w:sz w:val="18"/>
                <w:szCs w:val="18"/>
                <w:b w:val="1"/>
                <w:bCs w:val="1"/>
                <w:color w:val="auto"/>
                <w:w w:val="98"/>
              </w:rPr>
              <w:t>Successor</w:t>
            </w:r>
          </w:p>
        </w:tc>
        <w:tc>
          <w:tcPr>
            <w:tcW w:w="280" w:type="dxa"/>
            <w:vAlign w:val="bottom"/>
          </w:tcPr>
          <w:p>
            <w:pPr>
              <w:spacing w:after="0"/>
              <w:rPr>
                <w:sz w:val="20"/>
                <w:szCs w:val="20"/>
                <w:color w:val="auto"/>
              </w:rPr>
            </w:pPr>
          </w:p>
        </w:tc>
        <w:tc>
          <w:tcPr>
            <w:tcW w:w="158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Predecessor</w:t>
            </w:r>
          </w:p>
        </w:tc>
      </w:tr>
      <w:tr>
        <w:trPr>
          <w:trHeight w:val="20"/>
        </w:trPr>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169"/>
        </w:trPr>
        <w:tc>
          <w:tcPr>
            <w:tcW w:w="3740" w:type="dxa"/>
            <w:vAlign w:val="bottom"/>
            <w:gridSpan w:val="4"/>
          </w:tcPr>
          <w:p>
            <w:pPr>
              <w:jc w:val="right"/>
              <w:spacing w:after="0" w:line="169" w:lineRule="exact"/>
              <w:rPr>
                <w:sz w:val="20"/>
                <w:szCs w:val="20"/>
                <w:color w:val="auto"/>
              </w:rPr>
            </w:pPr>
            <w:r>
              <w:rPr>
                <w:rFonts w:ascii="Arial" w:cs="Arial" w:eastAsia="Arial" w:hAnsi="Arial"/>
                <w:sz w:val="18"/>
                <w:szCs w:val="18"/>
                <w:b w:val="1"/>
                <w:bCs w:val="1"/>
                <w:color w:val="auto"/>
                <w:w w:val="93"/>
              </w:rPr>
              <w:t>Three months ended Three months endedNine</w:t>
            </w:r>
          </w:p>
        </w:tc>
        <w:tc>
          <w:tcPr>
            <w:tcW w:w="120" w:type="dxa"/>
            <w:vAlign w:val="bottom"/>
          </w:tcPr>
          <w:p>
            <w:pPr>
              <w:spacing w:after="0"/>
              <w:rPr>
                <w:sz w:val="14"/>
                <w:szCs w:val="14"/>
                <w:color w:val="auto"/>
              </w:rPr>
            </w:pPr>
          </w:p>
        </w:tc>
        <w:tc>
          <w:tcPr>
            <w:tcW w:w="1540" w:type="dxa"/>
            <w:vAlign w:val="bottom"/>
          </w:tcPr>
          <w:p>
            <w:pPr>
              <w:ind w:left="140"/>
              <w:spacing w:after="0" w:line="169" w:lineRule="exact"/>
              <w:rPr>
                <w:sz w:val="20"/>
                <w:szCs w:val="20"/>
                <w:color w:val="auto"/>
              </w:rPr>
            </w:pPr>
            <w:r>
              <w:rPr>
                <w:rFonts w:ascii="Arial" w:cs="Arial" w:eastAsia="Arial" w:hAnsi="Arial"/>
                <w:sz w:val="18"/>
                <w:szCs w:val="18"/>
                <w:b w:val="1"/>
                <w:bCs w:val="1"/>
                <w:color w:val="auto"/>
              </w:rPr>
              <w:t>months ended</w:t>
            </w:r>
          </w:p>
        </w:tc>
        <w:tc>
          <w:tcPr>
            <w:tcW w:w="1860" w:type="dxa"/>
            <w:vAlign w:val="bottom"/>
            <w:gridSpan w:val="2"/>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Nine months ended</w:t>
            </w:r>
          </w:p>
        </w:tc>
      </w:tr>
      <w:tr>
        <w:trPr>
          <w:trHeight w:val="230"/>
        </w:trPr>
        <w:tc>
          <w:tcPr>
            <w:tcW w:w="360" w:type="dxa"/>
            <w:vAlign w:val="bottom"/>
          </w:tcPr>
          <w:p>
            <w:pPr>
              <w:spacing w:after="0"/>
              <w:rPr>
                <w:sz w:val="19"/>
                <w:szCs w:val="19"/>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ind w:left="1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6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540" w:type="dxa"/>
            <w:vAlign w:val="bottom"/>
          </w:tcPr>
          <w:p>
            <w:pPr>
              <w:jc w:val="center"/>
              <w:ind w:left="1090"/>
              <w:spacing w:after="0"/>
              <w:rPr>
                <w:sz w:val="20"/>
                <w:szCs w:val="20"/>
                <w:color w:val="auto"/>
              </w:rPr>
            </w:pPr>
            <w:r>
              <w:rPr>
                <w:rFonts w:ascii="Arial" w:cs="Arial" w:eastAsia="Arial" w:hAnsi="Arial"/>
                <w:sz w:val="18"/>
                <w:szCs w:val="18"/>
                <w:color w:val="auto"/>
                <w:w w:val="76"/>
              </w:rPr>
              <w:t>(89)$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(1,999)</w:t>
            </w:r>
          </w:p>
        </w:tc>
      </w:tr>
      <w:tr>
        <w:trPr>
          <w:trHeight w:val="229"/>
        </w:trPr>
        <w:tc>
          <w:tcPr>
            <w:tcW w:w="1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540" w:type="dxa"/>
            <w:vAlign w:val="bottom"/>
          </w:tcPr>
          <w:p>
            <w:pPr>
              <w:jc w:val="center"/>
              <w:ind w:left="1090"/>
              <w:spacing w:after="0"/>
              <w:rPr>
                <w:sz w:val="20"/>
                <w:szCs w:val="20"/>
                <w:color w:val="auto"/>
              </w:rPr>
            </w:pPr>
            <w:r>
              <w:rPr>
                <w:rFonts w:ascii="Arial" w:cs="Arial" w:eastAsia="Arial" w:hAnsi="Arial"/>
                <w:sz w:val="18"/>
                <w:szCs w:val="18"/>
                <w:color w:val="auto"/>
                <w:w w:val="99"/>
              </w:rPr>
              <w:t>(13)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540"/>
        </w:trPr>
        <w:tc>
          <w:tcPr>
            <w:tcW w:w="19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40" w:type="dxa"/>
            <w:vAlign w:val="bottom"/>
          </w:tcPr>
          <w:p>
            <w:pPr>
              <w:jc w:val="center"/>
              <w:ind w:left="1090"/>
              <w:spacing w:after="0"/>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6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4"/>
                <w:szCs w:val="24"/>
                <w:color w:val="auto"/>
              </w:rPr>
            </w:pPr>
          </w:p>
        </w:tc>
        <w:tc>
          <w:tcPr>
            <w:tcW w:w="15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54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color w:val="auto"/>
                <w:w w:val="99"/>
              </w:rPr>
              <w:t>65</w:t>
            </w:r>
          </w:p>
        </w:tc>
        <w:tc>
          <w:tcPr>
            <w:tcW w:w="28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91"/>
        </w:trPr>
        <w:tc>
          <w:tcPr>
            <w:tcW w:w="190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540" w:type="dxa"/>
            <w:vAlign w:val="bottom"/>
          </w:tcPr>
          <w:p>
            <w:pPr>
              <w:jc w:val="center"/>
              <w:ind w:left="1090"/>
              <w:spacing w:after="0"/>
              <w:rPr>
                <w:sz w:val="20"/>
                <w:szCs w:val="20"/>
                <w:color w:val="auto"/>
              </w:rPr>
            </w:pPr>
            <w:r>
              <w:rPr>
                <w:rFonts w:ascii="Arial" w:cs="Arial" w:eastAsia="Arial" w:hAnsi="Arial"/>
                <w:sz w:val="18"/>
                <w:szCs w:val="18"/>
                <w:color w:val="auto"/>
                <w:w w:val="76"/>
              </w:rPr>
              <w:t>(20)$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(2,096)</w:t>
            </w:r>
          </w:p>
        </w:tc>
      </w:tr>
      <w:tr>
        <w:trPr>
          <w:trHeight w:val="67"/>
        </w:trPr>
        <w:tc>
          <w:tcPr>
            <w:tcW w:w="36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1"/>
        </w:trPr>
        <w:tc>
          <w:tcPr>
            <w:tcW w:w="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-1687830</wp:posOffset>
            </wp:positionV>
            <wp:extent cx="6823710" cy="1671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3710" cy="16719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600" w:space="0"/>
            <w:col w:w="7360"/>
          </w:cols>
          <w:pgMar w:left="220" w:top="927" w:right="719" w:bottom="1440" w:gutter="0" w:footer="0" w:header="0"/>
          <w:type w:val="continuous"/>
        </w:sectPr>
      </w:pPr>
    </w:p>
    <w:p>
      <w:pPr>
        <w:ind w:left="100" w:firstLine="8"/>
        <w:spacing w:after="0" w:line="479" w:lineRule="auto"/>
        <w:tabs>
          <w:tab w:leader="none" w:pos="475" w:val="left"/>
        </w:tabs>
        <w:numPr>
          <w:ilvl w:val="0"/>
          <w:numId w:val="3"/>
        </w:numPr>
        <w:rPr>
          <w:rFonts w:ascii="Arial" w:cs="Arial" w:eastAsia="Arial" w:hAnsi="Arial"/>
          <w:sz w:val="14"/>
          <w:szCs w:val="14"/>
          <w:color w:val="auto"/>
        </w:rPr>
      </w:pPr>
      <w:r>
        <w:rPr>
          <w:rFonts w:ascii="Arial" w:cs="Arial" w:eastAsia="Arial" w:hAnsi="Arial"/>
          <w:sz w:val="14"/>
          <w:szCs w:val="14"/>
          <w:color w:val="auto"/>
        </w:rPr>
        <w:t>No associated tax has been recorded for the components of other comprehensive income (loss) for the three and nine months ended September 30, 2021 and 2020. The accompanying notes are an integral part of these condensed consolidated financial statements.</w:t>
      </w:r>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220" w:top="927" w:right="71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gridSpan w:val="11"/>
          </w:tcPr>
          <w:p>
            <w:pPr>
              <w:ind w:left="620"/>
              <w:spacing w:after="0"/>
              <w:rPr>
                <w:sz w:val="20"/>
                <w:szCs w:val="20"/>
                <w:color w:val="auto"/>
              </w:rPr>
            </w:pPr>
            <w:r>
              <w:rPr>
                <w:rFonts w:ascii="Arial" w:cs="Arial" w:eastAsia="Arial" w:hAnsi="Arial"/>
                <w:sz w:val="14"/>
                <w:szCs w:val="14"/>
                <w:b w:val="1"/>
                <w:bCs w:val="1"/>
                <w:color w:val="auto"/>
              </w:rPr>
              <w:t>Three months ended September 30, 2021 (Successor)</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1"/>
                <w:szCs w:val="11"/>
                <w:color w:val="auto"/>
              </w:rPr>
            </w:pPr>
          </w:p>
        </w:tc>
        <w:tc>
          <w:tcPr>
            <w:tcW w:w="7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5"/>
                <w:szCs w:val="15"/>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to noncontrolling</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05"/>
        </w:trPr>
        <w:tc>
          <w:tcPr>
            <w:tcW w:w="24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interest holders</w:t>
            </w:r>
          </w:p>
        </w:tc>
        <w:tc>
          <w:tcPr>
            <w:tcW w:w="14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120"/>
              <w:spacing w:after="0" w:line="153" w:lineRule="exact"/>
              <w:rPr>
                <w:sz w:val="20"/>
                <w:szCs w:val="20"/>
                <w:color w:val="auto"/>
              </w:rPr>
            </w:pPr>
            <w:r>
              <w:rPr>
                <w:rFonts w:ascii="Arial" w:cs="Arial" w:eastAsia="Arial" w:hAnsi="Arial"/>
                <w:sz w:val="14"/>
                <w:szCs w:val="14"/>
                <w:color w:val="auto"/>
              </w:rPr>
              <w:t>Redemption of noncontrolling</w:t>
            </w:r>
          </w:p>
        </w:tc>
        <w:tc>
          <w:tcPr>
            <w:tcW w:w="14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400" w:type="dxa"/>
            <w:vAlign w:val="bottom"/>
            <w:vMerge w:val="restart"/>
          </w:tcPr>
          <w:p>
            <w:pPr>
              <w:ind w:left="12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center"/>
              <w:ind w:left="38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1"/>
          </w:tcPr>
          <w:p>
            <w:pPr>
              <w:ind w:left="660"/>
              <w:spacing w:after="0"/>
              <w:rPr>
                <w:sz w:val="20"/>
                <w:szCs w:val="20"/>
                <w:color w:val="auto"/>
              </w:rPr>
            </w:pPr>
            <w:r>
              <w:rPr>
                <w:rFonts w:ascii="Arial" w:cs="Arial" w:eastAsia="Arial" w:hAnsi="Arial"/>
                <w:sz w:val="14"/>
                <w:szCs w:val="14"/>
                <w:b w:val="1"/>
                <w:bCs w:val="1"/>
                <w:color w:val="auto"/>
              </w:rPr>
              <w:t>Nine months ended September 30, 2021 (Successor)</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1"/>
                <w:szCs w:val="11"/>
                <w:color w:val="auto"/>
              </w:rPr>
            </w:pPr>
          </w:p>
        </w:tc>
        <w:tc>
          <w:tcPr>
            <w:tcW w:w="7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to noncontrolling</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5"/>
        </w:trPr>
        <w:tc>
          <w:tcPr>
            <w:tcW w:w="24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interest holders</w:t>
            </w:r>
          </w:p>
        </w:tc>
        <w:tc>
          <w:tcPr>
            <w:tcW w:w="14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120"/>
              <w:spacing w:after="0" w:line="153" w:lineRule="exact"/>
              <w:rPr>
                <w:sz w:val="20"/>
                <w:szCs w:val="20"/>
                <w:color w:val="auto"/>
              </w:rPr>
            </w:pPr>
            <w:r>
              <w:rPr>
                <w:rFonts w:ascii="Arial" w:cs="Arial" w:eastAsia="Arial" w:hAnsi="Arial"/>
                <w:sz w:val="14"/>
                <w:szCs w:val="14"/>
                <w:color w:val="auto"/>
              </w:rPr>
              <w:t>Redemption of noncontrolling</w:t>
            </w:r>
          </w:p>
        </w:tc>
        <w:tc>
          <w:tcPr>
            <w:tcW w:w="14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400" w:type="dxa"/>
            <w:vAlign w:val="bottom"/>
            <w:vMerge w:val="restart"/>
          </w:tcPr>
          <w:p>
            <w:pPr>
              <w:ind w:left="12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center"/>
              <w:ind w:left="388"/>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1,286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 w:name="page8"/>
    <w:bookmarkEnd w:id="7"/>
    <w:p>
      <w:pPr>
        <w:ind w:left="2980"/>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5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gridSpan w:val="11"/>
          </w:tcPr>
          <w:p>
            <w:pPr>
              <w:ind w:left="740"/>
              <w:spacing w:after="0"/>
              <w:rPr>
                <w:sz w:val="20"/>
                <w:szCs w:val="20"/>
                <w:color w:val="auto"/>
              </w:rPr>
            </w:pPr>
            <w:r>
              <w:rPr>
                <w:rFonts w:ascii="Arial" w:cs="Arial" w:eastAsia="Arial" w:hAnsi="Arial"/>
                <w:sz w:val="14"/>
                <w:szCs w:val="14"/>
                <w:b w:val="1"/>
                <w:bCs w:val="1"/>
                <w:color w:val="auto"/>
              </w:rPr>
              <w:t>Three months ended September 30, 2020 (Predecessor)</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75"/>
        </w:trPr>
        <w:tc>
          <w:tcPr>
            <w:tcW w:w="1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line="176" w:lineRule="exact"/>
              <w:rPr>
                <w:sz w:val="20"/>
                <w:szCs w:val="20"/>
                <w:color w:val="auto"/>
              </w:rPr>
            </w:pPr>
            <w:r>
              <w:rPr>
                <w:rFonts w:ascii="Arial" w:cs="Arial" w:eastAsia="Arial" w:hAnsi="Arial"/>
                <w:sz w:val="14"/>
                <w:szCs w:val="14"/>
                <w:b w:val="1"/>
                <w:bCs w:val="1"/>
                <w:color w:val="auto"/>
                <w:w w:val="97"/>
              </w:rPr>
              <w:t>Interests</w:t>
            </w:r>
            <w:r>
              <w:rPr>
                <w:rFonts w:ascii="Arial" w:cs="Arial" w:eastAsia="Arial" w:hAnsi="Arial"/>
                <w:sz w:val="18"/>
                <w:szCs w:val="18"/>
                <w:b w:val="1"/>
                <w:bCs w:val="1"/>
                <w:color w:val="auto"/>
                <w:w w:val="97"/>
                <w:vertAlign w:val="superscript"/>
              </w:rPr>
              <w:t>(b)</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8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89"/>
        </w:trPr>
        <w:tc>
          <w:tcPr>
            <w:tcW w:w="1980" w:type="dxa"/>
            <w:vAlign w:val="bottom"/>
          </w:tcPr>
          <w:p>
            <w:pPr>
              <w:ind w:left="120"/>
              <w:spacing w:after="0" w:line="189" w:lineRule="exact"/>
              <w:rPr>
                <w:sz w:val="20"/>
                <w:szCs w:val="20"/>
                <w:color w:val="auto"/>
              </w:rPr>
            </w:pPr>
            <w:r>
              <w:rPr>
                <w:rFonts w:ascii="Arial" w:cs="Arial" w:eastAsia="Arial" w:hAnsi="Arial"/>
                <w:sz w:val="14"/>
                <w:szCs w:val="14"/>
                <w:color w:val="auto"/>
              </w:rPr>
              <w:t>Net (loss) income</w:t>
            </w:r>
            <w:r>
              <w:rPr>
                <w:rFonts w:ascii="Arial" w:cs="Arial" w:eastAsia="Arial" w:hAnsi="Arial"/>
                <w:sz w:val="18"/>
                <w:szCs w:val="18"/>
                <w:color w:val="auto"/>
                <w:vertAlign w:val="superscript"/>
              </w:rPr>
              <w:t>(a)</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to</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holders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8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Modification of</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05"/>
        </w:trPr>
        <w:tc>
          <w:tcPr>
            <w:tcW w:w="19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9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120"/>
              <w:spacing w:after="0" w:line="153" w:lineRule="exact"/>
              <w:rPr>
                <w:sz w:val="20"/>
                <w:szCs w:val="20"/>
                <w:color w:val="auto"/>
              </w:rPr>
            </w:pPr>
            <w:r>
              <w:rPr>
                <w:rFonts w:ascii="Arial" w:cs="Arial" w:eastAsia="Arial" w:hAnsi="Arial"/>
                <w:sz w:val="14"/>
                <w:szCs w:val="14"/>
                <w:color w:val="auto"/>
              </w:rPr>
              <w:t>Shares cancelled for taxes</w:t>
            </w:r>
          </w:p>
        </w:tc>
        <w:tc>
          <w:tcPr>
            <w:tcW w:w="16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ind w:left="8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center"/>
              <w:ind w:left="868"/>
              <w:spacing w:after="0"/>
              <w:rPr>
                <w:sz w:val="20"/>
                <w:szCs w:val="20"/>
                <w:color w:val="auto"/>
              </w:rPr>
            </w:pPr>
            <w:r>
              <w:rPr>
                <w:rFonts w:ascii="Arial" w:cs="Arial" w:eastAsia="Arial" w:hAnsi="Arial"/>
                <w:sz w:val="14"/>
                <w:szCs w:val="14"/>
                <w:color w:val="auto"/>
                <w:w w:val="99"/>
              </w:rPr>
              <w:t>—</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1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and other</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Balance, September 30,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(7,466)</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center"/>
              <w:ind w:left="8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3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69"/>
        </w:trPr>
        <w:tc>
          <w:tcPr>
            <w:tcW w:w="198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11"/>
          </w:tcPr>
          <w:p>
            <w:pPr>
              <w:ind w:left="780"/>
              <w:spacing w:after="0"/>
              <w:rPr>
                <w:sz w:val="20"/>
                <w:szCs w:val="20"/>
                <w:color w:val="auto"/>
              </w:rPr>
            </w:pPr>
            <w:r>
              <w:rPr>
                <w:rFonts w:ascii="Arial" w:cs="Arial" w:eastAsia="Arial" w:hAnsi="Arial"/>
                <w:sz w:val="14"/>
                <w:szCs w:val="14"/>
                <w:b w:val="1"/>
                <w:bCs w:val="1"/>
                <w:color w:val="auto"/>
              </w:rPr>
              <w:t>Nine months ended September 30, 2020 (Predecessor)</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75"/>
        </w:trPr>
        <w:tc>
          <w:tcPr>
            <w:tcW w:w="1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Interests</w:t>
            </w:r>
            <w:r>
              <w:rPr>
                <w:rFonts w:ascii="Arial" w:cs="Arial" w:eastAsia="Arial" w:hAnsi="Arial"/>
                <w:sz w:val="9"/>
                <w:szCs w:val="9"/>
                <w:b w:val="1"/>
                <w:bCs w:val="1"/>
                <w:color w:val="auto"/>
              </w:rPr>
              <w:t>(b)</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8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89"/>
        </w:trPr>
        <w:tc>
          <w:tcPr>
            <w:tcW w:w="1980" w:type="dxa"/>
            <w:vAlign w:val="bottom"/>
          </w:tcPr>
          <w:p>
            <w:pPr>
              <w:ind w:left="120"/>
              <w:spacing w:after="0"/>
              <w:rPr>
                <w:sz w:val="20"/>
                <w:szCs w:val="20"/>
                <w:color w:val="auto"/>
              </w:rPr>
            </w:pPr>
            <w:r>
              <w:rPr>
                <w:rFonts w:ascii="Arial" w:cs="Arial" w:eastAsia="Arial" w:hAnsi="Arial"/>
                <w:sz w:val="14"/>
                <w:szCs w:val="14"/>
                <w:color w:val="auto"/>
              </w:rPr>
              <w:t>Net (loss) income</w:t>
            </w:r>
            <w:r>
              <w:rPr>
                <w:rFonts w:ascii="Arial" w:cs="Arial" w:eastAsia="Arial" w:hAnsi="Arial"/>
                <w:sz w:val="9"/>
                <w:szCs w:val="9"/>
                <w:color w:val="auto"/>
              </w:rPr>
              <w:t>(a)</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(2,084)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Contributions from</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holders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120"/>
              <w:spacing w:after="0" w:line="153" w:lineRule="exact"/>
              <w:rPr>
                <w:sz w:val="20"/>
                <w:szCs w:val="20"/>
                <w:color w:val="auto"/>
              </w:rPr>
            </w:pPr>
            <w:r>
              <w:rPr>
                <w:rFonts w:ascii="Arial" w:cs="Arial" w:eastAsia="Arial" w:hAnsi="Arial"/>
                <w:sz w:val="14"/>
                <w:szCs w:val="14"/>
                <w:color w:val="auto"/>
              </w:rPr>
              <w:t>Distributions to</w:t>
            </w:r>
          </w:p>
        </w:tc>
        <w:tc>
          <w:tcPr>
            <w:tcW w:w="160" w:type="dxa"/>
            <w:vAlign w:val="bottom"/>
          </w:tcPr>
          <w:p>
            <w:pPr>
              <w:spacing w:after="0"/>
              <w:rPr>
                <w:sz w:val="13"/>
                <w:szCs w:val="13"/>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4"/>
                <w:szCs w:val="14"/>
                <w:color w:val="auto"/>
              </w:rPr>
              <w:t>noncontrolling interest</w:t>
            </w:r>
          </w:p>
        </w:tc>
        <w:tc>
          <w:tcPr>
            <w:tcW w:w="1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80" w:type="dxa"/>
            <w:vAlign w:val="bottom"/>
          </w:tcPr>
          <w:p>
            <w:pPr>
              <w:ind w:left="120"/>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980" w:type="dxa"/>
            <w:vAlign w:val="bottom"/>
          </w:tcPr>
          <w:p>
            <w:pPr>
              <w:ind w:left="120"/>
              <w:spacing w:after="0" w:line="153" w:lineRule="exact"/>
              <w:rPr>
                <w:sz w:val="20"/>
                <w:szCs w:val="20"/>
                <w:color w:val="auto"/>
              </w:rPr>
            </w:pPr>
            <w:r>
              <w:rPr>
                <w:rFonts w:ascii="Arial" w:cs="Arial" w:eastAsia="Arial" w:hAnsi="Arial"/>
                <w:sz w:val="14"/>
                <w:szCs w:val="14"/>
                <w:color w:val="auto"/>
              </w:rPr>
              <w:t>Modification of</w:t>
            </w:r>
          </w:p>
        </w:tc>
        <w:tc>
          <w:tcPr>
            <w:tcW w:w="160" w:type="dxa"/>
            <w:vAlign w:val="bottom"/>
          </w:tcPr>
          <w:p>
            <w:pPr>
              <w:spacing w:after="0"/>
              <w:rPr>
                <w:sz w:val="13"/>
                <w:szCs w:val="13"/>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05"/>
        </w:trPr>
        <w:tc>
          <w:tcPr>
            <w:tcW w:w="1980" w:type="dxa"/>
            <w:vAlign w:val="bottom"/>
            <w:vMerge w:val="restart"/>
          </w:tcPr>
          <w:p>
            <w:pPr>
              <w:ind w:left="120"/>
              <w:spacing w:after="0"/>
              <w:rPr>
                <w:sz w:val="20"/>
                <w:szCs w:val="20"/>
                <w:color w:val="auto"/>
              </w:rPr>
            </w:pPr>
            <w:r>
              <w:rPr>
                <w:rFonts w:ascii="Arial" w:cs="Arial" w:eastAsia="Arial" w:hAnsi="Arial"/>
                <w:sz w:val="14"/>
                <w:szCs w:val="14"/>
                <w:color w:val="auto"/>
              </w:rPr>
              <w:t>noncontrolling interest</w:t>
            </w:r>
          </w:p>
        </w:tc>
        <w:tc>
          <w:tcPr>
            <w:tcW w:w="1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98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9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Balance, September 30,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(7,466)</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center"/>
              <w:ind w:left="8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3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left="500" w:right="80" w:hanging="492"/>
        <w:spacing w:after="0" w:line="241" w:lineRule="auto"/>
        <w:tabs>
          <w:tab w:leader="none" w:pos="487"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months ended September 30, 2020, we allocated $22 million of net income to noncontrolling interest holders, of which a $3 million net loss was included in stockholders' equity and $25 million was included in mezzanine equity on our condensed consolidated balance sheet. The remaining net loss of $29 million for the three months ended September 30, 2020 was attributed to holders of our common stock and included in stockholders' equity on our condensed consolidated balance sheet.</w:t>
      </w:r>
    </w:p>
    <w:p>
      <w:pPr>
        <w:spacing w:after="0" w:line="1" w:lineRule="exact"/>
        <w:rPr>
          <w:rFonts w:ascii="Arial" w:cs="Arial" w:eastAsia="Arial" w:hAnsi="Arial"/>
          <w:sz w:val="14"/>
          <w:szCs w:val="14"/>
          <w:color w:val="auto"/>
        </w:rPr>
      </w:pPr>
    </w:p>
    <w:p>
      <w:pPr>
        <w:ind w:left="500" w:right="260"/>
        <w:spacing w:after="0" w:line="247" w:lineRule="auto"/>
        <w:rPr>
          <w:rFonts w:ascii="Arial" w:cs="Arial" w:eastAsia="Arial" w:hAnsi="Arial"/>
          <w:sz w:val="14"/>
          <w:szCs w:val="14"/>
          <w:color w:val="auto"/>
        </w:rPr>
      </w:pPr>
      <w:r>
        <w:rPr>
          <w:rFonts w:ascii="Arial" w:cs="Arial" w:eastAsia="Arial" w:hAnsi="Arial"/>
          <w:sz w:val="14"/>
          <w:szCs w:val="14"/>
          <w:color w:val="auto"/>
        </w:rPr>
        <w:t>For the nine months ended September 30, 2020, we allocated $97 million of net income to noncontrolling interest holders, of which $12 million was included in stockholders' equity and $85 million was included in mezzanine equity on our condensed consolidated balance sheet. The remaining net loss of $2,096 million for the nine months ended September 30, 2020 was attributed to holders of our common stock and included in stockholders' equity on our condensed consolidated balance sheet.</w:t>
      </w:r>
    </w:p>
    <w:p>
      <w:pPr>
        <w:spacing w:after="0" w:line="11" w:lineRule="exact"/>
        <w:rPr>
          <w:rFonts w:ascii="Arial" w:cs="Arial" w:eastAsia="Arial" w:hAnsi="Arial"/>
          <w:sz w:val="14"/>
          <w:szCs w:val="14"/>
          <w:color w:val="auto"/>
        </w:rPr>
      </w:pPr>
    </w:p>
    <w:p>
      <w:pPr>
        <w:ind w:left="500" w:right="100" w:hanging="492"/>
        <w:spacing w:after="0" w:line="260" w:lineRule="auto"/>
        <w:tabs>
          <w:tab w:leader="none" w:pos="487"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Redeemable noncontrolling interests are reported in mezzanine equity on our condensed consolidated balance sheets in Predecessor periods. See </w:t>
      </w:r>
      <w:r>
        <w:rPr>
          <w:rFonts w:ascii="Arial" w:cs="Arial" w:eastAsia="Arial" w:hAnsi="Arial"/>
          <w:sz w:val="14"/>
          <w:szCs w:val="14"/>
          <w:i w:val="1"/>
          <w:iCs w:val="1"/>
          <w:color w:val="auto"/>
        </w:rPr>
        <w:t>Part II, Item 8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Financial Statements and Supplementary Data, Note 7 Joint Ventures </w:t>
      </w:r>
      <w:r>
        <w:rPr>
          <w:rFonts w:ascii="Arial" w:cs="Arial" w:eastAsia="Arial" w:hAnsi="Arial"/>
          <w:sz w:val="14"/>
          <w:szCs w:val="14"/>
          <w:color w:val="auto"/>
        </w:rPr>
        <w:t>in our 2020 Annual Report for more information about our noncontrolling interests in the Ares and</w:t>
      </w:r>
      <w:r>
        <w:rPr>
          <w:rFonts w:ascii="Arial" w:cs="Arial" w:eastAsia="Arial" w:hAnsi="Arial"/>
          <w:sz w:val="14"/>
          <w:szCs w:val="14"/>
          <w:i w:val="1"/>
          <w:iCs w:val="1"/>
          <w:color w:val="auto"/>
        </w:rPr>
        <w:t xml:space="preserve"> </w:t>
      </w:r>
      <w:r>
        <w:rPr>
          <w:rFonts w:ascii="Arial" w:cs="Arial" w:eastAsia="Arial" w:hAnsi="Arial"/>
          <w:sz w:val="14"/>
          <w:szCs w:val="14"/>
          <w:color w:val="auto"/>
        </w:rPr>
        <w:t>Elk Hills Carbon joint ventures.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Cash Flows For the three and nine months ended September 30, 2021 and 2020 </w:t>
      </w:r>
      <w:r>
        <w:rPr>
          <w:rFonts w:ascii="Arial" w:cs="Arial" w:eastAsia="Arial" w:hAnsi="Arial"/>
          <w:sz w:val="18"/>
          <w:szCs w:val="18"/>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74930</wp:posOffset>
            </wp:positionV>
            <wp:extent cx="8255" cy="6231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6231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74930</wp:posOffset>
            </wp:positionV>
            <wp:extent cx="8255" cy="6231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623189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4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Three months</w:t>
            </w:r>
          </w:p>
        </w:tc>
        <w:tc>
          <w:tcPr>
            <w:tcW w:w="15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68"/>
        </w:trPr>
        <w:tc>
          <w:tcPr>
            <w:tcW w:w="5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5"/>
                <w:szCs w:val="5"/>
                <w:color w:val="auto"/>
              </w:rPr>
            </w:pPr>
          </w:p>
        </w:tc>
        <w:tc>
          <w:tcPr>
            <w:tcW w:w="14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ended September</w:t>
            </w:r>
          </w:p>
        </w:tc>
        <w:tc>
          <w:tcPr>
            <w:tcW w:w="1580" w:type="dxa"/>
            <w:vAlign w:val="bottom"/>
            <w:gridSpan w:val="3"/>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5"/>
                <w:szCs w:val="5"/>
                <w:color w:val="auto"/>
              </w:rPr>
            </w:pPr>
          </w:p>
        </w:tc>
        <w:tc>
          <w:tcPr>
            <w:tcW w:w="12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3"/>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5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 FROM OPERATING ACTIVITIES</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53"/>
        </w:trPr>
        <w:tc>
          <w:tcPr>
            <w:tcW w:w="5100" w:type="dxa"/>
            <w:vAlign w:val="bottom"/>
          </w:tcPr>
          <w:p>
            <w:pPr>
              <w:ind w:left="140"/>
              <w:spacing w:after="0" w:line="153" w:lineRule="exact"/>
              <w:rPr>
                <w:sz w:val="20"/>
                <w:szCs w:val="20"/>
                <w:color w:val="auto"/>
              </w:rPr>
            </w:pPr>
            <w:r>
              <w:rPr>
                <w:rFonts w:ascii="Arial" w:cs="Arial" w:eastAsia="Arial" w:hAnsi="Arial"/>
                <w:sz w:val="14"/>
                <w:szCs w:val="14"/>
                <w:color w:val="auto"/>
              </w:rPr>
              <w:t>Adjustments to reconcile net income (loss) to net cash provided by operating</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00" w:type="dxa"/>
            <w:vAlign w:val="bottom"/>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depletion and amortization</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89"/>
        </w:trPr>
        <w:tc>
          <w:tcPr>
            <w:tcW w:w="5100" w:type="dxa"/>
            <w:vAlign w:val="bottom"/>
          </w:tcPr>
          <w:p>
            <w:pPr>
              <w:ind w:left="240"/>
              <w:spacing w:after="0"/>
              <w:rPr>
                <w:sz w:val="20"/>
                <w:szCs w:val="20"/>
                <w:color w:val="auto"/>
              </w:rPr>
            </w:pPr>
            <w:r>
              <w:rPr>
                <w:rFonts w:ascii="Arial" w:cs="Arial" w:eastAsia="Arial" w:hAnsi="Arial"/>
                <w:sz w:val="14"/>
                <w:szCs w:val="14"/>
                <w:color w:val="auto"/>
              </w:rPr>
              <w:t>Asset impairments</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 (gain) from commodity derivatives</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5100" w:type="dxa"/>
            <w:vAlign w:val="bottom"/>
          </w:tcPr>
          <w:p>
            <w:pPr>
              <w:ind w:left="240"/>
              <w:spacing w:after="0"/>
              <w:rPr>
                <w:sz w:val="20"/>
                <w:szCs w:val="20"/>
                <w:color w:val="auto"/>
              </w:rPr>
            </w:pPr>
            <w:r>
              <w:rPr>
                <w:rFonts w:ascii="Arial" w:cs="Arial" w:eastAsia="Arial" w:hAnsi="Arial"/>
                <w:sz w:val="14"/>
                <w:szCs w:val="14"/>
                <w:color w:val="auto"/>
              </w:rPr>
              <w:t>Net settlement (payments) proceeds from commodity derivatives</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 (gain) on early extinguishment of debt</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5100" w:type="dxa"/>
            <w:vAlign w:val="bottom"/>
          </w:tcPr>
          <w:p>
            <w:pPr>
              <w:ind w:left="240"/>
              <w:spacing w:after="0"/>
              <w:rPr>
                <w:sz w:val="20"/>
                <w:szCs w:val="20"/>
                <w:color w:val="auto"/>
              </w:rPr>
            </w:pPr>
            <w:r>
              <w:rPr>
                <w:rFonts w:ascii="Arial" w:cs="Arial" w:eastAsia="Arial" w:hAnsi="Arial"/>
                <w:sz w:val="14"/>
                <w:szCs w:val="14"/>
                <w:color w:val="auto"/>
              </w:rPr>
              <w:t>Amortization of deferred gain</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Gain on asset divestitures</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tcPr>
          <w:p>
            <w:pPr>
              <w:ind w:left="240"/>
              <w:spacing w:after="0"/>
              <w:rPr>
                <w:sz w:val="20"/>
                <w:szCs w:val="20"/>
                <w:color w:val="auto"/>
              </w:rPr>
            </w:pPr>
            <w:r>
              <w:rPr>
                <w:rFonts w:ascii="Arial" w:cs="Arial" w:eastAsia="Arial" w:hAnsi="Arial"/>
                <w:sz w:val="14"/>
                <w:szCs w:val="14"/>
                <w:color w:val="auto"/>
              </w:rPr>
              <w:t>Reorganization items, net (non-cash)</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Reorganization items, net (debtor-in-possession financing costs)</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5100" w:type="dxa"/>
            <w:vAlign w:val="bottom"/>
          </w:tcPr>
          <w:p>
            <w:pPr>
              <w:ind w:left="240"/>
              <w:spacing w:after="0"/>
              <w:rPr>
                <w:sz w:val="20"/>
                <w:szCs w:val="20"/>
                <w:color w:val="auto"/>
              </w:rPr>
            </w:pPr>
            <w:r>
              <w:rPr>
                <w:rFonts w:ascii="Arial" w:cs="Arial" w:eastAsia="Arial" w:hAnsi="Arial"/>
                <w:sz w:val="14"/>
                <w:szCs w:val="14"/>
                <w:color w:val="auto"/>
              </w:rPr>
              <w:t>Other non-cash charges to income, net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 net</w:t>
            </w:r>
          </w:p>
        </w:tc>
        <w:tc>
          <w:tcPr>
            <w:tcW w:w="1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CCEEFF"/>
            </w:tcBorders>
          </w:tcPr>
          <w:p>
            <w:pPr>
              <w:ind w:left="580"/>
              <w:spacing w:after="0"/>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88"/>
        </w:trPr>
        <w:tc>
          <w:tcPr>
            <w:tcW w:w="5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CASH FLOW FROM INVESTING ACTIVITIES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investments</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Changes in accrued capital investments</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asset divestitures</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Acquisitions</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CCEEFF"/>
            </w:tcBorders>
          </w:tcPr>
          <w:p>
            <w:pPr>
              <w:ind w:left="580"/>
              <w:spacing w:after="0"/>
              <w:rPr>
                <w:sz w:val="20"/>
                <w:szCs w:val="20"/>
                <w:color w:val="auto"/>
              </w:rPr>
            </w:pPr>
            <w:r>
              <w:rPr>
                <w:rFonts w:ascii="Arial" w:cs="Arial" w:eastAsia="Arial" w:hAnsi="Arial"/>
                <w:sz w:val="14"/>
                <w:szCs w:val="14"/>
                <w:b w:val="1"/>
                <w:bCs w:val="1"/>
                <w:color w:val="auto"/>
              </w:rPr>
              <w:t>Net cash used in investing activities</w:t>
            </w:r>
          </w:p>
        </w:tc>
        <w:tc>
          <w:tcPr>
            <w:tcW w:w="1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8"/>
        </w:trPr>
        <w:tc>
          <w:tcPr>
            <w:tcW w:w="5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CASH FLOW FROM FINANCING ACTIVITIES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Revolving Credit Facility</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Repayments of Revolving Credit Facility</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2014 Revolving Credit Facility</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Repayments of 2014 Revolving Credit Facility</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debtor-in-possession facilities</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Repayments of debtor-in-possession facilities</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Debtor-in-possession financing costs</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Proceeds from Senior Notes</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repurchases</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Debt issuance costs</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Second Lien Term Loan</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Repayment of EHP Notes</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2020 Senior Notes</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warrants exercised</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Contribution from noncontrolling interest holders</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paid to noncontrolling interest holders</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9"/>
        </w:trPr>
        <w:tc>
          <w:tcPr>
            <w:tcW w:w="5100" w:type="dxa"/>
            <w:vAlign w:val="bottom"/>
          </w:tcPr>
          <w:p>
            <w:pPr>
              <w:ind w:left="140"/>
              <w:spacing w:after="0"/>
              <w:rPr>
                <w:sz w:val="20"/>
                <w:szCs w:val="20"/>
                <w:color w:val="auto"/>
              </w:rPr>
            </w:pPr>
            <w:r>
              <w:rPr>
                <w:rFonts w:ascii="Arial" w:cs="Arial" w:eastAsia="Arial" w:hAnsi="Arial"/>
                <w:sz w:val="14"/>
                <w:szCs w:val="14"/>
                <w:color w:val="auto"/>
              </w:rPr>
              <w:t>Shares cancelled for taxes and other</w:t>
            </w:r>
          </w:p>
        </w:tc>
        <w:tc>
          <w:tcPr>
            <w:tcW w:w="10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510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4"/>
                <w:szCs w:val="14"/>
                <w:b w:val="1"/>
                <w:bCs w:val="1"/>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Increase (decrease) in cash</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Cash—beginning of period</w:t>
            </w:r>
          </w:p>
        </w:tc>
        <w:tc>
          <w:tcPr>
            <w:tcW w:w="1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2"/>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Cash—end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-87630</wp:posOffset>
            </wp:positionV>
            <wp:extent cx="3900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w:t>
      </w:r>
    </w:p>
    <w:p>
      <w:pPr>
        <w:spacing w:after="0" w:line="23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22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(consisting of normal recurring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w:t>
      </w:r>
    </w:p>
    <w:p>
      <w:pPr>
        <w:spacing w:after="0" w:line="23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3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2020 (2020 Annual Report).</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7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On July 15, 2020, we filed voluntary petitions for relief under Chapter 11 of Title 11 of the Bankruptcy Code. On October 13, 2020, the Bankruptcy Court confirmed our joint plan of reorganization (the Plan) and we subsequently emerged from Chapter 11 on October 27, 2020 with a new Board of Directors, new equity owners and a significantly improved financial position.</w:t>
      </w: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qualified for and adopted fresh start accounting upon emergence from bankruptcy at which point we became a new entity for financial reporting purposes. We adopted an accounting convenience date of October 31, 2020 for the application of fresh start accounting. As a result of the application of fresh start accounting and the effects of the implementation of the Plan,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 See </w:t>
      </w:r>
      <w:r>
        <w:rPr>
          <w:rFonts w:ascii="Arial" w:cs="Arial" w:eastAsia="Arial" w:hAnsi="Arial"/>
          <w:sz w:val="18"/>
          <w:szCs w:val="18"/>
          <w:i w:val="1"/>
          <w:iCs w:val="1"/>
          <w:color w:val="auto"/>
        </w:rPr>
        <w:t>Part II, 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 – Financial Statements and Supplementary Data, Note 2 Chapter 11 Proceedings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3 Fresh Start Accounting </w:t>
      </w:r>
      <w:r>
        <w:rPr>
          <w:rFonts w:ascii="Arial" w:cs="Arial" w:eastAsia="Arial" w:hAnsi="Arial"/>
          <w:sz w:val="18"/>
          <w:szCs w:val="18"/>
          <w:color w:val="auto"/>
        </w:rPr>
        <w:t>in our 2020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for additional information on the terms of the Plan, our emergence from bankruptcy and application of fresh start accounting.</w:t>
      </w:r>
    </w:p>
    <w:p>
      <w:pPr>
        <w:spacing w:after="0" w:line="23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adopted new accounting guidance on current expected credit losses on January 1, 2020, using a modified retrospective approach to the first period in which the guidance was effective. The new rules changed the measurement of credit losses for financial 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9"/>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3  OTHER INFORMATION</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i w:val="1"/>
                <w:iCs w:val="1"/>
                <w:color w:val="auto"/>
              </w:rPr>
              <w:t xml:space="preserve">Other current assets </w:t>
            </w:r>
            <w:r>
              <w:rPr>
                <w:rFonts w:ascii="Arial" w:cs="Arial" w:eastAsia="Arial" w:hAnsi="Arial"/>
                <w:sz w:val="18"/>
                <w:szCs w:val="18"/>
                <w:color w:val="auto"/>
              </w:rPr>
              <w:t>— Other current assets includes the following:</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3"/>
          </w:tcPr>
          <w:p>
            <w:pPr>
              <w:jc w:val="center"/>
              <w:ind w:left="1232"/>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joint interest partners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Receivables for premiums on derivative contracts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Prepaid greenhouse gas allowances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Other noncurrent assets </w:t>
            </w:r>
            <w:r>
              <w:rPr>
                <w:rFonts w:ascii="Arial" w:cs="Arial" w:eastAsia="Arial" w:hAnsi="Arial"/>
                <w:sz w:val="18"/>
                <w:szCs w:val="18"/>
                <w:color w:val="auto"/>
              </w:rPr>
              <w:t>- Other noncurrent assets includes the following: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3"/>
          </w:tcPr>
          <w:p>
            <w:pPr>
              <w:jc w:val="center"/>
              <w:ind w:left="1232"/>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financing costs - Revolving Credit Facility</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Emission reduction credits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Prepaid power plant maintenance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deposits and other</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includes the following: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3"/>
          </w:tcPr>
          <w:p>
            <w:pPr>
              <w:jc w:val="center"/>
              <w:ind w:left="1232"/>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employee-related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taxes other than on income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premiums on derivative contracts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settlement payments due on derivative contracts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5"/>
        </w:trPr>
        <w:tc>
          <w:tcPr>
            <w:tcW w:w="7360" w:type="dxa"/>
            <w:vAlign w:val="bottom"/>
          </w:tcPr>
          <w:p>
            <w:pPr>
              <w:ind w:left="340"/>
              <w:spacing w:after="0"/>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includes the following:</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99"/>
        </w:trPr>
        <w:tc>
          <w:tcPr>
            <w:tcW w:w="7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right"/>
              <w:ind w:right="1370"/>
              <w:spacing w:after="0"/>
              <w:rPr>
                <w:sz w:val="20"/>
                <w:szCs w:val="20"/>
                <w:color w:val="auto"/>
              </w:rPr>
            </w:pPr>
            <w:r>
              <w:rPr>
                <w:rFonts w:ascii="Arial" w:cs="Arial" w:eastAsia="Arial" w:hAnsi="Arial"/>
                <w:sz w:val="18"/>
                <w:szCs w:val="18"/>
                <w:b w:val="1"/>
                <w:bCs w:val="1"/>
                <w:color w:val="auto"/>
              </w:rPr>
              <w:t>Successor</w:t>
            </w:r>
          </w:p>
        </w:tc>
      </w:tr>
      <w:tr>
        <w:trPr>
          <w:trHeight w:val="214"/>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183"/>
        </w:trPr>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and postretirement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premiums on derivative contracts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00" w:firstLine="324"/>
        <w:spacing w:after="0" w:line="251"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Disaggregated revenue for sales of oil, natural gas and natural gas liquids (NGLs)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8"/>
              </w:rPr>
              <w:t>Successor</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Predecessor</w:t>
            </w:r>
          </w:p>
        </w:tc>
        <w:tc>
          <w:tcPr>
            <w:tcW w:w="22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316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4"/>
                <w:szCs w:val="14"/>
                <w:color w:val="auto"/>
              </w:rPr>
            </w:pPr>
          </w:p>
        </w:tc>
        <w:tc>
          <w:tcPr>
            <w:tcW w:w="18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3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3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63"/>
        </w:trPr>
        <w:tc>
          <w:tcPr>
            <w:tcW w:w="3160" w:type="dxa"/>
            <w:vAlign w:val="bottom"/>
          </w:tcPr>
          <w:p>
            <w:pPr>
              <w:ind w:left="140"/>
              <w:spacing w:after="0"/>
              <w:rPr>
                <w:sz w:val="20"/>
                <w:szCs w:val="20"/>
                <w:color w:val="auto"/>
              </w:rPr>
            </w:pPr>
            <w:r>
              <w:rPr>
                <w:rFonts w:ascii="Arial" w:cs="Arial" w:eastAsia="Arial" w:hAnsi="Arial"/>
                <w:sz w:val="18"/>
                <w:szCs w:val="18"/>
                <w:color w:val="auto"/>
              </w:rPr>
              <w:t>Oil, natural gas and NGL sales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operating expenses, net </w:t>
      </w:r>
      <w:r>
        <w:rPr>
          <w:rFonts w:ascii="Arial" w:cs="Arial" w:eastAsia="Arial" w:hAnsi="Arial"/>
          <w:sz w:val="18"/>
          <w:szCs w:val="18"/>
          <w:color w:val="auto"/>
        </w:rPr>
        <w:t>— Other operating expenses, net includes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8"/>
              </w:rPr>
              <w:t>Successor</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Predecessor</w:t>
            </w:r>
          </w:p>
        </w:tc>
        <w:tc>
          <w:tcPr>
            <w:tcW w:w="22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316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4"/>
                <w:szCs w:val="14"/>
                <w:color w:val="auto"/>
              </w:rPr>
            </w:pPr>
          </w:p>
        </w:tc>
        <w:tc>
          <w:tcPr>
            <w:tcW w:w="18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Nine months ended</w:t>
            </w:r>
          </w:p>
        </w:tc>
      </w:tr>
      <w:tr>
        <w:trPr>
          <w:trHeight w:val="230"/>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3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3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termination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3160" w:type="dxa"/>
            <w:vAlign w:val="bottom"/>
          </w:tcPr>
          <w:p>
            <w:pPr>
              <w:ind w:left="20"/>
              <w:spacing w:after="0" w:line="189" w:lineRule="exact"/>
              <w:rPr>
                <w:sz w:val="20"/>
                <w:szCs w:val="20"/>
                <w:color w:val="auto"/>
              </w:rPr>
            </w:pPr>
            <w:r>
              <w:rPr>
                <w:rFonts w:ascii="Arial" w:cs="Arial" w:eastAsia="Arial" w:hAnsi="Arial"/>
                <w:sz w:val="18"/>
                <w:szCs w:val="18"/>
                <w:color w:val="auto"/>
              </w:rPr>
              <w:t>Deficiency payment on a pipeline</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7"/>
        </w:trPr>
        <w:tc>
          <w:tcPr>
            <w:tcW w:w="3160" w:type="dxa"/>
            <w:vAlign w:val="bottom"/>
          </w:tcPr>
          <w:p>
            <w:pPr>
              <w:ind w:left="20"/>
              <w:spacing w:after="0"/>
              <w:rPr>
                <w:sz w:val="20"/>
                <w:szCs w:val="20"/>
                <w:color w:val="auto"/>
              </w:rPr>
            </w:pPr>
            <w:r>
              <w:rPr>
                <w:rFonts w:ascii="Arial" w:cs="Arial" w:eastAsia="Arial" w:hAnsi="Arial"/>
                <w:sz w:val="18"/>
                <w:szCs w:val="18"/>
                <w:color w:val="auto"/>
              </w:rPr>
              <w:t>delivery contract</w:t>
            </w:r>
          </w:p>
        </w:tc>
        <w:tc>
          <w:tcPr>
            <w:tcW w:w="220" w:type="dxa"/>
            <w:vAlign w:val="bottom"/>
          </w:tcPr>
          <w:p>
            <w:pPr>
              <w:spacing w:after="0"/>
              <w:rPr>
                <w:sz w:val="18"/>
                <w:szCs w:val="18"/>
                <w:color w:val="auto"/>
              </w:rPr>
            </w:pPr>
          </w:p>
        </w:tc>
        <w:tc>
          <w:tcPr>
            <w:tcW w:w="1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Idle well fees</w:t>
            </w:r>
          </w:p>
        </w:tc>
        <w:tc>
          <w:tcPr>
            <w:tcW w:w="220" w:type="dxa"/>
            <w:vAlign w:val="bottom"/>
            <w:shd w:val="clear" w:color="auto" w:fill="CCEEFF"/>
          </w:tcPr>
          <w:p>
            <w:pPr>
              <w:spacing w:after="0"/>
              <w:rPr>
                <w:sz w:val="19"/>
                <w:szCs w:val="19"/>
                <w:color w:val="auto"/>
              </w:rPr>
            </w:pPr>
          </w:p>
        </w:tc>
        <w:tc>
          <w:tcPr>
            <w:tcW w:w="1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Power plant interruption</w:t>
            </w:r>
          </w:p>
        </w:tc>
        <w:tc>
          <w:tcPr>
            <w:tcW w:w="220" w:type="dxa"/>
            <w:vAlign w:val="bottom"/>
          </w:tcPr>
          <w:p>
            <w:pPr>
              <w:spacing w:after="0"/>
              <w:rPr>
                <w:sz w:val="19"/>
                <w:szCs w:val="19"/>
                <w:color w:val="auto"/>
              </w:rPr>
            </w:pPr>
          </w:p>
        </w:tc>
        <w:tc>
          <w:tcPr>
            <w:tcW w:w="1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 valorem fees</w:t>
            </w:r>
          </w:p>
        </w:tc>
        <w:tc>
          <w:tcPr>
            <w:tcW w:w="220" w:type="dxa"/>
            <w:vAlign w:val="bottom"/>
            <w:shd w:val="clear" w:color="auto" w:fill="CCEEFF"/>
          </w:tcPr>
          <w:p>
            <w:pPr>
              <w:spacing w:after="0"/>
              <w:rPr>
                <w:sz w:val="19"/>
                <w:szCs w:val="19"/>
                <w:color w:val="auto"/>
              </w:rPr>
            </w:pPr>
          </w:p>
        </w:tc>
        <w:tc>
          <w:tcPr>
            <w:tcW w:w="1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ind w:left="340"/>
        <w:spacing w:after="0"/>
        <w:rPr>
          <w:sz w:val="20"/>
          <w:szCs w:val="20"/>
          <w:color w:val="auto"/>
        </w:rPr>
      </w:pPr>
      <w:r>
        <w:rPr>
          <w:rFonts w:ascii="Arial" w:cs="Arial" w:eastAsia="Arial" w:hAnsi="Arial"/>
          <w:sz w:val="17"/>
          <w:szCs w:val="17"/>
          <w:color w:val="auto"/>
        </w:rPr>
        <w:t>Reorganization items, net represent the one-time costs related to our reorganization and consists of the following:</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2" w:lineRule="exact"/>
        <w:rPr>
          <w:sz w:val="20"/>
          <w:szCs w:val="20"/>
          <w:color w:val="auto"/>
        </w:rPr>
      </w:pPr>
    </w:p>
    <w:p>
      <w:pPr>
        <w:ind w:left="20" w:right="460"/>
        <w:spacing w:after="0" w:line="206" w:lineRule="auto"/>
        <w:rPr>
          <w:sz w:val="20"/>
          <w:szCs w:val="20"/>
          <w:color w:val="auto"/>
        </w:rPr>
      </w:pPr>
      <w:r>
        <w:rPr>
          <w:rFonts w:ascii="Arial" w:cs="Arial" w:eastAsia="Arial" w:hAnsi="Arial"/>
          <w:sz w:val="18"/>
          <w:szCs w:val="18"/>
          <w:color w:val="auto"/>
        </w:rPr>
        <w:t>Unamortized deferred gain and issuance costs, net</w:t>
      </w:r>
      <w:r>
        <w:rPr>
          <w:rFonts w:ascii="Arial" w:cs="Arial" w:eastAsia="Arial" w:hAnsi="Arial"/>
          <w:sz w:val="23"/>
          <w:szCs w:val="23"/>
          <w:color w:val="auto"/>
          <w:vertAlign w:val="superscript"/>
        </w:rPr>
        <w:t>(a)</w:t>
      </w:r>
    </w:p>
    <w:p>
      <w:pPr>
        <w:ind w:left="20"/>
        <w:spacing w:after="0" w:line="306" w:lineRule="auto"/>
        <w:rPr>
          <w:sz w:val="20"/>
          <w:szCs w:val="20"/>
          <w:color w:val="auto"/>
        </w:rPr>
      </w:pPr>
      <w:r>
        <w:rPr>
          <w:rFonts w:ascii="Arial" w:cs="Arial" w:eastAsia="Arial" w:hAnsi="Arial"/>
          <w:sz w:val="17"/>
          <w:szCs w:val="17"/>
          <w:color w:val="auto"/>
        </w:rPr>
        <w:t>Legal, professional and other, net Debtor-in-possession financing costs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reorganization items, net</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Predecessor</w:t>
            </w:r>
          </w:p>
        </w:tc>
        <w:tc>
          <w:tcPr>
            <w:tcW w:w="22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18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4"/>
                <w:szCs w:val="14"/>
                <w:color w:val="auto"/>
              </w:rPr>
            </w:pPr>
          </w:p>
        </w:tc>
        <w:tc>
          <w:tcPr>
            <w:tcW w:w="18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20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2020</w:t>
            </w:r>
          </w:p>
        </w:tc>
      </w:tr>
      <w:tr>
        <w:trPr>
          <w:trHeight w:val="574"/>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right w:val="single" w:sz="8" w:color="auto"/>
            </w:tcBorders>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20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w w:val="99"/>
              </w:rPr>
              <w:t>(1)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ind w:left="1380"/>
              <w:spacing w:after="0"/>
              <w:rPr>
                <w:sz w:val="20"/>
                <w:szCs w:val="20"/>
                <w:color w:val="auto"/>
              </w:rPr>
            </w:pPr>
            <w:r>
              <w:rPr>
                <w:rFonts w:ascii="Arial" w:cs="Arial" w:eastAsia="Arial" w:hAnsi="Arial"/>
                <w:sz w:val="18"/>
                <w:szCs w:val="18"/>
                <w:color w:val="auto"/>
                <w:w w:val="99"/>
              </w:rPr>
              <w:t>(5)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0" w:type="dxa"/>
            <w:vAlign w:val="bottom"/>
          </w:tcPr>
          <w:p>
            <w:pPr>
              <w:spacing w:after="0"/>
              <w:rPr>
                <w:sz w:val="19"/>
                <w:szCs w:val="19"/>
                <w:color w:val="auto"/>
              </w:rPr>
            </w:pPr>
          </w:p>
        </w:tc>
        <w:tc>
          <w:tcPr>
            <w:tcW w:w="1800" w:type="dxa"/>
            <w:vAlign w:val="bottom"/>
            <w:tcBorders>
              <w:right w:val="single" w:sz="8" w:color="auto"/>
            </w:tcBorders>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Borders>
              <w:right w:val="single" w:sz="8" w:color="auto"/>
            </w:tcBorders>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w w:val="99"/>
              </w:rPr>
              <w:t>(1)</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w w:val="99"/>
              </w:rPr>
              <w:t>(5)</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-736600</wp:posOffset>
            </wp:positionV>
            <wp:extent cx="713232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-334010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2960" w:space="240"/>
            <w:col w:w="8040"/>
          </w:cols>
          <w:pgMar w:left="320" w:top="908" w:right="339" w:bottom="1440" w:gutter="0" w:footer="0" w:header="0"/>
          <w:type w:val="continuous"/>
        </w:sectPr>
      </w:pPr>
    </w:p>
    <w:p>
      <w:pPr>
        <w:ind w:left="340" w:right="60" w:hanging="332"/>
        <w:spacing w:after="0" w:line="258"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a non-cash adjustment to the carrying amount of our pre-emergence long-term debt to state such amounts at face value upon filing our bankruptcy petition on July 15,2020.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74"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We did not make U.S. federal and state income tax payments during the three and nine months ended September 30, 2021 and 2020. Interest paid, net of capitalized amounts, totaled $23 million and $ 21 million for the three months ended September 30, 2021 and 2020, respectively. Interest paid, net of capitalized amounts, totaled $27 million and $72 million for the nine months ended September 30, 2021 and 2020, respectively. Cash paid for reorganization items during the three and nine months ended September 30, 2021 was $1 million and</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$5 million respectively, for legal, professional and other fees, net. Cash paid for reorganization items during the three and nine months ended September 30, 2020 was $7 million for legal, professional and other fees, net.</w:t>
      </w:r>
    </w:p>
    <w:p>
      <w:pPr>
        <w:spacing w:after="0" w:line="225"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Non-cash investing activities included $2 million of purchase price adjustments related to the acquisition of the working interests held by Macquarie Infrastructure and Real Assets Inc. (MIRA) for the three and nine months ended September 30, 2021.</w:t>
      </w:r>
    </w:p>
    <w:p>
      <w:pPr>
        <w:spacing w:after="0" w:line="22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 xml:space="preserve">Non-cash financing activities in the three and nine months ended September 30, 2020 included a $ 138 million downward adjustment to mezzanine equity related to a Settlement Agreement with one of our joint venture partners.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7 Joint Ventures </w:t>
      </w:r>
      <w:r>
        <w:rPr>
          <w:rFonts w:ascii="Arial" w:cs="Arial" w:eastAsia="Arial" w:hAnsi="Arial"/>
          <w:sz w:val="18"/>
          <w:szCs w:val="18"/>
          <w:color w:val="auto"/>
        </w:rPr>
        <w:t>in our 2020 Annual Report for more on the Settlement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6"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color w:val="auto"/>
        </w:rPr>
        <w:t xml:space="preserve">The carrying amounts of cash and on-balance sheet financial instruments, other than debt, approximate fair value. Refer to </w:t>
      </w:r>
      <w:r>
        <w:rPr>
          <w:rFonts w:ascii="Arial" w:cs="Arial" w:eastAsia="Arial" w:hAnsi="Arial"/>
          <w:sz w:val="18"/>
          <w:szCs w:val="18"/>
          <w:i w:val="1"/>
          <w:iCs w:val="1"/>
          <w:color w:val="auto"/>
        </w:rPr>
        <w:t>Note 5 Debt</w:t>
      </w:r>
      <w:r>
        <w:rPr>
          <w:rFonts w:ascii="Arial" w:cs="Arial" w:eastAsia="Arial" w:hAnsi="Arial"/>
          <w:sz w:val="18"/>
          <w:szCs w:val="18"/>
          <w:color w:val="auto"/>
        </w:rPr>
        <w:t xml:space="preserve"> for the fair value of our debt. Refer to </w:t>
      </w:r>
      <w:r>
        <w:rPr>
          <w:rFonts w:ascii="Arial" w:cs="Arial" w:eastAsia="Arial" w:hAnsi="Arial"/>
          <w:sz w:val="18"/>
          <w:szCs w:val="18"/>
          <w:i w:val="1"/>
          <w:iCs w:val="1"/>
          <w:color w:val="auto"/>
        </w:rPr>
        <w:t>Note 13 Asset Impairments</w:t>
      </w:r>
      <w:r>
        <w:rPr>
          <w:rFonts w:ascii="Arial" w:cs="Arial" w:eastAsia="Arial" w:hAnsi="Arial"/>
          <w:sz w:val="18"/>
          <w:szCs w:val="18"/>
          <w:color w:val="auto"/>
        </w:rPr>
        <w:t xml:space="preserve"> for impairment charges related to our long-lived assets.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3" w:name="page14"/>
    <w:bookmarkEnd w:id="13"/>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INVENTORIES</w:t>
      </w:r>
    </w:p>
    <w:p>
      <w:pPr>
        <w:spacing w:after="0" w:line="27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Materials and supplies, which primarily consist of well equipment and tubular goods used in our oil and natural gas operations, are valued at weighted-average cost and are reviewed periodically for obsolescence. Finished goods predominantly comprise produced oil and NGLs in storage, which are valued at the lower of cost or net realizable value. Inventories, by category,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p>
        </w:tc>
        <w:tc>
          <w:tcPr>
            <w:tcW w:w="354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Successor</w:t>
            </w:r>
          </w:p>
        </w:tc>
        <w:tc>
          <w:tcPr>
            <w:tcW w:w="320" w:type="dxa"/>
            <w:vAlign w:val="bottom"/>
            <w:tcBorders>
              <w:bottom w:val="single" w:sz="8" w:color="auto"/>
            </w:tcBorders>
          </w:tcPr>
          <w:p>
            <w:pPr>
              <w:spacing w:after="0"/>
              <w:rPr>
                <w:sz w:val="20"/>
                <w:szCs w:val="20"/>
                <w:color w:val="auto"/>
              </w:rPr>
            </w:pPr>
          </w:p>
        </w:tc>
      </w:tr>
      <w:tr>
        <w:trPr>
          <w:trHeight w:val="214"/>
        </w:trPr>
        <w:tc>
          <w:tcPr>
            <w:tcW w:w="7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r>
      <w:tr>
        <w:trPr>
          <w:trHeight w:val="239"/>
        </w:trPr>
        <w:tc>
          <w:tcPr>
            <w:tcW w:w="7380" w:type="dxa"/>
            <w:vAlign w:val="bottom"/>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r>
      <w:tr>
        <w:trPr>
          <w:trHeight w:val="183"/>
        </w:trPr>
        <w:tc>
          <w:tcPr>
            <w:tcW w:w="7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80" w:type="dxa"/>
            <w:vAlign w:val="bottom"/>
            <w:gridSpan w:val="3"/>
          </w:tcPr>
          <w:p>
            <w:pPr>
              <w:jc w:val="right"/>
              <w:ind w:right="115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tab/>
        <w:t>DEBT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and December 31, 2020, our long-term debt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1259"/>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8"/>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8"/>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58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Interest Rate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185"/>
        </w:trPr>
        <w:tc>
          <w:tcPr>
            <w:tcW w:w="3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3"/>
          </w:tcPr>
          <w:p>
            <w:pPr>
              <w:ind w:left="1180"/>
              <w:spacing w:after="0"/>
              <w:rPr>
                <w:sz w:val="20"/>
                <w:szCs w:val="20"/>
                <w:color w:val="auto"/>
              </w:rPr>
            </w:pPr>
            <w:r>
              <w:rPr>
                <w:rFonts w:ascii="Arial" w:cs="Arial" w:eastAsia="Arial" w:hAnsi="Arial"/>
                <w:sz w:val="14"/>
                <w:szCs w:val="14"/>
                <w:color w:val="auto"/>
              </w:rPr>
              <w:t>(in millions)</w:t>
            </w: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r>
      <w:tr>
        <w:trPr>
          <w:trHeight w:val="177"/>
        </w:trPr>
        <w:tc>
          <w:tcPr>
            <w:tcW w:w="354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Revolving Credit Facility</w:t>
            </w:r>
          </w:p>
        </w:tc>
        <w:tc>
          <w:tcPr>
            <w:tcW w:w="2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line="178"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center"/>
              <w:ind w:right="100"/>
              <w:spacing w:after="0" w:line="178" w:lineRule="exact"/>
              <w:rPr>
                <w:sz w:val="20"/>
                <w:szCs w:val="20"/>
                <w:color w:val="auto"/>
              </w:rPr>
            </w:pPr>
            <w:r>
              <w:rPr>
                <w:rFonts w:ascii="Arial" w:cs="Arial" w:eastAsia="Arial" w:hAnsi="Arial"/>
                <w:sz w:val="16"/>
                <w:szCs w:val="16"/>
                <w:color w:val="auto"/>
              </w:rPr>
              <w:t>LIBOR plus 3%-4%</w:t>
            </w:r>
          </w:p>
        </w:tc>
        <w:tc>
          <w:tcPr>
            <w:tcW w:w="17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rPr>
              <w:t>April 29, 2024</w:t>
            </w:r>
          </w:p>
        </w:tc>
      </w:tr>
      <w:tr>
        <w:trPr>
          <w:trHeight w:val="201"/>
        </w:trPr>
        <w:tc>
          <w:tcPr>
            <w:tcW w:w="3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2%-3%</w:t>
            </w:r>
          </w:p>
        </w:tc>
        <w:tc>
          <w:tcPr>
            <w:tcW w:w="1760" w:type="dxa"/>
            <w:vAlign w:val="bottom"/>
            <w:shd w:val="clear" w:color="auto" w:fill="CCEEFF"/>
          </w:tcPr>
          <w:p>
            <w:pPr>
              <w:spacing w:after="0"/>
              <w:rPr>
                <w:sz w:val="17"/>
                <w:szCs w:val="17"/>
                <w:color w:val="auto"/>
              </w:rPr>
            </w:pPr>
          </w:p>
        </w:tc>
      </w:tr>
      <w:tr>
        <w:trPr>
          <w:trHeight w:val="177"/>
        </w:trPr>
        <w:tc>
          <w:tcPr>
            <w:tcW w:w="3540" w:type="dxa"/>
            <w:vAlign w:val="bottom"/>
          </w:tcPr>
          <w:p>
            <w:pPr>
              <w:ind w:left="140"/>
              <w:spacing w:after="0" w:line="178" w:lineRule="exact"/>
              <w:rPr>
                <w:sz w:val="20"/>
                <w:szCs w:val="20"/>
                <w:color w:val="auto"/>
              </w:rPr>
            </w:pPr>
            <w:r>
              <w:rPr>
                <w:rFonts w:ascii="Arial" w:cs="Arial" w:eastAsia="Arial" w:hAnsi="Arial"/>
                <w:sz w:val="16"/>
                <w:szCs w:val="16"/>
                <w:color w:val="auto"/>
              </w:rPr>
              <w:t>Second Lien Term Loan</w:t>
            </w:r>
          </w:p>
        </w:tc>
        <w:tc>
          <w:tcPr>
            <w:tcW w:w="200" w:type="dxa"/>
            <w:vAlign w:val="bottom"/>
          </w:tcPr>
          <w:p>
            <w:pPr>
              <w:spacing w:after="0"/>
              <w:rPr>
                <w:sz w:val="15"/>
                <w:szCs w:val="15"/>
                <w:color w:val="auto"/>
              </w:rPr>
            </w:pPr>
          </w:p>
        </w:tc>
        <w:tc>
          <w:tcPr>
            <w:tcW w:w="160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spacing w:after="0" w:line="178" w:lineRule="exact"/>
              <w:rPr>
                <w:sz w:val="20"/>
                <w:szCs w:val="20"/>
                <w:color w:val="auto"/>
              </w:rPr>
            </w:pPr>
            <w:r>
              <w:rPr>
                <w:rFonts w:ascii="Arial" w:cs="Arial" w:eastAsia="Arial" w:hAnsi="Arial"/>
                <w:sz w:val="16"/>
                <w:szCs w:val="16"/>
                <w:color w:val="auto"/>
              </w:rPr>
              <w:t>200</w:t>
            </w:r>
          </w:p>
        </w:tc>
        <w:tc>
          <w:tcPr>
            <w:tcW w:w="100" w:type="dxa"/>
            <w:vAlign w:val="bottom"/>
          </w:tcPr>
          <w:p>
            <w:pPr>
              <w:spacing w:after="0"/>
              <w:rPr>
                <w:sz w:val="15"/>
                <w:szCs w:val="15"/>
                <w:color w:val="auto"/>
              </w:rPr>
            </w:pPr>
          </w:p>
        </w:tc>
        <w:tc>
          <w:tcPr>
            <w:tcW w:w="2340" w:type="dxa"/>
            <w:vAlign w:val="bottom"/>
            <w:gridSpan w:val="2"/>
          </w:tcPr>
          <w:p>
            <w:pPr>
              <w:jc w:val="center"/>
              <w:ind w:right="80"/>
              <w:spacing w:after="0" w:line="178" w:lineRule="exact"/>
              <w:rPr>
                <w:sz w:val="20"/>
                <w:szCs w:val="20"/>
                <w:color w:val="auto"/>
              </w:rPr>
            </w:pPr>
            <w:r>
              <w:rPr>
                <w:rFonts w:ascii="Arial" w:cs="Arial" w:eastAsia="Arial" w:hAnsi="Arial"/>
                <w:sz w:val="16"/>
                <w:szCs w:val="16"/>
                <w:color w:val="auto"/>
              </w:rPr>
              <w:t>LIBOR plus 9%-10.5%</w:t>
            </w:r>
          </w:p>
        </w:tc>
        <w:tc>
          <w:tcPr>
            <w:tcW w:w="1760" w:type="dxa"/>
            <w:vAlign w:val="bottom"/>
          </w:tcPr>
          <w:p>
            <w:pPr>
              <w:jc w:val="center"/>
              <w:spacing w:after="0" w:line="178" w:lineRule="exact"/>
              <w:rPr>
                <w:sz w:val="20"/>
                <w:szCs w:val="20"/>
                <w:color w:val="auto"/>
              </w:rPr>
            </w:pPr>
            <w:r>
              <w:rPr>
                <w:rFonts w:ascii="Arial" w:cs="Arial" w:eastAsia="Arial" w:hAnsi="Arial"/>
                <w:sz w:val="16"/>
                <w:szCs w:val="16"/>
                <w:color w:val="auto"/>
              </w:rPr>
              <w:t>October 27, 2025</w:t>
            </w:r>
          </w:p>
        </w:tc>
      </w:tr>
      <w:tr>
        <w:trPr>
          <w:trHeight w:val="198"/>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6"/>
                <w:szCs w:val="16"/>
                <w:color w:val="auto"/>
              </w:rPr>
              <w:t>ABR plus 8%-9.5%</w:t>
            </w:r>
          </w:p>
        </w:tc>
        <w:tc>
          <w:tcPr>
            <w:tcW w:w="1760" w:type="dxa"/>
            <w:vAlign w:val="bottom"/>
          </w:tcPr>
          <w:p>
            <w:pPr>
              <w:spacing w:after="0"/>
              <w:rPr>
                <w:sz w:val="17"/>
                <w:szCs w:val="17"/>
                <w:color w:val="auto"/>
              </w:rPr>
            </w:pPr>
          </w:p>
        </w:tc>
      </w:tr>
      <w:tr>
        <w:trPr>
          <w:trHeight w:val="219"/>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EHP Notes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34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October 27, 2027</w:t>
            </w:r>
          </w:p>
        </w:tc>
      </w:tr>
      <w:tr>
        <w:trPr>
          <w:trHeight w:val="213"/>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Senior Notes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CCEEFF"/>
            </w:tcBorders>
            <w:gridSpan w:val="2"/>
          </w:tcPr>
          <w:p>
            <w:pPr>
              <w:jc w:val="right"/>
              <w:ind w:right="759"/>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February 1, 2026</w:t>
            </w:r>
          </w:p>
        </w:tc>
      </w:tr>
      <w:tr>
        <w:trPr>
          <w:trHeight w:val="213"/>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Principal amount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w w:val="98"/>
              </w:rPr>
              <w:t>(11)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5"/>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27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This credit agreement consists of a senior revolving loan facility (Revolving Credit Facility) with an aggregate commitment of $492 million, which we are permitted to increase if we obtain additional commitments from new or existing lenders. Our Revolving Credit Facility also includes a sub-limit of $200 million for the issuance of letters of credit. The letters of credit were issued to support ordinary course marketing, insurance, regulatory and other matters.</w:t>
      </w:r>
    </w:p>
    <w:p>
      <w:pPr>
        <w:spacing w:after="0" w:line="232" w:lineRule="exact"/>
        <w:rPr>
          <w:sz w:val="20"/>
          <w:szCs w:val="20"/>
          <w:color w:val="auto"/>
        </w:rPr>
      </w:pPr>
    </w:p>
    <w:p>
      <w:pPr>
        <w:jc w:val="both"/>
        <w:ind w:right="100" w:firstLine="324"/>
        <w:spacing w:after="0" w:line="254" w:lineRule="auto"/>
        <w:rPr>
          <w:sz w:val="20"/>
          <w:szCs w:val="20"/>
          <w:color w:val="auto"/>
        </w:rPr>
      </w:pPr>
      <w:r>
        <w:rPr>
          <w:rFonts w:ascii="Arial" w:cs="Arial" w:eastAsia="Arial" w:hAnsi="Arial"/>
          <w:sz w:val="18"/>
          <w:szCs w:val="18"/>
          <w:color w:val="auto"/>
        </w:rPr>
        <w:t>The borrowing base is redetermined semi-annually and was reaffirmed at $1.2 billion in November 2021.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w:t>
      </w:r>
    </w:p>
    <w:p>
      <w:pPr>
        <w:sectPr>
          <w:pgSz w:w="11900" w:h="16838" w:orient="portrait"/>
          <w:cols w:equalWidth="0" w:num="1">
            <w:col w:w="11240"/>
          </w:cols>
          <w:pgMar w:left="320" w:top="886" w:right="339" w:bottom="1440" w:gutter="0" w:footer="0" w:header="0"/>
        </w:sect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September 30, 2021, our availability under our Revolving Credit Facility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Borrowing capacity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Availability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93"/>
              <w:spacing w:after="0"/>
              <w:rPr>
                <w:sz w:val="20"/>
                <w:szCs w:val="20"/>
                <w:color w:val="auto"/>
              </w:rPr>
            </w:pPr>
            <w:r>
              <w:rPr>
                <w:rFonts w:ascii="Arial" w:cs="Arial" w:eastAsia="Arial" w:hAnsi="Arial"/>
                <w:sz w:val="18"/>
                <w:szCs w:val="18"/>
                <w:b w:val="1"/>
                <w:bCs w:val="1"/>
                <w:color w:val="auto"/>
              </w:rPr>
              <w:t>Successor</w:t>
            </w:r>
          </w:p>
        </w:tc>
      </w:tr>
      <w:tr>
        <w:trPr>
          <w:trHeight w:val="214"/>
        </w:trPr>
        <w:tc>
          <w:tcPr>
            <w:tcW w:w="280" w:type="dxa"/>
            <w:vAlign w:val="bottom"/>
          </w:tcPr>
          <w:p>
            <w:pPr>
              <w:spacing w:after="0"/>
              <w:rPr>
                <w:sz w:val="18"/>
                <w:szCs w:val="18"/>
                <w:color w:val="auto"/>
              </w:rPr>
            </w:pPr>
          </w:p>
        </w:tc>
        <w:tc>
          <w:tcPr>
            <w:tcW w:w="1840" w:type="dxa"/>
            <w:vAlign w:val="bottom"/>
          </w:tcPr>
          <w:p>
            <w:pPr>
              <w:jc w:val="center"/>
              <w:ind w:right="193"/>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93"/>
              <w:spacing w:after="0"/>
              <w:rPr>
                <w:sz w:val="20"/>
                <w:szCs w:val="20"/>
                <w:color w:val="auto"/>
              </w:rPr>
            </w:pPr>
            <w:r>
              <w:rPr>
                <w:rFonts w:ascii="Arial" w:cs="Arial" w:eastAsia="Arial" w:hAnsi="Arial"/>
                <w:sz w:val="18"/>
                <w:szCs w:val="18"/>
                <w:b w:val="1"/>
                <w:bCs w:val="1"/>
                <w:color w:val="auto"/>
                <w:w w:val="99"/>
              </w:rPr>
              <w:t>2021</w:t>
            </w:r>
          </w:p>
        </w:tc>
      </w:tr>
      <w:tr>
        <w:trPr>
          <w:trHeight w:val="184"/>
        </w:trPr>
        <w:tc>
          <w:tcPr>
            <w:tcW w:w="280" w:type="dxa"/>
            <w:vAlign w:val="bottom"/>
          </w:tcPr>
          <w:p>
            <w:pPr>
              <w:spacing w:after="0"/>
              <w:rPr>
                <w:sz w:val="16"/>
                <w:szCs w:val="16"/>
                <w:color w:val="auto"/>
              </w:rPr>
            </w:pPr>
          </w:p>
        </w:tc>
        <w:tc>
          <w:tcPr>
            <w:tcW w:w="1840" w:type="dxa"/>
            <w:vAlign w:val="bottom"/>
          </w:tcPr>
          <w:p>
            <w:pPr>
              <w:jc w:val="center"/>
              <w:ind w:right="193"/>
              <w:spacing w:after="0"/>
              <w:rPr>
                <w:sz w:val="20"/>
                <w:szCs w:val="20"/>
                <w:color w:val="auto"/>
              </w:rPr>
            </w:pPr>
            <w:r>
              <w:rPr>
                <w:rFonts w:ascii="Arial" w:cs="Arial" w:eastAsia="Arial" w:hAnsi="Arial"/>
                <w:sz w:val="14"/>
                <w:szCs w:val="14"/>
                <w:color w:val="auto"/>
              </w:rPr>
              <w:t>(in millions)</w:t>
            </w:r>
          </w:p>
        </w:tc>
      </w:tr>
      <w:tr>
        <w:trPr>
          <w:trHeight w:val="228"/>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center"/>
              <w:ind w:left="1293"/>
              <w:spacing w:after="0"/>
              <w:rPr>
                <w:sz w:val="20"/>
                <w:szCs w:val="20"/>
                <w:color w:val="auto"/>
              </w:rPr>
            </w:pPr>
            <w:r>
              <w:rPr>
                <w:rFonts w:ascii="Arial" w:cs="Arial" w:eastAsia="Arial" w:hAnsi="Arial"/>
                <w:sz w:val="18"/>
                <w:szCs w:val="18"/>
                <w:color w:val="auto"/>
                <w:w w:val="99"/>
              </w:rPr>
              <w:t>492</w:t>
            </w:r>
          </w:p>
        </w:tc>
      </w:tr>
      <w:tr>
        <w:trPr>
          <w:trHeight w:val="230"/>
        </w:trPr>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1293"/>
              <w:spacing w:after="0"/>
              <w:rPr>
                <w:sz w:val="20"/>
                <w:szCs w:val="20"/>
                <w:color w:val="auto"/>
              </w:rPr>
            </w:pPr>
            <w:r>
              <w:rPr>
                <w:rFonts w:ascii="Arial" w:cs="Arial" w:eastAsia="Arial" w:hAnsi="Arial"/>
                <w:sz w:val="18"/>
                <w:szCs w:val="18"/>
                <w:color w:val="auto"/>
                <w:w w:val="99"/>
              </w:rPr>
              <w:t>(133)</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center"/>
              <w:ind w:left="1293"/>
              <w:spacing w:after="0"/>
              <w:rPr>
                <w:sz w:val="20"/>
                <w:szCs w:val="20"/>
                <w:color w:val="auto"/>
              </w:rPr>
            </w:pPr>
            <w:r>
              <w:rPr>
                <w:rFonts w:ascii="Arial" w:cs="Arial" w:eastAsia="Arial" w:hAnsi="Arial"/>
                <w:sz w:val="18"/>
                <w:szCs w:val="18"/>
                <w:color w:val="auto"/>
                <w:w w:val="99"/>
              </w:rPr>
              <w:t>359</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00" w:space="720"/>
            <w:col w:w="212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7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On January 20, 2021, we issued $600 million in aggregate principal amount of our 7.125% senior unsecured notes due 2026 (Senior Notes). The net proceeds of $587 million, after $13 million of debt issuance costs, were used to repay in full our Second Lien Term Loan and EHP Notes, with the remainder used to repay substantially all of the then outstanding borrowings under our Revolving Credit Facility. See </w:t>
      </w:r>
      <w:r>
        <w:rPr>
          <w:rFonts w:ascii="Arial" w:cs="Arial" w:eastAsia="Arial" w:hAnsi="Arial"/>
          <w:sz w:val="18"/>
          <w:szCs w:val="18"/>
          <w:i w:val="1"/>
          <w:iCs w:val="1"/>
          <w:color w:val="auto"/>
        </w:rPr>
        <w:t xml:space="preserve">Part II, Item 8 – Financial Statements and Supplementary Data, Note 8 Debt </w:t>
      </w:r>
      <w:r>
        <w:rPr>
          <w:rFonts w:ascii="Arial" w:cs="Arial" w:eastAsia="Arial" w:hAnsi="Arial"/>
          <w:sz w:val="18"/>
          <w:szCs w:val="18"/>
          <w:color w:val="auto"/>
        </w:rPr>
        <w:t>in our 2020 Annual Report for a description of our Second Lien</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and EHP Notes. We recognized a $2 million loss on extinguishment of debt, including unamortized debt issuance costs, associated with these repayments.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7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At September 30, 2021, we were in compliance with all financial and other debt covenants under our Revolving Credit Facility and Senior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Predecessor Note Repurchases</w:t>
      </w:r>
    </w:p>
    <w:p>
      <w:pPr>
        <w:spacing w:after="0" w:line="270"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 xml:space="preserve">In the first quarter of 2020, we repurchased $7 million in face value of our Second Lien Notes for $3 million in cash resulting in a pre-tax gain of $5 million, including the effect of unamortized deferred gain and issuance costs.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8 Debt </w:t>
      </w:r>
      <w:r>
        <w:rPr>
          <w:rFonts w:ascii="Arial" w:cs="Arial" w:eastAsia="Arial" w:hAnsi="Arial"/>
          <w:sz w:val="18"/>
          <w:szCs w:val="18"/>
          <w:color w:val="auto"/>
        </w:rPr>
        <w:t>in our 2020 Annual Report for a description of our Second Lien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7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estimate that the fair value of our variable rate debt approximates its carrying value because the interest rate approximates current market rates. As shown in the table below, we estimate the fair value of our fixed rate Senior Notes based on observable inputs (Level 1) and the fair value of our EHP Notes with no observable inputs (Level 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b w:val="1"/>
                <w:bCs w:val="1"/>
                <w:color w:val="auto"/>
              </w:rPr>
              <w:t>Successor</w:t>
            </w:r>
          </w:p>
        </w:tc>
      </w:tr>
      <w:tr>
        <w:trPr>
          <w:trHeight w:val="214"/>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183"/>
        </w:trPr>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15"/>
                <w:szCs w:val="15"/>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Fixed rate debt</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Senior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240"/>
              <w:spacing w:after="0"/>
              <w:rPr>
                <w:sz w:val="20"/>
                <w:szCs w:val="20"/>
                <w:color w:val="auto"/>
              </w:rPr>
            </w:pPr>
            <w:r>
              <w:rPr>
                <w:rFonts w:ascii="Arial" w:cs="Arial" w:eastAsia="Arial" w:hAnsi="Arial"/>
                <w:sz w:val="18"/>
                <w:szCs w:val="18"/>
                <w:color w:val="auto"/>
              </w:rPr>
              <w:t>EHP Notes</w:t>
            </w:r>
          </w:p>
        </w:tc>
        <w:tc>
          <w:tcPr>
            <w:tcW w:w="22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7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Fair Value of Long-Term Debt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ASSETS HELD FOR SALE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second quarter of 2021, we entered into agreements to sell our Ventura basin operations. We expect to receive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up to $102 million, before purchase price adjustments, plus additional earn-out consideration that is linked to future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prices. The consideration, exclusive of the earn-out, includes $82 million of cash to be paid at closing (subject to purchase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and up to $20 million of potential additional consideration if the buyer does not perform certain abandonment obligations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divested properties. The additional consideration is secured by production payments of $20 million over a five-year period.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extent the buyer satisfies all of the required abandonment obligations within a five-year period following the close date, none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million of potential additional consideration will be paid to us. The closing of the transaction is subject to customary closing conditions,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satisfaction of land and environmental due diligence and third-party consents.</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The sale of our Ventura basin operations met the criteria for assets held for sale and is classified as such on our condensed consolidated balance sheet as of September 30, 2021. The amount reported as assets held for sale primarily consists of property, plant and equipment along with associated asset retirement obligations. Refer to </w:t>
      </w:r>
      <w:r>
        <w:rPr>
          <w:rFonts w:ascii="Arial" w:cs="Arial" w:eastAsia="Arial" w:hAnsi="Arial"/>
          <w:sz w:val="18"/>
          <w:szCs w:val="18"/>
          <w:i w:val="1"/>
          <w:iCs w:val="1"/>
          <w:color w:val="auto"/>
        </w:rPr>
        <w:t>Note 16 Subsequent Events</w:t>
      </w:r>
      <w:r>
        <w:rPr>
          <w:rFonts w:ascii="Arial" w:cs="Arial" w:eastAsia="Arial" w:hAnsi="Arial"/>
          <w:sz w:val="18"/>
          <w:szCs w:val="18"/>
          <w:color w:val="auto"/>
        </w:rPr>
        <w:t xml:space="preserve"> for information on the closing of this sale.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April 2017, we entered into a development joint venture with MIRA to develop certain of our oil and natural gas properties in the San Joaquin basin in exchange for a 90% working interest in the related properties. In August 2021, we purchased MIRA’s entire working interest share in the conveyed assets for $53 million, before purchase prices adjustments and transaction costs. We accounted for this transaction as an asset acquisition. Prior to the acquisition, our consolidated results reflect only our 10% working interest share in the productive wells.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Divestitures</w:t>
      </w:r>
    </w:p>
    <w:p>
      <w:pPr>
        <w:spacing w:after="0" w:line="270"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During the three months ended September 30, 2021, we sold unimproved land for $11 million in proceeds recognizing a $2 million gain. During the nine months ended September 30, 2021 we sold non-core assets, including unimproved land, for $13 million in proceeds recognizing a $4 million gain.</w:t>
      </w:r>
    </w:p>
    <w:p>
      <w:pPr>
        <w:spacing w:after="0" w:line="229"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During the nine months ended September 30, 2020, we sold royalty interests and a non-core asset for $41 million. These divestitures were accounted for as normal retirements with no gain or loss recognized.</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Claims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for these items at September 30, 2021 and December 31, 2020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3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is challenging BSEE's order. Oxy notified us of the claim under the indemnification provisions of the Separation and Distribution Agreement between us and Oxy. In September 2021, we accepted the indemnification claim from Oxy and will be challenging the order from BSEE.</w:t>
      </w: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DERIVATIVES</w:t>
      </w:r>
    </w:p>
    <w:p>
      <w:pPr>
        <w:spacing w:after="0" w:line="27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maintain a commodity hedging program primarily focused on crude oil to help protect our cash flows, margins and capital program from the volatility of commodity prices. We did not have any derivative instruments designated as accounting hedges as of and for the three and nine months ended September 30, 2021 and 2020. Unless otherwise indicated, we use the term "hedge" to describe derivative instruments that are designed to achieve our hedging requirements and program goals, even though they are not accounted for as accounting hedges.</w:t>
      </w:r>
    </w:p>
    <w:p>
      <w:pPr>
        <w:spacing w:after="0" w:line="23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Revolving Credit Facility requires us to maintain hedges on a minimum amount of crude oil production, determined semi-annually, of no less than (i) 75% of our reasonably anticipated oil production from our proved reserves for the first 24 months after the closing of the Revolving Credit Facility on October 27, 2020, and (ii) 50% of our reasonably anticipated oil production from our proved reserves for a period from the 25th month through the 36th month after the same date. The Revolving Credit Facility specifies the forms of hedges and prices (which can be prevailing prices) that must be used for a portion of those hedges.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6" w:name="page17"/>
    <w:bookmarkEnd w:id="16"/>
    <w:p>
      <w:pPr>
        <w:ind w:right="80" w:firstLine="324"/>
        <w:spacing w:after="0" w:line="252" w:lineRule="auto"/>
        <w:rPr>
          <w:sz w:val="20"/>
          <w:szCs w:val="20"/>
          <w:color w:val="auto"/>
        </w:rPr>
      </w:pPr>
      <w:r>
        <w:rPr>
          <w:rFonts w:ascii="Arial" w:cs="Arial" w:eastAsia="Arial" w:hAnsi="Arial"/>
          <w:sz w:val="18"/>
          <w:szCs w:val="18"/>
          <w:color w:val="auto"/>
        </w:rPr>
        <w:t>Our Revolving Credit Facility also requires us to maintain acceptable commodity hedges for no less than 50% of the reasonably anticipated oil production from our proved reserves for at least 24 months following the date of delivery of each reserve report if our leverage ratio is greater than 2.00:1.00. If our leverage ratio is less than 2.00:1.00, then the minimum amount of hedges that we are required to maintain is reduced from 50% to 33%. Currently, we may not hedge more than 85% of reasonably anticipated total forecasted production of crude oil, natural gas and NGLs from our oil and gas properties for a 48-month period, except that we may purchase puts and floors up to 100% of such production. The percentage of our crude oil production hedged is calculated exclusive of offsetting positions on our derivative contracts.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Summary of open derivative contracts </w:t>
      </w:r>
      <w:r>
        <w:rPr>
          <w:rFonts w:ascii="Arial" w:cs="Arial" w:eastAsia="Arial" w:hAnsi="Arial"/>
          <w:sz w:val="18"/>
          <w:szCs w:val="18"/>
          <w:color w:val="auto"/>
        </w:rPr>
        <w:t>— We held the following Brent-based crude oil contracts as of September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Q1</w:t>
            </w:r>
          </w:p>
        </w:tc>
        <w:tc>
          <w:tcPr>
            <w:tcW w:w="26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Q2</w:t>
            </w:r>
          </w:p>
        </w:tc>
        <w:tc>
          <w:tcPr>
            <w:tcW w:w="24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Q3</w:t>
            </w:r>
          </w:p>
        </w:tc>
        <w:tc>
          <w:tcPr>
            <w:tcW w:w="24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Q4</w:t>
            </w:r>
          </w:p>
        </w:tc>
        <w:tc>
          <w:tcPr>
            <w:tcW w:w="260" w:type="dxa"/>
            <w:vAlign w:val="bottom"/>
          </w:tcPr>
          <w:p>
            <w:pPr>
              <w:spacing w:after="0"/>
              <w:rPr>
                <w:sz w:val="17"/>
                <w:szCs w:val="17"/>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Sold Calls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60.76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57.82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39.44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Swaps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58.79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225" w:lineRule="exact"/>
        <w:rPr>
          <w:sz w:val="20"/>
          <w:szCs w:val="20"/>
          <w:color w:val="auto"/>
        </w:rPr>
      </w:pPr>
    </w:p>
    <w:p>
      <w:pPr>
        <w:ind w:right="460" w:firstLine="324"/>
        <w:spacing w:after="0" w:line="246" w:lineRule="auto"/>
        <w:rPr>
          <w:sz w:val="20"/>
          <w:szCs w:val="20"/>
          <w:color w:val="auto"/>
        </w:rPr>
      </w:pPr>
      <w:r>
        <w:rPr>
          <w:rFonts w:ascii="Arial" w:cs="Arial" w:eastAsia="Arial" w:hAnsi="Arial"/>
          <w:sz w:val="18"/>
          <w:szCs w:val="18"/>
          <w:color w:val="auto"/>
        </w:rPr>
        <w:t>We use combinations of these positions to meet the requirements of our Revolving Credit Facility and to increase the efficacy of our hedging program.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right="720" w:firstLine="324"/>
        <w:spacing w:after="0" w:line="282"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The following tables present the fair values on a recurring basis (at gross and net)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derivatives as of September 30, 2021 and December 31, 2020: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 (Successor)</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880" w:type="dxa"/>
            <w:vAlign w:val="bottom"/>
            <w:tcBorders>
              <w:top w:val="single" w:sz="8" w:color="auto"/>
            </w:tcBorders>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Borders>
              <w:top w:val="single" w:sz="8" w:color="auto"/>
            </w:tcBorders>
            <w:vMerge w:val="restart"/>
          </w:tcPr>
          <w:p>
            <w:pPr>
              <w:spacing w:after="0"/>
              <w:rPr>
                <w:sz w:val="14"/>
                <w:szCs w:val="14"/>
                <w:color w:val="auto"/>
              </w:rPr>
            </w:pPr>
          </w:p>
        </w:tc>
        <w:tc>
          <w:tcPr>
            <w:tcW w:w="176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8"/>
                <w:szCs w:val="18"/>
                <w:b w:val="1"/>
                <w:bCs w:val="1"/>
                <w:color w:val="auto"/>
              </w:rPr>
              <w:t>Gross Amounts at</w:t>
            </w: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(Successor)</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920" w:type="dxa"/>
            <w:vAlign w:val="bottom"/>
            <w:tcBorders>
              <w:top w:val="single" w:sz="8" w:color="auto"/>
            </w:tcBorders>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Borders>
              <w:top w:val="single" w:sz="8" w:color="auto"/>
            </w:tcBorders>
            <w:vMerge w:val="restart"/>
          </w:tcPr>
          <w:p>
            <w:pPr>
              <w:spacing w:after="0"/>
              <w:rPr>
                <w:sz w:val="14"/>
                <w:szCs w:val="14"/>
                <w:color w:val="auto"/>
              </w:rPr>
            </w:pPr>
          </w:p>
        </w:tc>
        <w:tc>
          <w:tcPr>
            <w:tcW w:w="176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gridSpan w:val="2"/>
          </w:tcPr>
          <w:p>
            <w:pPr>
              <w:ind w:left="10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400" w:type="dxa"/>
            <w:vAlign w:val="bottom"/>
          </w:tcPr>
          <w:p>
            <w:pPr>
              <w:jc w:val="center"/>
              <w:ind w:left="950"/>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recognized fair value changes on derivative instruments each reporting period in net (loss) gain from commodity derivatives on our condensed consolidated statements of operations for the three and nine months ended September 30, 2021 and 2020. The changes in fair value result from the relationship between our existing positions, volatility, time to expiration, contract prices and the associated forward curves.</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7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Basic and diluted earnings per share (EPS) were calculated using the treasury stock method for the three and nine months ended September 30, 2021 and the two-class method for the three and nine months ended September 30, 2020, which is required for participating securities. Certain of our restricted and performance stock unit awards outstanding during the nine months ended September 30, 2020 were considered participating securities because they had non-forfeitable dividend rights at the same rate as our pre-emergence common stock. Our restricted and performance stock unit awards granted subsequent to our emergence from bankruptcy, as described in </w:t>
      </w:r>
      <w:r>
        <w:rPr>
          <w:rFonts w:ascii="Arial" w:cs="Arial" w:eastAsia="Arial" w:hAnsi="Arial"/>
          <w:sz w:val="18"/>
          <w:szCs w:val="18"/>
          <w:i w:val="1"/>
          <w:iCs w:val="1"/>
          <w:color w:val="auto"/>
        </w:rPr>
        <w:t>Note 14 Stock-Based Compensation</w:t>
      </w:r>
      <w:r>
        <w:rPr>
          <w:rFonts w:ascii="Arial" w:cs="Arial" w:eastAsia="Arial" w:hAnsi="Arial"/>
          <w:sz w:val="18"/>
          <w:szCs w:val="18"/>
          <w:color w:val="auto"/>
        </w:rPr>
        <w:t>, are not considered participating securities since the dividend rights on unvested shares are forfeitable.</w:t>
      </w:r>
    </w:p>
    <w:p>
      <w:pPr>
        <w:spacing w:after="0" w:line="23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underlying shares related to unvested equity-settled awards and warrants. For diluted EPS, the basic shares outstanding are adjusted by adding potential common shares, if dilutive.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8" w:name="page19"/>
    <w:bookmarkEnd w:id="18"/>
    <w:p>
      <w:pPr>
        <w:ind w:right="420" w:firstLine="324"/>
        <w:spacing w:after="0" w:line="261" w:lineRule="auto"/>
        <w:rPr>
          <w:sz w:val="20"/>
          <w:szCs w:val="20"/>
          <w:color w:val="auto"/>
        </w:rPr>
      </w:pPr>
      <w:r>
        <w:rPr>
          <w:rFonts w:ascii="Arial" w:cs="Arial" w:eastAsia="Arial" w:hAnsi="Arial"/>
          <w:sz w:val="18"/>
          <w:szCs w:val="18"/>
          <w:color w:val="auto"/>
        </w:rPr>
        <w:t>The following table presents the calculation of basic and diluted EPS, for the three and nine months ended September 30, 2021 and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Predecessor</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rPr>
              <w:t>Three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80" w:type="dxa"/>
            <w:vAlign w:val="bottom"/>
          </w:tcPr>
          <w:p>
            <w:pPr>
              <w:spacing w:after="0"/>
              <w:rPr>
                <w:sz w:val="14"/>
                <w:szCs w:val="14"/>
                <w:color w:val="auto"/>
              </w:rPr>
            </w:pPr>
          </w:p>
        </w:tc>
        <w:tc>
          <w:tcPr>
            <w:tcW w:w="19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4"/>
                <w:szCs w:val="14"/>
                <w:color w:val="auto"/>
              </w:rPr>
            </w:pPr>
          </w:p>
        </w:tc>
        <w:tc>
          <w:tcPr>
            <w:tcW w:w="17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right w:val="single" w:sz="8" w:color="auto"/>
            </w:tcBorders>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ended September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ended September</w:t>
            </w:r>
          </w:p>
        </w:tc>
        <w:tc>
          <w:tcPr>
            <w:tcW w:w="1920" w:type="dxa"/>
            <w:vAlign w:val="bottom"/>
            <w:tcBorders>
              <w:right w:val="single" w:sz="8" w:color="auto"/>
            </w:tcBorders>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650"/>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67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60"/>
        </w:trPr>
        <w:tc>
          <w:tcPr>
            <w:tcW w:w="3580" w:type="dxa"/>
            <w:vAlign w:val="bottom"/>
          </w:tcPr>
          <w:p>
            <w:pPr>
              <w:ind w:left="20"/>
              <w:spacing w:after="0" w:line="159" w:lineRule="exact"/>
              <w:rPr>
                <w:sz w:val="20"/>
                <w:szCs w:val="20"/>
                <w:color w:val="auto"/>
              </w:rPr>
            </w:pPr>
            <w:r>
              <w:rPr>
                <w:rFonts w:ascii="Arial" w:cs="Arial" w:eastAsia="Arial" w:hAnsi="Arial"/>
                <w:sz w:val="14"/>
                <w:szCs w:val="14"/>
                <w:color w:val="auto"/>
              </w:rPr>
              <w:t>(in millions, except per-share amounts)</w:t>
            </w: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188"/>
        </w:trPr>
        <w:tc>
          <w:tcPr>
            <w:tcW w:w="3580" w:type="dxa"/>
            <w:vAlign w:val="bottom"/>
          </w:tcPr>
          <w:p>
            <w:pPr>
              <w:ind w:left="140"/>
              <w:spacing w:after="0" w:line="189" w:lineRule="exact"/>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net income attributable to</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68"/>
        </w:trPr>
        <w:tc>
          <w:tcPr>
            <w:tcW w:w="3580" w:type="dxa"/>
            <w:vAlign w:val="bottom"/>
            <w:shd w:val="clear" w:color="auto" w:fill="CCEEFF"/>
          </w:tcPr>
          <w:p>
            <w:pPr>
              <w:ind w:left="140"/>
              <w:spacing w:after="0" w:line="168" w:lineRule="exact"/>
              <w:rPr>
                <w:sz w:val="20"/>
                <w:szCs w:val="20"/>
                <w:color w:val="auto"/>
              </w:rPr>
            </w:pPr>
            <w:r>
              <w:rPr>
                <w:rFonts w:ascii="Arial" w:cs="Arial" w:eastAsia="Arial" w:hAnsi="Arial"/>
                <w:sz w:val="18"/>
                <w:szCs w:val="18"/>
                <w:color w:val="auto"/>
              </w:rPr>
              <w:t>Net income (loss) attributable to common</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line="230" w:lineRule="exact"/>
              <w:rPr>
                <w:sz w:val="20"/>
                <w:szCs w:val="20"/>
                <w:color w:val="auto"/>
              </w:rPr>
            </w:pPr>
            <w:r>
              <w:rPr>
                <w:rFonts w:ascii="Arial" w:cs="Arial" w:eastAsia="Arial" w:hAnsi="Arial"/>
                <w:sz w:val="18"/>
                <w:szCs w:val="18"/>
                <w:color w:val="auto"/>
              </w:rPr>
              <w:t>Modification of noncontrolling interest</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1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68"/>
        </w:trPr>
        <w:tc>
          <w:tcPr>
            <w:tcW w:w="3580" w:type="dxa"/>
            <w:vAlign w:val="bottom"/>
            <w:tcBorders>
              <w:top w:val="single" w:sz="8" w:color="CCEEFF"/>
            </w:tcBorders>
            <w:shd w:val="clear" w:color="auto" w:fill="CCEEFF"/>
          </w:tcPr>
          <w:p>
            <w:pPr>
              <w:ind w:left="140"/>
              <w:spacing w:after="0" w:line="168" w:lineRule="exact"/>
              <w:rPr>
                <w:sz w:val="20"/>
                <w:szCs w:val="20"/>
                <w:color w:val="auto"/>
              </w:rPr>
            </w:pPr>
            <w:r>
              <w:rPr>
                <w:rFonts w:ascii="Arial" w:cs="Arial" w:eastAsia="Arial" w:hAnsi="Arial"/>
                <w:sz w:val="18"/>
                <w:szCs w:val="18"/>
                <w:color w:val="auto"/>
              </w:rPr>
              <w:t>Net income (loss) available to common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top w:val="single" w:sz="8" w:color="CCEEFF"/>
              <w:right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CCEEFF"/>
              <w:right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stockholders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Potential Dilutive Common Shares: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360"/>
              <w:spacing w:after="0"/>
              <w:rPr>
                <w:sz w:val="20"/>
                <w:szCs w:val="20"/>
                <w:color w:val="auto"/>
              </w:rPr>
            </w:pPr>
            <w:r>
              <w:rPr>
                <w:rFonts w:ascii="Arial" w:cs="Arial" w:eastAsia="Arial" w:hAnsi="Arial"/>
                <w:sz w:val="18"/>
                <w:szCs w:val="18"/>
                <w:color w:val="auto"/>
              </w:rPr>
              <w:t>Performance Stock Units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6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6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Denominator for Diluted Earnings per</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Share</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 Diluted</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20" w:hanging="332"/>
        <w:spacing w:after="0" w:line="258"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Modification of noncontrolling interest relates to the deemed redemption of ECR's noncontrolling interest in the Ares JV in the third quarter of 2020. For more information on the Ares JV and the Settlement Agreement, see </w:t>
      </w:r>
      <w:r>
        <w:rPr>
          <w:rFonts w:ascii="Arial" w:cs="Arial" w:eastAsia="Arial" w:hAnsi="Arial"/>
          <w:sz w:val="14"/>
          <w:szCs w:val="14"/>
          <w:i w:val="1"/>
          <w:iCs w:val="1"/>
          <w:color w:val="auto"/>
        </w:rPr>
        <w:t>Part II, Item 8 – Financial Statements and Supplementary Data, Note 7 Joint Ventures</w:t>
      </w:r>
      <w:r>
        <w:rPr>
          <w:rFonts w:ascii="Arial" w:cs="Arial" w:eastAsia="Arial" w:hAnsi="Arial"/>
          <w:sz w:val="14"/>
          <w:szCs w:val="14"/>
          <w:color w:val="auto"/>
        </w:rPr>
        <w:t xml:space="preserve"> in our 2020 Annual Report.</w:t>
      </w:r>
    </w:p>
    <w:p>
      <w:pPr>
        <w:spacing w:after="0" w:line="21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Diluted earnings per share for the three and nine months ended September 30, 2021 excludes 4.3 million common shares issuable upon exercise of warrants that were out-of-the-money based on the average stock price for those periods. See </w:t>
      </w:r>
      <w:r>
        <w:rPr>
          <w:rFonts w:ascii="Arial" w:cs="Arial" w:eastAsia="Arial" w:hAnsi="Arial"/>
          <w:sz w:val="18"/>
          <w:szCs w:val="18"/>
          <w:i w:val="1"/>
          <w:iCs w:val="1"/>
          <w:color w:val="auto"/>
        </w:rPr>
        <w:t>Note 15 Equity</w:t>
      </w:r>
      <w:r>
        <w:rPr>
          <w:rFonts w:ascii="Arial" w:cs="Arial" w:eastAsia="Arial" w:hAnsi="Arial"/>
          <w:sz w:val="18"/>
          <w:szCs w:val="18"/>
          <w:color w:val="auto"/>
        </w:rPr>
        <w:t xml:space="preserve"> for information on the terms of the warrants.</w:t>
      </w:r>
    </w:p>
    <w:p>
      <w:pPr>
        <w:spacing w:after="0" w:line="229"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Diluted earnings per share for the nine months ended September 30, 2021 excludes 0.9 million weighted-average common shares underlying our Restricted Stock Units and 0.6 million weighted-average common shares underlying our Performance Stock Units. Our Performance Stock Units have a market condition, and an additional 0.2 million potential common shares did not meet the market-based criteria as of September 30, 2021.</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140" w:firstLine="324"/>
        <w:spacing w:after="0" w:line="252" w:lineRule="auto"/>
        <w:rPr>
          <w:sz w:val="20"/>
          <w:szCs w:val="20"/>
          <w:color w:val="auto"/>
        </w:rPr>
      </w:pPr>
      <w:r>
        <w:rPr>
          <w:rFonts w:ascii="Arial" w:cs="Arial" w:eastAsia="Arial" w:hAnsi="Arial"/>
          <w:sz w:val="18"/>
          <w:szCs w:val="18"/>
          <w:color w:val="auto"/>
        </w:rPr>
        <w:t xml:space="preserve">Diluted earnings per share for the three and nine months ended September 30, 2020 excludes 1.25 million potential common shares issuable upon exercise of warrants that were out-of-the-money based on the average stock price for those periods.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7 Joint Ventures </w:t>
      </w:r>
      <w:r>
        <w:rPr>
          <w:rFonts w:ascii="Arial" w:cs="Arial" w:eastAsia="Arial" w:hAnsi="Arial"/>
          <w:sz w:val="18"/>
          <w:szCs w:val="18"/>
          <w:color w:val="auto"/>
        </w:rPr>
        <w:t>in our 2020 Annual Report for more information on the terms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Diluted earnings per share for the three months ended September 30, 2020 excludes 0.2 million, 0.5 million and 1.4 million weighted-average common shares underlying our then Restricted Stock Units, Performance Stock Units and stock options, respectively. Diluted earnings per share for the nine months ended September 30, 2020 calculation excludes 0.6 million, 0.8 million and 1.7 million weighted-average common shares underlying our then Restricted Stock Units, Performance Stock Units, and stock options, respectively.</w:t>
      </w: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PENSION AND POSTRETIREMENT BENEFIT PLANS</w:t>
      </w:r>
    </w:p>
    <w:p>
      <w:pPr>
        <w:spacing w:after="0" w:line="27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and nine months ended September 30,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center"/>
              <w:ind w:right="1010"/>
              <w:spacing w:after="0"/>
              <w:rPr>
                <w:sz w:val="20"/>
                <w:szCs w:val="20"/>
                <w:color w:val="auto"/>
              </w:rPr>
            </w:pPr>
            <w:r>
              <w:rPr>
                <w:rFonts w:ascii="Arial" w:cs="Arial" w:eastAsia="Arial" w:hAnsi="Arial"/>
                <w:sz w:val="18"/>
                <w:szCs w:val="18"/>
                <w:b w:val="1"/>
                <w:bCs w:val="1"/>
                <w:color w:val="auto"/>
                <w:w w:val="98"/>
              </w:rPr>
              <w:t>Successor</w:t>
            </w:r>
          </w:p>
        </w:tc>
        <w:tc>
          <w:tcPr>
            <w:tcW w:w="28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358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9"/>
              </w:rPr>
              <w:t>Three months ended September 30,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center"/>
              <w:ind w:right="990"/>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left="1290"/>
              <w:spacing w:after="0"/>
              <w:rPr>
                <w:sz w:val="20"/>
                <w:szCs w:val="20"/>
                <w:color w:val="auto"/>
              </w:rPr>
            </w:pPr>
            <w:r>
              <w:rPr>
                <w:rFonts w:ascii="Arial" w:cs="Arial" w:eastAsia="Arial" w:hAnsi="Arial"/>
                <w:sz w:val="18"/>
                <w:szCs w:val="18"/>
                <w:b w:val="1"/>
                <w:bCs w:val="1"/>
                <w:color w:val="auto"/>
                <w:w w:val="99"/>
              </w:rPr>
              <w:t>2020</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80" w:type="dxa"/>
            <w:vAlign w:val="bottom"/>
          </w:tcPr>
          <w:p>
            <w:pPr>
              <w:jc w:val="center"/>
              <w:ind w:left="390"/>
              <w:spacing w:after="0" w:line="169" w:lineRule="exact"/>
              <w:rPr>
                <w:sz w:val="20"/>
                <w:szCs w:val="20"/>
                <w:color w:val="auto"/>
              </w:rPr>
            </w:pPr>
            <w:r>
              <w:rPr>
                <w:rFonts w:ascii="Arial" w:cs="Arial" w:eastAsia="Arial" w:hAnsi="Arial"/>
                <w:sz w:val="18"/>
                <w:szCs w:val="18"/>
                <w:b w:val="1"/>
                <w:bCs w:val="1"/>
                <w:color w:val="auto"/>
                <w:w w:val="99"/>
              </w:rPr>
              <w:t>Pension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left="190"/>
              <w:spacing w:after="0" w:line="169" w:lineRule="exact"/>
              <w:rPr>
                <w:sz w:val="20"/>
                <w:szCs w:val="20"/>
                <w:color w:val="auto"/>
              </w:rPr>
            </w:pPr>
            <w:r>
              <w:rPr>
                <w:rFonts w:ascii="Arial" w:cs="Arial" w:eastAsia="Arial" w:hAnsi="Arial"/>
                <w:sz w:val="18"/>
                <w:szCs w:val="18"/>
                <w:b w:val="1"/>
                <w:bCs w:val="1"/>
                <w:color w:val="auto"/>
              </w:rPr>
              <w:t>Postretirement</w:t>
            </w:r>
          </w:p>
        </w:tc>
        <w:tc>
          <w:tcPr>
            <w:tcW w:w="2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360"/>
              <w:spacing w:after="0" w:line="169" w:lineRule="exact"/>
              <w:rPr>
                <w:sz w:val="20"/>
                <w:szCs w:val="20"/>
                <w:color w:val="auto"/>
              </w:rPr>
            </w:pPr>
            <w:r>
              <w:rPr>
                <w:rFonts w:ascii="Arial" w:cs="Arial" w:eastAsia="Arial" w:hAnsi="Arial"/>
                <w:sz w:val="18"/>
                <w:szCs w:val="18"/>
                <w:b w:val="1"/>
                <w:bCs w:val="1"/>
                <w:color w:val="auto"/>
                <w:w w:val="99"/>
              </w:rPr>
              <w:t>Pension</w:t>
            </w:r>
          </w:p>
        </w:tc>
        <w:tc>
          <w:tcPr>
            <w:tcW w:w="240" w:type="dxa"/>
            <w:vAlign w:val="bottom"/>
          </w:tcPr>
          <w:p>
            <w:pPr>
              <w:spacing w:after="0"/>
              <w:rPr>
                <w:sz w:val="14"/>
                <w:szCs w:val="14"/>
                <w:color w:val="auto"/>
              </w:rPr>
            </w:pPr>
          </w:p>
        </w:tc>
        <w:tc>
          <w:tcPr>
            <w:tcW w:w="166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1380" w:type="dxa"/>
            <w:vAlign w:val="bottom"/>
          </w:tcPr>
          <w:p>
            <w:pPr>
              <w:jc w:val="center"/>
              <w:ind w:left="390"/>
              <w:spacing w:after="0"/>
              <w:rPr>
                <w:sz w:val="20"/>
                <w:szCs w:val="20"/>
                <w:color w:val="auto"/>
              </w:rPr>
            </w:pPr>
            <w:r>
              <w:rPr>
                <w:rFonts w:ascii="Arial" w:cs="Arial" w:eastAsia="Arial" w:hAnsi="Arial"/>
                <w:sz w:val="18"/>
                <w:szCs w:val="18"/>
                <w:b w:val="1"/>
                <w:bCs w:val="1"/>
                <w:color w:val="auto"/>
              </w:rPr>
              <w:t>Benefit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Benefit</w:t>
            </w:r>
          </w:p>
        </w:tc>
        <w:tc>
          <w:tcPr>
            <w:tcW w:w="2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Benefit</w:t>
            </w:r>
          </w:p>
        </w:tc>
        <w:tc>
          <w:tcPr>
            <w:tcW w:w="240" w:type="dxa"/>
            <w:vAlign w:val="bottom"/>
          </w:tcPr>
          <w:p>
            <w:pPr>
              <w:spacing w:after="0"/>
              <w:rPr>
                <w:sz w:val="19"/>
                <w:szCs w:val="19"/>
                <w:color w:val="auto"/>
              </w:rPr>
            </w:pP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Benefit</w:t>
            </w:r>
          </w:p>
        </w:tc>
        <w:tc>
          <w:tcPr>
            <w:tcW w:w="0" w:type="dxa"/>
            <w:vAlign w:val="bottom"/>
          </w:tcPr>
          <w:p>
            <w:pPr>
              <w:spacing w:after="0"/>
              <w:rPr>
                <w:sz w:val="1"/>
                <w:szCs w:val="1"/>
                <w:color w:val="auto"/>
              </w:rPr>
            </w:pPr>
          </w:p>
        </w:tc>
      </w:tr>
      <w:tr>
        <w:trPr>
          <w:trHeight w:val="169"/>
        </w:trPr>
        <w:tc>
          <w:tcPr>
            <w:tcW w:w="3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3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 gain</w:t>
            </w:r>
          </w:p>
        </w:tc>
        <w:tc>
          <w:tcPr>
            <w:tcW w:w="13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40" w:type="dxa"/>
            <w:vAlign w:val="bottom"/>
          </w:tcPr>
          <w:p>
            <w:pPr>
              <w:ind w:left="30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34"/>
        </w:trPr>
        <w:tc>
          <w:tcPr>
            <w:tcW w:w="3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0" w:type="dxa"/>
            <w:vAlign w:val="bottom"/>
            <w:gridSpan w:val="3"/>
            <w:vMerge w:val="restart"/>
          </w:tcPr>
          <w:p>
            <w:pPr>
              <w:jc w:val="center"/>
              <w:ind w:right="1010"/>
              <w:spacing w:after="0"/>
              <w:rPr>
                <w:sz w:val="20"/>
                <w:szCs w:val="20"/>
                <w:color w:val="auto"/>
              </w:rPr>
            </w:pPr>
            <w:r>
              <w:rPr>
                <w:rFonts w:ascii="Arial" w:cs="Arial" w:eastAsia="Arial" w:hAnsi="Arial"/>
                <w:sz w:val="18"/>
                <w:szCs w:val="18"/>
                <w:b w:val="1"/>
                <w:bCs w:val="1"/>
                <w:color w:val="auto"/>
                <w:w w:val="98"/>
              </w:rPr>
              <w:t>Successor</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4"/>
            <w:vMerge w:val="restart"/>
          </w:tcPr>
          <w:p>
            <w:pPr>
              <w:jc w:val="center"/>
              <w:ind w:right="19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358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99"/>
              </w:rPr>
              <w:t>Nine months ended September 30,</w:t>
            </w:r>
          </w:p>
        </w:tc>
        <w:tc>
          <w:tcPr>
            <w:tcW w:w="28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center"/>
              <w:ind w:right="990"/>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left="1290"/>
              <w:spacing w:after="0"/>
              <w:rPr>
                <w:sz w:val="20"/>
                <w:szCs w:val="20"/>
                <w:color w:val="auto"/>
              </w:rPr>
            </w:pPr>
            <w:r>
              <w:rPr>
                <w:rFonts w:ascii="Arial" w:cs="Arial" w:eastAsia="Arial" w:hAnsi="Arial"/>
                <w:sz w:val="18"/>
                <w:szCs w:val="18"/>
                <w:b w:val="1"/>
                <w:bCs w:val="1"/>
                <w:color w:val="auto"/>
                <w:w w:val="99"/>
              </w:rPr>
              <w:t>2020</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80" w:type="dxa"/>
            <w:vAlign w:val="bottom"/>
          </w:tcPr>
          <w:p>
            <w:pPr>
              <w:jc w:val="center"/>
              <w:ind w:left="390"/>
              <w:spacing w:after="0" w:line="169" w:lineRule="exact"/>
              <w:rPr>
                <w:sz w:val="20"/>
                <w:szCs w:val="20"/>
                <w:color w:val="auto"/>
              </w:rPr>
            </w:pPr>
            <w:r>
              <w:rPr>
                <w:rFonts w:ascii="Arial" w:cs="Arial" w:eastAsia="Arial" w:hAnsi="Arial"/>
                <w:sz w:val="18"/>
                <w:szCs w:val="18"/>
                <w:b w:val="1"/>
                <w:bCs w:val="1"/>
                <w:color w:val="auto"/>
                <w:w w:val="99"/>
              </w:rPr>
              <w:t>Pension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left="190"/>
              <w:spacing w:after="0" w:line="169" w:lineRule="exact"/>
              <w:rPr>
                <w:sz w:val="20"/>
                <w:szCs w:val="20"/>
                <w:color w:val="auto"/>
              </w:rPr>
            </w:pPr>
            <w:r>
              <w:rPr>
                <w:rFonts w:ascii="Arial" w:cs="Arial" w:eastAsia="Arial" w:hAnsi="Arial"/>
                <w:sz w:val="18"/>
                <w:szCs w:val="18"/>
                <w:b w:val="1"/>
                <w:bCs w:val="1"/>
                <w:color w:val="auto"/>
              </w:rPr>
              <w:t>Postretirement</w:t>
            </w:r>
          </w:p>
        </w:tc>
        <w:tc>
          <w:tcPr>
            <w:tcW w:w="2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360"/>
              <w:spacing w:after="0" w:line="169" w:lineRule="exact"/>
              <w:rPr>
                <w:sz w:val="20"/>
                <w:szCs w:val="20"/>
                <w:color w:val="auto"/>
              </w:rPr>
            </w:pPr>
            <w:r>
              <w:rPr>
                <w:rFonts w:ascii="Arial" w:cs="Arial" w:eastAsia="Arial" w:hAnsi="Arial"/>
                <w:sz w:val="18"/>
                <w:szCs w:val="18"/>
                <w:b w:val="1"/>
                <w:bCs w:val="1"/>
                <w:color w:val="auto"/>
                <w:w w:val="99"/>
              </w:rPr>
              <w:t>Pension</w:t>
            </w:r>
          </w:p>
        </w:tc>
        <w:tc>
          <w:tcPr>
            <w:tcW w:w="240" w:type="dxa"/>
            <w:vAlign w:val="bottom"/>
          </w:tcPr>
          <w:p>
            <w:pPr>
              <w:spacing w:after="0"/>
              <w:rPr>
                <w:sz w:val="14"/>
                <w:szCs w:val="14"/>
                <w:color w:val="auto"/>
              </w:rPr>
            </w:pPr>
          </w:p>
        </w:tc>
        <w:tc>
          <w:tcPr>
            <w:tcW w:w="166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380" w:type="dxa"/>
            <w:vAlign w:val="bottom"/>
          </w:tcPr>
          <w:p>
            <w:pPr>
              <w:jc w:val="center"/>
              <w:ind w:left="390"/>
              <w:spacing w:after="0"/>
              <w:rPr>
                <w:sz w:val="20"/>
                <w:szCs w:val="20"/>
                <w:color w:val="auto"/>
              </w:rPr>
            </w:pPr>
            <w:r>
              <w:rPr>
                <w:rFonts w:ascii="Arial" w:cs="Arial" w:eastAsia="Arial" w:hAnsi="Arial"/>
                <w:sz w:val="18"/>
                <w:szCs w:val="18"/>
                <w:b w:val="1"/>
                <w:bCs w:val="1"/>
                <w:color w:val="auto"/>
              </w:rPr>
              <w:t>Benefit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Benefit</w:t>
            </w:r>
          </w:p>
        </w:tc>
        <w:tc>
          <w:tcPr>
            <w:tcW w:w="2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Benefit</w:t>
            </w:r>
          </w:p>
        </w:tc>
        <w:tc>
          <w:tcPr>
            <w:tcW w:w="240" w:type="dxa"/>
            <w:vAlign w:val="bottom"/>
          </w:tcPr>
          <w:p>
            <w:pPr>
              <w:spacing w:after="0"/>
              <w:rPr>
                <w:sz w:val="19"/>
                <w:szCs w:val="19"/>
                <w:color w:val="auto"/>
              </w:rPr>
            </w:pP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Benefit</w:t>
            </w:r>
          </w:p>
        </w:tc>
        <w:tc>
          <w:tcPr>
            <w:tcW w:w="0" w:type="dxa"/>
            <w:vAlign w:val="bottom"/>
          </w:tcPr>
          <w:p>
            <w:pPr>
              <w:spacing w:after="0"/>
              <w:rPr>
                <w:sz w:val="1"/>
                <w:szCs w:val="1"/>
                <w:color w:val="auto"/>
              </w:rPr>
            </w:pPr>
          </w:p>
        </w:tc>
      </w:tr>
      <w:tr>
        <w:trPr>
          <w:trHeight w:val="169"/>
        </w:trPr>
        <w:tc>
          <w:tcPr>
            <w:tcW w:w="3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3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13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 gain</w:t>
            </w:r>
          </w:p>
        </w:tc>
        <w:tc>
          <w:tcPr>
            <w:tcW w:w="13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40" w:type="dxa"/>
            <w:vAlign w:val="bottom"/>
          </w:tcPr>
          <w:p>
            <w:pPr>
              <w:ind w:left="30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ind w:right="13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540" w:firstLine="324"/>
        <w:spacing w:after="0" w:line="291" w:lineRule="auto"/>
        <w:rPr>
          <w:sz w:val="20"/>
          <w:szCs w:val="20"/>
          <w:color w:val="auto"/>
        </w:rPr>
      </w:pPr>
      <w:r>
        <w:rPr>
          <w:rFonts w:ascii="Arial" w:cs="Arial" w:eastAsia="Arial" w:hAnsi="Arial"/>
          <w:sz w:val="17"/>
          <w:szCs w:val="17"/>
          <w:color w:val="auto"/>
        </w:rPr>
        <w:t>We contributed $1 million and $2 million to our defined benefit plans during the three and nine months ended September 30, 2021, respectively. We do not expect to make any significant contributions to our defined benefit pension plans during the remainder of 2021.</w:t>
      </w:r>
    </w:p>
    <w:p>
      <w:pPr>
        <w:spacing w:after="0" w:line="201" w:lineRule="exact"/>
        <w:rPr>
          <w:sz w:val="20"/>
          <w:szCs w:val="20"/>
          <w:color w:val="auto"/>
        </w:rPr>
      </w:pPr>
    </w:p>
    <w:p>
      <w:pPr>
        <w:ind w:right="60" w:firstLine="324"/>
        <w:spacing w:after="0" w:line="278" w:lineRule="auto"/>
        <w:rPr>
          <w:sz w:val="20"/>
          <w:szCs w:val="20"/>
          <w:color w:val="auto"/>
        </w:rPr>
      </w:pPr>
      <w:r>
        <w:rPr>
          <w:rFonts w:ascii="Arial" w:cs="Arial" w:eastAsia="Arial" w:hAnsi="Arial"/>
          <w:sz w:val="17"/>
          <w:szCs w:val="17"/>
          <w:color w:val="auto"/>
        </w:rPr>
        <w:t>We did not make significant contributions to our defined benefit pension plans for the three and nine months ended September 30, 2020. During these periods, we deferred contributions to our defined benefit pension plans of approximately $ 5 million under the Coronavirus Aid, Relief, and Economic Security Act, which was enacted on March 27, 2020. Our 2020 plan contributions were funded in December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firstLine="324"/>
        <w:spacing w:after="0" w:line="252" w:lineRule="auto"/>
        <w:rPr>
          <w:sz w:val="20"/>
          <w:szCs w:val="20"/>
          <w:color w:val="auto"/>
        </w:rPr>
      </w:pPr>
      <w:r>
        <w:rPr>
          <w:rFonts w:ascii="Arial" w:cs="Arial" w:eastAsia="Arial" w:hAnsi="Arial"/>
          <w:sz w:val="18"/>
          <w:szCs w:val="18"/>
          <w:color w:val="auto"/>
        </w:rPr>
        <w:t>In the third quarter of 2021, we adopted a postretirement benefit design change, which terminated the employer cost sharing for post age 65 retiree health benefits effective as of January 1, 2022. Our retiree health care benefits provided up to age 65 to current and future retirees who meet certain eligibility requirements were not affected by this change. As a result of this change, our postretirement medical benefit obligation was remeasured as of September 30, 2021. The remeasurement resulted in a decrease to the benefit obligation of $82 million with a corresponding increase to accumulated other comprehensive income. The benefit from the change in plan design will be recognized in our statement of operations over the average remaining years of future service for active employees as a component of other non-operating expenses, net.</w:t>
      </w: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INCOME TAXES</w:t>
      </w:r>
    </w:p>
    <w:p>
      <w:pPr>
        <w:spacing w:after="0" w:line="274"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We estimate our annual effective income tax rate to record our quarterly income tax provision in the jurisdictions in which we operate. Statutory tax rate changes and other significant or unusual items, if any, are not included in our annual effective income tax rate and are instead recognized as discrete items in the quarter in which they occur.</w:t>
      </w:r>
    </w:p>
    <w:p>
      <w:pPr>
        <w:spacing w:after="0" w:line="22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For the nine months ended September 30, 2021 and 2020, we did not provide any current or deferred income tax provision or benefit. The difference between our statutory tax rate and our effective tax rate of zero for all periods presented includes changes to maintain our full valuation allowance against our net deferred tax assets given our recent and anticipated future earnings trends. We believe that if oil prices continue at current levels, there is a reasonable possibility that some or all of this valuation allowance could be released in the foreseeable future. However, the amount of the net deferred tax assets considered realizable depends on the sustained level of profitability that we can achieve.</w:t>
      </w:r>
    </w:p>
    <w:p>
      <w:pPr>
        <w:sectPr>
          <w:pgSz w:w="11900" w:h="16838" w:orient="portrait"/>
          <w:cols w:equalWidth="0" w:num="1">
            <w:col w:w="11220"/>
          </w:cols>
          <w:pgMar w:left="320" w:top="908" w:right="359" w:bottom="1440" w:gutter="0" w:footer="0" w:header="0"/>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60" w:type="dxa"/>
            <w:vAlign w:val="bottom"/>
          </w:tcPr>
          <w:p>
            <w:pPr>
              <w:spacing w:after="0"/>
              <w:rPr>
                <w:sz w:val="20"/>
                <w:szCs w:val="20"/>
                <w:color w:val="auto"/>
              </w:rPr>
            </w:pPr>
            <w:r>
              <w:rPr>
                <w:rFonts w:ascii="Arial" w:cs="Arial" w:eastAsia="Arial" w:hAnsi="Arial"/>
                <w:sz w:val="18"/>
                <w:szCs w:val="18"/>
                <w:b w:val="1"/>
                <w:bCs w:val="1"/>
                <w:color w:val="auto"/>
              </w:rPr>
              <w:t>NOTE 13  ASSET IMPAIRMENTS</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620" w:type="dxa"/>
            <w:vAlign w:val="bottom"/>
            <w:gridSpan w:val="7"/>
          </w:tcPr>
          <w:p>
            <w:pPr>
              <w:ind w:left="340"/>
              <w:spacing w:after="0"/>
              <w:rPr>
                <w:sz w:val="20"/>
                <w:szCs w:val="20"/>
                <w:color w:val="auto"/>
              </w:rPr>
            </w:pPr>
            <w:r>
              <w:rPr>
                <w:rFonts w:ascii="Arial" w:cs="Arial" w:eastAsia="Arial" w:hAnsi="Arial"/>
                <w:sz w:val="18"/>
                <w:szCs w:val="18"/>
                <w:color w:val="auto"/>
              </w:rPr>
              <w:t>The following table presents a summary of our asset impairments: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23"/>
                <w:szCs w:val="23"/>
                <w:color w:val="auto"/>
              </w:rPr>
            </w:pPr>
          </w:p>
        </w:tc>
        <w:tc>
          <w:tcPr>
            <w:tcW w:w="10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4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rPr>
              <w:t>Three months</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ended September</w:t>
            </w: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ended September</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0"/>
        </w:trPr>
        <w:tc>
          <w:tcPr>
            <w:tcW w:w="3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460" w:type="dxa"/>
            <w:vAlign w:val="bottom"/>
          </w:tcPr>
          <w:p>
            <w:pPr>
              <w:ind w:left="80"/>
              <w:spacing w:after="0"/>
              <w:rPr>
                <w:sz w:val="20"/>
                <w:szCs w:val="20"/>
                <w:color w:val="auto"/>
              </w:rPr>
            </w:pPr>
            <w:r>
              <w:rPr>
                <w:rFonts w:ascii="Arial" w:cs="Arial" w:eastAsia="Arial" w:hAnsi="Arial"/>
                <w:sz w:val="18"/>
                <w:szCs w:val="18"/>
                <w:color w:val="auto"/>
              </w:rPr>
              <w:t>Proved oil and natural gas properties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80"/>
              <w:spacing w:after="0"/>
              <w:rPr>
                <w:sz w:val="20"/>
                <w:szCs w:val="20"/>
                <w:color w:val="auto"/>
              </w:rPr>
            </w:pPr>
            <w:r>
              <w:rPr>
                <w:rFonts w:ascii="Arial" w:cs="Arial" w:eastAsia="Arial" w:hAnsi="Arial"/>
                <w:sz w:val="18"/>
                <w:szCs w:val="18"/>
                <w:color w:val="auto"/>
              </w:rPr>
              <w:t>Unproved properties</w:t>
            </w:r>
          </w:p>
        </w:tc>
        <w:tc>
          <w:tcPr>
            <w:tcW w:w="12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46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405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Successor</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Nine months ended</w:t>
      </w:r>
    </w:p>
    <w:p>
      <w:pPr>
        <w:ind w:left="280"/>
        <w:spacing w:after="0"/>
        <w:rPr>
          <w:sz w:val="20"/>
          <w:szCs w:val="20"/>
          <w:color w:val="auto"/>
        </w:rPr>
      </w:pPr>
      <w:r>
        <w:rPr>
          <w:rFonts w:ascii="Arial" w:cs="Arial" w:eastAsia="Arial" w:hAnsi="Arial"/>
          <w:sz w:val="18"/>
          <w:szCs w:val="18"/>
          <w:b w:val="1"/>
          <w:bCs w:val="1"/>
          <w:color w:val="auto"/>
        </w:rPr>
        <w:t>September 30,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399"/>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4"/>
        <w:spacing w:after="0"/>
        <w:rPr>
          <w:sz w:val="20"/>
          <w:szCs w:val="20"/>
          <w:color w:val="auto"/>
        </w:rPr>
      </w:pPr>
      <w:r>
        <w:rPr>
          <w:rFonts w:ascii="Arial" w:cs="Arial" w:eastAsia="Arial" w:hAnsi="Arial"/>
          <w:sz w:val="18"/>
          <w:szCs w:val="18"/>
          <w:b w:val="1"/>
          <w:bCs w:val="1"/>
          <w:color w:val="auto"/>
        </w:rPr>
        <w:t>Predecessor</w:t>
      </w:r>
    </w:p>
    <w:p>
      <w:pPr>
        <w:spacing w:after="0" w:line="117" w:lineRule="exact"/>
        <w:rPr>
          <w:sz w:val="20"/>
          <w:szCs w:val="20"/>
          <w:color w:val="auto"/>
        </w:rPr>
      </w:pPr>
    </w:p>
    <w:p>
      <w:pPr>
        <w:ind w:left="44"/>
        <w:spacing w:after="0"/>
        <w:rPr>
          <w:sz w:val="20"/>
          <w:szCs w:val="20"/>
          <w:color w:val="auto"/>
        </w:rPr>
      </w:pPr>
      <w:r>
        <w:rPr>
          <w:rFonts w:ascii="Arial" w:cs="Arial" w:eastAsia="Arial" w:hAnsi="Arial"/>
          <w:sz w:val="17"/>
          <w:szCs w:val="17"/>
          <w:b w:val="1"/>
          <w:bCs w:val="1"/>
          <w:color w:val="auto"/>
        </w:rPr>
        <w:t>Nine months ended</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September 30,</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w:t>
      </w:r>
    </w:p>
    <w:p>
      <w:pPr>
        <w:spacing w:after="0" w:line="234" w:lineRule="exact"/>
        <w:rPr>
          <w:sz w:val="20"/>
          <w:szCs w:val="20"/>
          <w:color w:val="auto"/>
        </w:rPr>
      </w:pPr>
    </w:p>
    <w:p>
      <w:pPr>
        <w:ind w:left="1244" w:hanging="1244"/>
        <w:spacing w:after="0"/>
        <w:tabs>
          <w:tab w:leader="none" w:pos="1244" w:val="left"/>
        </w:tabs>
        <w:numPr>
          <w:ilvl w:val="0"/>
          <w:numId w:val="8"/>
        </w:numPr>
        <w:rPr>
          <w:rFonts w:ascii="Arial" w:cs="Arial" w:eastAsia="Arial" w:hAnsi="Arial"/>
          <w:sz w:val="18"/>
          <w:szCs w:val="18"/>
          <w:color w:val="auto"/>
        </w:rPr>
      </w:pPr>
      <w:r>
        <w:rPr>
          <w:rFonts w:ascii="Arial" w:cs="Arial" w:eastAsia="Arial" w:hAnsi="Arial"/>
          <w:sz w:val="18"/>
          <w:szCs w:val="18"/>
          <w:color w:val="auto"/>
        </w:rPr>
        <w:t>1,487</w:t>
      </w:r>
    </w:p>
    <w:p>
      <w:pPr>
        <w:spacing w:after="0" w:line="22" w:lineRule="exact"/>
        <w:rPr>
          <w:rFonts w:ascii="Arial" w:cs="Arial" w:eastAsia="Arial" w:hAnsi="Arial"/>
          <w:sz w:val="18"/>
          <w:szCs w:val="18"/>
          <w:color w:val="auto"/>
        </w:rPr>
      </w:pPr>
    </w:p>
    <w:p>
      <w:pPr>
        <w:ind w:left="1384"/>
        <w:spacing w:after="0"/>
        <w:rPr>
          <w:rFonts w:ascii="Arial" w:cs="Arial" w:eastAsia="Arial" w:hAnsi="Arial"/>
          <w:sz w:val="18"/>
          <w:szCs w:val="18"/>
          <w:color w:val="auto"/>
        </w:rPr>
      </w:pPr>
      <w:r>
        <w:rPr>
          <w:rFonts w:ascii="Arial" w:cs="Arial" w:eastAsia="Arial" w:hAnsi="Arial"/>
          <w:sz w:val="18"/>
          <w:szCs w:val="18"/>
          <w:color w:val="auto"/>
        </w:rPr>
        <w:t>228</w:t>
      </w:r>
    </w:p>
    <w:p>
      <w:pPr>
        <w:spacing w:after="0" w:line="22" w:lineRule="exact"/>
        <w:rPr>
          <w:rFonts w:ascii="Arial" w:cs="Arial" w:eastAsia="Arial" w:hAnsi="Arial"/>
          <w:sz w:val="18"/>
          <w:szCs w:val="18"/>
          <w:color w:val="auto"/>
        </w:rPr>
      </w:pPr>
    </w:p>
    <w:p>
      <w:pPr>
        <w:ind w:left="1484"/>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36" w:lineRule="exact"/>
        <w:rPr>
          <w:sz w:val="20"/>
          <w:szCs w:val="20"/>
          <w:color w:val="auto"/>
        </w:rPr>
      </w:pPr>
    </w:p>
    <w:p>
      <w:pPr>
        <w:ind w:left="1244" w:hanging="1244"/>
        <w:spacing w:after="0"/>
        <w:tabs>
          <w:tab w:leader="none" w:pos="1244" w:val="left"/>
        </w:tabs>
        <w:numPr>
          <w:ilvl w:val="0"/>
          <w:numId w:val="9"/>
        </w:numPr>
        <w:rPr>
          <w:rFonts w:ascii="Arial" w:cs="Arial" w:eastAsia="Arial" w:hAnsi="Arial"/>
          <w:sz w:val="18"/>
          <w:szCs w:val="18"/>
          <w:color w:val="auto"/>
        </w:rPr>
      </w:pPr>
      <w:r>
        <w:rPr>
          <w:rFonts w:ascii="Arial" w:cs="Arial" w:eastAsia="Arial" w:hAnsi="Arial"/>
          <w:sz w:val="18"/>
          <w:szCs w:val="18"/>
          <w:color w:val="auto"/>
        </w:rPr>
        <w:t>1,736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1315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3">
            <w:col w:w="7280" w:space="120"/>
            <w:col w:w="1780" w:space="296"/>
            <w:col w:w="1744"/>
          </w:cols>
          <w:pgMar w:left="320" w:top="908" w:right="359" w:bottom="1440" w:gutter="0" w:footer="0" w:header="0"/>
          <w:type w:val="continuous"/>
        </w:sectPr>
      </w:pPr>
    </w:p>
    <w:p>
      <w:pPr>
        <w:spacing w:after="0" w:line="123" w:lineRule="exact"/>
        <w:rPr>
          <w:sz w:val="20"/>
          <w:szCs w:val="20"/>
          <w:color w:val="auto"/>
        </w:rPr>
      </w:pPr>
    </w:p>
    <w:p>
      <w:pPr>
        <w:ind w:firstLine="324"/>
        <w:spacing w:after="0" w:line="225" w:lineRule="auto"/>
        <w:rPr>
          <w:sz w:val="20"/>
          <w:szCs w:val="20"/>
          <w:color w:val="auto"/>
        </w:rPr>
      </w:pPr>
      <w:r>
        <w:rPr>
          <w:rFonts w:ascii="Arial" w:cs="Arial" w:eastAsia="Arial" w:hAnsi="Arial"/>
          <w:sz w:val="18"/>
          <w:szCs w:val="18"/>
          <w:color w:val="auto"/>
        </w:rPr>
        <w:t>We recorded an impairment charge of $25 million during the three months ended September 30, 2021 related to the write-down of a commercial office building located in Bakersfield, California to fair value, which was determined based on a market approach (using Level 3 inputs in the fair value hierarchy). The decline in value of the commercial office building primarily relates to limited demand for office space of this size and type in the Bakersfield market and general trends in commercial real estate due to the COVID-19 pandemic. We do not own any other commercial office buildings. No impairment charges were recorded during the same period in 2020.</w:t>
      </w:r>
    </w:p>
    <w:p>
      <w:pPr>
        <w:spacing w:after="0" w:line="23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We recorded impairment charges of $28 million for the nine months ended September 30, 2021 which included the $25 million write-down of commercial office space in Bakersfield, California to fair value and a $3 million write-off of capitalized costs related to projects which were abandoned. For the same period in 2020, we recorded an impairment charge of $1,736 million due to the sharp drop in commodity prices in March 2020, which included $1,487 million related to certain of our proved properties and approximately $228 million related to unproved acreage that was no longer included in our development plans at that time.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13 Asset Impairment </w:t>
      </w:r>
      <w:r>
        <w:rPr>
          <w:rFonts w:ascii="Arial" w:cs="Arial" w:eastAsia="Arial" w:hAnsi="Arial"/>
          <w:sz w:val="18"/>
          <w:szCs w:val="18"/>
          <w:color w:val="auto"/>
        </w:rPr>
        <w:t>in our 2020 Annual Report for a description of our impairment of proved and unproved oil</w:t>
      </w:r>
      <w:r>
        <w:rPr>
          <w:rFonts w:ascii="Arial" w:cs="Arial" w:eastAsia="Arial" w:hAnsi="Arial"/>
          <w:sz w:val="18"/>
          <w:szCs w:val="18"/>
          <w:i w:val="1"/>
          <w:iCs w:val="1"/>
          <w:color w:val="auto"/>
        </w:rPr>
        <w:t xml:space="preserve"> </w:t>
      </w:r>
      <w:r>
        <w:rPr>
          <w:rFonts w:ascii="Arial" w:cs="Arial" w:eastAsia="Arial" w:hAnsi="Arial"/>
          <w:sz w:val="18"/>
          <w:szCs w:val="18"/>
          <w:color w:val="auto"/>
        </w:rPr>
        <w:t>and gas properties and other asset impairments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21" w:name="page22"/>
    <w:bookmarkEnd w:id="21"/>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27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The California Resources Corporation 2021 Long Term Incentive Plan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The Long Term Incentive Plan replaces the earlier Amended and Restated California Resources Corporation Long Term Incentive Plan which was cancelled upon our emergence from bankruptcy, along with all outstanding stock-based compensation awards granted thereunder.</w:t>
      </w:r>
    </w:p>
    <w:p>
      <w:pPr>
        <w:spacing w:after="0" w:line="235"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Shares of our common stock may be withheld by us in satisfaction of tax withholding obligations arising upon the vesting of restricted stock units (RSUs) and performance stock units (PSUs).</w:t>
      </w:r>
    </w:p>
    <w:p>
      <w:pPr>
        <w:spacing w:after="0" w:line="225"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Stock-based compensation expense is recorded on our condensed consolidated statements of operations based on job function of the employees receiving the grants as shown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Predecessor</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rPr>
              <w:t>Three months</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4"/>
                <w:szCs w:val="14"/>
                <w:color w:val="auto"/>
              </w:rPr>
            </w:pPr>
          </w:p>
        </w:tc>
        <w:tc>
          <w:tcPr>
            <w:tcW w:w="1920" w:type="dxa"/>
            <w:vAlign w:val="bottom"/>
            <w:tcBorders>
              <w:right w:val="single" w:sz="8" w:color="auto"/>
            </w:tcBorders>
            <w:gridSpan w:val="3"/>
            <w:vMerge w:val="restart"/>
          </w:tcPr>
          <w:p>
            <w:pPr>
              <w:jc w:val="center"/>
              <w:ind w:right="16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4"/>
                <w:szCs w:val="14"/>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right w:val="single" w:sz="8" w:color="auto"/>
            </w:tcBorders>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ended September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ended September</w:t>
            </w:r>
          </w:p>
        </w:tc>
        <w:tc>
          <w:tcPr>
            <w:tcW w:w="1920" w:type="dxa"/>
            <w:vAlign w:val="bottom"/>
            <w:tcBorders>
              <w:right w:val="single" w:sz="8" w:color="auto"/>
            </w:tcBorders>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670"/>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3500" w:type="dxa"/>
            <w:vAlign w:val="bottom"/>
            <w:tcBorders>
              <w:top w:val="single" w:sz="8" w:color="CCEEFF"/>
            </w:tcBorders>
            <w:shd w:val="clear" w:color="auto" w:fill="CCEEFF"/>
          </w:tcPr>
          <w:p>
            <w:pPr>
              <w:ind w:left="240"/>
              <w:spacing w:after="0" w:line="168" w:lineRule="exact"/>
              <w:rPr>
                <w:sz w:val="20"/>
                <w:szCs w:val="20"/>
                <w:color w:val="auto"/>
              </w:rPr>
            </w:pPr>
            <w:r>
              <w:rPr>
                <w:rFonts w:ascii="Arial" w:cs="Arial" w:eastAsia="Arial" w:hAnsi="Arial"/>
                <w:sz w:val="18"/>
                <w:szCs w:val="18"/>
                <w:color w:val="auto"/>
              </w:rPr>
              <w:t>Total stock-based compensation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right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ind w:left="240"/>
              <w:spacing w:after="0" w:line="190" w:lineRule="exact"/>
              <w:rPr>
                <w:sz w:val="20"/>
                <w:szCs w:val="20"/>
                <w:color w:val="auto"/>
              </w:rPr>
            </w:pPr>
            <w:r>
              <w:rPr>
                <w:rFonts w:ascii="Arial" w:cs="Arial" w:eastAsia="Arial" w:hAnsi="Arial"/>
                <w:sz w:val="18"/>
                <w:szCs w:val="18"/>
                <w:color w:val="auto"/>
              </w:rPr>
              <w:t>expense</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For the three and nine months ended September 30, 2021 and 2020, we did not recognize any income tax benefit related to our stock-based compensation. For the three months ended September 30, 2020, we made insignificant cash payments for the cash-settled portion of our pre-emergence awards. For the nine months ended September 30, 2020, we made cash payments of $15 million for the cash-settled portion of our pre-emergence awards.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Incentive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Executives and non-employee directors were granted RSUs during the first nine months of 2021 which are in the form of, or equivalent in value to, actual shares of our common stock. The awards generally vest ratably over three years, with one third of the granted units vesting on each of the first three anniversaries of the applicable date of grant. RSUs are settled in shares of our common stock at the end of the third year of the three-year vesting period.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gridSpan w:val="2"/>
          </w:tcPr>
          <w:p>
            <w:pPr>
              <w:ind w:left="340"/>
              <w:spacing w:after="0"/>
              <w:rPr>
                <w:sz w:val="20"/>
                <w:szCs w:val="20"/>
                <w:color w:val="auto"/>
              </w:rPr>
            </w:pPr>
            <w:r>
              <w:rPr>
                <w:rFonts w:ascii="Arial" w:cs="Arial" w:eastAsia="Arial" w:hAnsi="Arial"/>
                <w:sz w:val="18"/>
                <w:szCs w:val="18"/>
                <w:color w:val="auto"/>
              </w:rPr>
              <w:t>The following table sets forth RSU activity for the nine months ended September 30, 2021:</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75"/>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Grant-Date Fair</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right"/>
              <w:ind w:right="393"/>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2020 (Successor)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1,185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Cancelled or Forfeited</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Unvested at September 30, 2021 (Successor)</w:t>
            </w:r>
          </w:p>
        </w:tc>
        <w:tc>
          <w:tcPr>
            <w:tcW w:w="1720" w:type="dxa"/>
            <w:vAlign w:val="bottom"/>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Compensation expense was measured on the date of grant using the quoted market price of our common stock and is recognized on a straight-line basis over the requisite service periods adjusted for actual forfeitures, if any.</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22" w:name="page23"/>
    <w:bookmarkEnd w:id="22"/>
    <w:p>
      <w:pPr>
        <w:ind w:right="580" w:firstLine="324"/>
        <w:spacing w:after="0" w:line="261" w:lineRule="auto"/>
        <w:rPr>
          <w:sz w:val="20"/>
          <w:szCs w:val="20"/>
          <w:color w:val="auto"/>
        </w:rPr>
      </w:pPr>
      <w:r>
        <w:rPr>
          <w:rFonts w:ascii="Arial" w:cs="Arial" w:eastAsia="Arial" w:hAnsi="Arial"/>
          <w:sz w:val="18"/>
          <w:szCs w:val="18"/>
          <w:color w:val="auto"/>
        </w:rPr>
        <w:t>As of September 30, 2021, the unrecognized compensation expense for our unvested RSUs was approximately $22 million and is expected to be recognized over a weighted-average remaining service period of approximately two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7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Executives were granted PSUs during the first nine months of 2021. PSUs are earned upon the attainment of specified 60-trading day volume weighted average prices for shares of our common stock generally during a three-year service period commencing on the grant date. Once units are earned, the earned units are not reduced for subsequent decreases in stock price. For the duration of the three-year period, a minimum of 0% and a maximum of 100% of the PSUs granted could be earned. Earned PSUs generally vest on the third anniversary of the grant date and are settled in shares of our common stock at that time.</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PSU activity for the nine months ended September 30,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96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Grant-Date Fair Value</w:t>
            </w:r>
          </w:p>
        </w:tc>
        <w:tc>
          <w:tcPr>
            <w:tcW w:w="0" w:type="dxa"/>
            <w:vAlign w:val="bottom"/>
          </w:tcPr>
          <w:p>
            <w:pPr>
              <w:spacing w:after="0"/>
              <w:rPr>
                <w:sz w:val="1"/>
                <w:szCs w:val="1"/>
                <w:color w:val="auto"/>
              </w:rPr>
            </w:pPr>
          </w:p>
        </w:tc>
      </w:tr>
      <w:tr>
        <w:trPr>
          <w:trHeight w:val="183"/>
        </w:trPr>
        <w:tc>
          <w:tcPr>
            <w:tcW w:w="7180" w:type="dxa"/>
            <w:vAlign w:val="bottom"/>
          </w:tcPr>
          <w:p>
            <w:pPr>
              <w:spacing w:after="0"/>
              <w:rPr>
                <w:sz w:val="15"/>
                <w:szCs w:val="15"/>
                <w:color w:val="auto"/>
              </w:rPr>
            </w:pPr>
          </w:p>
        </w:tc>
        <w:tc>
          <w:tcPr>
            <w:tcW w:w="1960" w:type="dxa"/>
            <w:vAlign w:val="bottom"/>
          </w:tcPr>
          <w:p>
            <w:pPr>
              <w:jc w:val="right"/>
              <w:ind w:right="433"/>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 (Successor)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969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Cancelled or Forfeited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Unvested at September 30, 2021 (Successor)</w:t>
            </w:r>
          </w:p>
        </w:tc>
        <w:tc>
          <w:tcPr>
            <w:tcW w:w="196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grant date fair value and associated equity compensation expense was measured using a Monte Carlo simulation model which runs a probabilistic assessment of the number of units that will be earned based on a projection of our stock price during the three-year service period.</w:t>
      </w:r>
    </w:p>
    <w:p>
      <w:pPr>
        <w:spacing w:after="0" w:line="229"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The range of assumptions used in the Monte Carlo simulation model for the PSUs granted during the first nine months of 2021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Successor</w:t>
            </w:r>
          </w:p>
        </w:tc>
      </w:tr>
      <w:tr>
        <w:trPr>
          <w:trHeight w:val="169"/>
        </w:trPr>
        <w:tc>
          <w:tcPr>
            <w:tcW w:w="8180" w:type="dxa"/>
            <w:vAlign w:val="bottom"/>
          </w:tcPr>
          <w:p>
            <w:pPr>
              <w:spacing w:after="0"/>
              <w:rPr>
                <w:sz w:val="14"/>
                <w:szCs w:val="14"/>
                <w:color w:val="auto"/>
              </w:rPr>
            </w:pPr>
          </w:p>
        </w:tc>
        <w:tc>
          <w:tcPr>
            <w:tcW w:w="30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Nine months ended September 30,</w:t>
            </w:r>
          </w:p>
        </w:tc>
      </w:tr>
      <w:tr>
        <w:trPr>
          <w:trHeight w:val="230"/>
        </w:trPr>
        <w:tc>
          <w:tcPr>
            <w:tcW w:w="8180" w:type="dxa"/>
            <w:vAlign w:val="bottom"/>
            <w:tcBorders>
              <w:bottom w:val="single" w:sz="8" w:color="CCEEFF"/>
            </w:tcBorders>
          </w:tcPr>
          <w:p>
            <w:pPr>
              <w:spacing w:after="0"/>
              <w:rPr>
                <w:sz w:val="19"/>
                <w:szCs w:val="19"/>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81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 - 65.00%</w:t>
            </w:r>
          </w:p>
        </w:tc>
      </w:tr>
      <w:tr>
        <w:trPr>
          <w:trHeight w:val="230"/>
        </w:trPr>
        <w:tc>
          <w:tcPr>
            <w:tcW w:w="818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3060" w:type="dxa"/>
            <w:vAlign w:val="bottom"/>
          </w:tcPr>
          <w:p>
            <w:pPr>
              <w:jc w:val="right"/>
              <w:spacing w:after="0"/>
              <w:rPr>
                <w:sz w:val="20"/>
                <w:szCs w:val="20"/>
                <w:color w:val="auto"/>
              </w:rPr>
            </w:pPr>
            <w:r>
              <w:rPr>
                <w:rFonts w:ascii="Arial" w:cs="Arial" w:eastAsia="Arial" w:hAnsi="Arial"/>
                <w:sz w:val="18"/>
                <w:szCs w:val="18"/>
                <w:color w:val="auto"/>
              </w:rPr>
              <w:t>0.16% - 0.32%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2 - 3</w:t>
            </w:r>
          </w:p>
        </w:tc>
      </w:tr>
    </w:tbl>
    <w:p>
      <w:pPr>
        <w:spacing w:after="0" w:line="86"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Expected volatility was calculated using a peer group due to our limited trading history since our emergence from bankruptcy.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the U.S. Treasury yield for a two- or three-year term at the grant date.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expense is recognized on a straight-line basis over the requisite service periods adjusted for actual forfeitures, if any.</w:t>
      </w:r>
    </w:p>
    <w:p>
      <w:pPr>
        <w:spacing w:after="0" w:line="252"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As of September 30, 2021, the unrecognized compensation expense for our unvested PSUs was approximately $14 million and is expected to be recognized over a weighted-average remaining service period of approximately two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Cash Incentive Awards</w:t>
      </w:r>
    </w:p>
    <w:p>
      <w:pPr>
        <w:spacing w:after="0" w:line="2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On June 30, 2021, we granted $16 million of performance cash awards to approximately 500 non-executive employees where half of the award is variable with payouts ranging from 75% to 150% of the grant value. The variable portion of the award is determined based upon the attainment of specified 60-trading day volume weighted average prices for shares of our common stock preceding each vesting date. These awards vest over a three-year service period commencing on the grant date and are settled in cash. The fair value of the awards is adjusted on a quarterly basis for the cumulative change in the value determined using a Monte Carlo simulation model which runs a probabilistic assessment of our stock price during each of the three-year service periods.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The assumptions used in the Monte Carlo simulation model for the performance cash awards as of September 30, 2021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Successor</w:t>
            </w:r>
          </w:p>
        </w:tc>
      </w:tr>
      <w:tr>
        <w:trPr>
          <w:trHeight w:val="169"/>
        </w:trPr>
        <w:tc>
          <w:tcPr>
            <w:tcW w:w="8180" w:type="dxa"/>
            <w:vAlign w:val="bottom"/>
          </w:tcPr>
          <w:p>
            <w:pPr>
              <w:spacing w:after="0"/>
              <w:rPr>
                <w:sz w:val="14"/>
                <w:szCs w:val="14"/>
                <w:color w:val="auto"/>
              </w:rPr>
            </w:pPr>
          </w:p>
        </w:tc>
        <w:tc>
          <w:tcPr>
            <w:tcW w:w="30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Nine months ended September 30,</w:t>
            </w:r>
          </w:p>
        </w:tc>
      </w:tr>
      <w:tr>
        <w:trPr>
          <w:trHeight w:val="230"/>
        </w:trPr>
        <w:tc>
          <w:tcPr>
            <w:tcW w:w="8180" w:type="dxa"/>
            <w:vAlign w:val="bottom"/>
            <w:tcBorders>
              <w:bottom w:val="single" w:sz="8" w:color="CCEEFF"/>
            </w:tcBorders>
          </w:tcPr>
          <w:p>
            <w:pPr>
              <w:spacing w:after="0"/>
              <w:rPr>
                <w:sz w:val="19"/>
                <w:szCs w:val="19"/>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81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818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3060" w:type="dxa"/>
            <w:vAlign w:val="bottom"/>
          </w:tcPr>
          <w:p>
            <w:pPr>
              <w:jc w:val="right"/>
              <w:spacing w:after="0"/>
              <w:rPr>
                <w:sz w:val="20"/>
                <w:szCs w:val="20"/>
                <w:color w:val="auto"/>
              </w:rPr>
            </w:pPr>
            <w:r>
              <w:rPr>
                <w:rFonts w:ascii="Arial" w:cs="Arial" w:eastAsia="Arial" w:hAnsi="Arial"/>
                <w:sz w:val="18"/>
                <w:szCs w:val="18"/>
                <w:color w:val="auto"/>
              </w:rPr>
              <w:t>0.47 %</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9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Expected volatility was calculated using a peer group due to our limited trading history since our emergence from bankruptcy.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the U.S. Treasury yield for the 2.7 year remaining term.</w:t>
      </w:r>
    </w:p>
    <w:p>
      <w:pPr>
        <w:spacing w:after="0" w:line="238"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As of September 30, 2021, the unrecognized compensation expense for all of our unvested cash-settled awards was $14 million and is expected to be recognized over a weighted-average remaining service period of approximately three years. The awards forfeited during the three months ended September 30, 2021 were insignificant.</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7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In 2021, our Board of Directors authorized a Share Repurchase Program to acquire up to $250 million of our common stock through March 31, 2022, which was extended through June 30, 2022 as described in </w:t>
      </w:r>
      <w:r>
        <w:rPr>
          <w:rFonts w:ascii="Arial" w:cs="Arial" w:eastAsia="Arial" w:hAnsi="Arial"/>
          <w:sz w:val="18"/>
          <w:szCs w:val="18"/>
          <w:i w:val="1"/>
          <w:iCs w:val="1"/>
          <w:color w:val="auto"/>
        </w:rPr>
        <w:t>Note 16 Subsequent Events</w:t>
      </w:r>
      <w:r>
        <w:rPr>
          <w:rFonts w:ascii="Arial" w:cs="Arial" w:eastAsia="Arial" w:hAnsi="Arial"/>
          <w:sz w:val="18"/>
          <w:szCs w:val="18"/>
          <w:color w:val="auto"/>
        </w:rPr>
        <w:t>. The repurchases may be effected from time-to-time through open market purchases, privately negotiated transactions, Rule 10b5 -1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w:t>
      </w:r>
    </w:p>
    <w:p>
      <w:pPr>
        <w:spacing w:after="0" w:line="23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As of September 30, 2021, we repurchased 2.6 million shares of our common stock, at an average price of $32.39 per share, through either open market purchases or our Rule 10b5-1 plan for $84 million. Shares repurchased were held as treasury stock as of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70"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 xml:space="preserve">In accordance with the Plan, we reserved an aggregate 4.4 million shares of our common stock for warrants issued to holders of our Predecessor debt claims. The warrants are exercisable at an initial exercise price of $36 per share for a period of four years beginning October 27, 2020, the effective date of the Plan. The Warrant Agreement contains customary anti-dilution adjustments in the event of any stock split, reverse stock split, stock dividend, equity awards under a management incentive plan that our Board of Directors may establish pursuant to the Plan (if any) or other distributions. The warrant holder may elect, in its sole discretion, to pay cash or to exercise on a cashless basis, pursuant to which the holder will not be required to pay cash for shares of common stock upon exercise of the warrant but will instead receive fewer shares. See </w:t>
      </w:r>
      <w:r>
        <w:rPr>
          <w:rFonts w:ascii="Arial" w:cs="Arial" w:eastAsia="Arial" w:hAnsi="Arial"/>
          <w:sz w:val="18"/>
          <w:szCs w:val="18"/>
          <w:i w:val="1"/>
          <w:iCs w:val="1"/>
          <w:color w:val="auto"/>
        </w:rPr>
        <w:t>Part II, Item 8 – Financial Statements and Supplementary Data, Note 15 Equity</w:t>
      </w:r>
      <w:r>
        <w:rPr>
          <w:rFonts w:ascii="Arial" w:cs="Arial" w:eastAsia="Arial" w:hAnsi="Arial"/>
          <w:sz w:val="18"/>
          <w:szCs w:val="18"/>
          <w:color w:val="auto"/>
        </w:rPr>
        <w:t xml:space="preserve"> in our 2020 Annual Report for a description of our warrants.</w:t>
      </w:r>
    </w:p>
    <w:p>
      <w:pPr>
        <w:spacing w:after="0" w:line="232"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During the three and nine months ended September 30, 2021, we issued 47,416 shares of common stock and received approximately $2 million related to warrants exercised.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BSP JV</w:t>
      </w:r>
    </w:p>
    <w:p>
      <w:pPr>
        <w:spacing w:after="0" w:line="27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In February 2017, we entered into a development joint venture (JV) with Benefit Street Partners (BSP) to develop certain oil and natural gas assets in exchange for a preferred interest in the BSP JV. BSP invested $200 million and was entitled to preferred distributions and, upon receiving cash distributions equal to a predetermined threshold in September 2021, the preferred interest was automatically redeemed in full under the terms of the joint venture agreement. For the three and nine months ended September 30, 2021, we distributed $19 million and $50 million, respectively, to BSP. Upon redemption, we reduced the remaining balance in noncontrolling interest to zero and increased our additional paid-in capital by the same amount. See </w:t>
      </w:r>
      <w:r>
        <w:rPr>
          <w:rFonts w:ascii="Arial" w:cs="Arial" w:eastAsia="Arial" w:hAnsi="Arial"/>
          <w:sz w:val="18"/>
          <w:szCs w:val="18"/>
          <w:i w:val="1"/>
          <w:iCs w:val="1"/>
          <w:color w:val="auto"/>
        </w:rPr>
        <w:t>Part II, Item 8 – Financial Statements and Supplementary Data, Note 6 Joint Ventures</w:t>
      </w:r>
      <w:r>
        <w:rPr>
          <w:rFonts w:ascii="Arial" w:cs="Arial" w:eastAsia="Arial" w:hAnsi="Arial"/>
          <w:sz w:val="18"/>
          <w:szCs w:val="18"/>
          <w:color w:val="auto"/>
        </w:rPr>
        <w:t xml:space="preserve"> in our 2020 Annual Report for more information on our BSP JV.</w:t>
      </w: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 Basin Divestiture</w:t>
      </w:r>
    </w:p>
    <w:p>
      <w:pPr>
        <w:spacing w:after="0" w:line="270"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 xml:space="preserve">After the quarter-end, closings for the sale of our Ventura basin operations occurred with respect to the majority of the basin's assets and subsequent closings are expected to occur in the following quarters. With the divestitures closed to date, we realized $62 million of cash paid at closing (before purchase price adjustments) and our liability for related asset retirement obligations was approximately $100 million which were assumed by the buyer. See </w:t>
      </w:r>
      <w:r>
        <w:rPr>
          <w:rFonts w:ascii="Arial" w:cs="Arial" w:eastAsia="Arial" w:hAnsi="Arial"/>
          <w:sz w:val="18"/>
          <w:szCs w:val="18"/>
          <w:i w:val="1"/>
          <w:iCs w:val="1"/>
          <w:color w:val="auto"/>
        </w:rPr>
        <w:t>Note 6 Assets Held for Sale</w:t>
      </w:r>
      <w:r>
        <w:rPr>
          <w:rFonts w:ascii="Arial" w:cs="Arial" w:eastAsia="Arial" w:hAnsi="Arial"/>
          <w:sz w:val="18"/>
          <w:szCs w:val="18"/>
          <w:color w:val="auto"/>
        </w:rPr>
        <w:t xml:space="preserve"> for more information regarding this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November 11, 2021, our Board of Directors declared a quarterly cash dividend of $0.17 per share of common stock. The dividend is payable to shareholders of record at the close of business on December 1, 2021 and is expected to be paid on December 16, 2021. This quarterly dividend is made pursuant to a cash dividend policy approved by the Board of Directors, which anticipates a total annual dividend of $0.68, payable in quarterly increments of $0.17 per share of common stock. The actual declaration of future cash dividends, and the establishment of record and payment dates, is subject to final determination by our Board of Directors each quarter after reviewing our financial performance and position.</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dividend will be recorded as a reduction of additional paid-in capital.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11, 2021, our Board of Directors extended the time period for our Share Repurchase Program through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provide ample, affordable and reliable energy in a safe and responsible manner, to support and enhance the quality of life of Californians and the local communities in which we operate. We do this through the development of our broad portfolio of assets while adhering to our commitment to making value-based capital investments. Except when the context otherwise requires or where otherwise indicated, all references to ‘‘CRC,’’ the ‘‘Company,’’ ‘‘we,’’ ‘‘us’’ and ‘‘our’’ refer to California Resources Corporation and its subsidiaries.</w:t>
      </w:r>
    </w:p>
    <w:p>
      <w:pPr>
        <w:spacing w:after="0" w:line="232"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are committed to energy transition in the energy sector and have some of the lowest carbon intensity production in the United States. Through our subsidiary, Carbon TerraVault, we are in the early stages of developing several carbon capture and sequestration projects in the San Joaquin Valley. Separately, we are evaluating the feasibility of a carbon capture system to be located at our Elk Hills power plant. We are also pursuing multiple front-of-the-meter and behind-the-meter solar projects.</w:t>
      </w:r>
    </w:p>
    <w:p>
      <w:pPr>
        <w:spacing w:after="0" w:line="2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qualified for and adopted fresh start accounting upon emergence from bankruptcy on October 27, 2020, at which point we became a new entity for financial reporting purposes. We adopted an accounting convenience date of October 31, 2020 for the application of fresh start accounting. As a result of the application of fresh start accounting and the effects of the implementation of our joint plan of reorganization (the Plan),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w:t>
      </w:r>
    </w:p>
    <w:p>
      <w:pPr>
        <w:spacing w:after="0" w:line="216"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2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xml:space="preserve"> in our Annual Report on Form 10-K for the year ended December 31, 2020 (2020 Annual Report) for additional information on the terms of the Plan, our emergence from bankruptcy and application of fresh start accounting.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74"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natural gas prices and differentials may fluctuate significantly as a result of numerous market-related variables. These and other factors make it impossible to predict realized prices reliably. We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w:t>
      </w:r>
    </w:p>
    <w:p>
      <w:pPr>
        <w:spacing w:after="0" w:line="232"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Global oil prices were higher in the three and nine months ended September 30, 2021 compared to the same periods in 2020. Benchmark prices for Brent crude oil in the first nine months of 2021 increased 59% from the same period in 2020 as a result of steady draws on global inventories demonstrating a strong recovery from the same prior year period when oil prices were negatively influenced by the Coronavirus Disease 2019 (COVID-19) pandemic and by the actions of foreign producers.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ind w:right="140" w:firstLine="324"/>
        <w:spacing w:after="0" w:line="261" w:lineRule="auto"/>
        <w:rPr>
          <w:sz w:val="20"/>
          <w:szCs w:val="20"/>
          <w:color w:val="auto"/>
        </w:rPr>
      </w:pPr>
      <w:r>
        <w:rPr>
          <w:rFonts w:ascii="Arial" w:cs="Arial" w:eastAsia="Arial" w:hAnsi="Arial"/>
          <w:sz w:val="18"/>
          <w:szCs w:val="18"/>
          <w:color w:val="auto"/>
        </w:rPr>
        <w:t>The following table presents the average daily Brent, WTI and NYMEX prices for the three and nine months ended September 30, 2021 and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3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23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70.56</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40.93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38.32</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gas ($/MMBtu)</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bl>
    <w:p>
      <w:pPr>
        <w:spacing w:after="0" w:line="8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Note:</w:t>
        <w:tab/>
        <w:t>Bbl refers to a barrel; MMBtu refers to one million British Thermal Units.</w:t>
      </w:r>
    </w:p>
    <w:p>
      <w:pPr>
        <w:spacing w:after="0" w:line="220" w:lineRule="exact"/>
        <w:rPr>
          <w:sz w:val="20"/>
          <w:szCs w:val="20"/>
          <w:color w:val="auto"/>
        </w:rPr>
      </w:pPr>
    </w:p>
    <w:p>
      <w:pPr>
        <w:jc w:val="both"/>
        <w:ind w:right="320" w:firstLine="324"/>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 Management's Discussion and Analysis of Financial Condition and Results of Operations, Production and Prices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II, Item 1A – Risk Factors</w:t>
      </w:r>
      <w:r>
        <w:rPr>
          <w:rFonts w:ascii="Arial" w:cs="Arial" w:eastAsia="Arial" w:hAnsi="Arial"/>
          <w:sz w:val="18"/>
          <w:szCs w:val="18"/>
          <w:color w:val="auto"/>
        </w:rPr>
        <w:t xml:space="preserve"> in our 2020 Annual Report for further discussion regarding the impact of the pandemic and declines in commodity prices.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7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 xml:space="preserve">The following table sets forth our average net production of oil, natural gas liquids (NGLs) and natural gas per day in each of the four California oil and natural gas basins in which we operate for the periods presented. See </w:t>
      </w:r>
      <w:r>
        <w:rPr>
          <w:rFonts w:ascii="Arial" w:cs="Arial" w:eastAsia="Arial" w:hAnsi="Arial"/>
          <w:sz w:val="18"/>
          <w:szCs w:val="18"/>
          <w:i w:val="1"/>
          <w:iCs w:val="1"/>
          <w:color w:val="auto"/>
        </w:rPr>
        <w:t>Part I, Item 1 – Financial Statements, Note 6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Held for Sale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16 Subsequent Events </w:t>
      </w:r>
      <w:r>
        <w:rPr>
          <w:rFonts w:ascii="Arial" w:cs="Arial" w:eastAsia="Arial" w:hAnsi="Arial"/>
          <w:sz w:val="18"/>
          <w:szCs w:val="18"/>
          <w:color w:val="auto"/>
        </w:rPr>
        <w:t>for information regarding the divestiture of our Ventura basin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Predecessor</w:t>
            </w:r>
          </w:p>
        </w:tc>
        <w:tc>
          <w:tcPr>
            <w:tcW w:w="18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Nine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Nine months</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1840" w:type="dxa"/>
            <w:vAlign w:val="bottom"/>
            <w:tcBorders>
              <w:right w:val="single" w:sz="8" w:color="auto"/>
            </w:tcBorders>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5"/>
                <w:szCs w:val="15"/>
                <w:color w:val="auto"/>
              </w:rPr>
            </w:pPr>
          </w:p>
        </w:tc>
        <w:tc>
          <w:tcPr>
            <w:tcW w:w="18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ended</w:t>
            </w:r>
          </w:p>
        </w:tc>
        <w:tc>
          <w:tcPr>
            <w:tcW w:w="1840" w:type="dxa"/>
            <w:vAlign w:val="bottom"/>
            <w:tcBorders>
              <w:right w:val="single" w:sz="8" w:color="auto"/>
            </w:tcBorders>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8"/>
              </w:rPr>
              <w:t>ended</w:t>
            </w:r>
          </w:p>
        </w:tc>
        <w:tc>
          <w:tcPr>
            <w:tcW w:w="1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ended</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September 30,</w:t>
            </w:r>
          </w:p>
        </w:tc>
        <w:tc>
          <w:tcPr>
            <w:tcW w:w="18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84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840" w:type="dxa"/>
            <w:vAlign w:val="bottom"/>
          </w:tcPr>
          <w:p>
            <w:pPr>
              <w:ind w:left="520"/>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16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San Joaquin Basin</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Natural gas (MMcf/d)</w:t>
            </w:r>
          </w:p>
        </w:tc>
        <w:tc>
          <w:tcPr>
            <w:tcW w:w="16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84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Sacramento Basin</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 (MBoe/d)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500" w:right="120" w:hanging="485"/>
        <w:spacing w:after="0" w:line="249" w:lineRule="auto"/>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2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Total daily production for the three months ended September 30, 2021, compared to the same period in 2020, decreased by approximately 4 MBoe/d or 4%. For the nine months ended September 30, 2021 compared to the same period in 2020, total daily production decreased by approximately 12 MBoe/d or 11%. The decrease in production largely resulted from limited drilling activity and capital investment during 2020 and natural decline rates. This decrease was partially offset by improved operational results from our 2021 drilling program and our acquisition of the working interests in certain joint venture wells held by Macquarie Infrastructure and Real Assets Inc. (MIRA) in the third quarter of 2021. Our production-sharing contracts (PSCs), which are described below, negatively impacted our oil production in the three and nine months ended September 30, 2021 by approximately 1 MBoe/d and approximately 3 MBoe/d, respectively, compared to the same periods in 2020.</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Production-Sharing Contracts (PSCs)</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contracts represented approximately 15% of our net production for the three months ended September 30, 2021.</w:t>
      </w:r>
    </w:p>
    <w:p>
      <w:pPr>
        <w:spacing w:after="0" w:line="23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and general and administrative costs but only our net share of production equally inflates our oil, natural gas and NGL sales revenue, general and administrative expenses and operating costs but has no effect on our net results.</w:t>
      </w:r>
    </w:p>
    <w:p>
      <w:pPr>
        <w:spacing w:after="0" w:line="23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reporting of our PSC-type contracts creates a difference between reported operating costs, which are for the full field, and reported volumes, which are only our net share, inflating the per barrel operating costs. The following table presents operating costs after adjusting for excess costs attributable to PSC-type contracts for the three and nine months ended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September</w:t>
            </w:r>
          </w:p>
        </w:tc>
        <w:tc>
          <w:tcPr>
            <w:tcW w:w="140" w:type="dxa"/>
            <w:vAlign w:val="bottom"/>
          </w:tcPr>
          <w:p>
            <w:pPr>
              <w:spacing w:after="0"/>
              <w:rPr>
                <w:sz w:val="18"/>
                <w:szCs w:val="18"/>
                <w:color w:val="auto"/>
              </w:rPr>
            </w:pPr>
          </w:p>
        </w:tc>
        <w:tc>
          <w:tcPr>
            <w:tcW w:w="2840" w:type="dxa"/>
            <w:vAlign w:val="bottom"/>
            <w:gridSpan w:val="4"/>
          </w:tcPr>
          <w:p>
            <w:pPr>
              <w:jc w:val="right"/>
              <w:ind w:right="75"/>
              <w:spacing w:after="0"/>
              <w:rPr>
                <w:sz w:val="20"/>
                <w:szCs w:val="20"/>
                <w:color w:val="auto"/>
              </w:rPr>
            </w:pPr>
            <w:r>
              <w:rPr>
                <w:rFonts w:ascii="Arial" w:cs="Arial" w:eastAsia="Arial" w:hAnsi="Arial"/>
                <w:sz w:val="18"/>
                <w:szCs w:val="18"/>
                <w:b w:val="1"/>
                <w:bCs w:val="1"/>
                <w:color w:val="auto"/>
              </w:rPr>
              <w:t>Nine months ended September</w:t>
            </w:r>
          </w:p>
        </w:tc>
      </w:tr>
      <w:tr>
        <w:trPr>
          <w:trHeight w:val="230"/>
        </w:trPr>
        <w:tc>
          <w:tcPr>
            <w:tcW w:w="5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30, 2021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30, 2021</w:t>
            </w:r>
          </w:p>
        </w:tc>
        <w:tc>
          <w:tcPr>
            <w:tcW w:w="1120" w:type="dxa"/>
            <w:vAlign w:val="bottom"/>
            <w:tcBorders>
              <w:bottom w:val="single" w:sz="8" w:color="auto"/>
            </w:tcBorders>
          </w:tcPr>
          <w:p>
            <w:pPr>
              <w:spacing w:after="0"/>
              <w:rPr>
                <w:sz w:val="19"/>
                <w:szCs w:val="19"/>
                <w:color w:val="auto"/>
              </w:rPr>
            </w:pPr>
          </w:p>
        </w:tc>
      </w:tr>
      <w:tr>
        <w:trPr>
          <w:trHeight w:val="183"/>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15"/>
                <w:szCs w:val="15"/>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color w:val="auto"/>
              </w:rPr>
              <w:t>($ per Boe)</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PSC-type contracts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48"/>
        </w:trPr>
        <w:tc>
          <w:tcPr>
            <w:tcW w:w="51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costs, excluding effects of PSC-type contracts</w:t>
            </w:r>
            <w:r>
              <w:rPr>
                <w:rFonts w:ascii="Arial" w:cs="Arial" w:eastAsia="Arial" w:hAnsi="Arial"/>
                <w:sz w:val="23"/>
                <w:szCs w:val="23"/>
                <w:color w:val="auto"/>
                <w:vertAlign w:val="superscript"/>
              </w:rPr>
              <w:t>(a)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right="180" w:hanging="332"/>
        <w:spacing w:after="0" w:line="249"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Operating costs, excluding effects of PSC-type contracts is a non-GAAP measure. As described above, the reporting of our PSC-type contracts creates a difference between reported operating costs, which are for the full field, and reported volumes, which are only our net share, inflating the per barrel operating costs. These amounts represent our operating costs after adjusting for this difference.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Prices and Realizations</w:t>
      </w:r>
    </w:p>
    <w:p>
      <w:pPr>
        <w:spacing w:after="0" w:line="274"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three and nine months ended September 30,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center"/>
              <w:ind w:left="135"/>
              <w:spacing w:after="0"/>
              <w:rPr>
                <w:sz w:val="20"/>
                <w:szCs w:val="20"/>
                <w:color w:val="auto"/>
              </w:rPr>
            </w:pPr>
            <w:r>
              <w:rPr>
                <w:rFonts w:ascii="Arial" w:cs="Arial" w:eastAsia="Arial" w:hAnsi="Arial"/>
                <w:sz w:val="17"/>
                <w:szCs w:val="17"/>
                <w:b w:val="1"/>
                <w:bCs w:val="1"/>
                <w:color w:val="auto"/>
                <w:w w:val="99"/>
              </w:rPr>
              <w:t>Successor</w:t>
            </w:r>
          </w:p>
        </w:tc>
        <w:tc>
          <w:tcPr>
            <w:tcW w:w="12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center"/>
              <w:ind w:right="995"/>
              <w:spacing w:after="0"/>
              <w:rPr>
                <w:sz w:val="20"/>
                <w:szCs w:val="20"/>
                <w:color w:val="auto"/>
              </w:rPr>
            </w:pPr>
            <w:r>
              <w:rPr>
                <w:rFonts w:ascii="Arial" w:cs="Arial" w:eastAsia="Arial" w:hAnsi="Arial"/>
                <w:sz w:val="17"/>
                <w:szCs w:val="17"/>
                <w:b w:val="1"/>
                <w:bCs w:val="1"/>
                <w:color w:val="auto"/>
                <w:w w:val="99"/>
              </w:rPr>
              <w:t>Predecessor</w:t>
            </w:r>
          </w:p>
        </w:tc>
      </w:tr>
      <w:tr>
        <w:trPr>
          <w:trHeight w:val="210"/>
        </w:trPr>
        <w:tc>
          <w:tcPr>
            <w:tcW w:w="4140" w:type="dxa"/>
            <w:vAlign w:val="bottom"/>
          </w:tcPr>
          <w:p>
            <w:pPr>
              <w:spacing w:after="0"/>
              <w:rPr>
                <w:sz w:val="18"/>
                <w:szCs w:val="18"/>
                <w:color w:val="auto"/>
              </w:rPr>
            </w:pPr>
          </w:p>
        </w:tc>
        <w:tc>
          <w:tcPr>
            <w:tcW w:w="34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Three months ended September 30,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Three months ended September 30,</w:t>
            </w:r>
          </w:p>
        </w:tc>
      </w:tr>
      <w:tr>
        <w:trPr>
          <w:trHeight w:val="209"/>
        </w:trPr>
        <w:tc>
          <w:tcPr>
            <w:tcW w:w="4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center"/>
              <w:ind w:left="135"/>
              <w:spacing w:after="0"/>
              <w:rPr>
                <w:sz w:val="20"/>
                <w:szCs w:val="20"/>
                <w:color w:val="auto"/>
              </w:rPr>
            </w:pPr>
            <w:r>
              <w:rPr>
                <w:rFonts w:ascii="Arial" w:cs="Arial" w:eastAsia="Arial" w:hAnsi="Arial"/>
                <w:sz w:val="17"/>
                <w:szCs w:val="17"/>
                <w:b w:val="1"/>
                <w:bCs w:val="1"/>
                <w:color w:val="auto"/>
              </w:rPr>
              <w:t>2021</w:t>
            </w:r>
          </w:p>
        </w:tc>
        <w:tc>
          <w:tcPr>
            <w:tcW w:w="12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7"/>
                <w:szCs w:val="17"/>
                <w:b w:val="1"/>
                <w:bCs w:val="1"/>
                <w:color w:val="auto"/>
              </w:rPr>
              <w:t>2020</w:t>
            </w:r>
          </w:p>
        </w:tc>
        <w:tc>
          <w:tcPr>
            <w:tcW w:w="1400" w:type="dxa"/>
            <w:vAlign w:val="bottom"/>
            <w:tcBorders>
              <w:bottom w:val="single" w:sz="8" w:color="auto"/>
            </w:tcBorders>
          </w:tcPr>
          <w:p>
            <w:pPr>
              <w:spacing w:after="0"/>
              <w:rPr>
                <w:sz w:val="18"/>
                <w:szCs w:val="18"/>
                <w:color w:val="auto"/>
              </w:rPr>
            </w:pPr>
          </w:p>
        </w:tc>
      </w:tr>
      <w:tr>
        <w:trPr>
          <w:trHeight w:val="210"/>
        </w:trPr>
        <w:tc>
          <w:tcPr>
            <w:tcW w:w="4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Realization</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Realization</w:t>
            </w:r>
          </w:p>
        </w:tc>
      </w:tr>
      <w:tr>
        <w:trPr>
          <w:trHeight w:val="19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Brent</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73.23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43.37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4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72.89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6"/>
              </w:rPr>
              <w:t>100%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9"/>
              </w:rPr>
              <w:t>96%</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9"/>
              </w:rPr>
              <w:t>76%</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9"/>
              </w:rPr>
              <w:t>97%</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WTI</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70.56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4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72.89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6"/>
              </w:rPr>
              <w:t>103%</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6"/>
              </w:rPr>
              <w:t>102%</w:t>
            </w:r>
          </w:p>
        </w:tc>
      </w:tr>
      <w:tr>
        <w:trPr>
          <w:trHeight w:val="218"/>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95"/>
              <w:spacing w:after="0"/>
              <w:rPr>
                <w:sz w:val="20"/>
                <w:szCs w:val="20"/>
                <w:color w:val="auto"/>
              </w:rPr>
            </w:pPr>
            <w:r>
              <w:rPr>
                <w:rFonts w:ascii="Arial" w:cs="Arial" w:eastAsia="Arial" w:hAnsi="Arial"/>
                <w:sz w:val="17"/>
                <w:szCs w:val="17"/>
                <w:color w:val="auto"/>
                <w:w w:val="99"/>
              </w:rPr>
              <w:t>79%</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6"/>
              </w:rPr>
              <w:t>103%</w:t>
            </w:r>
          </w:p>
        </w:tc>
      </w:tr>
      <w:tr>
        <w:trPr>
          <w:trHeight w:val="216"/>
        </w:trPr>
        <w:tc>
          <w:tcPr>
            <w:tcW w:w="4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53.74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9"/>
              </w:rPr>
              <w:t>73%</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25.16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9"/>
              </w:rPr>
              <w:t>58%</w:t>
            </w:r>
          </w:p>
        </w:tc>
      </w:tr>
      <w:tr>
        <w:trPr>
          <w:trHeight w:val="218"/>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95"/>
              <w:spacing w:after="0"/>
              <w:rPr>
                <w:sz w:val="20"/>
                <w:szCs w:val="20"/>
                <w:color w:val="auto"/>
              </w:rPr>
            </w:pPr>
            <w:r>
              <w:rPr>
                <w:rFonts w:ascii="Arial" w:cs="Arial" w:eastAsia="Arial" w:hAnsi="Arial"/>
                <w:sz w:val="17"/>
                <w:szCs w:val="17"/>
                <w:color w:val="auto"/>
                <w:w w:val="99"/>
              </w:rPr>
              <w:t>76%</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61%</w:t>
            </w:r>
          </w:p>
        </w:tc>
      </w:tr>
      <w:tr>
        <w:trPr>
          <w:trHeight w:val="216"/>
        </w:trPr>
        <w:tc>
          <w:tcPr>
            <w:tcW w:w="4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NYMEX ($/MMBtu)</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4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6"/>
              </w:rPr>
              <w:t>126%</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6"/>
              </w:rPr>
              <w:t>115%</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2"/>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6"/>
              </w:rPr>
              <w:t>125%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6"/>
              </w:rPr>
              <w:t>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center"/>
              <w:ind w:left="135"/>
              <w:spacing w:after="0"/>
              <w:rPr>
                <w:sz w:val="20"/>
                <w:szCs w:val="20"/>
                <w:color w:val="auto"/>
              </w:rPr>
            </w:pPr>
            <w:r>
              <w:rPr>
                <w:rFonts w:ascii="Arial" w:cs="Arial" w:eastAsia="Arial" w:hAnsi="Arial"/>
                <w:sz w:val="17"/>
                <w:szCs w:val="17"/>
                <w:b w:val="1"/>
                <w:bCs w:val="1"/>
                <w:color w:val="auto"/>
                <w:w w:val="99"/>
              </w:rPr>
              <w:t>Successor</w:t>
            </w:r>
          </w:p>
        </w:tc>
        <w:tc>
          <w:tcPr>
            <w:tcW w:w="12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center"/>
              <w:ind w:right="995"/>
              <w:spacing w:after="0"/>
              <w:rPr>
                <w:sz w:val="20"/>
                <w:szCs w:val="20"/>
                <w:color w:val="auto"/>
              </w:rPr>
            </w:pPr>
            <w:r>
              <w:rPr>
                <w:rFonts w:ascii="Arial" w:cs="Arial" w:eastAsia="Arial" w:hAnsi="Arial"/>
                <w:sz w:val="17"/>
                <w:szCs w:val="17"/>
                <w:b w:val="1"/>
                <w:bCs w:val="1"/>
                <w:color w:val="auto"/>
                <w:w w:val="99"/>
              </w:rPr>
              <w:t>Predecessor</w:t>
            </w:r>
          </w:p>
        </w:tc>
      </w:tr>
      <w:tr>
        <w:trPr>
          <w:trHeight w:val="209"/>
        </w:trPr>
        <w:tc>
          <w:tcPr>
            <w:tcW w:w="4140" w:type="dxa"/>
            <w:vAlign w:val="bottom"/>
          </w:tcPr>
          <w:p>
            <w:pPr>
              <w:spacing w:after="0"/>
              <w:rPr>
                <w:sz w:val="18"/>
                <w:szCs w:val="18"/>
                <w:color w:val="auto"/>
              </w:rPr>
            </w:pPr>
          </w:p>
        </w:tc>
        <w:tc>
          <w:tcPr>
            <w:tcW w:w="34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Nine months ended September 30,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Nine months ended September 30,</w:t>
            </w:r>
          </w:p>
        </w:tc>
      </w:tr>
      <w:tr>
        <w:trPr>
          <w:trHeight w:val="210"/>
        </w:trPr>
        <w:tc>
          <w:tcPr>
            <w:tcW w:w="4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center"/>
              <w:ind w:left="135"/>
              <w:spacing w:after="0"/>
              <w:rPr>
                <w:sz w:val="20"/>
                <w:szCs w:val="20"/>
                <w:color w:val="auto"/>
              </w:rPr>
            </w:pPr>
            <w:r>
              <w:rPr>
                <w:rFonts w:ascii="Arial" w:cs="Arial" w:eastAsia="Arial" w:hAnsi="Arial"/>
                <w:sz w:val="17"/>
                <w:szCs w:val="17"/>
                <w:b w:val="1"/>
                <w:bCs w:val="1"/>
                <w:color w:val="auto"/>
              </w:rPr>
              <w:t>2021</w:t>
            </w:r>
          </w:p>
        </w:tc>
        <w:tc>
          <w:tcPr>
            <w:tcW w:w="12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7"/>
                <w:szCs w:val="17"/>
                <w:b w:val="1"/>
                <w:bCs w:val="1"/>
                <w:color w:val="auto"/>
              </w:rPr>
              <w:t>2020</w:t>
            </w:r>
          </w:p>
        </w:tc>
        <w:tc>
          <w:tcPr>
            <w:tcW w:w="1400" w:type="dxa"/>
            <w:vAlign w:val="bottom"/>
            <w:tcBorders>
              <w:bottom w:val="single" w:sz="8" w:color="auto"/>
            </w:tcBorders>
          </w:tcPr>
          <w:p>
            <w:pPr>
              <w:spacing w:after="0"/>
              <w:rPr>
                <w:sz w:val="18"/>
                <w:szCs w:val="18"/>
                <w:color w:val="auto"/>
              </w:rPr>
            </w:pPr>
          </w:p>
        </w:tc>
      </w:tr>
      <w:tr>
        <w:trPr>
          <w:trHeight w:val="209"/>
        </w:trPr>
        <w:tc>
          <w:tcPr>
            <w:tcW w:w="4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Realization</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Realization</w:t>
            </w:r>
          </w:p>
        </w:tc>
      </w:tr>
      <w:tr>
        <w:trPr>
          <w:trHeight w:val="19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Brent</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67.78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42.53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4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67.62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6"/>
              </w:rPr>
              <w:t>100%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9"/>
              </w:rPr>
              <w:t>97%</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9"/>
              </w:rPr>
              <w:t>80%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6"/>
              </w:rPr>
              <w:t>102%</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WTI</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64.82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38.32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4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67.62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6"/>
              </w:rPr>
              <w:t>104%</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6"/>
              </w:rPr>
              <w:t>108%</w:t>
            </w:r>
          </w:p>
        </w:tc>
      </w:tr>
      <w:tr>
        <w:trPr>
          <w:trHeight w:val="218"/>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95"/>
              <w:spacing w:after="0"/>
              <w:rPr>
                <w:sz w:val="20"/>
                <w:szCs w:val="20"/>
                <w:color w:val="auto"/>
              </w:rPr>
            </w:pPr>
            <w:r>
              <w:rPr>
                <w:rFonts w:ascii="Arial" w:cs="Arial" w:eastAsia="Arial" w:hAnsi="Arial"/>
                <w:sz w:val="17"/>
                <w:szCs w:val="17"/>
                <w:color w:val="auto"/>
                <w:w w:val="99"/>
              </w:rPr>
              <w:t>84%</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6"/>
              </w:rPr>
              <w:t>113%</w:t>
            </w:r>
          </w:p>
        </w:tc>
      </w:tr>
      <w:tr>
        <w:trPr>
          <w:trHeight w:val="216"/>
        </w:trPr>
        <w:tc>
          <w:tcPr>
            <w:tcW w:w="4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49.20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9"/>
              </w:rPr>
              <w:t>73%</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9"/>
              </w:rPr>
              <w:t>59%</w:t>
            </w:r>
          </w:p>
        </w:tc>
      </w:tr>
      <w:tr>
        <w:trPr>
          <w:trHeight w:val="218"/>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95"/>
              <w:spacing w:after="0"/>
              <w:rPr>
                <w:sz w:val="20"/>
                <w:szCs w:val="20"/>
                <w:color w:val="auto"/>
              </w:rPr>
            </w:pPr>
            <w:r>
              <w:rPr>
                <w:rFonts w:ascii="Arial" w:cs="Arial" w:eastAsia="Arial" w:hAnsi="Arial"/>
                <w:sz w:val="17"/>
                <w:szCs w:val="17"/>
                <w:color w:val="auto"/>
                <w:w w:val="99"/>
              </w:rPr>
              <w:t>76%</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66%</w:t>
            </w:r>
          </w:p>
        </w:tc>
      </w:tr>
      <w:tr>
        <w:trPr>
          <w:trHeight w:val="216"/>
        </w:trPr>
        <w:tc>
          <w:tcPr>
            <w:tcW w:w="4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NYMEX ($/MMBtu)</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4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6"/>
              </w:rPr>
              <w:t>120%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6"/>
              </w:rPr>
              <w:t>107%</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2"/>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center"/>
              <w:ind w:right="295"/>
              <w:spacing w:after="0"/>
              <w:rPr>
                <w:sz w:val="20"/>
                <w:szCs w:val="20"/>
                <w:color w:val="auto"/>
              </w:rPr>
            </w:pPr>
            <w:r>
              <w:rPr>
                <w:rFonts w:ascii="Arial" w:cs="Arial" w:eastAsia="Arial" w:hAnsi="Arial"/>
                <w:sz w:val="17"/>
                <w:szCs w:val="17"/>
                <w:color w:val="auto"/>
                <w:w w:val="96"/>
              </w:rPr>
              <w:t>119%</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6"/>
              </w:rPr>
              <w:t>110%</w:t>
            </w:r>
          </w:p>
        </w:tc>
      </w:tr>
    </w:tbl>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index and realized prices excluding hedge settlements were higher in the three and nine month periods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compared to the same periods in 2020 as oil demand has been bolstered by the re-opening of economies and easing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mobility restrictions related to the COVID-19 pandemic. Prices have also increased due to a rise in domestic demand and lower supply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caused by reduced investment in the U.S. upstream oil and gas sector during 2020 as well as supply management by OPEC members.</w:t>
      </w:r>
    </w:p>
    <w:p>
      <w:pPr>
        <w:spacing w:after="0" w:line="234"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NGLs increased for the three and nine month periods ended September 30, 2021 compared to the same periods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Higher prices are the result of increased demand in the U.S. and abroad.</w:t>
      </w:r>
    </w:p>
    <w:p>
      <w:pPr>
        <w:spacing w:after="0" w:line="189" w:lineRule="exact"/>
        <w:rPr>
          <w:sz w:val="20"/>
          <w:szCs w:val="20"/>
          <w:color w:val="auto"/>
        </w:rPr>
      </w:pPr>
    </w:p>
    <w:p>
      <w:pPr>
        <w:jc w:val="both"/>
        <w:ind w:right="400" w:firstLine="324"/>
        <w:spacing w:after="0" w:line="266"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For the three and nine months ended September 30, 2021, natural gas prices have increased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periods. Increases in pricing – both across the United States and within California – have been driven by strong industrial and export demand.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7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following table includes key operating data for our oil and gas operations, excluding certain corporate expenses, on a per Boe basis for the three and nine months ended September 30, 2021 and 2020. Energy operating costs consist of purchases of natural gas used to generate electricity, purchased electricity and internal costs to generate electricity used in our operations. Non-energy operating costs equal total operating costs less energy costs and gas processing costs. However, non-energy operating costs include the costs of purchasing natural gas used to generate steam for our steamfloods.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Predecessor</w:t>
            </w:r>
          </w:p>
        </w:tc>
        <w:tc>
          <w:tcPr>
            <w:tcW w:w="120" w:type="dxa"/>
            <w:vAlign w:val="bottom"/>
          </w:tcPr>
          <w:p>
            <w:pPr>
              <w:spacing w:after="0"/>
              <w:rPr>
                <w:sz w:val="19"/>
                <w:szCs w:val="19"/>
                <w:color w:val="auto"/>
              </w:rPr>
            </w:pPr>
          </w:p>
        </w:tc>
        <w:tc>
          <w:tcPr>
            <w:tcW w:w="15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4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Nine months</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Nine months</w:t>
            </w:r>
          </w:p>
        </w:tc>
      </w:tr>
      <w:tr>
        <w:trPr>
          <w:trHeight w:val="176"/>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right w:val="single" w:sz="8" w:color="auto"/>
            </w:tcBorders>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ended</w:t>
            </w:r>
          </w:p>
        </w:tc>
      </w:tr>
      <w:tr>
        <w:trPr>
          <w:trHeight w:val="229"/>
        </w:trPr>
        <w:tc>
          <w:tcPr>
            <w:tcW w:w="4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9"/>
                <w:szCs w:val="19"/>
                <w:color w:val="auto"/>
              </w:rPr>
            </w:pPr>
          </w:p>
        </w:tc>
        <w:tc>
          <w:tcPr>
            <w:tcW w:w="15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3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3"/>
        </w:trPr>
        <w:tc>
          <w:tcPr>
            <w:tcW w:w="436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r>
      <w:tr>
        <w:trPr>
          <w:trHeight w:val="223"/>
        </w:trPr>
        <w:tc>
          <w:tcPr>
            <w:tcW w:w="43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436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Field taxes other than on income</w:t>
            </w:r>
            <w:r>
              <w:rPr>
                <w:rFonts w:ascii="Arial" w:cs="Arial" w:eastAsia="Arial" w:hAnsi="Arial"/>
                <w:sz w:val="23"/>
                <w:szCs w:val="23"/>
                <w:color w:val="auto"/>
                <w:vertAlign w:val="superscript"/>
              </w:rPr>
              <w:t>(d)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bl>
    <w:p>
      <w:pPr>
        <w:spacing w:after="0" w:line="86" w:lineRule="exact"/>
        <w:rPr>
          <w:sz w:val="20"/>
          <w:szCs w:val="20"/>
          <w:color w:val="auto"/>
        </w:rPr>
      </w:pPr>
    </w:p>
    <w:p>
      <w:pPr>
        <w:ind w:left="340" w:right="60" w:hanging="332"/>
        <w:spacing w:after="0" w:line="241"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Operating costs increased in the three and nine months ended September 30, 2021 from the same prior year period primarily as a result of higher downhole maintenance activity in 2021 as well as increased energy costs and natural gas prices as compared to 2020. These increases were partially offset by lower compensation-related costs from headcount reductions and reduced employee benefit costs. The prior year comparative periods include cost savings from measures we took in 2020 to streamline our operations and in the months of April and May 2020 we reduced work hours due to the dramatic decrease in commodity prices. For the non-GAAP measure of operating costs, excluding the effects of PSC-type contracts, see </w:t>
      </w:r>
      <w:r>
        <w:rPr>
          <w:rFonts w:ascii="Arial" w:cs="Arial" w:eastAsia="Arial" w:hAnsi="Arial"/>
          <w:sz w:val="14"/>
          <w:szCs w:val="14"/>
          <w:i w:val="1"/>
          <w:iCs w:val="1"/>
          <w:color w:val="auto"/>
        </w:rPr>
        <w:t>Production, Production-Sharing Contracts</w:t>
      </w:r>
      <w:r>
        <w:rPr>
          <w:rFonts w:ascii="Arial" w:cs="Arial" w:eastAsia="Arial" w:hAnsi="Arial"/>
          <w:sz w:val="14"/>
          <w:szCs w:val="14"/>
          <w:color w:val="auto"/>
        </w:rPr>
        <w:t xml:space="preserve"> above.</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corporate general and administrative expenses. Field general and administrative expenses decreased for the three and nine months ended September 30, 2021 from the same period in 2020 primarily due to workforce reductions in the second half of 2020 and the first quarter of 2021.</w:t>
      </w:r>
    </w:p>
    <w:p>
      <w:pPr>
        <w:ind w:left="340" w:right="40" w:hanging="332"/>
        <w:spacing w:after="0" w:line="241"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Excludes depreciation, depletion and amortization related to our corporate assets and our Elk Hills power plant. Field depreciation, depletion and amortization decreased in the three and nine months ended September 30, 2021 from the same period in 2020 primarily due to a decrease in the carrying value of our property, plant and equipment as a result of fair value adjustments recorded as part of fresh start accounting. See </w:t>
      </w:r>
      <w:r>
        <w:rPr>
          <w:rFonts w:ascii="Arial" w:cs="Arial" w:eastAsia="Arial" w:hAnsi="Arial"/>
          <w:sz w:val="14"/>
          <w:szCs w:val="14"/>
          <w:i w:val="1"/>
          <w:iCs w:val="1"/>
          <w:color w:val="auto"/>
        </w:rPr>
        <w:t>Part II, Item 8 – Financial Statements and Supplementary Data, Note 3 Fresh Start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Accounting </w:t>
      </w:r>
      <w:r>
        <w:rPr>
          <w:rFonts w:ascii="Arial" w:cs="Arial" w:eastAsia="Arial" w:hAnsi="Arial"/>
          <w:sz w:val="14"/>
          <w:szCs w:val="14"/>
          <w:color w:val="auto"/>
        </w:rPr>
        <w:t>in our 2020 Annual Report for additional information on the fresh start valuation of our property, plant and equipment.</w:t>
      </w:r>
    </w:p>
    <w:p>
      <w:pPr>
        <w:spacing w:after="0" w:line="1" w:lineRule="exact"/>
        <w:rPr>
          <w:rFonts w:ascii="Arial" w:cs="Arial" w:eastAsia="Arial" w:hAnsi="Arial"/>
          <w:sz w:val="14"/>
          <w:szCs w:val="14"/>
          <w:color w:val="auto"/>
        </w:rPr>
      </w:pPr>
    </w:p>
    <w:p>
      <w:pPr>
        <w:ind w:left="340" w:right="140" w:hanging="332"/>
        <w:spacing w:after="0" w:line="249"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Field taxes other than on income decreased in the three months ended September 30, 2021 compared to the same prior year period primarily due to lower ad valorem taxes which are sensitive to commodity prices and generally determined at the beginning of each calendar year. Commodity prices were lower in early 2021 as compared to early 2020.</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2021 vs. 2020</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revenues for the three months ended September 30, 2021 and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8"/>
              </w:rPr>
              <w:t>Successor</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58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jc w:val="center"/>
              <w:ind w:right="190"/>
              <w:spacing w:after="0" w:line="169" w:lineRule="exact"/>
              <w:rPr>
                <w:sz w:val="20"/>
                <w:szCs w:val="20"/>
                <w:color w:val="auto"/>
              </w:rPr>
            </w:pPr>
            <w:r>
              <w:rPr>
                <w:rFonts w:ascii="Arial" w:cs="Arial" w:eastAsia="Arial" w:hAnsi="Arial"/>
                <w:sz w:val="18"/>
                <w:szCs w:val="18"/>
                <w:b w:val="1"/>
                <w:bCs w:val="1"/>
                <w:color w:val="auto"/>
                <w:w w:val="99"/>
              </w:rPr>
              <w:t>Three months ended</w:t>
            </w:r>
          </w:p>
        </w:tc>
      </w:tr>
      <w:tr>
        <w:trPr>
          <w:trHeight w:val="229"/>
        </w:trPr>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jc w:val="center"/>
              <w:ind w:right="1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Net (loss) gain from commodity derivatives</w:t>
            </w: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26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580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bl>
    <w:p>
      <w:pPr>
        <w:spacing w:after="0" w:line="30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effects of derivative settlements, were $549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2021, which is an increase of $237 million compared to $312 million for the same period of 2020. The increase was due to higher realized prices, which was partially offset by lower production, as reflected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Oil</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NGLs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Natural Gas</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gridSpan w:val="3"/>
          </w:tcPr>
          <w:p>
            <w:pPr>
              <w:jc w:val="right"/>
              <w:ind w:right="89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September 30, 2021</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5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effect of settlements on our commodity derivatives is not included in the table above. Payments for derivative settlements were $99 million for the three months ended September 30, 2021 compared to proceeds of $2 million for the same period of 2020. Including the effect of settlement payments for commodity derivatives, our oil, natural gas and NGL sales increased by $136 million or 43% compared to the same prior-year period.</w:t>
      </w:r>
    </w:p>
    <w:p>
      <w:pPr>
        <w:spacing w:after="0" w:line="21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i w:val="1"/>
          <w:iCs w:val="1"/>
          <w:color w:val="auto"/>
        </w:rPr>
        <w:t xml:space="preserve">Net loss from commodity derivatives </w:t>
      </w:r>
      <w:r>
        <w:rPr>
          <w:rFonts w:ascii="Arial" w:cs="Arial" w:eastAsia="Arial" w:hAnsi="Arial"/>
          <w:sz w:val="18"/>
          <w:szCs w:val="18"/>
          <w:color w:val="auto"/>
        </w:rPr>
        <w:t>— Net loss from commodity derivatives was $125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as shown in the table below. We did not have significant commodity derivatives during the same period of 2020. The non-cash changes in the fair value of our outstanding commodity derivatives resulted from the positions held at the end of each measurement period as well as the relationship between contract prices and the associated forward curves.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rPr>
              <w:t>Three months</w:t>
            </w:r>
          </w:p>
        </w:tc>
      </w:tr>
      <w:tr>
        <w:trPr>
          <w:trHeight w:val="175"/>
        </w:trPr>
        <w:tc>
          <w:tcPr>
            <w:tcW w:w="7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right w:val="single" w:sz="8" w:color="auto"/>
            </w:tcBorders>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8"/>
              </w:rPr>
              <w:t>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ended</w:t>
            </w:r>
          </w:p>
        </w:tc>
      </w:tr>
      <w:tr>
        <w:trPr>
          <w:trHeight w:val="230"/>
        </w:trPr>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7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74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(loss) gain, excluding noncontrolling interest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Non-cash commodity derivative loss, noncontrolling interest</w:t>
            </w: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ind w:left="1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4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(payments) proceeds on settled commodity derivatives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 from commodity derivatives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2" w:name="page33"/>
    <w:bookmarkEnd w:id="32"/>
    <w:p>
      <w:pPr>
        <w:ind w:right="80" w:firstLine="324"/>
        <w:spacing w:after="0" w:line="261"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was $95 million for the three months ended September 30,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$45 million, or 90% from $50 million during the same period of 2020. The increase was predominantly the result of higher natural gas prices created by increasing demand. Our natural gas sales net of related purchases were $42 million for the three months ended September 30, 2021 compared to $15 million for the same period of 2020.</w:t>
      </w:r>
    </w:p>
    <w:p>
      <w:pPr>
        <w:spacing w:after="0" w:line="207"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$22 million to $65 million in the third quarter of 2021 compared to $43 million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2020. The increase was predominantly due to higher electricity prices in 2021 resulting from higher natural gas prices as well as reduced hydroelectric generation in California.</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and non-operating expenses for the three months ended September 30,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3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rPr>
              <w:t>Successor</w:t>
            </w:r>
          </w:p>
        </w:tc>
        <w:tc>
          <w:tcPr>
            <w:tcW w:w="46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5280" w:type="dxa"/>
            <w:vAlign w:val="bottom"/>
          </w:tcPr>
          <w:p>
            <w:pPr>
              <w:spacing w:after="0"/>
              <w:rPr>
                <w:sz w:val="14"/>
                <w:szCs w:val="14"/>
                <w:color w:val="auto"/>
              </w:rPr>
            </w:pPr>
          </w:p>
        </w:tc>
        <w:tc>
          <w:tcPr>
            <w:tcW w:w="238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4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jc w:val="center"/>
              <w:ind w:right="230"/>
              <w:spacing w:after="0" w:line="169" w:lineRule="exact"/>
              <w:rPr>
                <w:sz w:val="20"/>
                <w:szCs w:val="20"/>
                <w:color w:val="auto"/>
              </w:rPr>
            </w:pPr>
            <w:r>
              <w:rPr>
                <w:rFonts w:ascii="Arial" w:cs="Arial" w:eastAsia="Arial" w:hAnsi="Arial"/>
                <w:sz w:val="18"/>
                <w:szCs w:val="18"/>
                <w:b w:val="1"/>
                <w:bCs w:val="1"/>
                <w:color w:val="auto"/>
                <w:w w:val="99"/>
              </w:rPr>
              <w:t>Three months ended</w:t>
            </w:r>
          </w:p>
        </w:tc>
      </w:tr>
      <w:tr>
        <w:trPr>
          <w:trHeight w:val="229"/>
        </w:trPr>
        <w:tc>
          <w:tcPr>
            <w:tcW w:w="5280" w:type="dxa"/>
            <w:vAlign w:val="bottom"/>
          </w:tcPr>
          <w:p>
            <w:pPr>
              <w:spacing w:after="0"/>
              <w:rPr>
                <w:sz w:val="19"/>
                <w:szCs w:val="19"/>
                <w:color w:val="auto"/>
              </w:rPr>
            </w:pPr>
          </w:p>
        </w:tc>
        <w:tc>
          <w:tcPr>
            <w:tcW w:w="23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280" w:type="dxa"/>
            <w:vAlign w:val="bottom"/>
          </w:tcPr>
          <w:p>
            <w:pPr>
              <w:spacing w:after="0"/>
              <w:rPr>
                <w:sz w:val="19"/>
                <w:szCs w:val="19"/>
                <w:color w:val="auto"/>
              </w:rPr>
            </w:pPr>
          </w:p>
        </w:tc>
        <w:tc>
          <w:tcPr>
            <w:tcW w:w="23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2021</w:t>
            </w:r>
          </w:p>
        </w:tc>
        <w:tc>
          <w:tcPr>
            <w:tcW w:w="46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5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2380" w:type="dxa"/>
            <w:vAlign w:val="bottom"/>
          </w:tcPr>
          <w:p>
            <w:pPr>
              <w:jc w:val="right"/>
              <w:ind w:right="21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2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Purchased natural gas expense</w:t>
            </w:r>
          </w:p>
        </w:tc>
        <w:tc>
          <w:tcPr>
            <w:tcW w:w="2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2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2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3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asset divestitures</w:t>
            </w:r>
          </w:p>
        </w:tc>
        <w:tc>
          <w:tcPr>
            <w:tcW w:w="2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 (loss)</w:t>
            </w:r>
          </w:p>
        </w:tc>
        <w:tc>
          <w:tcPr>
            <w:tcW w:w="23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6"/>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2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non-operating expenses, net</w:t>
            </w:r>
          </w:p>
        </w:tc>
        <w:tc>
          <w:tcPr>
            <w:tcW w:w="2380" w:type="dxa"/>
            <w:vAlign w:val="bottom"/>
          </w:tcPr>
          <w:p>
            <w:pPr>
              <w:spacing w:after="0"/>
              <w:rPr>
                <w:sz w:val="19"/>
                <w:szCs w:val="19"/>
                <w:color w:val="auto"/>
              </w:rPr>
            </w:pPr>
          </w:p>
        </w:tc>
        <w:tc>
          <w:tcPr>
            <w:tcW w:w="6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52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 before taxes</w:t>
            </w:r>
          </w:p>
        </w:tc>
        <w:tc>
          <w:tcPr>
            <w:tcW w:w="2380" w:type="dxa"/>
            <w:vAlign w:val="bottom"/>
            <w:tcBorders>
              <w:top w:val="single" w:sz="8" w:color="auto"/>
              <w:bottom w:val="single" w:sz="8" w:color="auto"/>
            </w:tcBorders>
            <w:shd w:val="clear" w:color="auto" w:fill="CCEEFF"/>
          </w:tcPr>
          <w:p>
            <w:pPr>
              <w:jc w:val="right"/>
              <w:ind w:right="21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20" w:firstLine="324"/>
        <w:spacing w:after="0" w:line="266"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three months ended September 30, 2021 were $52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$11 million or 27% from $41 million for the same period of 2020. This increase was primarily a result of higher prices for purchased natural gas, which we used to generate electricity for our operations, and for purchased electricity.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ind w:right="140" w:firstLine="324"/>
        <w:spacing w:after="0" w:line="254"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three months ended September 30, 2021 were $133 million,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an increase of $ 38 million or 40% from $95 million for the same period of 2020. This increase was primarily a result of higher downhole maintenance activity in 2021 which was deferred in 2020 as we shut-in wells and surface maintenance activity. Additionally, non-energy operating costs increased in 2021 due to higher prices for purchased natural gas which we use to generate steam for our steamfloods. Partially offsetting these increases were lower compensation-related costs from headcount reductions in late 2020 and early 2021 and reduced employee benefits in the second quarter of 2021. Our third quarter 2020 results reflect cost savings for streamlining our operations in response to the industry downturn resulting from the COVID-19 pandemic. Although higher natural gas prices in 2021 increased our operating costs, higher prices have a net positive effect on our operating results due to higher revenue from sales of this commodity which we also produce.</w:t>
      </w:r>
    </w:p>
    <w:p>
      <w:pPr>
        <w:spacing w:after="0" w:line="21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were $51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which was a decrease of $13 million from $64 million for the three months ended September 30, 2020. The decrease in G&amp;A expenses reflects lower compensation-related costs primarily due to workforce reductions that occurred in the second half of 2020 and the first quarter of 2021 as well as benefit reductions in the second quarter of 2021. The remaining decrease between comparative periods was primarily due to cost saving efforts which resulted in lower spend across a number of cost categories. The decrease was partially offset by non-cash stock-based compensation expense related to awards granted to executives and directors in 2021.</w:t>
      </w:r>
    </w:p>
    <w:p>
      <w:pPr>
        <w:spacing w:after="0" w:line="214"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The decrease in depreciation, depletion, and amortization of $35 million to $54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third quarter of 2021 compared to $89 million in the same period of 2020 was primarily due to a decrease in the carrying value of our property, plant and equipment as a result of fair value adjustments recorded as part of fresh start accounting.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3 Fresh Start Accounting </w:t>
      </w:r>
      <w:r>
        <w:rPr>
          <w:rFonts w:ascii="Arial" w:cs="Arial" w:eastAsia="Arial" w:hAnsi="Arial"/>
          <w:sz w:val="18"/>
          <w:szCs w:val="18"/>
          <w:color w:val="auto"/>
        </w:rPr>
        <w:t>in our 2020 Annual Report for additional information on the 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property, plant and equipment.</w:t>
      </w:r>
    </w:p>
    <w:p>
      <w:pPr>
        <w:spacing w:after="0" w:line="210"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We recorded an impairment charge of $25 million for the three months ended September 30, 2021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write-down of a commercial office building located in Bakersfield, California to fair market value. The decline in asset value primarily relates to limited demand for office space of this size and type in the Bakersfield market and general trends in commercial real estate due to the COVID-19 pandemic. No impairment charges were recorded for the same period in 2020. See </w:t>
      </w:r>
      <w:r>
        <w:rPr>
          <w:rFonts w:ascii="Arial" w:cs="Arial" w:eastAsia="Arial" w:hAnsi="Arial"/>
          <w:sz w:val="18"/>
          <w:szCs w:val="18"/>
          <w:i w:val="1"/>
          <w:iCs w:val="1"/>
          <w:color w:val="auto"/>
        </w:rPr>
        <w:t>Part I, Item 1 – Financial Statements, Note 13</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for additional information.</w:t>
      </w:r>
    </w:p>
    <w:p>
      <w:pPr>
        <w:spacing w:after="0" w:line="210"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relates to natural gas acquired from third parties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marketing activities. This expense amounted to $53 million for the three months ended September 30, 2021, which was an increase of $18 million or 51% from $35 million for the same period in 2020. The increase was predominantly the result of higher natural gas prices.</w:t>
      </w:r>
    </w:p>
    <w:p>
      <w:pPr>
        <w:spacing w:after="0" w:line="207"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Electricity generation expenses </w:t>
      </w:r>
      <w:r>
        <w:rPr>
          <w:rFonts w:ascii="Arial" w:cs="Arial" w:eastAsia="Arial" w:hAnsi="Arial"/>
          <w:sz w:val="18"/>
          <w:szCs w:val="18"/>
          <w:color w:val="auto"/>
        </w:rPr>
        <w:t>— Electricity generation expenses increased from $17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to $29 million in the same period of 2021. The increase was primarily a result of higher prices for natural gas used in electricity generation.</w:t>
      </w:r>
    </w:p>
    <w:p>
      <w:pPr>
        <w:spacing w:after="0" w:line="203"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i w:val="1"/>
          <w:iCs w:val="1"/>
          <w:color w:val="auto"/>
        </w:rPr>
        <w:t xml:space="preserve">Reorganization items, net </w:t>
      </w:r>
      <w:r>
        <w:rPr>
          <w:rFonts w:ascii="Arial" w:cs="Arial" w:eastAsia="Arial" w:hAnsi="Arial"/>
          <w:sz w:val="18"/>
          <w:szCs w:val="18"/>
          <w:color w:val="auto"/>
        </w:rPr>
        <w:t>— Reorganization items, net decreased by $67 million to $1 million of expense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from $66 million of income during the same period of 2020. We recognized $66 million of income in the third quarter of 2020 primarily due to the write-off of the unamortized balance of deferred gain and issuance costs on our long-term debt at the time of filing our bankruptcy petition on July 15, 2020. The gain was partially offset by legal, professional and other fees, including debtor-in-possession financing costs, all of which related to our bankruptcy proceedings.</w:t>
      </w:r>
    </w:p>
    <w:p>
      <w:pPr>
        <w:spacing w:after="0" w:line="210"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decreased to $14 million in the third quarter of 2021 compared to $28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 the same period of 2020 primarily due to a decrease in our overall level of debt following our emergence from bankruptcy on October 27, 2020. There were no amounts drawn on our Revolving Credit Facility during the three months ended September 30, 2021. See </w:t>
      </w:r>
      <w:r>
        <w:rPr>
          <w:rFonts w:ascii="Arial" w:cs="Arial" w:eastAsia="Arial" w:hAnsi="Arial"/>
          <w:sz w:val="18"/>
          <w:szCs w:val="18"/>
          <w:i w:val="1"/>
          <w:iCs w:val="1"/>
          <w:color w:val="auto"/>
        </w:rPr>
        <w:t xml:space="preserve">Part II, Item 8 – Financial Statements and Supplementary Data, Note 2 Chapter 11 Proceedings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8 Debt </w:t>
      </w:r>
      <w:r>
        <w:rPr>
          <w:rFonts w:ascii="Arial" w:cs="Arial" w:eastAsia="Arial" w:hAnsi="Arial"/>
          <w:sz w:val="18"/>
          <w:szCs w:val="18"/>
          <w:color w:val="auto"/>
        </w:rPr>
        <w:t>in our 2020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for additional information on the terms of the Plan, our emergence from bankruptcy and our long-term debt transactions.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i w:val="1"/>
          <w:iCs w:val="1"/>
          <w:color w:val="auto"/>
        </w:rPr>
        <w:t xml:space="preserve">Other non-operating expense, net </w:t>
      </w:r>
      <w:r>
        <w:rPr>
          <w:rFonts w:ascii="Arial" w:cs="Arial" w:eastAsia="Arial" w:hAnsi="Arial"/>
          <w:sz w:val="18"/>
          <w:szCs w:val="18"/>
          <w:color w:val="auto"/>
        </w:rPr>
        <w:t>— Other non-operating expense, net decreased $32 million to zero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The decrease was primarily due to the significant legal, professional and other fees incurred in preparation for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Chapter 11 filing in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2021 vs. 2020</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revenues for the nine months ended September 30, 2021 and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8"/>
              </w:rPr>
              <w:t>Successor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58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tcPr>
          <w:p>
            <w:pPr>
              <w:jc w:val="center"/>
              <w:ind w:right="190"/>
              <w:spacing w:after="0" w:line="169" w:lineRule="exact"/>
              <w:rPr>
                <w:sz w:val="20"/>
                <w:szCs w:val="20"/>
                <w:color w:val="auto"/>
              </w:rPr>
            </w:pPr>
            <w:r>
              <w:rPr>
                <w:rFonts w:ascii="Arial" w:cs="Arial" w:eastAsia="Arial" w:hAnsi="Arial"/>
                <w:sz w:val="18"/>
                <w:szCs w:val="18"/>
                <w:b w:val="1"/>
                <w:bCs w:val="1"/>
                <w:color w:val="auto"/>
                <w:w w:val="99"/>
              </w:rPr>
              <w:t>Nine months ended</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tcPr>
          <w:p>
            <w:pPr>
              <w:jc w:val="center"/>
              <w:ind w:right="210"/>
              <w:spacing w:after="0" w:line="169" w:lineRule="exact"/>
              <w:rPr>
                <w:sz w:val="20"/>
                <w:szCs w:val="20"/>
                <w:color w:val="auto"/>
              </w:rPr>
            </w:pPr>
            <w:r>
              <w:rPr>
                <w:rFonts w:ascii="Arial" w:cs="Arial" w:eastAsia="Arial" w:hAnsi="Arial"/>
                <w:sz w:val="18"/>
                <w:szCs w:val="18"/>
                <w:b w:val="1"/>
                <w:bCs w:val="1"/>
                <w:color w:val="auto"/>
              </w:rPr>
              <w:t>Nine months ended</w:t>
            </w:r>
          </w:p>
        </w:tc>
      </w:tr>
      <w:tr>
        <w:trPr>
          <w:trHeight w:val="229"/>
        </w:trPr>
        <w:tc>
          <w:tcPr>
            <w:tcW w:w="5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jc w:val="center"/>
              <w:ind w:right="2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Net (loss) gain from commodity derivatives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580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r>
    </w:tbl>
    <w:p>
      <w:pPr>
        <w:spacing w:after="0" w:line="319" w:lineRule="exact"/>
        <w:rPr>
          <w:sz w:val="20"/>
          <w:szCs w:val="20"/>
          <w:color w:val="auto"/>
        </w:rPr>
      </w:pPr>
    </w:p>
    <w:p>
      <w:pPr>
        <w:jc w:val="both"/>
        <w:ind w:right="60" w:firstLine="324"/>
        <w:spacing w:after="0" w:line="266"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effects of derivative settlements, were $1,459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2021, which is an increase of $472 million compared to $987 million for the same period of 2020. The increase was due to higher realized prices, which was partially offset by lower production, as reflected in the following table: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2020</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Nine months ended September 30, 2021</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effect of settlements on our commodity derivatives is not included in the table above. Payments for derivative settlements were $220 million for the nine months ended September 30, 2021 compared to proceeds of $105 million, including $63 million of proceeds from commodity derivative contracts sold prior to maturity, in the first quarter of 2020. Including the effect of settlement payments for commodity derivatives, our oil, natural gas and NGL sales increased by $147 million or 13% compared to the same prior-year period.</w:t>
      </w:r>
    </w:p>
    <w:p>
      <w:pPr>
        <w:spacing w:after="0" w:line="21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 xml:space="preserve">Net (loss) gain from commodity derivatives </w:t>
      </w:r>
      <w:r>
        <w:rPr>
          <w:rFonts w:ascii="Arial" w:cs="Arial" w:eastAsia="Arial" w:hAnsi="Arial"/>
          <w:sz w:val="18"/>
          <w:szCs w:val="18"/>
          <w:color w:val="auto"/>
        </w:rPr>
        <w:t>— Net loss from commodity derivatives was $603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a net gain of $75 million in the same period of 2020 as shown in the table below. The non-cash changes in the fair value of our outstanding commodity derivatives resulted from the positions held at the end of each measurement period as well as the relationship between contract prices and the associated forward curves.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 w:lineRule="exact"/>
        <w:rPr>
          <w:sz w:val="20"/>
          <w:szCs w:val="20"/>
          <w:color w:val="auto"/>
        </w:rPr>
      </w:pPr>
    </w:p>
    <w:p>
      <w:pPr>
        <w:ind w:left="40" w:right="1100"/>
        <w:spacing w:after="0" w:line="273" w:lineRule="auto"/>
        <w:rPr>
          <w:sz w:val="20"/>
          <w:szCs w:val="20"/>
          <w:color w:val="auto"/>
        </w:rPr>
      </w:pPr>
      <w:r>
        <w:rPr>
          <w:rFonts w:ascii="Arial" w:cs="Arial" w:eastAsia="Arial" w:hAnsi="Arial"/>
          <w:sz w:val="18"/>
          <w:szCs w:val="18"/>
          <w:color w:val="auto"/>
        </w:rPr>
        <w:t>Non-cash commodity derivative loss, excluding noncontrolling interest Non-cash commodity derivative gain,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non-cash changes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(payments) proceeds on settled commodity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Net proceeds on commodity derivative contracts sold prior to maturity</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(loss) gain from commodity derivatives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r>
      <w:tr>
        <w:trPr>
          <w:trHeight w:val="398"/>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ind w:left="1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ind w:left="1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63"/>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r>
    </w:tbl>
    <w:p>
      <w:pPr>
        <w:spacing w:after="0" w:line="200" w:lineRule="exact"/>
        <w:rPr>
          <w:sz w:val="20"/>
          <w:szCs w:val="20"/>
          <w:color w:val="auto"/>
        </w:rPr>
      </w:pPr>
    </w:p>
    <w:p>
      <w:pPr>
        <w:sectPr>
          <w:pgSz w:w="11900" w:h="16838" w:orient="portrait"/>
          <w:cols w:equalWidth="0" w:num="2">
            <w:col w:w="6700" w:space="720"/>
            <w:col w:w="3820"/>
          </w:cols>
          <w:pgMar w:left="320" w:top="890"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5" w:name="page36"/>
    <w:bookmarkEnd w:id="35"/>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were $241 million for the nine months ended September 30,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$132 million, or 121% from $109 million during the same period of 2020. The increase was predominantly the result of higher natural gas prices created by increased demand in 2021 compared to 2020. Our natural gas sales net of related purchases were $97 million for the nine months ended September 30, 2021 compared to $42 million for the same period of 2020.</w:t>
      </w:r>
    </w:p>
    <w:p>
      <w:pPr>
        <w:spacing w:after="0" w:line="207"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by $ 56 million to $131 million in the first nine months of 2021 compared to $75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2020. Electricity sales increased in the first nine months of 2021 from the prior year period as a result of higher natural gas prices due in part to reduced hydroelectric generation in California. In the first nine months of 2020, sales volumes were also lower from planned maintenance and an outage at the Elk Hills power plant.</w:t>
      </w:r>
    </w:p>
    <w:p>
      <w:pPr>
        <w:spacing w:after="0" w:line="207" w:lineRule="exact"/>
        <w:rPr>
          <w:sz w:val="20"/>
          <w:szCs w:val="20"/>
          <w:color w:val="auto"/>
        </w:rPr>
      </w:pPr>
    </w:p>
    <w:p>
      <w:pPr>
        <w:ind w:right="280" w:firstLine="324"/>
        <w:spacing w:after="0" w:line="266"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Other revenue increased by $15 million to $ 27 million in the first nine months of 2021 compared to $12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2020. The increase was primarily driven by higher revenues from wet gas and processing fee income caused by higher natural gas prices.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and non-operating expenses for the nine months ended September 30,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56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tcPr>
          <w:p>
            <w:pPr>
              <w:jc w:val="center"/>
              <w:ind w:right="230"/>
              <w:spacing w:after="0" w:line="169"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tcPr>
          <w:p>
            <w:pPr>
              <w:jc w:val="center"/>
              <w:ind w:right="210"/>
              <w:spacing w:after="0" w:line="169" w:lineRule="exact"/>
              <w:rPr>
                <w:sz w:val="20"/>
                <w:szCs w:val="20"/>
                <w:color w:val="auto"/>
              </w:rPr>
            </w:pPr>
            <w:r>
              <w:rPr>
                <w:rFonts w:ascii="Arial" w:cs="Arial" w:eastAsia="Arial" w:hAnsi="Arial"/>
                <w:sz w:val="18"/>
                <w:szCs w:val="18"/>
                <w:b w:val="1"/>
                <w:bCs w:val="1"/>
                <w:color w:val="auto"/>
              </w:rPr>
              <w:t>Nine months ended</w:t>
            </w:r>
          </w:p>
        </w:tc>
      </w:tr>
      <w:tr>
        <w:trPr>
          <w:trHeight w:val="229"/>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5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Purchased natural gas expense</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3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r>
      <w:tr>
        <w:trPr>
          <w:trHeight w:val="22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asset divestitures</w:t>
            </w:r>
          </w:p>
        </w:tc>
        <w:tc>
          <w:tcPr>
            <w:tcW w:w="3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36"/>
        </w:trPr>
        <w:tc>
          <w:tcPr>
            <w:tcW w:w="5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Net (loss) gain on early extinguishment of debt</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63"/>
        </w:trPr>
        <w:tc>
          <w:tcPr>
            <w:tcW w:w="5600" w:type="dxa"/>
            <w:vAlign w:val="bottom"/>
          </w:tcPr>
          <w:p>
            <w:pPr>
              <w:ind w:left="240"/>
              <w:spacing w:after="0"/>
              <w:rPr>
                <w:sz w:val="20"/>
                <w:szCs w:val="20"/>
                <w:color w:val="auto"/>
              </w:rPr>
            </w:pPr>
            <w:r>
              <w:rPr>
                <w:rFonts w:ascii="Arial" w:cs="Arial" w:eastAsia="Arial" w:hAnsi="Arial"/>
                <w:sz w:val="18"/>
                <w:szCs w:val="18"/>
                <w:color w:val="auto"/>
              </w:rPr>
              <w:t>Net loss before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r>
    </w:tbl>
    <w:p>
      <w:pPr>
        <w:spacing w:after="0" w:line="319" w:lineRule="exact"/>
        <w:rPr>
          <w:sz w:val="20"/>
          <w:szCs w:val="20"/>
          <w:color w:val="auto"/>
        </w:rPr>
      </w:pPr>
    </w:p>
    <w:p>
      <w:pPr>
        <w:ind w:right="500" w:firstLine="324"/>
        <w:spacing w:after="0" w:line="266"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nine months ended September 30, 2021 were $137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$19 million or 16% from $118 million for the same period of 2020. This increase was primarily a result of higher prices for purchased natural gas, which we used to generate electricity for our operations, and for purchased electricity.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6" w:name="page37"/>
    <w:bookmarkEnd w:id="36"/>
    <w:p>
      <w:pPr>
        <w:ind w:firstLine="324"/>
        <w:spacing w:after="0" w:line="255"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nine months ended September 30, 2021 were $370 million,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$45 million or 14% from $325 million for the same period of 2020. This increase was primarily a result of higher downhole maintenance activity in 2021 which was deferred in 2020 as we shut-in wells and surface maintenance activity. Additionally, non-energy operating costs increased in 2021 due to higher prices for natural gas, which we use to generate steam for our steamfloods. Partially offsetting these increases were lower compensation-related costs from headcount reductions in late 2020 and early 2021 and reduced employee benefits in the second quarter of 2021. Although higher natural gas prices in 2021 increased our operating costs, higher prices have a net positive effect on our operating results due to higher revenue from sales of this commodity which we also produce.</w:t>
      </w:r>
    </w:p>
    <w:p>
      <w:pPr>
        <w:spacing w:after="0" w:line="216"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were $147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which was a decrease of $46 million from $193 million for the nine months ended September 30, 2020. The decrease in G&amp;A expenses was primarily attributable to lower compensation-related costs as a result of workforce reductions that occurred in the second half of 2020 and the first quarter of 2021 as well as benefit reductions in the second quarter of 2021. The remaining decrease was primarily due to cost savings efforts which resulted in lower spend across a number of cost categories. The decrease was partially offset by an increase in non-cash stock-based compensation expense related to awards granted to executives and directors in 2021.</w:t>
      </w:r>
    </w:p>
    <w:p>
      <w:pPr>
        <w:spacing w:after="0" w:line="214"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The decrease in depreciation, depletion, and amortization of $136 million to $160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first nine months of 2021 compared to $296 million in the same period of 2020 was primarily due to a decrease in the carrying value of our property, plant and equipment as a result of fair value adjustments recorded as part of fresh start accounting.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3 Fresh Start Accounting </w:t>
      </w:r>
      <w:r>
        <w:rPr>
          <w:rFonts w:ascii="Arial" w:cs="Arial" w:eastAsia="Arial" w:hAnsi="Arial"/>
          <w:sz w:val="18"/>
          <w:szCs w:val="18"/>
          <w:color w:val="auto"/>
        </w:rPr>
        <w:t>in our 2020 Annual Report for additional information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of our property, plant and equipment.</w:t>
      </w:r>
    </w:p>
    <w:p>
      <w:pPr>
        <w:spacing w:after="0" w:line="21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Asset impairment charges for the nine months ended September 30, 2021 were $28 million including a write-down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commercial office space in Bakersfield, California to fair value and the write-off of capitalized costs related to projects which were abandoned. The decline in value of the commercial office building primarily relates to limited demand for office space of this size and type in the Bakersfield market and general trends in commercial real estate due to the COVID-19 pandemic. For the same period in 2020, we recorded an impairment charge of $1.7 billion due to the sharp drop in commodity prices in March 2020, which included $1.5 billion related to certain of our proved properties and approximately $228 million related to unproved acreage that was no longer included in our development plans at that time. See </w:t>
      </w:r>
      <w:r>
        <w:rPr>
          <w:rFonts w:ascii="Arial" w:cs="Arial" w:eastAsia="Arial" w:hAnsi="Arial"/>
          <w:sz w:val="18"/>
          <w:szCs w:val="18"/>
          <w:i w:val="1"/>
          <w:iCs w:val="1"/>
          <w:color w:val="auto"/>
        </w:rPr>
        <w:t>Part I, Item 1 – Financial Statements, Note 13 Asset Impairments</w:t>
      </w:r>
      <w:r>
        <w:rPr>
          <w:rFonts w:ascii="Arial" w:cs="Arial" w:eastAsia="Arial" w:hAnsi="Arial"/>
          <w:sz w:val="18"/>
          <w:szCs w:val="18"/>
          <w:color w:val="auto"/>
        </w:rPr>
        <w:t xml:space="preserve"> for additional information.</w:t>
      </w:r>
    </w:p>
    <w:p>
      <w:pPr>
        <w:spacing w:after="0" w:line="216"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relates to natural gas acquired from third parties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marketing activities. This expense amounted to $144 million for the nine months ended September 30, 2021, which was an increase of $77 million or 115% from $67 million for the same period in 2020. The change was predominantly the result of higher natural gas prices.</w:t>
      </w:r>
    </w:p>
    <w:p>
      <w:pPr>
        <w:spacing w:after="0" w:line="207"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i w:val="1"/>
          <w:iCs w:val="1"/>
          <w:color w:val="auto"/>
        </w:rPr>
        <w:t xml:space="preserve">Electricity generation expenses </w:t>
      </w:r>
      <w:r>
        <w:rPr>
          <w:rFonts w:ascii="Arial" w:cs="Arial" w:eastAsia="Arial" w:hAnsi="Arial"/>
          <w:sz w:val="18"/>
          <w:szCs w:val="18"/>
          <w:color w:val="auto"/>
        </w:rPr>
        <w:t>— Electricity cost of sales increased from $47 million in the first nine months of 2020 to $70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2021. The increase was primarily a result of higher pricing on purchased natural gas.</w:t>
      </w:r>
    </w:p>
    <w:p>
      <w:pPr>
        <w:spacing w:after="0" w:line="18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i w:val="1"/>
          <w:iCs w:val="1"/>
          <w:color w:val="auto"/>
        </w:rPr>
        <w:t xml:space="preserve">Other operating expenses, net </w:t>
      </w:r>
      <w:r>
        <w:rPr>
          <w:rFonts w:ascii="Arial" w:cs="Arial" w:eastAsia="Arial" w:hAnsi="Arial"/>
          <w:sz w:val="18"/>
          <w:szCs w:val="18"/>
          <w:color w:val="auto"/>
        </w:rPr>
        <w:t>— Other expenses, net was $31 million for the nine months ended September 30, 2021, which was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$14 million from $45 million during the same period of 2020. The first nine months of 2020 included a one-time payment of $ 20 million made in connection with an expiring pipeline delivery contract and $7 million related to an outage at the Elk Hills power plant. The first nine months of 2021 included $15 million in severance costs.</w:t>
      </w:r>
    </w:p>
    <w:p>
      <w:pPr>
        <w:spacing w:after="0" w:line="207" w:lineRule="exact"/>
        <w:rPr>
          <w:sz w:val="20"/>
          <w:szCs w:val="20"/>
          <w:color w:val="auto"/>
        </w:rPr>
      </w:pPr>
    </w:p>
    <w:p>
      <w:pPr>
        <w:ind w:right="60" w:firstLine="324"/>
        <w:spacing w:after="0" w:line="242" w:lineRule="auto"/>
        <w:rPr>
          <w:sz w:val="20"/>
          <w:szCs w:val="20"/>
          <w:color w:val="auto"/>
        </w:rPr>
      </w:pPr>
      <w:r>
        <w:rPr>
          <w:rFonts w:ascii="Arial" w:cs="Arial" w:eastAsia="Arial" w:hAnsi="Arial"/>
          <w:sz w:val="18"/>
          <w:szCs w:val="18"/>
          <w:i w:val="1"/>
          <w:iCs w:val="1"/>
          <w:color w:val="auto"/>
        </w:rPr>
        <w:t xml:space="preserve">Reorganization items, net </w:t>
      </w:r>
      <w:r>
        <w:rPr>
          <w:rFonts w:ascii="Arial" w:cs="Arial" w:eastAsia="Arial" w:hAnsi="Arial"/>
          <w:sz w:val="18"/>
          <w:szCs w:val="18"/>
          <w:color w:val="auto"/>
        </w:rPr>
        <w:t>— Reorganization items, net was $5 million of expense for the nine months ended September 30, 2021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a decrease of $71 million from $66 million of income during the same period of 2020. We recognized $66 million of income in the third quarter of 2020 primarily due to the write-off of the unamortized balance of our deferred gain and issuance costs on our long-term debt at the time of filing our bankruptcy petition on July 15, 2020 which was partially offset by legal, professional and other fees, including debtor-in-possession financing costs, all of which related to our bankruptcy proceedings.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ind w:right="20" w:firstLine="324"/>
        <w:spacing w:after="0" w:line="241"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decreased $160 million to $40 million in the first nine months of 2021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$ 200 million in the same period of 2020 primarily due to a decrease in our overall level of debt upon our emergence from bankruptcy on October 27, 2020. Additionally, in the first quarter of 2021, we paid off our Revolving Credit Facility and had no balance drawn during either the second or third quarter. See </w:t>
      </w:r>
      <w:r>
        <w:rPr>
          <w:rFonts w:ascii="Arial" w:cs="Arial" w:eastAsia="Arial" w:hAnsi="Arial"/>
          <w:sz w:val="18"/>
          <w:szCs w:val="18"/>
          <w:i w:val="1"/>
          <w:iCs w:val="1"/>
          <w:color w:val="auto"/>
        </w:rPr>
        <w:t>Part II, Item 8 – Financial Statements and Supplementary Data, Note 2 Chapter 11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Proceedings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8 Debt </w:t>
      </w:r>
      <w:r>
        <w:rPr>
          <w:rFonts w:ascii="Arial" w:cs="Arial" w:eastAsia="Arial" w:hAnsi="Arial"/>
          <w:sz w:val="18"/>
          <w:szCs w:val="18"/>
          <w:color w:val="auto"/>
        </w:rPr>
        <w:t>in our 2020 Annual Report for additional information on the terms of the Plan, our emergence from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long-term debt transactions.</w:t>
      </w:r>
    </w:p>
    <w:p>
      <w:pPr>
        <w:spacing w:after="0" w:line="211"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Other non-operating expense, net </w:t>
      </w:r>
      <w:r>
        <w:rPr>
          <w:rFonts w:ascii="Arial" w:cs="Arial" w:eastAsia="Arial" w:hAnsi="Arial"/>
          <w:sz w:val="18"/>
          <w:szCs w:val="18"/>
          <w:color w:val="auto"/>
        </w:rPr>
        <w:t>— Other non-operating expense, net decreased $90 million to $3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$93 million in the same period for 2020. The higher expense in the first nine months of 2020 was primarily a result of legal, professional and other fees related to our bankruptcy filing and an abandoned financing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67"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including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w:t>
      </w:r>
    </w:p>
    <w:p>
      <w:pPr>
        <w:spacing w:after="0" w:line="22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For the three months ended September 30, 2021, our operating cash flow increased 279%, or $134 million, to $182 million from $ 48 million in the same prior period of 2020. For the nine months ended September 30, 2021, our operating cash flow increased 223%, or $315 million, to $456 million from $141 million in the same period of 2020. The increase in operating cash flow for both the three and nine months ended September 30, 2021 primarily relates to higher average realized prices (including the effects of settlements on our commodity derivatives) in 2021 compared to the same prior-year periods. Average realized prices increased primarily due to the economic recovery as COVID-19 related mobility restrictions were lifted and demand increased. This increase was partially offset by lower production volumes in 2021 as compared to the same periods in 2020.</w:t>
      </w:r>
    </w:p>
    <w:p>
      <w:pPr>
        <w:spacing w:after="0" w:line="234"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In the third quarter of 2021, we purchased $24 million of greenhouse gas allowances of which $6 million was for our fourth quarter of 2021 obligation and $18 million was a prepayment for our 2022 compliance obligation. This prepayment is included in our working capital changes on our condensed consolidated statements of cash flows for the three and nine months ended September 30, 2021.</w:t>
      </w:r>
    </w:p>
    <w:p>
      <w:pPr>
        <w:spacing w:after="0" w:line="211"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 Our net cash used in investing activities increased $87 million from $1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to $88 million for the same period in 2021. Our net cash used in investing activities increased $123 million from $28 million for the nine months ended September 30, 2020 to $151 million for the same period in 2021.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8" w:name="page39"/>
    <w:bookmarkEnd w:id="38"/>
    <w:p>
      <w:pPr>
        <w:ind w:right="20" w:firstLine="324"/>
        <w:spacing w:after="0" w:line="253" w:lineRule="auto"/>
        <w:rPr>
          <w:sz w:val="20"/>
          <w:szCs w:val="20"/>
          <w:color w:val="auto"/>
        </w:rPr>
      </w:pPr>
      <w:r>
        <w:rPr>
          <w:rFonts w:ascii="Arial" w:cs="Arial" w:eastAsia="Arial" w:hAnsi="Arial"/>
          <w:sz w:val="18"/>
          <w:szCs w:val="18"/>
          <w:color w:val="auto"/>
        </w:rPr>
        <w:t>The increased use of cash for investing activities in 2021 primarily relates to higher capital investment and our acquisition of working interests in certain joint venture wells held by MIRA. Investing activities in 2020 included proceeds of $41 million related to a sale of royalty interests and a non-core asset in the nine months ended September 30, 2020. Proceeds of $13 million from non-core asset sales for the nine months ended September 30, 2021 primarily related to the sale of unimproved land. The table below summarizes net cash used in investing activities for the three and nine months ended September 30, 2021 and 2020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Predecessor</w:t>
            </w:r>
          </w:p>
        </w:tc>
        <w:tc>
          <w:tcPr>
            <w:tcW w:w="160" w:type="dxa"/>
            <w:vAlign w:val="bottom"/>
          </w:tcPr>
          <w:p>
            <w:pPr>
              <w:spacing w:after="0"/>
              <w:rPr>
                <w:sz w:val="19"/>
                <w:szCs w:val="19"/>
                <w:color w:val="auto"/>
              </w:rPr>
            </w:pPr>
          </w:p>
        </w:tc>
        <w:tc>
          <w:tcPr>
            <w:tcW w:w="16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4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rPr>
              <w:t>Three months</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Nine months</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Nine Months</w:t>
            </w:r>
          </w:p>
        </w:tc>
      </w:tr>
      <w:tr>
        <w:trPr>
          <w:trHeight w:val="175"/>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right w:val="single" w:sz="8" w:color="auto"/>
            </w:tcBorders>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Ended</w:t>
            </w:r>
          </w:p>
        </w:tc>
        <w:tc>
          <w:tcPr>
            <w:tcW w:w="160" w:type="dxa"/>
            <w:vAlign w:val="bottom"/>
          </w:tcPr>
          <w:p>
            <w:pPr>
              <w:spacing w:after="0"/>
              <w:rPr>
                <w:sz w:val="15"/>
                <w:szCs w:val="15"/>
                <w:color w:val="auto"/>
              </w:rPr>
            </w:pPr>
          </w:p>
        </w:tc>
        <w:tc>
          <w:tcPr>
            <w:tcW w:w="1600" w:type="dxa"/>
            <w:vAlign w:val="bottom"/>
            <w:tcBorders>
              <w:right w:val="single" w:sz="8" w:color="auto"/>
            </w:tcBorders>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rPr>
              <w:t>Ended</w:t>
            </w:r>
          </w:p>
        </w:tc>
      </w:tr>
      <w:tr>
        <w:trPr>
          <w:trHeight w:val="176"/>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right w:val="single" w:sz="8" w:color="auto"/>
            </w:tcBorders>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5"/>
                <w:szCs w:val="15"/>
                <w:color w:val="auto"/>
              </w:rPr>
            </w:pPr>
          </w:p>
        </w:tc>
        <w:tc>
          <w:tcPr>
            <w:tcW w:w="1600" w:type="dxa"/>
            <w:vAlign w:val="bottom"/>
            <w:tcBorders>
              <w:right w:val="single" w:sz="8" w:color="auto"/>
            </w:tcBorders>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rPr>
              <w:t>September 30,</w:t>
            </w:r>
          </w:p>
        </w:tc>
      </w:tr>
      <w:tr>
        <w:trPr>
          <w:trHeight w:val="229"/>
        </w:trPr>
        <w:tc>
          <w:tcPr>
            <w:tcW w:w="4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Changes in capital investment accruals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418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r>
    </w:tbl>
    <w:p>
      <w:pPr>
        <w:spacing w:after="0" w:line="319"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 Our net cash used in financing activities was $56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net cash used in financing activities of $51 million for the same period of 2020. Our net cash used in financing activities was $144 million for the nine months ended September 30, 2021 compared to net cash used in financing activities of $8 million for the same period of 2020.</w:t>
      </w:r>
    </w:p>
    <w:p>
      <w:pPr>
        <w:spacing w:after="0" w:line="225"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Financing activities for the three and nine months ended September 30, 2021 included repurchases of common stock under our Share Repurchase Program. Financing cash outflows related to debt transactions for the nine months ended September 30, 2020 included $733 million in net borrowings under our debtor-in-possession facilities partially offset by $518 million in net repayments on our then outstanding revolving credit facility, $100 million for the repayment of our 2020 Senior Notes at maturity, $25 million for debtor-in-possession financing costs and $3 million for open market purchases of our then outstanding Second Lien Notes. The table below summarizes net cash used by financing activities for the three and nine months ended September 30, 2021 and 2020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Predecessor</w:t>
            </w:r>
          </w:p>
        </w:tc>
        <w:tc>
          <w:tcPr>
            <w:tcW w:w="160" w:type="dxa"/>
            <w:vAlign w:val="bottom"/>
          </w:tcPr>
          <w:p>
            <w:pPr>
              <w:spacing w:after="0"/>
              <w:rPr>
                <w:sz w:val="19"/>
                <w:szCs w:val="19"/>
                <w:color w:val="auto"/>
              </w:rPr>
            </w:pPr>
          </w:p>
        </w:tc>
        <w:tc>
          <w:tcPr>
            <w:tcW w:w="16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4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rPr>
              <w:t>Three months</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Nine months</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Nine Months</w:t>
            </w:r>
          </w:p>
        </w:tc>
      </w:tr>
      <w:tr>
        <w:trPr>
          <w:trHeight w:val="176"/>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right w:val="single" w:sz="8" w:color="auto"/>
            </w:tcBorders>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Ended</w:t>
            </w:r>
          </w:p>
        </w:tc>
        <w:tc>
          <w:tcPr>
            <w:tcW w:w="160" w:type="dxa"/>
            <w:vAlign w:val="bottom"/>
          </w:tcPr>
          <w:p>
            <w:pPr>
              <w:spacing w:after="0"/>
              <w:rPr>
                <w:sz w:val="15"/>
                <w:szCs w:val="15"/>
                <w:color w:val="auto"/>
              </w:rPr>
            </w:pPr>
          </w:p>
        </w:tc>
        <w:tc>
          <w:tcPr>
            <w:tcW w:w="1600" w:type="dxa"/>
            <w:vAlign w:val="bottom"/>
            <w:tcBorders>
              <w:right w:val="single" w:sz="8" w:color="auto"/>
            </w:tcBorders>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rPr>
              <w:t>Ended</w:t>
            </w:r>
          </w:p>
        </w:tc>
      </w:tr>
      <w:tr>
        <w:trPr>
          <w:trHeight w:val="175"/>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right w:val="single" w:sz="8" w:color="auto"/>
            </w:tcBorders>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5"/>
                <w:szCs w:val="15"/>
                <w:color w:val="auto"/>
              </w:rPr>
            </w:pPr>
          </w:p>
        </w:tc>
        <w:tc>
          <w:tcPr>
            <w:tcW w:w="1600" w:type="dxa"/>
            <w:vAlign w:val="bottom"/>
            <w:tcBorders>
              <w:right w:val="single" w:sz="8" w:color="auto"/>
            </w:tcBorders>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rPr>
              <w:t>September 30,</w:t>
            </w:r>
          </w:p>
        </w:tc>
      </w:tr>
      <w:tr>
        <w:trPr>
          <w:trHeight w:val="230"/>
        </w:trPr>
        <w:tc>
          <w:tcPr>
            <w:tcW w:w="4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transactions,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9"/>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 holders,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1030"/>
              <w:spacing w:after="0"/>
              <w:rPr>
                <w:sz w:val="20"/>
                <w:szCs w:val="20"/>
                <w:color w:val="auto"/>
              </w:rPr>
            </w:pPr>
            <w:r>
              <w:rPr>
                <w:rFonts w:ascii="Arial" w:cs="Arial" w:eastAsia="Arial" w:hAnsi="Arial"/>
                <w:sz w:val="18"/>
                <w:szCs w:val="18"/>
                <w:color w:val="auto"/>
                <w:w w:val="99"/>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left="9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Proceeds from warrants exercised</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left="9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left="9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6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418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center"/>
              <w:ind w:left="1030"/>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74"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Our primary sources of liquidity and capital resources are cash flows from operations, cash on hand and available borrowing capacity under our Revolving Credit Facility. We consider our low leverage and ability to control costs to be a core strength and strategic advantage, which we are focused on maintaining. Our primary uses of operating cash flow for the first nine months of 2021 was for capital investment, distributions to a noncontrolling interest holder, acquisition of working interests from MIRA and repurchases of our common stock.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color w:val="auto"/>
        </w:rPr>
        <w:t>In November 2021, the borrowing base under our Revolving Credit Facility was reaffirmed at $1.2 billion.</w:t>
      </w:r>
    </w:p>
    <w:p>
      <w:pPr>
        <w:spacing w:after="0" w:line="2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At current commodity prices and our planned 2021 capital program described below, we expect to generate positive free cash flow, which we may use (i) to increase investments in our drilling program to accelerate value, (ii) to pay dividends or buy back stock to the extent permitted under our Revolving Credit Facility and Senior Notes indenture, (iii) to maintain cash on our balance sheet, or (iv) for other corporate purposes. We expect to begin paying income taxes in 2022 if Brent prices remain at current levels for a sustained period. Our tax paying status depends on a number of factors, including but not limited to, commodity prices, the amount and type of our capital spend, cost structure and activity levels. Potential legislation could change key provisions of the existing U.S. corporate income tax regime and it is uncertain whether some or all of the legislative proposals will be enacted. We do not currently expect the proposed modifications will materially impact our income tax liability. We believe we have sufficient sources of cash to meet our obligations for the next twelve months.</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liquidity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right="412"/>
              <w:spacing w:after="0"/>
              <w:rPr>
                <w:sz w:val="20"/>
                <w:szCs w:val="20"/>
                <w:color w:val="auto"/>
              </w:rPr>
            </w:pPr>
            <w:r>
              <w:rPr>
                <w:rFonts w:ascii="Arial" w:cs="Arial" w:eastAsia="Arial" w:hAnsi="Arial"/>
                <w:sz w:val="18"/>
                <w:szCs w:val="18"/>
                <w:b w:val="1"/>
                <w:bCs w:val="1"/>
                <w:color w:val="auto"/>
              </w:rPr>
              <w:t>Successor</w:t>
            </w:r>
          </w:p>
        </w:tc>
      </w:tr>
      <w:tr>
        <w:trPr>
          <w:trHeight w:val="214"/>
        </w:trPr>
        <w:tc>
          <w:tcPr>
            <w:tcW w:w="8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tcPr>
          <w:p>
            <w:pPr>
              <w:jc w:val="center"/>
              <w:ind w:right="412"/>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8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right="412"/>
              <w:spacing w:after="0"/>
              <w:rPr>
                <w:sz w:val="20"/>
                <w:szCs w:val="20"/>
                <w:color w:val="auto"/>
              </w:rPr>
            </w:pPr>
            <w:r>
              <w:rPr>
                <w:rFonts w:ascii="Arial" w:cs="Arial" w:eastAsia="Arial" w:hAnsi="Arial"/>
                <w:sz w:val="18"/>
                <w:szCs w:val="18"/>
                <w:b w:val="1"/>
                <w:bCs w:val="1"/>
                <w:color w:val="auto"/>
                <w:w w:val="99"/>
              </w:rPr>
              <w:t>2021</w:t>
            </w:r>
          </w:p>
        </w:tc>
      </w:tr>
      <w:tr>
        <w:trPr>
          <w:trHeight w:val="182"/>
        </w:trPr>
        <w:tc>
          <w:tcPr>
            <w:tcW w:w="8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60" w:type="dxa"/>
            <w:vAlign w:val="bottom"/>
          </w:tcPr>
          <w:p>
            <w:pPr>
              <w:jc w:val="center"/>
              <w:ind w:right="412"/>
              <w:spacing w:after="0"/>
              <w:rPr>
                <w:sz w:val="20"/>
                <w:szCs w:val="20"/>
                <w:color w:val="auto"/>
              </w:rPr>
            </w:pPr>
            <w:r>
              <w:rPr>
                <w:rFonts w:ascii="Arial" w:cs="Arial" w:eastAsia="Arial" w:hAnsi="Arial"/>
                <w:sz w:val="14"/>
                <w:szCs w:val="14"/>
                <w:color w:val="auto"/>
              </w:rPr>
              <w:t>(in millions)</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center"/>
              <w:ind w:left="1912"/>
              <w:spacing w:after="0"/>
              <w:rPr>
                <w:sz w:val="20"/>
                <w:szCs w:val="20"/>
                <w:color w:val="auto"/>
              </w:rPr>
            </w:pPr>
            <w:r>
              <w:rPr>
                <w:rFonts w:ascii="Arial" w:cs="Arial" w:eastAsia="Arial" w:hAnsi="Arial"/>
                <w:sz w:val="18"/>
                <w:szCs w:val="18"/>
                <w:color w:val="auto"/>
                <w:w w:val="99"/>
              </w:rPr>
              <w:t>189</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5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500" w:type="dxa"/>
            <w:vAlign w:val="bottom"/>
            <w:shd w:val="clear" w:color="auto" w:fill="CCEEFF"/>
          </w:tcPr>
          <w:p>
            <w:pPr>
              <w:spacing w:after="0"/>
              <w:rPr>
                <w:sz w:val="19"/>
                <w:szCs w:val="19"/>
                <w:color w:val="auto"/>
              </w:rPr>
            </w:pPr>
          </w:p>
        </w:tc>
        <w:tc>
          <w:tcPr>
            <w:tcW w:w="2460" w:type="dxa"/>
            <w:vAlign w:val="bottom"/>
            <w:shd w:val="clear" w:color="auto" w:fill="CCEEFF"/>
          </w:tcPr>
          <w:p>
            <w:pPr>
              <w:jc w:val="center"/>
              <w:ind w:left="1912"/>
              <w:spacing w:after="0"/>
              <w:rPr>
                <w:sz w:val="20"/>
                <w:szCs w:val="20"/>
                <w:color w:val="auto"/>
              </w:rPr>
            </w:pPr>
            <w:r>
              <w:rPr>
                <w:rFonts w:ascii="Arial" w:cs="Arial" w:eastAsia="Arial" w:hAnsi="Arial"/>
                <w:sz w:val="18"/>
                <w:szCs w:val="18"/>
                <w:color w:val="auto"/>
                <w:w w:val="99"/>
              </w:rPr>
              <w:t>492</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5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center"/>
              <w:ind w:left="1912"/>
              <w:spacing w:after="0"/>
              <w:rPr>
                <w:sz w:val="20"/>
                <w:szCs w:val="20"/>
                <w:color w:val="auto"/>
              </w:rPr>
            </w:pPr>
            <w:r>
              <w:rPr>
                <w:rFonts w:ascii="Arial" w:cs="Arial" w:eastAsia="Arial" w:hAnsi="Arial"/>
                <w:sz w:val="18"/>
                <w:szCs w:val="18"/>
                <w:color w:val="auto"/>
                <w:w w:val="99"/>
              </w:rPr>
              <w:t>(133)</w:t>
            </w:r>
          </w:p>
        </w:tc>
      </w:tr>
      <w:tr>
        <w:trPr>
          <w:trHeight w:val="223"/>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center"/>
              <w:ind w:left="1912"/>
              <w:spacing w:after="0"/>
              <w:rPr>
                <w:sz w:val="20"/>
                <w:szCs w:val="20"/>
                <w:color w:val="auto"/>
              </w:rPr>
            </w:pPr>
            <w:r>
              <w:rPr>
                <w:rFonts w:ascii="Arial" w:cs="Arial" w:eastAsia="Arial" w:hAnsi="Arial"/>
                <w:sz w:val="18"/>
                <w:szCs w:val="18"/>
                <w:color w:val="auto"/>
                <w:w w:val="99"/>
              </w:rPr>
              <w:t>359</w:t>
            </w:r>
          </w:p>
        </w:tc>
      </w:tr>
      <w:tr>
        <w:trPr>
          <w:trHeight w:val="216"/>
        </w:trPr>
        <w:tc>
          <w:tcPr>
            <w:tcW w:w="82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r>
      <w:tr>
        <w:trPr>
          <w:trHeight w:val="248"/>
        </w:trPr>
        <w:tc>
          <w:tcPr>
            <w:tcW w:w="8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shd w:val="clear" w:color="auto" w:fill="CCEEFF"/>
          </w:tcPr>
          <w:p>
            <w:pPr>
              <w:jc w:val="center"/>
              <w:ind w:left="1912"/>
              <w:spacing w:after="0"/>
              <w:rPr>
                <w:sz w:val="20"/>
                <w:szCs w:val="20"/>
                <w:color w:val="auto"/>
              </w:rPr>
            </w:pPr>
            <w:r>
              <w:rPr>
                <w:rFonts w:ascii="Arial" w:cs="Arial" w:eastAsia="Arial" w:hAnsi="Arial"/>
                <w:sz w:val="18"/>
                <w:szCs w:val="18"/>
                <w:color w:val="auto"/>
                <w:w w:val="99"/>
              </w:rPr>
              <w:t>548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7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To mitigate some of the risk inherent in the downward movement in oil prices, we may enter into various derivative instruments to hedge commodity price risk.</w:t>
      </w:r>
    </w:p>
    <w:p>
      <w:pPr>
        <w:spacing w:after="0" w:line="22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or nine months ended September 30, 2021.</w:t>
      </w:r>
    </w:p>
    <w:p>
      <w:pPr>
        <w:spacing w:after="0" w:line="211" w:lineRule="exact"/>
        <w:rPr>
          <w:sz w:val="20"/>
          <w:szCs w:val="20"/>
          <w:color w:val="auto"/>
        </w:rPr>
      </w:pPr>
    </w:p>
    <w:p>
      <w:pPr>
        <w:ind w:right="560" w:firstLine="324"/>
        <w:spacing w:after="0" w:line="26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9 Derivatives</w:t>
      </w:r>
      <w:r>
        <w:rPr>
          <w:rFonts w:ascii="Arial" w:cs="Arial" w:eastAsia="Arial" w:hAnsi="Arial"/>
          <w:sz w:val="18"/>
          <w:szCs w:val="18"/>
          <w:color w:val="auto"/>
        </w:rPr>
        <w:t xml:space="preserve"> for further information on our derivatives and a summary of our open derivative contracts as of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Capital Program</w:t>
      </w:r>
    </w:p>
    <w:p>
      <w:pPr>
        <w:spacing w:after="0" w:line="274"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Our capital program will be dynamic in response to oil market volatility while focusing on maintaining our oil production and strong liquidity and maximizing our free cash flow. We entered 2021 with an internally funded capital program of $200 million – $225 million. In the second quarter of 2021, we reallocated drilling capital to downhole maintenance activities which reduced our full year outlook to $170 million</w:t>
      </w:r>
    </w:p>
    <w:p>
      <w:pPr>
        <w:spacing w:after="0" w:line="1"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$190 million. Success of the drilling program to date, along with the rise in commodity prices, resulted in the addition of a drilling rig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fourth quarter of 2021 that was planned for 2022. As a result, we expect our full year capital program to range from $180 </w:t>
      </w:r>
      <w:r>
        <w:rPr>
          <w:rFonts w:ascii="Arial" w:cs="Arial" w:eastAsia="Arial" w:hAnsi="Arial"/>
          <w:sz w:val="17"/>
          <w:szCs w:val="17"/>
          <w:i w:val="1"/>
          <w:iCs w:val="1"/>
          <w:color w:val="auto"/>
        </w:rPr>
        <w:t>–</w:t>
      </w:r>
      <w:r>
        <w:rPr>
          <w:rFonts w:ascii="Arial" w:cs="Arial" w:eastAsia="Arial" w:hAnsi="Arial"/>
          <w:sz w:val="17"/>
          <w:szCs w:val="17"/>
          <w:color w:val="auto"/>
        </w:rPr>
        <w:t xml:space="preserve"> $200 million.</w:t>
      </w:r>
    </w:p>
    <w:p>
      <w:pPr>
        <w:spacing w:after="0" w:line="201"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Any curtailment of the development of our properties will lead to a decline in our production and may lower our reserves. A continued decline in our production and reserves would negatively impact our cash flow from operations and the value of our assets.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0" w:name="page41"/>
    <w:bookmarkEnd w:id="40"/>
    <w:p>
      <w:pPr>
        <w:ind w:right="520" w:firstLine="324"/>
        <w:spacing w:after="0" w:line="261" w:lineRule="auto"/>
        <w:rPr>
          <w:sz w:val="20"/>
          <w:szCs w:val="20"/>
          <w:color w:val="auto"/>
        </w:rPr>
      </w:pPr>
      <w:r>
        <w:rPr>
          <w:rFonts w:ascii="Arial" w:cs="Arial" w:eastAsia="Arial" w:hAnsi="Arial"/>
          <w:sz w:val="18"/>
          <w:szCs w:val="18"/>
          <w:color w:val="auto"/>
        </w:rPr>
        <w:t>The amounts in the table below reflect components of our capital investment for the periods indicated, excluding changes in capital investment accruals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20" w:type="dxa"/>
            <w:vAlign w:val="bottom"/>
          </w:tcPr>
          <w:p>
            <w:pPr>
              <w:spacing w:after="0"/>
              <w:rPr>
                <w:sz w:val="20"/>
                <w:szCs w:val="20"/>
                <w:color w:val="auto"/>
              </w:rPr>
            </w:pPr>
          </w:p>
        </w:tc>
        <w:tc>
          <w:tcPr>
            <w:tcW w:w="4720" w:type="dxa"/>
            <w:vAlign w:val="bottom"/>
            <w:tcBorders>
              <w:bottom w:val="single" w:sz="8" w:color="auto"/>
            </w:tcBorders>
            <w:gridSpan w:val="3"/>
          </w:tcPr>
          <w:p>
            <w:pPr>
              <w:jc w:val="right"/>
              <w:ind w:right="181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24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2021 Full Year Estimate</w:t>
            </w:r>
          </w:p>
        </w:tc>
        <w:tc>
          <w:tcPr>
            <w:tcW w:w="230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35"/>
        </w:trPr>
        <w:tc>
          <w:tcPr>
            <w:tcW w:w="652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23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September 30, 2021</w:t>
            </w:r>
          </w:p>
        </w:tc>
        <w:tc>
          <w:tcPr>
            <w:tcW w:w="0" w:type="dxa"/>
            <w:vAlign w:val="bottom"/>
          </w:tcPr>
          <w:p>
            <w:pPr>
              <w:spacing w:after="0"/>
              <w:rPr>
                <w:sz w:val="1"/>
                <w:szCs w:val="1"/>
                <w:color w:val="auto"/>
              </w:rPr>
            </w:pPr>
          </w:p>
        </w:tc>
      </w:tr>
      <w:tr>
        <w:trPr>
          <w:trHeight w:val="95"/>
        </w:trPr>
        <w:tc>
          <w:tcPr>
            <w:tcW w:w="65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4720" w:type="dxa"/>
            <w:vAlign w:val="bottom"/>
            <w:gridSpan w:val="3"/>
          </w:tcPr>
          <w:p>
            <w:pPr>
              <w:jc w:val="right"/>
              <w:ind w:right="18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Drilling</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 $120</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Capital workovers</w:t>
            </w:r>
          </w:p>
        </w:tc>
        <w:tc>
          <w:tcPr>
            <w:tcW w:w="2320" w:type="dxa"/>
            <w:vAlign w:val="bottom"/>
          </w:tcPr>
          <w:p>
            <w:pPr>
              <w:jc w:val="right"/>
              <w:spacing w:after="0"/>
              <w:rPr>
                <w:sz w:val="20"/>
                <w:szCs w:val="20"/>
                <w:color w:val="auto"/>
              </w:rPr>
            </w:pPr>
            <w:r>
              <w:rPr>
                <w:rFonts w:ascii="Arial" w:cs="Arial" w:eastAsia="Arial" w:hAnsi="Arial"/>
                <w:sz w:val="18"/>
                <w:szCs w:val="18"/>
                <w:color w:val="auto"/>
              </w:rPr>
              <w:t>25 - 30</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Infrastructure, corporate and other</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45 - 50</w:t>
            </w:r>
          </w:p>
        </w:tc>
        <w:tc>
          <w:tcPr>
            <w:tcW w:w="10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52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$180 - $200</w:t>
            </w:r>
          </w:p>
        </w:tc>
        <w:tc>
          <w:tcPr>
            <w:tcW w:w="100" w:type="dxa"/>
            <w:vAlign w:val="bottom"/>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April 2021, Governor Gavin Newsom signed an executive order directing the California Department of Conservation’s Geologic Energy Management Division (CalGEM) to initiate a rulemaking to end the issuance of new permits for well stimulation treatments by January 1, 2024 and instructed the California Air Resources Board to evaluate methods of phasing out oil extraction across the state by 2045. In May 2021, CalGEM published the proposed rule to end the issuance of new permits for well stimulation treatments. Since the Governor’s announcement, CalGem has not issued any approvals for well stimulation treatments. We expect little to no impact on future development activities because we are not dependent on well stimulation treatments. Less than 1% of our proved reserves require well stimulation and our current long-term development plans do not include well stimulation.</w:t>
      </w:r>
    </w:p>
    <w:p>
      <w:pPr>
        <w:spacing w:after="0" w:line="234"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In October 2021, CalGEM released for public comment a draft rule to update its public health regulations. Among other changes, the draft includes a proposed setback of 3,200 feet for new wells with new surface locations from sensitive receptors, such as residences, schools and health care facilities. The draft is subject to public comment and the rulemaking process. It is anticipated that a version of the draft rule will be adopted in the next 12 to 24 months. We expect little to no impact on our long-term development plans because our development strategy does not rely on a significant number of new wells with new surface locations in affected setback areas.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November 11, 2021, our Board of Directors declared a quarterly cash dividend of $0.17 per share of common stock. The dividend is payable to shareholders of record at the close of business on December 1, 2021 and is expected to be paid on December 16, 2021. This quarterly dividend is made pursuant to a cash dividend policy approved by the Board of Directors, which anticipates a total annual dividend of $0.68, payable in quarterly increments of $0.17 per share of common stock. The actual declaration of future cash dividends, and the establishment of record and payment dates, is subject to final determination by our Board of Directors each quarter after reviewing our financial performance and position. The aggregate payment for this dividend will be approximately $14 million. We anticipate our next dividend will be paid in the first quarter of 2022. Based on the current number of our outstanding shares, we expect to make aggregate annual dividend payments of approximately $56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7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Board of Directors authorized a Share Repurchase Program for up to $250 million through March 31, 2022. As of September 30, 2021, we repurchased 2.6 million shares of our common stock, at an average price of $32.39 per share, through either open market purchases or a Rule 10b5-1 plan at an aggregate cost of $84 million. Shares repurchased were held as treasury stock as of September 30, 2021. On November 11, 2021, our Board of Directors extended the time period for our Share Repurchase Program through June 30,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Divestitures</w:t>
      </w:r>
    </w:p>
    <w:p>
      <w:pPr>
        <w:spacing w:after="0" w:line="27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 xml:space="preserve">After the quarter-end, closings for the sale of our Ventura basin operations occurred with respect to the majority of the basin's assets and subsequent closings are expected to occur in the following quarters. See </w:t>
      </w:r>
      <w:r>
        <w:rPr>
          <w:rFonts w:ascii="Arial" w:cs="Arial" w:eastAsia="Arial" w:hAnsi="Arial"/>
          <w:sz w:val="18"/>
          <w:szCs w:val="18"/>
          <w:i w:val="1"/>
          <w:iCs w:val="1"/>
          <w:color w:val="auto"/>
        </w:rPr>
        <w:t>Part I, Item 1 – Financial Statements, Note 6 Assets Held for Sale</w:t>
      </w:r>
      <w:r>
        <w:rPr>
          <w:rFonts w:ascii="Arial" w:cs="Arial" w:eastAsia="Arial" w:hAnsi="Arial"/>
          <w:sz w:val="18"/>
          <w:szCs w:val="18"/>
          <w:color w:val="auto"/>
        </w:rPr>
        <w:t xml:space="preserve"> for more information regarding this transaction.</w:t>
      </w:r>
    </w:p>
    <w:p>
      <w:pPr>
        <w:spacing w:after="0" w:line="22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During the three months ended September 30, 2021, we sold unimproved land for $11 million in proceeds recognizing a $2 million gain. During the nine months ended September 30, 2021 we sold non-core assets, including unimproved land, for $13 million in proceeds recognizing a $4 million gain.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Joint Ventures</w:t>
      </w:r>
    </w:p>
    <w:p>
      <w:pPr>
        <w:spacing w:after="0" w:line="274"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In the third quarter of 2021, we completed the wind-up of our development joint venture (JV) with MIRA and our development joint venture with Benefit Street Partners (BSP).</w:t>
      </w:r>
    </w:p>
    <w:p>
      <w:pPr>
        <w:spacing w:after="0" w:line="225"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 xml:space="preserve">In August 2021, we purchased MIRA’s entire working interest share in the conveyed assets for $53 million, before purchase price adjustments and transaction costs. Prior to the acquisition, our consolidated results reflect only our 10% working interest share in the productive wells. See </w:t>
      </w:r>
      <w:r>
        <w:rPr>
          <w:rFonts w:ascii="Arial" w:cs="Arial" w:eastAsia="Arial" w:hAnsi="Arial"/>
          <w:sz w:val="18"/>
          <w:szCs w:val="18"/>
          <w:i w:val="1"/>
          <w:iCs w:val="1"/>
          <w:color w:val="auto"/>
        </w:rPr>
        <w:t>Part II, Item 8 – Financial Statements and Supplementary Data, Note 7 Joint Ventures</w:t>
      </w:r>
      <w:r>
        <w:rPr>
          <w:rFonts w:ascii="Arial" w:cs="Arial" w:eastAsia="Arial" w:hAnsi="Arial"/>
          <w:sz w:val="18"/>
          <w:szCs w:val="18"/>
          <w:color w:val="auto"/>
        </w:rPr>
        <w:t xml:space="preserve"> in our 2020 Annual Report for additional information on our MIRA JV.</w:t>
      </w:r>
    </w:p>
    <w:p>
      <w:pPr>
        <w:spacing w:after="0" w:line="23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In September 2021, BSP's preferred interest in the BSP JV was automatically redeemed in full under the terms of the joint venture agreement. Prior to the redemption, we made aggregate distributions to BSP of $50 million in 2021 which reduced noncontrolling interest on our condensed consolidated balance sheet and was recorded as a financing cash outflow on our condensed consolidated statements of cash flows for the nine months ended September 30, 2021. See </w:t>
      </w:r>
      <w:r>
        <w:rPr>
          <w:rFonts w:ascii="Arial" w:cs="Arial" w:eastAsia="Arial" w:hAnsi="Arial"/>
          <w:sz w:val="18"/>
          <w:szCs w:val="18"/>
          <w:i w:val="1"/>
          <w:iCs w:val="1"/>
          <w:color w:val="auto"/>
        </w:rPr>
        <w:t>Part II, Item 8 – Financial Statements and Supplementary Data, Note 7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w:t>
      </w:r>
      <w:r>
        <w:rPr>
          <w:rFonts w:ascii="Arial" w:cs="Arial" w:eastAsia="Arial" w:hAnsi="Arial"/>
          <w:sz w:val="18"/>
          <w:szCs w:val="18"/>
          <w:color w:val="auto"/>
        </w:rPr>
        <w:t>in our 2020 Annual Report for additional information on our BSP JV.</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While certain aspects of our operations are affected by seasonal factors, such as energy costs, seasonality has not been a material driver of changes in our quarterly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The measures taken to address the industry downturn in the prior year demonstrate that we can significantly reduce our operating costs in response to prevailing market conditions. We further believe that a significant portion of our operating costs are variable over the lifecycle of our fields. We actively manage our fields to optimize production and minimize costs in a safe and responsible manner throughout their lifecycles.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2" w:name="page43"/>
    <w:bookmarkEnd w:id="42"/>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September 30, 2021 and December 31, 2020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3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is challenging BSEE's order. Oxy notified us of the claim under the indemnification provisions of the Separation and Distribution Agreement between us and Oxy. In September 2021, we accepted the indemnification claim from Oxy and will be challenging the order from BSEE.</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8 Lawsuits, Claims, Commitments and Contingencies</w:t>
      </w:r>
      <w:r>
        <w:rPr>
          <w:rFonts w:ascii="Arial" w:cs="Arial" w:eastAsia="Arial" w:hAnsi="Arial"/>
          <w:sz w:val="18"/>
          <w:szCs w:val="18"/>
          <w:color w:val="auto"/>
        </w:rPr>
        <w:t xml:space="preserve">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2 Accounting and Disclosure Changes</w:t>
      </w:r>
      <w:r>
        <w:rPr>
          <w:rFonts w:ascii="Arial" w:cs="Arial" w:eastAsia="Arial" w:hAnsi="Arial"/>
          <w:sz w:val="18"/>
          <w:szCs w:val="18"/>
          <w:color w:val="auto"/>
        </w:rPr>
        <w:t xml:space="preserve"> for a discussion of new accounting matters.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These statements are not promises or guarantees of future conduct, performance or policy and involve risks and uncertainties that could materially affect our expected results of operations, liquidity, cash flows and business prospects. Such statements include those regarding our expectations as to our future:</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reserves and reservoir characteristics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type curves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expected synergies from acquisitions and joint ventures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operating costs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energy transition initiatives</w:t>
            </w:r>
          </w:p>
        </w:tc>
      </w:tr>
    </w:tbl>
    <w:p>
      <w:pPr>
        <w:ind w:left="660" w:right="598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operations and operational results including production, hedging and capital investment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Therefore, the actual conduct of our activities, including development, implementation, or continuation of any carbon capture and storage programs or other initiatives or efforts discussed or forecasted in this report or in the future in connection with updates issued regarding these programs, initiatives and efforts, may differ materially in the future.</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(but not necessarily all the factors) that could cause results to differ include:</w:t>
      </w:r>
    </w:p>
    <w:p>
      <w:pPr>
        <w:sectPr>
          <w:pgSz w:w="11900" w:h="16838" w:orient="portrait"/>
          <w:cols w:equalWidth="0" w:num="1">
            <w:col w:w="11040"/>
          </w:cols>
          <w:pgMar w:left="320" w:top="1035" w:right="539" w:bottom="1440" w:gutter="0" w:footer="0" w:header="0"/>
        </w:sectPr>
      </w:pPr>
    </w:p>
    <w:p>
      <w:pPr>
        <w:spacing w:after="0" w:line="252" w:lineRule="exact"/>
        <w:rPr>
          <w:sz w:val="20"/>
          <w:szCs w:val="20"/>
          <w:color w:val="auto"/>
        </w:rPr>
      </w:pPr>
    </w:p>
    <w:p>
      <w:pPr>
        <w:jc w:val="both"/>
        <w:ind w:left="660" w:right="349"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execute our business plan post-emergence, including our ability to finance and implement our carbon storage program;</w:t>
      </w:r>
    </w:p>
    <w:p>
      <w:pPr>
        <w:spacing w:after="0" w:line="1" w:lineRule="exact"/>
        <w:rPr>
          <w:rFonts w:ascii="Arial" w:cs="Arial" w:eastAsia="Arial" w:hAnsi="Arial"/>
          <w:sz w:val="18"/>
          <w:szCs w:val="18"/>
          <w:color w:val="auto"/>
        </w:rPr>
      </w:pPr>
    </w:p>
    <w:p>
      <w:pPr>
        <w:ind w:left="660" w:right="289"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realize the benefits of business strategies and initiatives related to energy transition, including carbon capture and storage projects and other renewable energy efforts;</w:t>
      </w:r>
    </w:p>
    <w:p>
      <w:pPr>
        <w:spacing w:after="0" w:line="1" w:lineRule="exact"/>
        <w:rPr>
          <w:rFonts w:ascii="Arial" w:cs="Arial" w:eastAsia="Arial" w:hAnsi="Arial"/>
          <w:sz w:val="18"/>
          <w:szCs w:val="18"/>
          <w:color w:val="auto"/>
        </w:rPr>
      </w:pPr>
    </w:p>
    <w:p>
      <w:pPr>
        <w:ind w:left="660" w:right="729"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socio-demographic and economic trends and technological innovations;</w:t>
      </w:r>
    </w:p>
    <w:p>
      <w:pPr>
        <w:jc w:val="both"/>
        <w:ind w:left="660" w:right="629"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volatility of commodity prices and the potential for sustained low oil, natural gas and natural gas liquids prices;</w:t>
      </w:r>
    </w:p>
    <w:p>
      <w:pPr>
        <w:spacing w:after="0" w:line="2" w:lineRule="exact"/>
        <w:rPr>
          <w:rFonts w:ascii="Arial" w:cs="Arial" w:eastAsia="Arial" w:hAnsi="Arial"/>
          <w:sz w:val="18"/>
          <w:szCs w:val="18"/>
          <w:color w:val="auto"/>
        </w:rPr>
      </w:pPr>
    </w:p>
    <w:p>
      <w:pPr>
        <w:ind w:left="660" w:right="409"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our recent emergence from bankruptcy on our business and relationships;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ind w:left="660" w:right="769"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interest payments on our debt, debt repurchases or changes to our capital plan;</w:t>
      </w:r>
    </w:p>
    <w:p>
      <w:pPr>
        <w:spacing w:after="0" w:line="2" w:lineRule="exact"/>
        <w:rPr>
          <w:rFonts w:ascii="Arial" w:cs="Arial" w:eastAsia="Arial" w:hAnsi="Arial"/>
          <w:sz w:val="18"/>
          <w:szCs w:val="18"/>
          <w:color w:val="auto"/>
        </w:rPr>
      </w:pPr>
    </w:p>
    <w:p>
      <w:pPr>
        <w:ind w:left="660" w:right="629"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2" w:lineRule="exact"/>
        <w:rPr>
          <w:rFonts w:ascii="Arial" w:cs="Arial" w:eastAsia="Arial" w:hAnsi="Arial"/>
          <w:sz w:val="18"/>
          <w:szCs w:val="18"/>
          <w:color w:val="auto"/>
        </w:rPr>
      </w:pPr>
    </w:p>
    <w:p>
      <w:pPr>
        <w:ind w:left="660" w:right="429"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spacing w:after="0" w:line="1" w:lineRule="exact"/>
        <w:rPr>
          <w:rFonts w:ascii="Arial" w:cs="Arial" w:eastAsia="Arial" w:hAnsi="Arial"/>
          <w:sz w:val="18"/>
          <w:szCs w:val="18"/>
          <w:color w:val="auto"/>
        </w:rPr>
      </w:pPr>
    </w:p>
    <w:p>
      <w:pPr>
        <w:ind w:left="660" w:right="649" w:hanging="328"/>
        <w:spacing w:after="0" w:line="24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spacing w:after="0" w:line="1" w:lineRule="exact"/>
        <w:rPr>
          <w:rFonts w:ascii="Arial" w:cs="Arial" w:eastAsia="Arial" w:hAnsi="Arial"/>
          <w:sz w:val="17"/>
          <w:szCs w:val="17"/>
          <w:color w:val="auto"/>
        </w:rPr>
      </w:pPr>
    </w:p>
    <w:p>
      <w:pPr>
        <w:ind w:left="660" w:right="449" w:hanging="328"/>
        <w:spacing w:after="0" w:line="24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31" w:right="20" w:hanging="331"/>
        <w:spacing w:after="0" w:line="234"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or other incentives, or (v) transportation, marketing and sale of our products;</w:t>
      </w:r>
    </w:p>
    <w:p>
      <w:pPr>
        <w:spacing w:after="0" w:line="5" w:lineRule="exact"/>
        <w:rPr>
          <w:rFonts w:ascii="Arial" w:cs="Arial" w:eastAsia="Arial" w:hAnsi="Arial"/>
          <w:sz w:val="18"/>
          <w:szCs w:val="18"/>
          <w:color w:val="auto"/>
        </w:rPr>
      </w:pPr>
    </w:p>
    <w:p>
      <w:pPr>
        <w:ind w:left="331" w:right="40" w:hanging="331"/>
        <w:spacing w:after="0" w:line="234"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1" w:lineRule="exact"/>
        <w:rPr>
          <w:rFonts w:ascii="Arial" w:cs="Arial" w:eastAsia="Arial" w:hAnsi="Arial"/>
          <w:sz w:val="18"/>
          <w:szCs w:val="18"/>
          <w:color w:val="auto"/>
        </w:rPr>
      </w:pPr>
    </w:p>
    <w:p>
      <w:pPr>
        <w:ind w:left="331" w:right="40" w:hanging="331"/>
        <w:spacing w:after="0" w:line="234"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 w:lineRule="exact"/>
        <w:rPr>
          <w:rFonts w:ascii="Arial" w:cs="Arial" w:eastAsia="Arial" w:hAnsi="Arial"/>
          <w:sz w:val="18"/>
          <w:szCs w:val="18"/>
          <w:color w:val="auto"/>
        </w:rPr>
      </w:pPr>
    </w:p>
    <w:p>
      <w:pPr>
        <w:ind w:left="331" w:right="160" w:hanging="331"/>
        <w:spacing w:after="0" w:line="234"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business strategy;</w:t>
      </w:r>
    </w:p>
    <w:p>
      <w:pPr>
        <w:ind w:left="331" w:right="80" w:hanging="331"/>
        <w:spacing w:after="0" w:line="234"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dividend policy and our ability to declare future dividends;</w:t>
      </w:r>
    </w:p>
    <w:p>
      <w:pPr>
        <w:spacing w:after="0" w:line="1" w:lineRule="exact"/>
        <w:rPr>
          <w:rFonts w:ascii="Arial" w:cs="Arial" w:eastAsia="Arial" w:hAnsi="Arial"/>
          <w:sz w:val="18"/>
          <w:szCs w:val="18"/>
          <w:color w:val="auto"/>
        </w:rPr>
      </w:pPr>
    </w:p>
    <w:p>
      <w:pPr>
        <w:ind w:left="331" w:right="120" w:hanging="331"/>
        <w:spacing w:after="0" w:line="234"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operating costs;</w:t>
      </w:r>
    </w:p>
    <w:p>
      <w:pPr>
        <w:spacing w:after="0" w:line="1" w:lineRule="exact"/>
        <w:rPr>
          <w:rFonts w:ascii="Arial" w:cs="Arial" w:eastAsia="Arial" w:hAnsi="Arial"/>
          <w:sz w:val="18"/>
          <w:szCs w:val="18"/>
          <w:color w:val="auto"/>
        </w:rPr>
      </w:pPr>
    </w:p>
    <w:p>
      <w:pPr>
        <w:ind w:left="331" w:right="380" w:hanging="331"/>
        <w:spacing w:after="0" w:line="248" w:lineRule="auto"/>
        <w:tabs>
          <w:tab w:leader="none" w:pos="32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successfully gather and verify data regarding our environmental impacts and initiatives;</w:t>
      </w:r>
    </w:p>
    <w:p>
      <w:pPr>
        <w:spacing w:after="0" w:line="1" w:lineRule="exact"/>
        <w:rPr>
          <w:rFonts w:ascii="Arial" w:cs="Arial" w:eastAsia="Arial" w:hAnsi="Arial"/>
          <w:sz w:val="17"/>
          <w:szCs w:val="17"/>
          <w:color w:val="auto"/>
        </w:rPr>
      </w:pPr>
    </w:p>
    <w:p>
      <w:pPr>
        <w:ind w:left="331" w:right="140" w:hanging="331"/>
        <w:spacing w:after="0" w:line="234"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compliance of various third parties with our policies and procedures and legal requirements as well as contracts we enter into in connection with our climate-related initiatives;</w:t>
      </w:r>
    </w:p>
    <w:p>
      <w:pPr>
        <w:spacing w:after="0" w:line="2" w:lineRule="exact"/>
        <w:rPr>
          <w:rFonts w:ascii="Arial" w:cs="Arial" w:eastAsia="Arial" w:hAnsi="Arial"/>
          <w:sz w:val="18"/>
          <w:szCs w:val="18"/>
          <w:color w:val="auto"/>
        </w:rPr>
      </w:pPr>
    </w:p>
    <w:p>
      <w:pPr>
        <w:ind w:left="331" w:right="340" w:hanging="331"/>
        <w:spacing w:after="0" w:line="234"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effects of hedging transactions;</w:t>
      </w:r>
    </w:p>
    <w:p>
      <w:pPr>
        <w:ind w:left="331" w:right="1000" w:hanging="331"/>
        <w:spacing w:after="0" w:line="246"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200" w:lineRule="exact"/>
        <w:rPr>
          <w:sz w:val="20"/>
          <w:szCs w:val="20"/>
          <w:color w:val="auto"/>
        </w:rPr>
      </w:pPr>
    </w:p>
    <w:p>
      <w:pPr>
        <w:sectPr>
          <w:pgSz w:w="11900" w:h="16838" w:orient="portrait"/>
          <w:cols w:equalWidth="0" w:num="2">
            <w:col w:w="5509" w:space="720"/>
            <w:col w:w="4811"/>
          </w:cols>
          <w:pgMar w:left="320" w:top="1035" w:right="539" w:bottom="1440" w:gutter="0" w:footer="0" w:header="0"/>
          <w:type w:val="continuous"/>
        </w:sectPr>
      </w:pP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35" w:right="539" w:bottom="1440" w:gutter="0" w:footer="0" w:header="0"/>
          <w:type w:val="continuous"/>
        </w:sectPr>
      </w:pPr>
    </w:p>
    <w:bookmarkStart w:id="44" w:name="page45"/>
    <w:bookmarkEnd w:id="44"/>
    <w:p>
      <w:pPr>
        <w:ind w:left="660" w:right="289" w:hanging="328"/>
        <w:spacing w:after="0" w:line="23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1" w:lineRule="exact"/>
        <w:rPr>
          <w:rFonts w:ascii="Arial" w:cs="Arial" w:eastAsia="Arial" w:hAnsi="Arial"/>
          <w:sz w:val="18"/>
          <w:szCs w:val="18"/>
          <w:color w:val="auto"/>
        </w:rPr>
      </w:pPr>
    </w:p>
    <w:p>
      <w:pPr>
        <w:ind w:left="660" w:right="309" w:hanging="328"/>
        <w:spacing w:after="0" w:line="23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climate-related conditions and weather events</w:t>
      </w:r>
    </w:p>
    <w:p>
      <w:pPr>
        <w:ind w:left="660" w:right="389" w:hanging="328"/>
        <w:spacing w:after="0" w:line="23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20" w:lineRule="exact"/>
        <w:rPr>
          <w:sz w:val="20"/>
          <w:szCs w:val="20"/>
          <w:color w:val="auto"/>
        </w:rPr>
      </w:pPr>
      <w:r>
        <w:rPr>
          <w:sz w:val="20"/>
          <w:szCs w:val="20"/>
          <w:color w:val="auto"/>
        </w:rPr>
        <w:br w:type="column"/>
      </w:r>
    </w:p>
    <w:p>
      <w:pPr>
        <w:ind w:left="331" w:right="140" w:hanging="331"/>
        <w:spacing w:after="0" w:line="234"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w:t>
      </w:r>
    </w:p>
    <w:p>
      <w:pPr>
        <w:spacing w:after="0" w:line="1" w:lineRule="exact"/>
        <w:rPr>
          <w:rFonts w:ascii="Arial" w:cs="Arial" w:eastAsia="Arial" w:hAnsi="Arial"/>
          <w:sz w:val="18"/>
          <w:szCs w:val="18"/>
          <w:color w:val="auto"/>
        </w:rPr>
      </w:pPr>
    </w:p>
    <w:p>
      <w:pPr>
        <w:ind w:left="331" w:right="160" w:hanging="331"/>
        <w:spacing w:after="0" w:line="291" w:lineRule="auto"/>
        <w:tabs>
          <w:tab w:leader="none" w:pos="32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other factors discussed in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in our Annual Report on Form 10-K available at www.crc.com.</w:t>
      </w:r>
    </w:p>
    <w:p>
      <w:pPr>
        <w:spacing w:after="0" w:line="1357" w:lineRule="exact"/>
        <w:rPr>
          <w:sz w:val="20"/>
          <w:szCs w:val="20"/>
          <w:color w:val="auto"/>
        </w:rPr>
      </w:pPr>
    </w:p>
    <w:p>
      <w:pPr>
        <w:sectPr>
          <w:pgSz w:w="11900" w:h="16838" w:orient="portrait"/>
          <w:cols w:equalWidth="0" w:num="2">
            <w:col w:w="5509" w:space="720"/>
            <w:col w:w="4911"/>
          </w:cols>
          <w:pgMar w:left="320" w:top="908" w:right="439" w:bottom="1440" w:gutter="0" w:footer="0" w:header="0"/>
        </w:sectPr>
      </w:pPr>
    </w:p>
    <w:p>
      <w:pPr>
        <w:spacing w:after="0" w:line="27"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33"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This report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type w:val="continuous"/>
        </w:sectPr>
      </w:pPr>
    </w:p>
    <w:bookmarkStart w:id="45" w:name="page46"/>
    <w:bookmarkEnd w:id="45"/>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 xml:space="preserve">For the three and nine months ended September 30, 2021,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2020 Annual Report, except as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74"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 xml:space="preserve">Our financial results are sensitive to fluctuations in oil, NGL and natural gas prices. To mitigate some of the risk inherent in the downward movement in oil prices, we may enter into various derivative instruments to hedge commodity price risk. The primary market risk relating to our derivative contracts relates to fluctuations in market prices as compared to the fixed contract price for a notional amount of our production. As of September 30, 2021, we had net liabilities of $418 million for our derivative commodity positions which are carried at fair value, using industry-standard models with various inputs, including the forward curve for the relevant price index. For more information on our derivative positions as of September 30, 2021, refer to </w:t>
      </w:r>
      <w:r>
        <w:rPr>
          <w:rFonts w:ascii="Arial" w:cs="Arial" w:eastAsia="Arial" w:hAnsi="Arial"/>
          <w:sz w:val="18"/>
          <w:szCs w:val="18"/>
          <w:i w:val="1"/>
          <w:iCs w:val="1"/>
          <w:color w:val="auto"/>
        </w:rPr>
        <w:t>Part I, Item 1 – Financial Statements, Note 9 Derivatives.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March 2018, we entered into derivative contracts that limit our interest-rate exposure with respect to a notional amount of $ 1.3 billion of variable-rate indebtedness. The interest-rate contracts reset monthly and require the counterparties to pay any excess interest owed on such amount in the event the one-month LIBOR exceeds 2.75% for any monthly period prior to May 4, 2021. The contracts expired on May 4, 2021. We did not report any gains or losses on these contracts for the nine months ended September 30, 2021 or September 30, 2020. No settlement payments were received in either 2021 or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7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continuously monitor their financial health.</w:t>
      </w:r>
    </w:p>
    <w:p>
      <w:pPr>
        <w:spacing w:after="0" w:line="23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 of September 30, 2021, the majority of the credit exposures related to our business was with investment-grade counterparties. We believe exposure to counterparty credit-related losses related to our business at September 30, 2021 was not material and losses associated with counterparty credit risk have been insignificant for all periods presented.</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74"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Our Chief Executive Officer and our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September 30, 2021.</w:t>
      </w:r>
    </w:p>
    <w:p>
      <w:pPr>
        <w:spacing w:after="0" w:line="16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September 30, 2021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6" w:name="page47"/>
    <w:bookmarkEnd w:id="46"/>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8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2020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2020 Annual Report. There were no material changes to those risk factors during the nine months ended September 30, 2021.</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4"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Our Board of Directors authorized a Share Repurchase Program to acquire up to $250 million of our common stock through June 30, 2022.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 repurchase activity for the three months ended September 30, 2021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8"/>
                <w:szCs w:val="18"/>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of Shares</w:t>
            </w:r>
          </w:p>
        </w:tc>
        <w:tc>
          <w:tcPr>
            <w:tcW w:w="11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rPr>
              <w:t>Price Paid</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5"/>
                <w:szCs w:val="15"/>
                <w:color w:val="auto"/>
              </w:rPr>
            </w:pPr>
          </w:p>
        </w:tc>
        <w:tc>
          <w:tcPr>
            <w:tcW w:w="2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per Share</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2021 - July 31, 2021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August 1, 2021 - August 31, 2021</w:t>
            </w:r>
          </w:p>
        </w:tc>
        <w:tc>
          <w:tcPr>
            <w:tcW w:w="1240" w:type="dxa"/>
            <w:vAlign w:val="bottom"/>
          </w:tcPr>
          <w:p>
            <w:pPr>
              <w:jc w:val="right"/>
              <w:spacing w:after="0"/>
              <w:rPr>
                <w:sz w:val="20"/>
                <w:szCs w:val="20"/>
                <w:color w:val="auto"/>
              </w:rPr>
            </w:pPr>
            <w:r>
              <w:rPr>
                <w:rFonts w:ascii="Arial" w:cs="Arial" w:eastAsia="Arial" w:hAnsi="Arial"/>
                <w:sz w:val="18"/>
                <w:szCs w:val="18"/>
                <w:color w:val="auto"/>
              </w:rPr>
              <w:t>710,270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710,270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2021 - September 30,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1,151,596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1,151,596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 dollar value of shares that may yet be purchased under the Share Repurchase Program totaled $166 million as of September 30, 2021.</w:t>
      </w:r>
    </w:p>
    <w:p>
      <w:pPr>
        <w:spacing w:after="0" w:line="2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94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900" w:type="dxa"/>
            <w:vAlign w:val="bottom"/>
          </w:tcPr>
          <w:p>
            <w:pPr>
              <w:ind w:left="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720" w:type="dxa"/>
            <w:vAlign w:val="bottom"/>
            <w:tcBorders>
              <w:bottom w:val="single" w:sz="8" w:color="0000FF"/>
            </w:tcBorders>
            <w:gridSpan w:val="7"/>
          </w:tcPr>
          <w:p>
            <w:pPr>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Amended and Restated Certificate of Incorporation of California Resources Corporation (filed as Exhibit 3.1 to Registrant’s</w:t>
              </w:r>
            </w:hyperlink>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Registration Statement on Form 8-A filed October 27, 2020 and incorporated herein by reference).</w:t>
              </w:r>
            </w:hyperlink>
          </w:p>
        </w:tc>
        <w:tc>
          <w:tcPr>
            <w:tcW w:w="1900" w:type="dxa"/>
            <w:vAlign w:val="bottom"/>
            <w:gridSpan w:val="2"/>
          </w:tcPr>
          <w:p>
            <w:pPr>
              <w:spacing w:after="0"/>
              <w:rPr>
                <w:sz w:val="15"/>
                <w:szCs w:val="15"/>
                <w:color w:val="auto"/>
              </w:rPr>
            </w:pPr>
          </w:p>
        </w:tc>
      </w:tr>
      <w:tr>
        <w:trPr>
          <w:trHeight w:val="290"/>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500" w:type="dxa"/>
            <w:vAlign w:val="bottom"/>
            <w:tcBorders>
              <w:bottom w:val="single" w:sz="8" w:color="0000FF"/>
            </w:tcBorders>
            <w:gridSpan w:val="6"/>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Amended and Restated Bylaws of California Resources Corporation (filed as Exhibit 3.2 to the Registrant’s Registration</w:t>
              </w:r>
            </w:hyperlink>
          </w:p>
        </w:tc>
        <w:tc>
          <w:tcPr>
            <w:tcW w:w="22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20" w:type="dxa"/>
            <w:vAlign w:val="bottom"/>
            <w:gridSpan w:val="7"/>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Statement on Form 8-A filed October 27, 2020 and incorporated herein by reference).</w:t>
              </w:r>
            </w:hyperlink>
          </w:p>
        </w:tc>
      </w:tr>
      <w:tr>
        <w:trPr>
          <w:trHeight w:val="277"/>
        </w:trPr>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4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of CEO Pursuant to Section 302 of the Sarbanes-Oxley Act of 2002.</w:t>
              </w:r>
            </w:hyperlink>
          </w:p>
        </w:tc>
        <w:tc>
          <w:tcPr>
            <w:tcW w:w="380" w:type="dxa"/>
            <w:vAlign w:val="bottom"/>
            <w:tcBorders>
              <w:top w:val="single" w:sz="8" w:color="0000FF"/>
            </w:tcBorders>
          </w:tcPr>
          <w:p>
            <w:pPr>
              <w:spacing w:after="0"/>
              <w:rPr>
                <w:sz w:val="24"/>
                <w:szCs w:val="24"/>
                <w:color w:val="auto"/>
              </w:rPr>
            </w:pPr>
          </w:p>
        </w:tc>
        <w:tc>
          <w:tcPr>
            <w:tcW w:w="2920" w:type="dxa"/>
            <w:vAlign w:val="bottom"/>
            <w:gridSpan w:val="4"/>
          </w:tcPr>
          <w:p>
            <w:pPr>
              <w:spacing w:after="0"/>
              <w:rPr>
                <w:sz w:val="24"/>
                <w:szCs w:val="24"/>
                <w:color w:val="auto"/>
              </w:rPr>
            </w:pPr>
          </w:p>
        </w:tc>
      </w:tr>
      <w:tr>
        <w:trPr>
          <w:trHeight w:val="263"/>
        </w:trPr>
        <w:tc>
          <w:tcPr>
            <w:tcW w:w="900" w:type="dxa"/>
            <w:vAlign w:val="bottom"/>
          </w:tcPr>
          <w:p>
            <w:pPr>
              <w:ind w:left="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2"/>
                <w:szCs w:val="22"/>
                <w:color w:val="auto"/>
              </w:rPr>
            </w:pPr>
          </w:p>
        </w:tc>
        <w:tc>
          <w:tcPr>
            <w:tcW w:w="9720" w:type="dxa"/>
            <w:vAlign w:val="bottom"/>
            <w:gridSpan w:val="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CFO Pursuant to Section 302 of the Sarbanes-Oxley Act of 2002.</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2"/>
                <w:szCs w:val="22"/>
                <w:color w:val="auto"/>
              </w:rPr>
            </w:pPr>
          </w:p>
        </w:tc>
        <w:tc>
          <w:tcPr>
            <w:tcW w:w="9720" w:type="dxa"/>
            <w:vAlign w:val="bottom"/>
            <w:gridSpan w:val="7"/>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Certifications of CEO and CFO Pursuant to Section 906 of the Sarbanes-Oxley Act of 2002.</w:t>
              </w:r>
            </w:hyperlink>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72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2440" w:type="dxa"/>
            <w:vAlign w:val="bottom"/>
            <w:gridSpan w:val="3"/>
          </w:tcPr>
          <w:p>
            <w:pPr>
              <w:spacing w:after="0"/>
              <w:rPr>
                <w:sz w:val="24"/>
                <w:szCs w:val="24"/>
                <w:color w:val="auto"/>
              </w:rPr>
            </w:pP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4"/>
        </w:trPr>
        <w:tc>
          <w:tcPr>
            <w:tcW w:w="900" w:type="dxa"/>
            <w:vAlign w:val="bottom"/>
          </w:tcPr>
          <w:p>
            <w:pPr>
              <w:ind w:left="20"/>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67" w:lineRule="exact"/>
        <w:rPr>
          <w:sz w:val="20"/>
          <w:szCs w:val="20"/>
          <w:color w:val="auto"/>
        </w:rPr>
      </w:pPr>
    </w:p>
    <w:p>
      <w:pPr>
        <w:ind w:left="1120" w:hanging="1094"/>
        <w:spacing w:after="0"/>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herewith</w:t>
      </w:r>
    </w:p>
    <w:p>
      <w:pPr>
        <w:spacing w:after="0" w:line="200" w:lineRule="exact"/>
        <w:rPr>
          <w:sz w:val="20"/>
          <w:szCs w:val="20"/>
          <w:color w:val="auto"/>
        </w:rPr>
      </w:pPr>
    </w:p>
    <w:p>
      <w:pPr>
        <w:spacing w:after="0" w:line="34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886" w:right="7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40" w:type="dxa"/>
            <w:vAlign w:val="bottom"/>
            <w:gridSpan w:val="2"/>
          </w:tcPr>
          <w:p>
            <w:pPr>
              <w:ind w:left="780"/>
              <w:spacing w:after="0"/>
              <w:rPr>
                <w:sz w:val="20"/>
                <w:szCs w:val="20"/>
                <w:color w:val="auto"/>
              </w:rPr>
            </w:pPr>
            <w:r>
              <w:rPr>
                <w:rFonts w:ascii="Arial" w:cs="Arial" w:eastAsia="Arial" w:hAnsi="Arial"/>
                <w:sz w:val="18"/>
                <w:szCs w:val="18"/>
                <w:color w:val="auto"/>
              </w:rPr>
              <w:t>CALIFORNIA RESOURCES CORPORATION</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240"/>
              <w:spacing w:after="0"/>
              <w:rPr>
                <w:sz w:val="20"/>
                <w:szCs w:val="20"/>
                <w:color w:val="auto"/>
              </w:rPr>
            </w:pPr>
            <w:r>
              <w:rPr>
                <w:rFonts w:ascii="Arial" w:cs="Arial" w:eastAsia="Arial" w:hAnsi="Arial"/>
                <w:sz w:val="18"/>
                <w:szCs w:val="18"/>
                <w:color w:val="auto"/>
              </w:rPr>
              <w:t>November 12, 2021</w:t>
            </w:r>
          </w:p>
        </w:tc>
        <w:tc>
          <w:tcPr>
            <w:tcW w:w="78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Noelle M. Repetti</w:t>
            </w:r>
          </w:p>
        </w:tc>
      </w:tr>
      <w:tr>
        <w:trPr>
          <w:trHeight w:val="223"/>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Noelle M. Repetti</w:t>
            </w:r>
          </w:p>
        </w:tc>
      </w:tr>
      <w:tr>
        <w:trPr>
          <w:trHeight w:val="230"/>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Vice President and Controller</w:t>
            </w:r>
          </w:p>
        </w:tc>
      </w:tr>
      <w:tr>
        <w:trPr>
          <w:trHeight w:val="229"/>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88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I, Mark A. (Mac) McFarland, certify that:</w:t>
      </w:r>
    </w:p>
    <w:p>
      <w:pPr>
        <w:spacing w:after="0" w:line="358"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660" w:right="360" w:hanging="328"/>
        <w:spacing w:after="0" w:line="248"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7"/>
          <w:szCs w:val="17"/>
          <w:color w:val="auto"/>
        </w:rPr>
      </w:pPr>
    </w:p>
    <w:p>
      <w:pPr>
        <w:ind w:left="660" w:right="360" w:hanging="328"/>
        <w:spacing w:after="0" w:line="254"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7"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12, 2021</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8255</wp:posOffset>
            </wp:positionV>
            <wp:extent cx="2828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Mark A. (Mac) McFarland</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2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31"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54"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Arial" w:cs="Arial" w:eastAsia="Arial" w:hAnsi="Arial"/>
          <w:sz w:val="17"/>
          <w:szCs w:val="17"/>
          <w:color w:val="auto"/>
        </w:rPr>
      </w:pPr>
    </w:p>
    <w:p>
      <w:pPr>
        <w:ind w:left="660" w:right="360" w:hanging="652"/>
        <w:spacing w:after="0" w:line="248"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7"/>
          <w:szCs w:val="17"/>
          <w:color w:val="auto"/>
        </w:rPr>
      </w:pPr>
    </w:p>
    <w:p>
      <w:pPr>
        <w:ind w:left="660" w:right="360" w:hanging="652"/>
        <w:spacing w:after="0" w:line="254"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12, 2021</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8255</wp:posOffset>
            </wp:positionV>
            <wp:extent cx="28803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8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28"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September 30, 2021, as filed with the Securities and Exchange Commission on November 12, 2021 (the “Report”), Mark A. (Mac) McFarland,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21"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(Mac) McFarland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A. (Mac) McFarland</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November 12, 2021</w:t>
            </w:r>
          </w:p>
        </w:tc>
      </w:tr>
      <w:tr>
        <w:trPr>
          <w:trHeight w:val="351"/>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November 12, 2021</w:t>
            </w:r>
          </w:p>
        </w:tc>
      </w:tr>
    </w:tbl>
    <w:p>
      <w:pPr>
        <w:spacing w:after="0" w:line="200" w:lineRule="exact"/>
        <w:rPr>
          <w:sz w:val="20"/>
          <w:szCs w:val="20"/>
          <w:color w:val="auto"/>
        </w:rPr>
      </w:pPr>
    </w:p>
    <w:p>
      <w:pPr>
        <w:spacing w:after="0" w:line="218"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76"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endash "/>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0" Type="http://schemas.openxmlformats.org/officeDocument/2006/relationships/hyperlink" Target="http://www.sec.gov/Archives/edgar/data/1609253/000160925320000137/a8aex31.htm" TargetMode="External"/><Relationship Id="rId71" Type="http://schemas.openxmlformats.org/officeDocument/2006/relationships/hyperlink" Target="http://www.sec.gov/Archives/edgar/data/1609253/000160925320000137/a8a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2021-11-12T20:19:21Z</dcterms:created>
  <dcterms:modified xsi:type="dcterms:W3CDTF">2021-11-12T20:19:21Z</dcterms:modified>
</cp:coreProperties>
</file>