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Preston Michael L.</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27200 TOURNEY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CRCQQ</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Sr EVP, Chief Admin Ofcr &amp; GC</w:t>
      </w:r>
    </w:p>
    <w:p>
      <w:pPr>
        <w:spacing w:after="0" w:line="333"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91355</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CLARITA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10/27/2020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60,509</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line="320" w:lineRule="exact"/>
              <w:rPr>
                <w:sz w:val="20"/>
                <w:szCs w:val="20"/>
                <w:color w:val="auto"/>
              </w:rPr>
            </w:pP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number of shares of Common Stock owned as of October 27, 2020.</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13, 2020, an order confirming the plan of reorganization (the "Plan") of the Issuer and certain of its affiliates was entered by the United States Bankruptcy Court for the Southern District of Texas, Houston Division. On October 27, 2020, the Plan became effective and under its terms all of the Issuer's equity was cancelled.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1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10/27/2020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Michael L. Preston</w:t>
            </w:r>
          </w:p>
        </w:tc>
        <w:tc>
          <w:tcPr>
            <w:tcW w:w="4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2072"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2020-10-27T20:39:37Z</dcterms:created>
  <dcterms:modified xsi:type="dcterms:W3CDTF">2020-10-27T20:39:37Z</dcterms:modified>
</cp:coreProperties>
</file>