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October 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158750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CALIFORNIA RESOURCES CORPORATION</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sectPr>
      </w:pPr>
    </w:p>
    <w:p>
      <w:pPr>
        <w:spacing w:after="0" w:line="200" w:lineRule="exact"/>
        <w:rPr>
          <w:sz w:val="24"/>
          <w:szCs w:val="24"/>
          <w:color w:val="auto"/>
        </w:rPr>
      </w:pPr>
    </w:p>
    <w:p>
      <w:pPr>
        <w:spacing w:after="0" w:line="312"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2"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001-36478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46-5670947</w:t>
      </w:r>
    </w:p>
    <w:p>
      <w:pPr>
        <w:spacing w:after="0" w:line="24" w:lineRule="exact"/>
        <w:rPr>
          <w:sz w:val="24"/>
          <w:szCs w:val="24"/>
          <w:color w:val="auto"/>
        </w:rPr>
      </w:pPr>
    </w:p>
    <w:p>
      <w:pPr>
        <w:sectPr>
          <w:pgSz w:w="11900" w:h="16838" w:orient="portrait"/>
          <w:cols w:equalWidth="0" w:num="3">
            <w:col w:w="4500" w:space="720"/>
            <w:col w:w="2880" w:space="720"/>
            <w:col w:w="2200"/>
          </w:cols>
          <w:pgMar w:left="440" w:top="376" w:right="439" w:bottom="1440" w:gutter="0" w:footer="0" w:header="0"/>
          <w:type w:val="continuous"/>
        </w:sectPr>
      </w:pP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0" w:space="720"/>
            <w:col w:w="2760" w:space="720"/>
            <w:col w:w="2340"/>
          </w:cols>
          <w:pgMar w:left="440" w:top="376" w:right="439" w:bottom="1440" w:gutter="0" w:footer="0" w:header="0"/>
          <w:type w:val="continuous"/>
        </w:sectPr>
      </w:pPr>
    </w:p>
    <w:p>
      <w:pPr>
        <w:spacing w:after="0" w:line="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1 World Trade Center, Suite 1500</w:t>
      </w:r>
    </w:p>
    <w:p>
      <w:pPr>
        <w:spacing w:after="0" w:line="4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Long Beach, California</w:t>
      </w:r>
    </w:p>
    <w:p>
      <w:pPr>
        <w:spacing w:after="0" w:line="20" w:lineRule="exact"/>
        <w:rPr>
          <w:sz w:val="24"/>
          <w:szCs w:val="24"/>
          <w:color w:val="auto"/>
        </w:rPr>
      </w:pPr>
      <w:r>
        <w:rPr>
          <w:sz w:val="24"/>
          <w:szCs w:val="24"/>
          <w:color w:val="auto"/>
        </w:rPr>
        <w:br w:type="column"/>
      </w:r>
    </w:p>
    <w:p>
      <w:pPr>
        <w:spacing w:after="0" w:line="2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90831</w:t>
      </w:r>
    </w:p>
    <w:p>
      <w:pPr>
        <w:spacing w:after="0" w:line="43" w:lineRule="exact"/>
        <w:rPr>
          <w:sz w:val="24"/>
          <w:szCs w:val="24"/>
          <w:color w:val="auto"/>
        </w:rPr>
      </w:pPr>
    </w:p>
    <w:p>
      <w:pPr>
        <w:sectPr>
          <w:pgSz w:w="11900" w:h="16838" w:orient="portrait"/>
          <w:cols w:equalWidth="0" w:num="2">
            <w:col w:w="7400" w:space="720"/>
            <w:col w:w="2900"/>
          </w:cols>
          <w:pgMar w:left="440" w:top="376" w:right="439" w:bottom="1440" w:gutter="0" w:footer="0" w:header="0"/>
          <w:type w:val="continuous"/>
        </w:sectPr>
      </w:pPr>
    </w:p>
    <w:p>
      <w:pPr>
        <w:ind w:left="15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300" w:space="720"/>
            <w:col w:w="3000"/>
          </w:cols>
          <w:pgMar w:left="440" w:top="376" w:right="4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(888) 848-4754</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 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182880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CRC</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4" w:lineRule="exact"/>
        <w:rPr>
          <w:sz w:val="24"/>
          <w:szCs w:val="24"/>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right="16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jc w:val="both"/>
        <w:ind w:left="4" w:right="140" w:firstLine="440"/>
        <w:spacing w:after="0" w:line="258" w:lineRule="auto"/>
        <w:rPr>
          <w:sz w:val="20"/>
          <w:szCs w:val="20"/>
          <w:color w:val="auto"/>
        </w:rPr>
      </w:pPr>
      <w:r>
        <w:rPr>
          <w:rFonts w:ascii="Times New Roman" w:cs="Times New Roman" w:eastAsia="Times New Roman" w:hAnsi="Times New Roman"/>
          <w:sz w:val="18"/>
          <w:szCs w:val="18"/>
          <w:color w:val="auto"/>
        </w:rPr>
        <w:t>On October 8, 2025, California Resources Corporation (the “Company”) completed its previously announced private offering of $400.0 million aggregate principal amount of its 7.000% senior notes due 2034 (the “Notes”). The terms of the Notes are governed by the Indenture (the “Indenture”), dated as of October 8, 2025, by and among the Company, the guarantors party thereto (the “Guarantors”) and Wilmington Trust, National Association, as trustee (the “Trustee”). The Notes will mature on January 15, 2034. Interest will accrue from October 8, 2025 and will be payable semi-annually on January 15 and July 15 of each year, commencing July 15, 2026.</w:t>
      </w:r>
    </w:p>
    <w:p>
      <w:pPr>
        <w:spacing w:after="0" w:line="183" w:lineRule="exact"/>
        <w:rPr>
          <w:sz w:val="20"/>
          <w:szCs w:val="20"/>
          <w:color w:val="auto"/>
        </w:rPr>
      </w:pPr>
    </w:p>
    <w:p>
      <w:pPr>
        <w:ind w:left="4" w:right="60" w:firstLine="440"/>
        <w:spacing w:after="0" w:line="255" w:lineRule="auto"/>
        <w:rPr>
          <w:sz w:val="20"/>
          <w:szCs w:val="20"/>
          <w:color w:val="auto"/>
        </w:rPr>
      </w:pPr>
      <w:r>
        <w:rPr>
          <w:rFonts w:ascii="Times New Roman" w:cs="Times New Roman" w:eastAsia="Times New Roman" w:hAnsi="Times New Roman"/>
          <w:sz w:val="18"/>
          <w:szCs w:val="18"/>
          <w:color w:val="auto"/>
        </w:rPr>
        <w:t>The Notes are guaranteed on a senior unsecured basis by all of the Company’s existing subsidiaries that guarantee its obligations under its revolving credit facility, its existing 7.125% Senior Notes due 2026 and its existing 8.250% Senior Notes due 2029, and the Notes will be guaranteed by certain of the Company’s future subsidiaries. Following the consummation of the Company’s pending business combination (the “Berry Merger”) with Berry Corporation (bry) (“Berry”), the Notes will be guaranteed by all of the entities that become guarantors under the revolving credit facility, the existing 7.125% Senior Notes due 2026 and the existing 8.250% Senior Notes due 2029 in connection of the consummation of the Berry Merger. The Notes and the guarantees thereof are unsecured, rank equally in right of payment with all senior unsecured debt of the Company and the Guarantors and rank senior to all of the existing and future subordinated debt of the Company and the Guarantors.</w:t>
      </w:r>
    </w:p>
    <w:p>
      <w:pPr>
        <w:spacing w:after="0" w:line="189" w:lineRule="exact"/>
        <w:rPr>
          <w:sz w:val="20"/>
          <w:szCs w:val="20"/>
          <w:color w:val="auto"/>
        </w:rPr>
      </w:pPr>
    </w:p>
    <w:p>
      <w:pPr>
        <w:ind w:left="4" w:firstLine="440"/>
        <w:spacing w:after="0" w:line="272" w:lineRule="auto"/>
        <w:rPr>
          <w:sz w:val="20"/>
          <w:szCs w:val="20"/>
          <w:color w:val="auto"/>
        </w:rPr>
      </w:pPr>
      <w:r>
        <w:rPr>
          <w:rFonts w:ascii="Times New Roman" w:cs="Times New Roman" w:eastAsia="Times New Roman" w:hAnsi="Times New Roman"/>
          <w:sz w:val="17"/>
          <w:szCs w:val="17"/>
          <w:color w:val="auto"/>
        </w:rPr>
        <w:t>The Notes are subject to a special mandatory redemption at a redemption price equal to 100% of the initial issue price of the Notes plus accrued and unpaid interest to, but excluding, the payment date of such mandatory redemption, if (x) the Berry Merger does not occur on or before March 14, 2026 (subject to up to two three-month extensions by either the Company or Berry upon written notice in certain circumstances) (the “Outside Date”), or</w:t>
      </w:r>
    </w:p>
    <w:p>
      <w:pPr>
        <w:spacing w:after="0" w:line="2" w:lineRule="exact"/>
        <w:rPr>
          <w:sz w:val="20"/>
          <w:szCs w:val="20"/>
          <w:color w:val="auto"/>
        </w:rPr>
      </w:pPr>
    </w:p>
    <w:p>
      <w:pPr>
        <w:ind w:left="4" w:right="220" w:hanging="4"/>
        <w:spacing w:after="0" w:line="255" w:lineRule="auto"/>
        <w:tabs>
          <w:tab w:leader="none" w:pos="25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thereto, the Company notifies the Trustee in writing that (i) the merger agreement related to the Berry Merger (the “Merger Agreement”) has been terminated or (ii) the Company will not pursue the consummation of the Berry Merger or has determined in its sole discretion that the Berry Merger cannot or is not reasonably likely to be consummated by the Outside Date.</w:t>
      </w:r>
    </w:p>
    <w:p>
      <w:pPr>
        <w:spacing w:after="0" w:line="186"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t>The Company may, at its option, redeem some or all of the Notes at any time on or after January 15, 2029 at the redemption prices specified in the Indenture. Prior to such time, the Company may, at its option, redeem up to 40% of the aggregate principal amount of the Notes with an amount of cash not greater than the net cash proceeds from certain equity offerings at the redemption price specified in the Indenture. In addition, before January 15, 2029, the Company may redeem some or all of the Notes at a redemption price equal to 100% of the aggregate principal amount of the Notes redeemed, plus the applicable premium as specified in the Indenture and accrued and unpaid interest, if any, to, but excluding, the redemption date. If the Company experiences certain kinds of change of control trigger events, the Company will be required to offer to repurchase the Notes at 101% of the aggregate principal amount of the Notes repurchased, plus accrued and unpaid interest, if any, on the Notes repurchased to, but excluding, the date of purchase. The Indenture contains other customary terms, events of default and covenants.</w:t>
      </w:r>
    </w:p>
    <w:p>
      <w:pPr>
        <w:spacing w:after="0" w:line="192" w:lineRule="exact"/>
        <w:rPr>
          <w:sz w:val="20"/>
          <w:szCs w:val="20"/>
          <w:color w:val="auto"/>
        </w:rPr>
      </w:pPr>
    </w:p>
    <w:p>
      <w:pPr>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The above description of the Indenture is not complete and is qualified in its entirety by reference to the full text of the Indenture, which is filed as Exhibit 4.1 hereto and incorporated by reference herein.</w:t>
      </w:r>
    </w:p>
    <w:p>
      <w:pPr>
        <w:spacing w:after="0" w:line="306"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8"/>
          <w:szCs w:val="18"/>
          <w:b w:val="1"/>
          <w:bCs w:val="1"/>
          <w:color w:val="auto"/>
        </w:rPr>
        <w:t>Creation of a Direct Financial Obligation or an Obligation under an Off-Balance Sheet Arrangement.</w:t>
      </w:r>
    </w:p>
    <w:p>
      <w:pPr>
        <w:spacing w:after="0" w:line="121" w:lineRule="exact"/>
        <w:rPr>
          <w:sz w:val="20"/>
          <w:szCs w:val="20"/>
          <w:color w:val="auto"/>
        </w:rPr>
      </w:pPr>
    </w:p>
    <w:p>
      <w:pPr>
        <w:ind w:left="4" w:right="320" w:firstLine="440"/>
        <w:spacing w:after="0" w:line="282" w:lineRule="auto"/>
        <w:rPr>
          <w:sz w:val="20"/>
          <w:szCs w:val="20"/>
          <w:color w:val="auto"/>
        </w:rPr>
      </w:pPr>
      <w:r>
        <w:rPr>
          <w:rFonts w:ascii="Times New Roman" w:cs="Times New Roman" w:eastAsia="Times New Roman" w:hAnsi="Times New Roman"/>
          <w:sz w:val="18"/>
          <w:szCs w:val="18"/>
          <w:color w:val="auto"/>
        </w:rPr>
        <w:t>The information provided under Item 1.01 in this Current Report on Form 8-K regarding the Notes, the Indenture and the related guarantees is incorporated by reference into this Item 2.03.</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Information and Where to Find It</w:t>
      </w:r>
    </w:p>
    <w:p>
      <w:pPr>
        <w:spacing w:after="0" w:line="121"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color w:val="auto"/>
        </w:rPr>
        <w:t>In connection with the Berry Merger, the Company will file with the Securities and Exchange Commission (the “SEC”) a registration statement on Form S-4 that will be filed by the Company (the “Registration Statement”), which will include a proxy statement of Berry that also constitutes a prospectus of the Company, and any other documents in connection with the Berry Merger. The definitive proxy statement/prospectus will be sent to the holders of common stock of Berry. Investors and stockholders of the Company and Berry are urged to read the proxy statement/prospectus and any other documents filed or to be filed with the SEC in connection with the Berry Merger when they become available, as they will contain important information about the Company, Berry, the Berry Merger and related matters. The Registration Statement and proxy statement/prospectus and other documents filed by the Company or Berry with the SEC, when filed, will be available free of charge at the SEC’s website at https://www.sec.gov. Alternatively, investors and stockholders may obtain free copies of documents that are filed or will be filed with the SEC by the Company, including the Registration Statement and the proxy statement/prospectus, on the Company’s website at https://www.crc.com/investor-relations, and may obtain free copies of documents that are filed or will be filed with the SEC by Berry, including the proxy statement/prospectus, on Berry’s website at https://ir.bry.com/reports-resources. The information included on, or accessible through, the Company’s or Berry’s website is not incorporated by reference into this communication.</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93"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Participants in Solicitation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and certain of its directors, executive officers and other employees, and Berry and its directors and certain of Berry’s executive officers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other employees, may be deemed to be participants in the solicitation of proxies from Berry’s stockholders in connection with the Berry Merger.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description of participants’ direct or indirect interests, by security holdings or otherwise, will be included in the proxy statement/prospectus relating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Berry Merger when it is filed with the SEC. Information regarding the Company’s directors and executive officers is contained in the “Board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and Corporate Governance,” “Compensation Discussion and Analysis,” “Executive Compensation Tables,” “Director Compensation,”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Ownership Information,” and “Proposals Requiring Your Vote – Proposal 1: Election of Directors” sections of the Company’s definitive proxy statement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Company’s 2025 Annual Meeting of Stockholders, filed with the SEC on March 19, 2025; under the heading “Directors, Executive Officers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Governance” in Part III, Item 10 of CRC’s Annual Report on Form 10-K for the fiscal year ended December 31, 2024, filed with the SEC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 2025; in Item 5.07 of the Company’s Current Report on Form 8-K filed with the SEC on May 6, 2025; in the Company’s Current Reports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8-K filed with the SEC on June 23, 2025 and November 25, 2024; and under “Our Team” accessed through the “Our Business” link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website at https://www.crc.com/our-business/our-team. Information regarding Berry’s directors and executive officers is contained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No. 1—Election of Directors,” “Corporate Governance,” “Executive Officers,” “Executive Compensation – Compensation Discussion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Analysis,” “Director Compensation,” “Security Ownership of Certain Beneficial Owners and Management,” and “Certain Relationships and Related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Transactions” sections of Berry’s definitive proxy statement for its 2025 annual meeting of stockholders, filed with the SEC on April 7,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heading “Directors, Executive Officers and Corporate Governance” in Part III, Item 10 of Berry’s Annual Report on Form 10-K for the fiscal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December 31, 2024, filed with the SEC on March 13, 2025; in Item 5.07 of Berry’s Current Report on Form 8-K filed with the SEC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22, 2025; in Berry’s Current Reports on Form 8-K filed with the SEC on January 22, 2025 and October 25, 2024; and under “Leadership” accessed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through the “About” link on Berry’s website at https://bry.com/about/management/. Additional information regarding ownership of Berry’s securities by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directors and executive officers and of CRC’s securities by its directors and executive officers is included in such persons’ SEC filings on Forms 3, 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5, which are available at https://www.sec.gov/cgi-bin/own-disp?action=getissuer&amp;CIK=0001705873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https://www.sec.gov/cgi-bin/own-disp?action=getissuer&amp;CIK=0001609253, respectively. These documents and the other SEC filings described in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paragraph may be obtained free of charge as described above under the heading “Additional Information and Where to Find It.”</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93" w:right="479" w:bottom="1440" w:gutter="0" w:footer="0" w:header="0"/>
        </w:sectPr>
      </w:pPr>
    </w:p>
    <w:bookmarkStart w:id="3" w:name="page4"/>
    <w:bookmarkEnd w:id="3"/>
    <w:tbl>
      <w:tblPr>
        <w:tblLayout w:type="fixed"/>
        <w:tblInd w:w="4" w:type="dxa"/>
        <w:tblCellMar>
          <w:top w:w="0" w:type="dxa"/>
          <w:left w:w="0" w:type="dxa"/>
          <w:bottom w:w="0" w:type="dxa"/>
          <w:right w:w="0" w:type="dxa"/>
        </w:tblCellMar>
      </w:tblPr>
      <w:tr>
        <w:trPr>
          <w:trHeight w:val="238"/>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682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70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4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420" w:type="dxa"/>
            <w:vAlign w:val="bottom"/>
          </w:tcPr>
          <w:p>
            <w:pPr>
              <w:spacing w:after="0"/>
              <w:rPr>
                <w:sz w:val="15"/>
                <w:szCs w:val="15"/>
                <w:color w:val="auto"/>
              </w:rPr>
            </w:pPr>
          </w:p>
        </w:tc>
        <w:tc>
          <w:tcPr>
            <w:tcW w:w="6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420" w:type="dxa"/>
            <w:vAlign w:val="bottom"/>
          </w:tcPr>
          <w:p>
            <w:pPr>
              <w:spacing w:after="0"/>
              <w:rPr>
                <w:sz w:val="24"/>
                <w:szCs w:val="24"/>
                <w:color w:val="auto"/>
              </w:rPr>
            </w:pPr>
          </w:p>
        </w:tc>
        <w:tc>
          <w:tcPr>
            <w:tcW w:w="68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Indenture, dated October 8, 2025, by and among the Company, the Guarantors and the Trustee.</w:t>
            </w:r>
          </w:p>
        </w:tc>
        <w:tc>
          <w:tcPr>
            <w:tcW w:w="0" w:type="dxa"/>
            <w:vAlign w:val="bottom"/>
          </w:tcPr>
          <w:p>
            <w:pPr>
              <w:spacing w:after="0"/>
              <w:rPr>
                <w:sz w:val="1"/>
                <w:szCs w:val="1"/>
                <w:color w:val="auto"/>
              </w:rPr>
            </w:pPr>
          </w:p>
        </w:tc>
      </w:tr>
    </w:tbl>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ind w:left="5464" w:right="3319" w:hanging="5464"/>
        <w:spacing w:after="0" w:line="454" w:lineRule="auto"/>
        <w:tabs>
          <w:tab w:leader="none" w:pos="87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4</w:t>
      </w:r>
    </w:p>
    <w:p>
      <w:pPr>
        <w:sectPr>
          <w:pgSz w:w="11900" w:h="16838" w:orient="portrait"/>
          <w:cols w:equalWidth="0" w:num="1">
            <w:col w:w="10023"/>
          </w:cols>
          <w:pgMar w:left="436" w:top="293" w:right="1440" w:bottom="1440" w:gutter="0" w:footer="0" w:header="0"/>
        </w:sectPr>
      </w:pPr>
    </w:p>
    <w:bookmarkStart w:id="4" w:name="page5"/>
    <w:bookmarkEnd w:id="4"/>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California Resources Corporation</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Michael L. Preston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Michael L. Preston</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7"/>
          <w:szCs w:val="17"/>
          <w:color w:val="auto"/>
        </w:rPr>
        <w:t>Executive Vice President, Chief Strategy Officer and</w:t>
      </w:r>
    </w:p>
    <w:p>
      <w:pPr>
        <w:spacing w:after="0" w:line="21"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General Counsel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8, 2025</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780"/>
          </w:cols>
          <w:pgMar w:left="440" w:top="293" w:right="67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20"/>
          <w:szCs w:val="20"/>
          <w:color w:val="auto"/>
        </w:rPr>
        <w:t>CALIFORNIA RESOURCES CORPORATION</w:t>
      </w:r>
    </w:p>
    <w:p>
      <w:pPr>
        <w:spacing w:after="0" w:line="220"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AND EACH OF THE GUARANTORS PARTY HERETO</w:t>
      </w:r>
    </w:p>
    <w:p>
      <w:pPr>
        <w:spacing w:after="0" w:line="225"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7.000% SENIOR NOTES DUE 2034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240030</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INDENTURE</w:t>
      </w:r>
    </w:p>
    <w:p>
      <w:pPr>
        <w:spacing w:after="0" w:line="225"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Dated as of October 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248920</wp:posOffset>
            </wp:positionV>
            <wp:extent cx="14744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9"/>
          <w:szCs w:val="19"/>
          <w:color w:val="auto"/>
        </w:rPr>
        <w:t>WILMINGTON TRUST, NATIONAL ASSOCIATION,</w:t>
      </w:r>
    </w:p>
    <w:p>
      <w:pPr>
        <w:spacing w:after="0" w:line="23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240030</wp:posOffset>
            </wp:positionV>
            <wp:extent cx="1474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7740" w:type="dxa"/>
            <w:vAlign w:val="bottom"/>
          </w:tcPr>
          <w:p>
            <w:pPr>
              <w:ind w:left="3500"/>
              <w:spacing w:after="0"/>
              <w:rPr>
                <w:sz w:val="20"/>
                <w:szCs w:val="20"/>
                <w:color w:val="auto"/>
              </w:rPr>
            </w:pPr>
            <w:r>
              <w:rPr>
                <w:rFonts w:ascii="Times New Roman" w:cs="Times New Roman" w:eastAsia="Times New Roman" w:hAnsi="Times New Roman"/>
                <w:sz w:val="18"/>
                <w:szCs w:val="18"/>
                <w:color w:val="auto"/>
              </w:rPr>
              <w:t>TABLE OF CONTENTS</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8"/>
        </w:trPr>
        <w:tc>
          <w:tcPr>
            <w:tcW w:w="1100" w:type="dxa"/>
            <w:vAlign w:val="bottom"/>
          </w:tcPr>
          <w:p>
            <w:pPr>
              <w:spacing w:after="0"/>
              <w:rPr>
                <w:sz w:val="24"/>
                <w:szCs w:val="24"/>
                <w:color w:val="auto"/>
              </w:rPr>
            </w:pPr>
          </w:p>
        </w:tc>
        <w:tc>
          <w:tcPr>
            <w:tcW w:w="7740" w:type="dxa"/>
            <w:vAlign w:val="bottom"/>
            <w:vMerge w:val="restart"/>
          </w:tcPr>
          <w:p>
            <w:pPr>
              <w:jc w:val="center"/>
              <w:ind w:left="930"/>
              <w:spacing w:after="0"/>
              <w:rPr>
                <w:sz w:val="20"/>
                <w:szCs w:val="20"/>
                <w:color w:val="auto"/>
              </w:rPr>
            </w:pPr>
            <w:r>
              <w:rPr>
                <w:rFonts w:ascii="Times New Roman" w:cs="Times New Roman" w:eastAsia="Times New Roman" w:hAnsi="Times New Roman"/>
                <w:sz w:val="18"/>
                <w:szCs w:val="18"/>
                <w:color w:val="auto"/>
                <w:w w:val="98"/>
              </w:rPr>
              <w:t>ARTICLE 1</w:t>
            </w: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Page</w:t>
            </w:r>
          </w:p>
        </w:tc>
        <w:tc>
          <w:tcPr>
            <w:tcW w:w="0" w:type="dxa"/>
            <w:vAlign w:val="bottom"/>
          </w:tcPr>
          <w:p>
            <w:pPr>
              <w:spacing w:after="0"/>
              <w:rPr>
                <w:sz w:val="1"/>
                <w:szCs w:val="1"/>
                <w:color w:val="auto"/>
              </w:rPr>
            </w:pPr>
          </w:p>
        </w:tc>
      </w:tr>
      <w:tr>
        <w:trPr>
          <w:trHeight w:val="181"/>
        </w:trPr>
        <w:tc>
          <w:tcPr>
            <w:tcW w:w="1100" w:type="dxa"/>
            <w:vAlign w:val="bottom"/>
          </w:tcPr>
          <w:p>
            <w:pPr>
              <w:spacing w:after="0"/>
              <w:rPr>
                <w:sz w:val="15"/>
                <w:szCs w:val="15"/>
                <w:color w:val="auto"/>
              </w:rPr>
            </w:pPr>
          </w:p>
        </w:tc>
        <w:tc>
          <w:tcPr>
            <w:tcW w:w="7740" w:type="dxa"/>
            <w:vAlign w:val="bottom"/>
            <w:vMerge w:val="continue"/>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774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DEFINITIONS AND INCORPORATION</w:t>
            </w: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774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BY REFERENCE</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Definitions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1.02</w:t>
            </w:r>
          </w:p>
        </w:tc>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Definitions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1.03</w:t>
            </w:r>
          </w:p>
        </w:tc>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Incorporation by Reference of Trust Indenture Act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1.04</w:t>
            </w:r>
          </w:p>
        </w:tc>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Rules of Construction</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1.05</w:t>
            </w:r>
          </w:p>
        </w:tc>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Limited Condition Transactions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306"/>
        </w:trPr>
        <w:tc>
          <w:tcPr>
            <w:tcW w:w="1100" w:type="dxa"/>
            <w:vAlign w:val="bottom"/>
          </w:tcPr>
          <w:p>
            <w:pPr>
              <w:spacing w:after="0"/>
              <w:rPr>
                <w:sz w:val="24"/>
                <w:szCs w:val="24"/>
                <w:color w:val="auto"/>
              </w:rPr>
            </w:pPr>
          </w:p>
        </w:tc>
        <w:tc>
          <w:tcPr>
            <w:tcW w:w="774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8"/>
              </w:rPr>
              <w:t>ARTICLE 2</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774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rPr>
              <w:t>THE NOTES</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2.01</w:t>
            </w:r>
          </w:p>
        </w:tc>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Form and Dating</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2.02</w:t>
            </w:r>
          </w:p>
        </w:tc>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Execution and Authentication</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2.03</w:t>
            </w:r>
          </w:p>
        </w:tc>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Registrar and Paying Agent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2.04</w:t>
            </w:r>
          </w:p>
        </w:tc>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Paying Agent to Hold Money in Trust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2.05</w:t>
            </w:r>
          </w:p>
        </w:tc>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Holder Lists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2.06</w:t>
            </w:r>
          </w:p>
        </w:tc>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Transfer and Exchange</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2.07</w:t>
            </w:r>
          </w:p>
        </w:tc>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Replacement Notes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2.08</w:t>
            </w:r>
          </w:p>
        </w:tc>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Outstanding Notes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2.09</w:t>
            </w:r>
          </w:p>
        </w:tc>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Treasury Notes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2.10</w:t>
            </w:r>
          </w:p>
        </w:tc>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Temporary Notes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2.11</w:t>
            </w:r>
          </w:p>
        </w:tc>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Cancellation</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2.12</w:t>
            </w:r>
          </w:p>
        </w:tc>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Defaulted Interest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2.13</w:t>
            </w:r>
          </w:p>
        </w:tc>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Issuance of Additional Notes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2.14</w:t>
            </w:r>
          </w:p>
        </w:tc>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Computation of Interest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2.15</w:t>
            </w:r>
          </w:p>
        </w:tc>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CUSIP Number</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306"/>
        </w:trPr>
        <w:tc>
          <w:tcPr>
            <w:tcW w:w="1100" w:type="dxa"/>
            <w:vAlign w:val="bottom"/>
          </w:tcPr>
          <w:p>
            <w:pPr>
              <w:spacing w:after="0"/>
              <w:rPr>
                <w:sz w:val="24"/>
                <w:szCs w:val="24"/>
                <w:color w:val="auto"/>
              </w:rPr>
            </w:pPr>
          </w:p>
        </w:tc>
        <w:tc>
          <w:tcPr>
            <w:tcW w:w="774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8"/>
              </w:rPr>
              <w:t>ARTICLE 3</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774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8"/>
              </w:rPr>
              <w:t>REDEMPTION AND PREPAYMENT</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3.01</w:t>
            </w:r>
          </w:p>
        </w:tc>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Notices to Trustee</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3.02</w:t>
            </w:r>
          </w:p>
        </w:tc>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Selection of Notes to Be Redeemed</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3.03</w:t>
            </w:r>
          </w:p>
        </w:tc>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Notice of Redemption</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3.04</w:t>
            </w:r>
          </w:p>
        </w:tc>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Effect of Notice of Redemption</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3.05</w:t>
            </w:r>
          </w:p>
        </w:tc>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Deposit of Redemption Price</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3.06</w:t>
            </w:r>
          </w:p>
        </w:tc>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Notes Redeemed in Part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3.07</w:t>
            </w:r>
          </w:p>
        </w:tc>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Special Mandatory Redemption</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3.08</w:t>
            </w:r>
          </w:p>
        </w:tc>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Optional Redemption</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3.09</w:t>
            </w:r>
          </w:p>
        </w:tc>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Mandatory Redemption</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3.10</w:t>
            </w:r>
          </w:p>
        </w:tc>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Offer to Purchase by Application of Excess Proceeds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306"/>
        </w:trPr>
        <w:tc>
          <w:tcPr>
            <w:tcW w:w="1100" w:type="dxa"/>
            <w:vAlign w:val="bottom"/>
          </w:tcPr>
          <w:p>
            <w:pPr>
              <w:spacing w:after="0"/>
              <w:rPr>
                <w:sz w:val="24"/>
                <w:szCs w:val="24"/>
                <w:color w:val="auto"/>
              </w:rPr>
            </w:pPr>
          </w:p>
        </w:tc>
        <w:tc>
          <w:tcPr>
            <w:tcW w:w="774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8"/>
              </w:rPr>
              <w:t>ARTICLE 4</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774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COVENANTS</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4.01</w:t>
            </w:r>
          </w:p>
        </w:tc>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 of Notes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4.02</w:t>
            </w:r>
          </w:p>
        </w:tc>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Maintenance of Office or Agency</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4.03</w:t>
            </w:r>
          </w:p>
        </w:tc>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Reports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4.04</w:t>
            </w:r>
          </w:p>
        </w:tc>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Compliance Certificate</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4.05</w:t>
            </w:r>
          </w:p>
        </w:tc>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Taxes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70" w:right="4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3"/>
                <w:szCs w:val="13"/>
                <w:color w:val="auto"/>
              </w:rPr>
            </w:pPr>
          </w:p>
        </w:tc>
        <w:tc>
          <w:tcPr>
            <w:tcW w:w="8100" w:type="dxa"/>
            <w:vAlign w:val="bottom"/>
          </w:tcPr>
          <w:p>
            <w:pPr>
              <w:spacing w:after="0"/>
              <w:rPr>
                <w:sz w:val="13"/>
                <w:szCs w:val="13"/>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Page</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4.06</w:t>
            </w:r>
          </w:p>
        </w:tc>
        <w:tc>
          <w:tcPr>
            <w:tcW w:w="8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Stay, Extension and Usury Laws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4.07</w:t>
            </w:r>
          </w:p>
        </w:tc>
        <w:tc>
          <w:tcPr>
            <w:tcW w:w="8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Payments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4.08</w:t>
            </w:r>
          </w:p>
        </w:tc>
        <w:tc>
          <w:tcPr>
            <w:tcW w:w="8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Dividend and Other Payment Restrictions Affecting Restricted Subsidiaries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4.09</w:t>
            </w:r>
          </w:p>
        </w:tc>
        <w:tc>
          <w:tcPr>
            <w:tcW w:w="8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Incurrence of Indebtedness and Issuance of Preferred Stock</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4.10</w:t>
            </w:r>
          </w:p>
        </w:tc>
        <w:tc>
          <w:tcPr>
            <w:tcW w:w="8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Asset Sales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4.11</w:t>
            </w:r>
          </w:p>
        </w:tc>
        <w:tc>
          <w:tcPr>
            <w:tcW w:w="8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Transactions with Affiliates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4.12</w:t>
            </w:r>
          </w:p>
        </w:tc>
        <w:tc>
          <w:tcPr>
            <w:tcW w:w="8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Liens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4.13</w:t>
            </w:r>
          </w:p>
        </w:tc>
        <w:tc>
          <w:tcPr>
            <w:tcW w:w="8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[Reserved]</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4.14</w:t>
            </w:r>
          </w:p>
        </w:tc>
        <w:tc>
          <w:tcPr>
            <w:tcW w:w="8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Organizational Existence</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4.15</w:t>
            </w:r>
          </w:p>
        </w:tc>
        <w:tc>
          <w:tcPr>
            <w:tcW w:w="8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Offer to Repurchase Upon Change of Control Triggering Event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4.16</w:t>
            </w:r>
          </w:p>
        </w:tc>
        <w:tc>
          <w:tcPr>
            <w:tcW w:w="8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Guarantees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4.17</w:t>
            </w:r>
          </w:p>
        </w:tc>
        <w:tc>
          <w:tcPr>
            <w:tcW w:w="8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Designation of Restricted and Unrestricted Subsidiaries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4.18</w:t>
            </w:r>
          </w:p>
        </w:tc>
        <w:tc>
          <w:tcPr>
            <w:tcW w:w="8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Covenant Termination</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306"/>
        </w:trPr>
        <w:tc>
          <w:tcPr>
            <w:tcW w:w="1100" w:type="dxa"/>
            <w:vAlign w:val="bottom"/>
          </w:tcPr>
          <w:p>
            <w:pPr>
              <w:spacing w:after="0"/>
              <w:rPr>
                <w:sz w:val="24"/>
                <w:szCs w:val="24"/>
                <w:color w:val="auto"/>
              </w:rPr>
            </w:pPr>
          </w:p>
        </w:tc>
        <w:tc>
          <w:tcPr>
            <w:tcW w:w="810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8"/>
              </w:rPr>
              <w:t>ARTICLE 5</w:t>
            </w:r>
          </w:p>
        </w:tc>
        <w:tc>
          <w:tcPr>
            <w:tcW w:w="1760" w:type="dxa"/>
            <w:vAlign w:val="bottom"/>
          </w:tcPr>
          <w:p>
            <w:pPr>
              <w:spacing w:after="0"/>
              <w:rPr>
                <w:sz w:val="24"/>
                <w:szCs w:val="24"/>
                <w:color w:val="auto"/>
              </w:rPr>
            </w:pPr>
          </w:p>
        </w:tc>
      </w:tr>
      <w:tr>
        <w:trPr>
          <w:trHeight w:val="234"/>
        </w:trPr>
        <w:tc>
          <w:tcPr>
            <w:tcW w:w="1100" w:type="dxa"/>
            <w:vAlign w:val="bottom"/>
          </w:tcPr>
          <w:p>
            <w:pPr>
              <w:spacing w:after="0"/>
              <w:rPr>
                <w:sz w:val="20"/>
                <w:szCs w:val="20"/>
                <w:color w:val="auto"/>
              </w:rPr>
            </w:pPr>
          </w:p>
        </w:tc>
        <w:tc>
          <w:tcPr>
            <w:tcW w:w="810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SUCCESSORS</w:t>
            </w:r>
          </w:p>
        </w:tc>
        <w:tc>
          <w:tcPr>
            <w:tcW w:w="1760" w:type="dxa"/>
            <w:vAlign w:val="bottom"/>
          </w:tcPr>
          <w:p>
            <w:pPr>
              <w:spacing w:after="0"/>
              <w:rPr>
                <w:sz w:val="20"/>
                <w:szCs w:val="20"/>
                <w:color w:val="auto"/>
              </w:rPr>
            </w:pPr>
          </w:p>
        </w:tc>
      </w:tr>
      <w:tr>
        <w:trPr>
          <w:trHeight w:val="30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5.01</w:t>
            </w:r>
          </w:p>
        </w:tc>
        <w:tc>
          <w:tcPr>
            <w:tcW w:w="8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Merger, Consolidation or Sale of Assets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5.02</w:t>
            </w:r>
          </w:p>
        </w:tc>
        <w:tc>
          <w:tcPr>
            <w:tcW w:w="8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Successor Issuer Substituted</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306"/>
        </w:trPr>
        <w:tc>
          <w:tcPr>
            <w:tcW w:w="1100" w:type="dxa"/>
            <w:vAlign w:val="bottom"/>
          </w:tcPr>
          <w:p>
            <w:pPr>
              <w:spacing w:after="0"/>
              <w:rPr>
                <w:sz w:val="24"/>
                <w:szCs w:val="24"/>
                <w:color w:val="auto"/>
              </w:rPr>
            </w:pPr>
          </w:p>
        </w:tc>
        <w:tc>
          <w:tcPr>
            <w:tcW w:w="810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8"/>
              </w:rPr>
              <w:t>ARTICLE 6</w:t>
            </w:r>
          </w:p>
        </w:tc>
        <w:tc>
          <w:tcPr>
            <w:tcW w:w="1760" w:type="dxa"/>
            <w:vAlign w:val="bottom"/>
          </w:tcPr>
          <w:p>
            <w:pPr>
              <w:spacing w:after="0"/>
              <w:rPr>
                <w:sz w:val="24"/>
                <w:szCs w:val="24"/>
                <w:color w:val="auto"/>
              </w:rPr>
            </w:pPr>
          </w:p>
        </w:tc>
      </w:tr>
      <w:tr>
        <w:trPr>
          <w:trHeight w:val="234"/>
        </w:trPr>
        <w:tc>
          <w:tcPr>
            <w:tcW w:w="1100" w:type="dxa"/>
            <w:vAlign w:val="bottom"/>
          </w:tcPr>
          <w:p>
            <w:pPr>
              <w:spacing w:after="0"/>
              <w:rPr>
                <w:sz w:val="20"/>
                <w:szCs w:val="20"/>
                <w:color w:val="auto"/>
              </w:rPr>
            </w:pPr>
          </w:p>
        </w:tc>
        <w:tc>
          <w:tcPr>
            <w:tcW w:w="810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DEFAULTS AND REMEDIES</w:t>
            </w:r>
          </w:p>
        </w:tc>
        <w:tc>
          <w:tcPr>
            <w:tcW w:w="1760" w:type="dxa"/>
            <w:vAlign w:val="bottom"/>
          </w:tcPr>
          <w:p>
            <w:pPr>
              <w:spacing w:after="0"/>
              <w:rPr>
                <w:sz w:val="20"/>
                <w:szCs w:val="20"/>
                <w:color w:val="auto"/>
              </w:rPr>
            </w:pPr>
          </w:p>
        </w:tc>
      </w:tr>
      <w:tr>
        <w:trPr>
          <w:trHeight w:val="30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6.01</w:t>
            </w:r>
          </w:p>
        </w:tc>
        <w:tc>
          <w:tcPr>
            <w:tcW w:w="8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Events of Default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6.02</w:t>
            </w:r>
          </w:p>
        </w:tc>
        <w:tc>
          <w:tcPr>
            <w:tcW w:w="8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Acceleration</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6.03</w:t>
            </w:r>
          </w:p>
        </w:tc>
        <w:tc>
          <w:tcPr>
            <w:tcW w:w="8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Remedies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6.04</w:t>
            </w:r>
          </w:p>
        </w:tc>
        <w:tc>
          <w:tcPr>
            <w:tcW w:w="8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Waiver of Past Defaults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6.05</w:t>
            </w:r>
          </w:p>
        </w:tc>
        <w:tc>
          <w:tcPr>
            <w:tcW w:w="8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Control by Majority</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6.06</w:t>
            </w:r>
          </w:p>
        </w:tc>
        <w:tc>
          <w:tcPr>
            <w:tcW w:w="8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Limitation on Suits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6.07</w:t>
            </w:r>
          </w:p>
        </w:tc>
        <w:tc>
          <w:tcPr>
            <w:tcW w:w="8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Rights of Holders of Notes to Receive Payment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6.08</w:t>
            </w:r>
          </w:p>
        </w:tc>
        <w:tc>
          <w:tcPr>
            <w:tcW w:w="8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Collection Suit by Trustee</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6.09</w:t>
            </w:r>
          </w:p>
        </w:tc>
        <w:tc>
          <w:tcPr>
            <w:tcW w:w="8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Trustee May File Proofs of Claim</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6.10</w:t>
            </w:r>
          </w:p>
        </w:tc>
        <w:tc>
          <w:tcPr>
            <w:tcW w:w="8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Priorities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6.11</w:t>
            </w:r>
          </w:p>
        </w:tc>
        <w:tc>
          <w:tcPr>
            <w:tcW w:w="8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Undertaking for Costs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306"/>
        </w:trPr>
        <w:tc>
          <w:tcPr>
            <w:tcW w:w="1100" w:type="dxa"/>
            <w:vAlign w:val="bottom"/>
          </w:tcPr>
          <w:p>
            <w:pPr>
              <w:spacing w:after="0"/>
              <w:rPr>
                <w:sz w:val="24"/>
                <w:szCs w:val="24"/>
                <w:color w:val="auto"/>
              </w:rPr>
            </w:pPr>
          </w:p>
        </w:tc>
        <w:tc>
          <w:tcPr>
            <w:tcW w:w="810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8"/>
              </w:rPr>
              <w:t>ARTICLE 7</w:t>
            </w:r>
          </w:p>
        </w:tc>
        <w:tc>
          <w:tcPr>
            <w:tcW w:w="1760" w:type="dxa"/>
            <w:vAlign w:val="bottom"/>
          </w:tcPr>
          <w:p>
            <w:pPr>
              <w:spacing w:after="0"/>
              <w:rPr>
                <w:sz w:val="24"/>
                <w:szCs w:val="24"/>
                <w:color w:val="auto"/>
              </w:rPr>
            </w:pPr>
          </w:p>
        </w:tc>
      </w:tr>
      <w:tr>
        <w:trPr>
          <w:trHeight w:val="234"/>
        </w:trPr>
        <w:tc>
          <w:tcPr>
            <w:tcW w:w="1100" w:type="dxa"/>
            <w:vAlign w:val="bottom"/>
          </w:tcPr>
          <w:p>
            <w:pPr>
              <w:spacing w:after="0"/>
              <w:rPr>
                <w:sz w:val="20"/>
                <w:szCs w:val="20"/>
                <w:color w:val="auto"/>
              </w:rPr>
            </w:pPr>
          </w:p>
        </w:tc>
        <w:tc>
          <w:tcPr>
            <w:tcW w:w="810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rPr>
              <w:t>TRUSTEE</w:t>
            </w:r>
          </w:p>
        </w:tc>
        <w:tc>
          <w:tcPr>
            <w:tcW w:w="1760" w:type="dxa"/>
            <w:vAlign w:val="bottom"/>
          </w:tcPr>
          <w:p>
            <w:pPr>
              <w:spacing w:after="0"/>
              <w:rPr>
                <w:sz w:val="20"/>
                <w:szCs w:val="20"/>
                <w:color w:val="auto"/>
              </w:rPr>
            </w:pPr>
          </w:p>
        </w:tc>
      </w:tr>
      <w:tr>
        <w:trPr>
          <w:trHeight w:val="30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7.01</w:t>
            </w:r>
          </w:p>
        </w:tc>
        <w:tc>
          <w:tcPr>
            <w:tcW w:w="8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Duties of Trustee</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7.02</w:t>
            </w:r>
          </w:p>
        </w:tc>
        <w:tc>
          <w:tcPr>
            <w:tcW w:w="8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Rights of Trustee</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7.03</w:t>
            </w:r>
          </w:p>
        </w:tc>
        <w:tc>
          <w:tcPr>
            <w:tcW w:w="8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Individual Rights of Trustee</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7.04</w:t>
            </w:r>
          </w:p>
        </w:tc>
        <w:tc>
          <w:tcPr>
            <w:tcW w:w="8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Trustee’s Disclaimer</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7.05</w:t>
            </w:r>
          </w:p>
        </w:tc>
        <w:tc>
          <w:tcPr>
            <w:tcW w:w="8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Notice of Defaults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7.06</w:t>
            </w:r>
          </w:p>
        </w:tc>
        <w:tc>
          <w:tcPr>
            <w:tcW w:w="8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[Reserved]</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7.07</w:t>
            </w:r>
          </w:p>
        </w:tc>
        <w:tc>
          <w:tcPr>
            <w:tcW w:w="8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Compensation and Indemnity</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7.08</w:t>
            </w:r>
          </w:p>
        </w:tc>
        <w:tc>
          <w:tcPr>
            <w:tcW w:w="8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Replacement of Trustee</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7.09</w:t>
            </w:r>
          </w:p>
        </w:tc>
        <w:tc>
          <w:tcPr>
            <w:tcW w:w="8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Successor Trustee by Merger, etc.</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7.10</w:t>
            </w:r>
          </w:p>
        </w:tc>
        <w:tc>
          <w:tcPr>
            <w:tcW w:w="8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Eligibility; Disqualification</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306"/>
        </w:trPr>
        <w:tc>
          <w:tcPr>
            <w:tcW w:w="1100" w:type="dxa"/>
            <w:vAlign w:val="bottom"/>
          </w:tcPr>
          <w:p>
            <w:pPr>
              <w:spacing w:after="0"/>
              <w:rPr>
                <w:sz w:val="24"/>
                <w:szCs w:val="24"/>
                <w:color w:val="auto"/>
              </w:rPr>
            </w:pPr>
          </w:p>
        </w:tc>
        <w:tc>
          <w:tcPr>
            <w:tcW w:w="810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8"/>
              </w:rPr>
              <w:t>ARTICLE 8</w:t>
            </w:r>
          </w:p>
        </w:tc>
        <w:tc>
          <w:tcPr>
            <w:tcW w:w="1760" w:type="dxa"/>
            <w:vAlign w:val="bottom"/>
          </w:tcPr>
          <w:p>
            <w:pPr>
              <w:spacing w:after="0"/>
              <w:rPr>
                <w:sz w:val="24"/>
                <w:szCs w:val="24"/>
                <w:color w:val="auto"/>
              </w:rPr>
            </w:pPr>
          </w:p>
        </w:tc>
      </w:tr>
      <w:tr>
        <w:trPr>
          <w:trHeight w:val="234"/>
        </w:trPr>
        <w:tc>
          <w:tcPr>
            <w:tcW w:w="1100" w:type="dxa"/>
            <w:vAlign w:val="bottom"/>
          </w:tcPr>
          <w:p>
            <w:pPr>
              <w:spacing w:after="0"/>
              <w:rPr>
                <w:sz w:val="20"/>
                <w:szCs w:val="20"/>
                <w:color w:val="auto"/>
              </w:rPr>
            </w:pPr>
          </w:p>
        </w:tc>
        <w:tc>
          <w:tcPr>
            <w:tcW w:w="810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LEGAL DEFEASANCE AND COVENANT DEFEASANCE</w:t>
            </w:r>
          </w:p>
        </w:tc>
        <w:tc>
          <w:tcPr>
            <w:tcW w:w="1760" w:type="dxa"/>
            <w:vAlign w:val="bottom"/>
          </w:tcPr>
          <w:p>
            <w:pPr>
              <w:spacing w:after="0"/>
              <w:rPr>
                <w:sz w:val="20"/>
                <w:szCs w:val="20"/>
                <w:color w:val="auto"/>
              </w:rPr>
            </w:pPr>
          </w:p>
        </w:tc>
      </w:tr>
      <w:tr>
        <w:trPr>
          <w:trHeight w:val="30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8.01</w:t>
            </w:r>
          </w:p>
        </w:tc>
        <w:tc>
          <w:tcPr>
            <w:tcW w:w="8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Option to Effect Legal Defeasance or Covenant Defeasance</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8.02</w:t>
            </w:r>
          </w:p>
        </w:tc>
        <w:tc>
          <w:tcPr>
            <w:tcW w:w="8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Legal Defeasance and Discharge</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8.03</w:t>
            </w:r>
          </w:p>
        </w:tc>
        <w:tc>
          <w:tcPr>
            <w:tcW w:w="8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Covenant Defeasance</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57" w:right="4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836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Page</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8.04</w:t>
            </w: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Conditions to Legal or Covenant Defeasance</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8.05</w:t>
            </w: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Deposited Money and Government Securities to be Held in Trust; Other Miscellaneous Provisions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8.06</w:t>
            </w: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Repayment to Issuer</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8.07</w:t>
            </w: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Reinstatement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306"/>
        </w:trPr>
        <w:tc>
          <w:tcPr>
            <w:tcW w:w="1140" w:type="dxa"/>
            <w:vAlign w:val="bottom"/>
          </w:tcPr>
          <w:p>
            <w:pPr>
              <w:spacing w:after="0"/>
              <w:rPr>
                <w:sz w:val="24"/>
                <w:szCs w:val="24"/>
                <w:color w:val="auto"/>
              </w:rPr>
            </w:pPr>
          </w:p>
        </w:tc>
        <w:tc>
          <w:tcPr>
            <w:tcW w:w="83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ARTICLE 9</w:t>
            </w:r>
          </w:p>
        </w:tc>
        <w:tc>
          <w:tcPr>
            <w:tcW w:w="1460" w:type="dxa"/>
            <w:vAlign w:val="bottom"/>
          </w:tcPr>
          <w:p>
            <w:pPr>
              <w:spacing w:after="0"/>
              <w:rPr>
                <w:sz w:val="24"/>
                <w:szCs w:val="24"/>
                <w:color w:val="auto"/>
              </w:rPr>
            </w:pPr>
          </w:p>
        </w:tc>
      </w:tr>
      <w:tr>
        <w:trPr>
          <w:trHeight w:val="234"/>
        </w:trPr>
        <w:tc>
          <w:tcPr>
            <w:tcW w:w="1140" w:type="dxa"/>
            <w:vAlign w:val="bottom"/>
          </w:tcPr>
          <w:p>
            <w:pPr>
              <w:spacing w:after="0"/>
              <w:rPr>
                <w:sz w:val="20"/>
                <w:szCs w:val="20"/>
                <w:color w:val="auto"/>
              </w:rPr>
            </w:pPr>
          </w:p>
        </w:tc>
        <w:tc>
          <w:tcPr>
            <w:tcW w:w="83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AMENDMENT, SUPPLEMENT AND WAIVER</w:t>
            </w:r>
          </w:p>
        </w:tc>
        <w:tc>
          <w:tcPr>
            <w:tcW w:w="1460" w:type="dxa"/>
            <w:vAlign w:val="bottom"/>
          </w:tcPr>
          <w:p>
            <w:pPr>
              <w:spacing w:after="0"/>
              <w:rPr>
                <w:sz w:val="20"/>
                <w:szCs w:val="20"/>
                <w:color w:val="auto"/>
              </w:rPr>
            </w:pPr>
          </w:p>
        </w:tc>
      </w:tr>
      <w:tr>
        <w:trPr>
          <w:trHeight w:val="30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9.01</w:t>
            </w: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Without Consent of Holders of Notes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9.02</w:t>
            </w: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With Consent of Holders of Notes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9.03</w:t>
            </w: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Revocation and Effect of Consents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9.04</w:t>
            </w: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Notation on or Exchange of Notes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9.05</w:t>
            </w: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Trustee to Sign Amendments, etc.</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9.06</w:t>
            </w: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Effect of Supplemental Indentures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306"/>
        </w:trPr>
        <w:tc>
          <w:tcPr>
            <w:tcW w:w="1140" w:type="dxa"/>
            <w:vAlign w:val="bottom"/>
          </w:tcPr>
          <w:p>
            <w:pPr>
              <w:spacing w:after="0"/>
              <w:rPr>
                <w:sz w:val="24"/>
                <w:szCs w:val="24"/>
                <w:color w:val="auto"/>
              </w:rPr>
            </w:pPr>
          </w:p>
        </w:tc>
        <w:tc>
          <w:tcPr>
            <w:tcW w:w="83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7"/>
              </w:rPr>
              <w:t>ARTICLE 10</w:t>
            </w:r>
          </w:p>
        </w:tc>
        <w:tc>
          <w:tcPr>
            <w:tcW w:w="1460" w:type="dxa"/>
            <w:vAlign w:val="bottom"/>
          </w:tcPr>
          <w:p>
            <w:pPr>
              <w:spacing w:after="0"/>
              <w:rPr>
                <w:sz w:val="24"/>
                <w:szCs w:val="24"/>
                <w:color w:val="auto"/>
              </w:rPr>
            </w:pPr>
          </w:p>
        </w:tc>
      </w:tr>
      <w:tr>
        <w:trPr>
          <w:trHeight w:val="234"/>
        </w:trPr>
        <w:tc>
          <w:tcPr>
            <w:tcW w:w="1140" w:type="dxa"/>
            <w:vAlign w:val="bottom"/>
          </w:tcPr>
          <w:p>
            <w:pPr>
              <w:spacing w:after="0"/>
              <w:rPr>
                <w:sz w:val="20"/>
                <w:szCs w:val="20"/>
                <w:color w:val="auto"/>
              </w:rPr>
            </w:pPr>
          </w:p>
        </w:tc>
        <w:tc>
          <w:tcPr>
            <w:tcW w:w="83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GUARANTEES</w:t>
            </w:r>
          </w:p>
        </w:tc>
        <w:tc>
          <w:tcPr>
            <w:tcW w:w="1460" w:type="dxa"/>
            <w:vAlign w:val="bottom"/>
          </w:tcPr>
          <w:p>
            <w:pPr>
              <w:spacing w:after="0"/>
              <w:rPr>
                <w:sz w:val="20"/>
                <w:szCs w:val="20"/>
                <w:color w:val="auto"/>
              </w:rPr>
            </w:pPr>
          </w:p>
        </w:tc>
      </w:tr>
      <w:tr>
        <w:trPr>
          <w:trHeight w:val="30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10.01</w:t>
            </w: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Guarantee</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10.02</w:t>
            </w: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Limitation on Guarantor Liability</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10.03</w:t>
            </w: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Guarantee Evidenced by Indenture</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10.04</w:t>
            </w: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Releases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306"/>
        </w:trPr>
        <w:tc>
          <w:tcPr>
            <w:tcW w:w="1140" w:type="dxa"/>
            <w:vAlign w:val="bottom"/>
          </w:tcPr>
          <w:p>
            <w:pPr>
              <w:spacing w:after="0"/>
              <w:rPr>
                <w:sz w:val="24"/>
                <w:szCs w:val="24"/>
                <w:color w:val="auto"/>
              </w:rPr>
            </w:pPr>
          </w:p>
        </w:tc>
        <w:tc>
          <w:tcPr>
            <w:tcW w:w="83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7"/>
              </w:rPr>
              <w:t>ARTICLE 11</w:t>
            </w:r>
          </w:p>
        </w:tc>
        <w:tc>
          <w:tcPr>
            <w:tcW w:w="1460" w:type="dxa"/>
            <w:vAlign w:val="bottom"/>
          </w:tcPr>
          <w:p>
            <w:pPr>
              <w:spacing w:after="0"/>
              <w:rPr>
                <w:sz w:val="24"/>
                <w:szCs w:val="24"/>
                <w:color w:val="auto"/>
              </w:rPr>
            </w:pPr>
          </w:p>
        </w:tc>
      </w:tr>
      <w:tr>
        <w:trPr>
          <w:trHeight w:val="234"/>
        </w:trPr>
        <w:tc>
          <w:tcPr>
            <w:tcW w:w="1140" w:type="dxa"/>
            <w:vAlign w:val="bottom"/>
          </w:tcPr>
          <w:p>
            <w:pPr>
              <w:spacing w:after="0"/>
              <w:rPr>
                <w:sz w:val="20"/>
                <w:szCs w:val="20"/>
                <w:color w:val="auto"/>
              </w:rPr>
            </w:pPr>
          </w:p>
        </w:tc>
        <w:tc>
          <w:tcPr>
            <w:tcW w:w="83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SATISFACTION AND DISCHARGE</w:t>
            </w:r>
          </w:p>
        </w:tc>
        <w:tc>
          <w:tcPr>
            <w:tcW w:w="1460" w:type="dxa"/>
            <w:vAlign w:val="bottom"/>
          </w:tcPr>
          <w:p>
            <w:pPr>
              <w:spacing w:after="0"/>
              <w:rPr>
                <w:sz w:val="20"/>
                <w:szCs w:val="20"/>
                <w:color w:val="auto"/>
              </w:rPr>
            </w:pPr>
          </w:p>
        </w:tc>
      </w:tr>
      <w:tr>
        <w:trPr>
          <w:trHeight w:val="30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11.01</w:t>
            </w: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Satisfaction and Discharge</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11.02</w:t>
            </w: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Application of Trust Money</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306"/>
        </w:trPr>
        <w:tc>
          <w:tcPr>
            <w:tcW w:w="1140" w:type="dxa"/>
            <w:vAlign w:val="bottom"/>
          </w:tcPr>
          <w:p>
            <w:pPr>
              <w:spacing w:after="0"/>
              <w:rPr>
                <w:sz w:val="24"/>
                <w:szCs w:val="24"/>
                <w:color w:val="auto"/>
              </w:rPr>
            </w:pPr>
          </w:p>
        </w:tc>
        <w:tc>
          <w:tcPr>
            <w:tcW w:w="83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7"/>
              </w:rPr>
              <w:t>ARTICLE 12</w:t>
            </w:r>
          </w:p>
        </w:tc>
        <w:tc>
          <w:tcPr>
            <w:tcW w:w="1460" w:type="dxa"/>
            <w:vAlign w:val="bottom"/>
          </w:tcPr>
          <w:p>
            <w:pPr>
              <w:spacing w:after="0"/>
              <w:rPr>
                <w:sz w:val="24"/>
                <w:szCs w:val="24"/>
                <w:color w:val="auto"/>
              </w:rPr>
            </w:pPr>
          </w:p>
        </w:tc>
      </w:tr>
      <w:tr>
        <w:trPr>
          <w:trHeight w:val="234"/>
        </w:trPr>
        <w:tc>
          <w:tcPr>
            <w:tcW w:w="1140" w:type="dxa"/>
            <w:vAlign w:val="bottom"/>
          </w:tcPr>
          <w:p>
            <w:pPr>
              <w:spacing w:after="0"/>
              <w:rPr>
                <w:sz w:val="20"/>
                <w:szCs w:val="20"/>
                <w:color w:val="auto"/>
              </w:rPr>
            </w:pPr>
          </w:p>
        </w:tc>
        <w:tc>
          <w:tcPr>
            <w:tcW w:w="83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MISCELLANEOUS</w:t>
            </w:r>
          </w:p>
        </w:tc>
        <w:tc>
          <w:tcPr>
            <w:tcW w:w="1460" w:type="dxa"/>
            <w:vAlign w:val="bottom"/>
          </w:tcPr>
          <w:p>
            <w:pPr>
              <w:spacing w:after="0"/>
              <w:rPr>
                <w:sz w:val="20"/>
                <w:szCs w:val="20"/>
                <w:color w:val="auto"/>
              </w:rPr>
            </w:pPr>
          </w:p>
        </w:tc>
      </w:tr>
      <w:tr>
        <w:trPr>
          <w:trHeight w:val="30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12.01</w:t>
            </w: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[Reserved]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12.02</w:t>
            </w: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Notices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12.03</w:t>
            </w: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Benefit of Indenture</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12.04</w:t>
            </w: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Certificate and Opinion as to Conditions Precedent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12.05</w:t>
            </w: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Statements Required in Certificate or Opinion</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12.06</w:t>
            </w: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Rules by Trustee and Agents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12.07</w:t>
            </w: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Personal Liability of Directors, Officers, Employees and Members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12.08</w:t>
            </w: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Governing Law; Jurisdiction</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12.09</w:t>
            </w: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Adverse Interpretation of Other Agreements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12.10</w:t>
            </w: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Successors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12.11</w:t>
            </w: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Severability; Entire Agreement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12.12</w:t>
            </w: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Counterpart Originals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12.13</w:t>
            </w: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Table of Contents, Headings, etc.</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12.14</w:t>
            </w: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 Date Other Than a Business Day</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12.15</w:t>
            </w: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Action by Holders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12.16</w:t>
            </w: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Waiver of Jury Trial</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12.17</w:t>
            </w: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Electronic Delivery</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12.18</w:t>
            </w: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Language of Notices, Etc.</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440" w:top="257" w:right="499" w:bottom="1440" w:gutter="0" w:footer="0" w:header="0"/>
        </w:sectPr>
      </w:pPr>
    </w:p>
    <w:bookmarkStart w:id="9" w:name="page10"/>
    <w:bookmarkEnd w:id="9"/>
    <w:p>
      <w:pPr>
        <w:ind w:left="51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EXHIBITS</w:t>
      </w:r>
    </w:p>
    <w:p>
      <w:pPr>
        <w:spacing w:after="0" w:line="25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Exhibit A</w:t>
      </w:r>
      <w:r>
        <w:rPr>
          <w:sz w:val="20"/>
          <w:szCs w:val="20"/>
          <w:color w:val="auto"/>
        </w:rPr>
        <w:tab/>
      </w:r>
      <w:r>
        <w:rPr>
          <w:rFonts w:ascii="Times New Roman" w:cs="Times New Roman" w:eastAsia="Times New Roman" w:hAnsi="Times New Roman"/>
          <w:sz w:val="18"/>
          <w:szCs w:val="18"/>
          <w:color w:val="auto"/>
        </w:rPr>
        <w:t>FORM OF NOTE</w:t>
      </w:r>
    </w:p>
    <w:p>
      <w:pPr>
        <w:spacing w:after="0" w:line="27"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Exhibit B</w:t>
      </w:r>
      <w:r>
        <w:rPr>
          <w:sz w:val="20"/>
          <w:szCs w:val="20"/>
          <w:color w:val="auto"/>
        </w:rPr>
        <w:tab/>
      </w:r>
      <w:r>
        <w:rPr>
          <w:rFonts w:ascii="Times New Roman" w:cs="Times New Roman" w:eastAsia="Times New Roman" w:hAnsi="Times New Roman"/>
          <w:sz w:val="17"/>
          <w:szCs w:val="17"/>
          <w:color w:val="auto"/>
        </w:rPr>
        <w:t>FORM OF CERTIFICATE OF TRANSFER</w:t>
      </w:r>
    </w:p>
    <w:p>
      <w:pPr>
        <w:spacing w:after="0" w:line="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Exhibit C</w:t>
      </w:r>
      <w:r>
        <w:rPr>
          <w:sz w:val="20"/>
          <w:szCs w:val="20"/>
          <w:color w:val="auto"/>
        </w:rPr>
        <w:tab/>
      </w:r>
      <w:r>
        <w:rPr>
          <w:rFonts w:ascii="Times New Roman" w:cs="Times New Roman" w:eastAsia="Times New Roman" w:hAnsi="Times New Roman"/>
          <w:sz w:val="17"/>
          <w:szCs w:val="17"/>
          <w:color w:val="auto"/>
        </w:rPr>
        <w:t>FORM OF CERTIFICATE OF EXCHANGE</w:t>
      </w:r>
    </w:p>
    <w:p>
      <w:pPr>
        <w:spacing w:after="0" w:line="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Exhibit D</w:t>
      </w:r>
      <w:r>
        <w:rPr>
          <w:sz w:val="20"/>
          <w:szCs w:val="20"/>
          <w:color w:val="auto"/>
        </w:rPr>
        <w:tab/>
      </w:r>
      <w:r>
        <w:rPr>
          <w:rFonts w:ascii="Times New Roman" w:cs="Times New Roman" w:eastAsia="Times New Roman" w:hAnsi="Times New Roman"/>
          <w:sz w:val="17"/>
          <w:szCs w:val="17"/>
          <w:color w:val="auto"/>
        </w:rPr>
        <w:t>FORM OF SUPPLEMENTAL INDENTURE TO BE DELIVERED BY SUBSEQUENT GUARANTORS</w:t>
      </w:r>
    </w:p>
    <w:p>
      <w:pPr>
        <w:spacing w:after="0" w:line="13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019"/>
          </w:cols>
          <w:pgMar w:left="440" w:top="270" w:right="1440" w:bottom="1440" w:gutter="0" w:footer="0" w:header="0"/>
        </w:sectPr>
      </w:pPr>
    </w:p>
    <w:bookmarkStart w:id="10" w:name="page11"/>
    <w:bookmarkEnd w:id="10"/>
    <w:p>
      <w:pPr>
        <w:ind w:right="160" w:firstLine="440"/>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INDENTURE, dated as of October 8, 2025, among California Resources Corporation, a Delaware corporation (the “</w:t>
      </w:r>
      <w:r>
        <w:rPr>
          <w:rFonts w:ascii="Times New Roman" w:cs="Times New Roman" w:eastAsia="Times New Roman" w:hAnsi="Times New Roman"/>
          <w:sz w:val="18"/>
          <w:szCs w:val="18"/>
          <w:i w:val="1"/>
          <w:iCs w:val="1"/>
          <w:color w:val="auto"/>
        </w:rPr>
        <w:t>Issuer</w:t>
      </w:r>
      <w:r>
        <w:rPr>
          <w:rFonts w:ascii="Times New Roman" w:cs="Times New Roman" w:eastAsia="Times New Roman" w:hAnsi="Times New Roman"/>
          <w:sz w:val="18"/>
          <w:szCs w:val="18"/>
          <w:color w:val="auto"/>
        </w:rPr>
        <w:t>”), the Guarantors (as defined below) and Wilmington Trust, National Association, as trustee (the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The Issuer, the Guarantors and the Trustee agree as follows for the benefit of each other and for the equal and ratable benefit of the Holders (as defined below) of the 7.000% Senior Notes due 2034 (as further defined herein,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1</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DEFINITIONS AND INCORPORATION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BY REFERENCE</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i w:val="1"/>
          <w:iCs w:val="1"/>
          <w:color w:val="auto"/>
        </w:rPr>
        <w:t>Definitions.</w:t>
      </w:r>
    </w:p>
    <w:p>
      <w:pPr>
        <w:spacing w:after="0" w:line="225" w:lineRule="exact"/>
        <w:rPr>
          <w:sz w:val="20"/>
          <w:szCs w:val="20"/>
          <w:color w:val="auto"/>
        </w:rPr>
      </w:pPr>
    </w:p>
    <w:p>
      <w:pPr>
        <w:ind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144A Global Note</w:t>
      </w:r>
      <w:r>
        <w:rPr>
          <w:rFonts w:ascii="Times New Roman" w:cs="Times New Roman" w:eastAsia="Times New Roman" w:hAnsi="Times New Roman"/>
          <w:sz w:val="18"/>
          <w:szCs w:val="18"/>
          <w:color w:val="auto"/>
        </w:rPr>
        <w:t xml:space="preserve">” means a Global Note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bearing the Global Note Legend and the Private Placement Legend and deposited with or on behalf of, and registered in the name of, the Depositary or its nominee that will be issued in a denomination equal to the outstanding principal amount of the Notes initially sold in reliance on Rule 144A.</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Acquired Debt</w:t>
      </w:r>
      <w:r>
        <w:rPr>
          <w:rFonts w:ascii="Times New Roman" w:cs="Times New Roman" w:eastAsia="Times New Roman" w:hAnsi="Times New Roman"/>
          <w:sz w:val="18"/>
          <w:szCs w:val="18"/>
          <w:color w:val="auto"/>
        </w:rPr>
        <w:t>” means, with respect to any specified Person:</w:t>
      </w:r>
    </w:p>
    <w:p>
      <w:pPr>
        <w:spacing w:after="0" w:line="119" w:lineRule="exact"/>
        <w:rPr>
          <w:sz w:val="20"/>
          <w:szCs w:val="20"/>
          <w:color w:val="auto"/>
        </w:rPr>
      </w:pPr>
    </w:p>
    <w:p>
      <w:pPr>
        <w:ind w:left="440" w:right="120" w:firstLine="419"/>
        <w:spacing w:after="0" w:line="266" w:lineRule="auto"/>
        <w:tabs>
          <w:tab w:leader="none" w:pos="111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any other Person existing at the time such other Person is merged with or into or became a Subsidiary of such specified Person, whether or not such Indebtedness is incurred in connection with, or in contemplation of, such other Person merging with or into, or becoming a Restricted Subsidiary of, such specified Person; and</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secured by a Lien encumbering any asset acquired by such specified Person.</w:t>
      </w:r>
    </w:p>
    <w:p>
      <w:pPr>
        <w:spacing w:after="0" w:line="2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Additional Assets</w:t>
      </w:r>
      <w:r>
        <w:rPr>
          <w:rFonts w:ascii="Times New Roman" w:cs="Times New Roman" w:eastAsia="Times New Roman" w:hAnsi="Times New Roman"/>
          <w:sz w:val="18"/>
          <w:szCs w:val="18"/>
          <w:color w:val="auto"/>
        </w:rPr>
        <w:t>” means:</w:t>
      </w:r>
    </w:p>
    <w:p>
      <w:pPr>
        <w:spacing w:after="0" w:line="119" w:lineRule="exact"/>
        <w:rPr>
          <w:sz w:val="20"/>
          <w:szCs w:val="20"/>
          <w:color w:val="auto"/>
        </w:rPr>
      </w:pPr>
    </w:p>
    <w:p>
      <w:pPr>
        <w:ind w:left="1120" w:hanging="261"/>
        <w:spacing w:after="0"/>
        <w:tabs>
          <w:tab w:leader="none" w:pos="11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assets used or useful in the Oil and Gas Business, other than Indebtedness or Capital Stock;</w:t>
      </w:r>
    </w:p>
    <w:p>
      <w:pPr>
        <w:spacing w:after="0" w:line="117" w:lineRule="exact"/>
        <w:rPr>
          <w:rFonts w:ascii="Times New Roman" w:cs="Times New Roman" w:eastAsia="Times New Roman" w:hAnsi="Times New Roman"/>
          <w:sz w:val="18"/>
          <w:szCs w:val="18"/>
          <w:color w:val="auto"/>
        </w:rPr>
      </w:pPr>
    </w:p>
    <w:p>
      <w:pPr>
        <w:ind w:left="440" w:right="260" w:firstLine="419"/>
        <w:spacing w:after="0" w:line="282" w:lineRule="auto"/>
        <w:tabs>
          <w:tab w:leader="none" w:pos="111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 Stock of a Person that becomes a Restricted Subsidiary as a result of the acquisition of such Capital Stock by the Issuer or any of its Restricted Subsidiaries; or</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Stock constituting a minority interest in any Person that at such time is a Restricted Subsidiary;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any such Restricted Subsidiary described in clause (2) or (3) above is primarily engaged in the Oil and Gas Business.</w:t>
      </w:r>
    </w:p>
    <w:p>
      <w:pPr>
        <w:spacing w:after="0" w:line="225" w:lineRule="exact"/>
        <w:rPr>
          <w:sz w:val="20"/>
          <w:szCs w:val="20"/>
          <w:color w:val="auto"/>
        </w:rPr>
      </w:pPr>
    </w:p>
    <w:p>
      <w:pPr>
        <w:ind w:right="2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Additional Notes</w:t>
      </w:r>
      <w:r>
        <w:rPr>
          <w:rFonts w:ascii="Times New Roman" w:cs="Times New Roman" w:eastAsia="Times New Roman" w:hAnsi="Times New Roman"/>
          <w:sz w:val="18"/>
          <w:szCs w:val="18"/>
          <w:color w:val="auto"/>
        </w:rPr>
        <w:t>” means additional Notes (other than the Initial Notes) issued under this Indenture in accordance with Sections 2.02, 2.13 and 4.09, as part of the same series as the Initial Notes.</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80"/>
          </w:cols>
          <w:pgMar w:left="440" w:top="268" w:right="479" w:bottom="1440" w:gutter="0" w:footer="0" w:header="0"/>
        </w:sectPr>
      </w:pPr>
    </w:p>
    <w:bookmarkStart w:id="11" w:name="page12"/>
    <w:bookmarkEnd w:id="11"/>
    <w:p>
      <w:pPr>
        <w:ind w:lef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Adjusted Consolidated Net Tangible Assets</w:t>
      </w:r>
      <w:r>
        <w:rPr>
          <w:rFonts w:ascii="Times New Roman" w:cs="Times New Roman" w:eastAsia="Times New Roman" w:hAnsi="Times New Roman"/>
          <w:sz w:val="18"/>
          <w:szCs w:val="18"/>
          <w:color w:val="auto"/>
        </w:rPr>
        <w:t>” means (without duplication), as of the date of determination,</w:t>
      </w:r>
    </w:p>
    <w:p>
      <w:pPr>
        <w:spacing w:after="0" w:line="133" w:lineRule="exact"/>
        <w:rPr>
          <w:sz w:val="20"/>
          <w:szCs w:val="20"/>
          <w:color w:val="auto"/>
        </w:rPr>
      </w:pPr>
    </w:p>
    <w:p>
      <w:pPr>
        <w:ind w:left="540" w:hanging="532"/>
        <w:spacing w:after="0"/>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w:t>
      </w:r>
    </w:p>
    <w:p>
      <w:pPr>
        <w:spacing w:after="0" w:line="130" w:lineRule="exact"/>
        <w:rPr>
          <w:rFonts w:ascii="Times New Roman" w:cs="Times New Roman" w:eastAsia="Times New Roman" w:hAnsi="Times New Roman"/>
          <w:sz w:val="18"/>
          <w:szCs w:val="18"/>
          <w:color w:val="auto"/>
        </w:rPr>
      </w:pPr>
    </w:p>
    <w:p>
      <w:pPr>
        <w:ind w:left="1000" w:right="60" w:hanging="439"/>
        <w:spacing w:after="0" w:line="255" w:lineRule="auto"/>
        <w:tabs>
          <w:tab w:leader="none" w:pos="10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discounted future net revenues from proved oil and natural gas reserves of the Issuer and its Restricted Subsidiaries calculated in accordance with SEC guidelines before any state or federal income taxes, as estimated in a reserve report prepared as of the end of either the Issuer’s most recently completed fiscal year (or, if such date of determination is within 45 days after the end of such most recently completed fiscal year and no reserve report as of the end of such fiscal year has at the time been prepared, the Issuer’s second preceding fiscal year) or, at the Issuer’s option, the Issuer’s most recently completed fiscal quarter for which internal financial statements are available, as </w:t>
      </w:r>
      <w:r>
        <w:rPr>
          <w:rFonts w:ascii="Times New Roman" w:cs="Times New Roman" w:eastAsia="Times New Roman" w:hAnsi="Times New Roman"/>
          <w:sz w:val="18"/>
          <w:szCs w:val="18"/>
          <w:i w:val="1"/>
          <w:iCs w:val="1"/>
          <w:color w:val="auto"/>
        </w:rPr>
        <w:t>increased by</w:t>
      </w:r>
      <w:r>
        <w:rPr>
          <w:rFonts w:ascii="Times New Roman" w:cs="Times New Roman" w:eastAsia="Times New Roman" w:hAnsi="Times New Roman"/>
          <w:sz w:val="18"/>
          <w:szCs w:val="18"/>
          <w:color w:val="auto"/>
        </w:rPr>
        <w:t>, as of the date of determination, the estimated discounted future net revenues calculated in accordance with SEC guidelines from:</w:t>
      </w:r>
    </w:p>
    <w:p>
      <w:pPr>
        <w:spacing w:after="0" w:line="94" w:lineRule="exact"/>
        <w:rPr>
          <w:rFonts w:ascii="Times New Roman" w:cs="Times New Roman" w:eastAsia="Times New Roman" w:hAnsi="Times New Roman"/>
          <w:sz w:val="18"/>
          <w:szCs w:val="18"/>
          <w:color w:val="auto"/>
        </w:rPr>
      </w:pPr>
    </w:p>
    <w:p>
      <w:pPr>
        <w:ind w:left="1540" w:right="380" w:hanging="533"/>
        <w:spacing w:after="0" w:line="282" w:lineRule="auto"/>
        <w:tabs>
          <w:tab w:leader="none" w:pos="154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proved oil and natural gas reserves of the Issuer and its Restricted Subsidiaries acquired since the date of such year-end or quarterly reserve report, and</w:t>
      </w:r>
    </w:p>
    <w:p>
      <w:pPr>
        <w:spacing w:after="0" w:line="67" w:lineRule="exact"/>
        <w:rPr>
          <w:rFonts w:ascii="Times New Roman" w:cs="Times New Roman" w:eastAsia="Times New Roman" w:hAnsi="Times New Roman"/>
          <w:sz w:val="18"/>
          <w:szCs w:val="18"/>
          <w:color w:val="auto"/>
        </w:rPr>
      </w:pPr>
    </w:p>
    <w:p>
      <w:pPr>
        <w:ind w:left="1540" w:right="160" w:hanging="533"/>
        <w:spacing w:after="0" w:line="258" w:lineRule="auto"/>
        <w:tabs>
          <w:tab w:leader="none" w:pos="154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proved oil and natural gas reserves of the Issuer and its Restricted Subsidiaries attributable to extensions, discoveries and other additions and upward revisions of estimates of proved oil and natural gas reserves (including previously estimated development costs incurred during the period and the accretion of discount since the prior period end) since the date of such year-end or quarterly reserve report due to exploration, development or exploitation, production or other activities which would, in accordance with standard industry practice, cause such revisions,</w:t>
      </w:r>
    </w:p>
    <w:p>
      <w:pPr>
        <w:spacing w:after="0" w:line="7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i w:val="1"/>
          <w:iCs w:val="1"/>
          <w:color w:val="auto"/>
        </w:rPr>
        <w:t>decreased by</w:t>
      </w:r>
      <w:r>
        <w:rPr>
          <w:rFonts w:ascii="Times New Roman" w:cs="Times New Roman" w:eastAsia="Times New Roman" w:hAnsi="Times New Roman"/>
          <w:sz w:val="18"/>
          <w:szCs w:val="18"/>
          <w:color w:val="auto"/>
        </w:rPr>
        <w:t>, as of the date of determination, the estimated discounted future net revenue attributable to:</w:t>
      </w:r>
    </w:p>
    <w:p>
      <w:pPr>
        <w:spacing w:after="0" w:line="133" w:lineRule="exact"/>
        <w:rPr>
          <w:sz w:val="20"/>
          <w:szCs w:val="20"/>
          <w:color w:val="auto"/>
        </w:rPr>
      </w:pPr>
    </w:p>
    <w:p>
      <w:pPr>
        <w:ind w:left="1540" w:right="360" w:hanging="533"/>
        <w:spacing w:after="0" w:line="282" w:lineRule="auto"/>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proved oil and natural gas reserves of the Issuer and its Restricted Subsidiaries reflected in such reserve report produced or disposed of since the date of such year-end or quarterly reserve report, and</w:t>
      </w:r>
    </w:p>
    <w:p>
      <w:pPr>
        <w:spacing w:after="0" w:line="67" w:lineRule="exact"/>
        <w:rPr>
          <w:rFonts w:ascii="Times New Roman" w:cs="Times New Roman" w:eastAsia="Times New Roman" w:hAnsi="Times New Roman"/>
          <w:sz w:val="18"/>
          <w:szCs w:val="18"/>
          <w:color w:val="auto"/>
        </w:rPr>
      </w:pPr>
    </w:p>
    <w:p>
      <w:pPr>
        <w:ind w:left="1540" w:right="180" w:hanging="533"/>
        <w:spacing w:after="0" w:line="261" w:lineRule="auto"/>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in estimated proved oil and natural gas reserves of the Issuer and its Restricted Subsidiaries reflected in such reserve report attributable to downward revisions of estimates of proved oil and natural gas reserves since such year-end or quarterly reserve report due to changes in geological conditions or other factors which would, in accordance with standard industry practice, cause such revisions;</w:t>
      </w:r>
    </w:p>
    <w:p>
      <w:pPr>
        <w:spacing w:after="0" w:line="72" w:lineRule="exact"/>
        <w:rPr>
          <w:sz w:val="20"/>
          <w:szCs w:val="20"/>
          <w:color w:val="auto"/>
        </w:rPr>
      </w:pPr>
    </w:p>
    <w:p>
      <w:pPr>
        <w:jc w:val="both"/>
        <w:ind w:left="1000" w:right="180"/>
        <w:spacing w:after="0" w:line="266" w:lineRule="auto"/>
        <w:rPr>
          <w:sz w:val="20"/>
          <w:szCs w:val="20"/>
          <w:color w:val="auto"/>
        </w:rPr>
      </w:pPr>
      <w:r>
        <w:rPr>
          <w:rFonts w:ascii="Times New Roman" w:cs="Times New Roman" w:eastAsia="Times New Roman" w:hAnsi="Times New Roman"/>
          <w:sz w:val="18"/>
          <w:szCs w:val="18"/>
          <w:color w:val="auto"/>
        </w:rPr>
        <w:t>in the case of the preceding clauses (A) through (D), calculated on a pre-tax basis in accordance with SEC guidelines (utilizing the prices utilized in the Issuer’s year-end or quarterly reserve report, as applicable) and estimated by the Issuer’s petroleum engineers or, at the Issuer’s election, any independent petroleum engineers engaged by the Issuer for that purpose;</w:t>
      </w:r>
    </w:p>
    <w:p>
      <w:pPr>
        <w:spacing w:after="0" w:line="81" w:lineRule="exact"/>
        <w:rPr>
          <w:sz w:val="20"/>
          <w:szCs w:val="20"/>
          <w:color w:val="auto"/>
        </w:rPr>
      </w:pPr>
    </w:p>
    <w:p>
      <w:pPr>
        <w:ind w:left="1000" w:hanging="439"/>
        <w:spacing w:after="0" w:line="266"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capitalized costs that are attributable to oil and natural gas properties of the Issuer and its Restricted Subsidiaries to which no proved oil and natural gas reserves are attributable, based on the Issuer’s books and records as of a date no earlier than the last day of the Issuer’s most recent quarterly or annual period for which internal financial statements are available;</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580"/>
          </w:cols>
          <w:pgMar w:left="860" w:top="268" w:right="459" w:bottom="1440" w:gutter="0" w:footer="0" w:header="0"/>
        </w:sectPr>
      </w:pPr>
    </w:p>
    <w:bookmarkStart w:id="12" w:name="page13"/>
    <w:bookmarkEnd w:id="12"/>
    <w:p>
      <w:pPr>
        <w:ind w:left="1420" w:right="400" w:hanging="439"/>
        <w:spacing w:after="0" w:line="282" w:lineRule="auto"/>
        <w:tabs>
          <w:tab w:leader="none" w:pos="1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Consolidated Net Working Capital of the Issuer and its Restricted Subsidiaries as of a date no earlier than the last day of the Issuer’s most recent quarterly or annual period for which internal financial statements are available; and</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greater of:</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book value and</w:t>
      </w:r>
    </w:p>
    <w:p>
      <w:pPr>
        <w:spacing w:after="0" w:line="130" w:lineRule="exact"/>
        <w:rPr>
          <w:rFonts w:ascii="Times New Roman" w:cs="Times New Roman" w:eastAsia="Times New Roman" w:hAnsi="Times New Roman"/>
          <w:sz w:val="18"/>
          <w:szCs w:val="18"/>
          <w:color w:val="auto"/>
        </w:rPr>
      </w:pPr>
    </w:p>
    <w:p>
      <w:pPr>
        <w:ind w:left="1960" w:right="1100" w:hanging="533"/>
        <w:spacing w:after="0" w:line="282" w:lineRule="auto"/>
        <w:tabs>
          <w:tab w:leader="none" w:pos="19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appraised value, as estimated by independent appraisers, of other tangible assets (including Investments in unconsolidated Subsidiaries),</w:t>
      </w:r>
    </w:p>
    <w:p>
      <w:pPr>
        <w:spacing w:after="0" w:line="54" w:lineRule="exact"/>
        <w:rPr>
          <w:sz w:val="20"/>
          <w:szCs w:val="20"/>
          <w:color w:val="auto"/>
        </w:rPr>
      </w:pPr>
    </w:p>
    <w:p>
      <w:pPr>
        <w:ind w:left="980" w:right="80"/>
        <w:spacing w:after="0" w:line="266" w:lineRule="auto"/>
        <w:rPr>
          <w:sz w:val="20"/>
          <w:szCs w:val="20"/>
          <w:color w:val="auto"/>
        </w:rPr>
      </w:pPr>
      <w:r>
        <w:rPr>
          <w:rFonts w:ascii="Times New Roman" w:cs="Times New Roman" w:eastAsia="Times New Roman" w:hAnsi="Times New Roman"/>
          <w:sz w:val="18"/>
          <w:szCs w:val="18"/>
          <w:color w:val="auto"/>
        </w:rPr>
        <w:t xml:space="preserve">in each case, of the Issuer and its Restricted Subsidiaries as of a date no earlier than the last day of the date of the Issuer’s most recent quarterly or annual period for which internal financial statements are available;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no such appraisal has been performed, the Issuer shall not be required to obtain such an appraisal and only clause (iv)(A) of this definition shall apply,</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to the extent not otherwise taken into account in the immediately preceding clause (a),</w:t>
      </w:r>
    </w:p>
    <w:p>
      <w:pPr>
        <w:spacing w:after="0" w:line="133" w:lineRule="exact"/>
        <w:rPr>
          <w:sz w:val="20"/>
          <w:szCs w:val="20"/>
          <w:color w:val="auto"/>
        </w:rPr>
      </w:pPr>
    </w:p>
    <w:p>
      <w:pPr>
        <w:ind w:left="960" w:hanging="532"/>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minority interests;</w:t>
      </w:r>
    </w:p>
    <w:p>
      <w:pPr>
        <w:spacing w:after="0" w:line="130" w:lineRule="exact"/>
        <w:rPr>
          <w:rFonts w:ascii="Times New Roman" w:cs="Times New Roman" w:eastAsia="Times New Roman" w:hAnsi="Times New Roman"/>
          <w:sz w:val="18"/>
          <w:szCs w:val="18"/>
          <w:color w:val="auto"/>
        </w:rPr>
      </w:pPr>
    </w:p>
    <w:p>
      <w:pPr>
        <w:ind w:left="1420" w:hanging="439"/>
        <w:spacing w:after="0" w:line="266" w:lineRule="auto"/>
        <w:tabs>
          <w:tab w:leader="none" w:pos="14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net natural gas balancing liabilities of the Issuer and its Restricted Subsidiaries as of the last day of the Issuer’s most recent annual or quarterly period for which internal financial statements are available to the extent not deducted in calculating Consolidated Net Working Capital of the Issuer and its Restricted Subsidiaries in accordance with clause (a)(iii) of this definition;</w:t>
      </w:r>
    </w:p>
    <w:p>
      <w:pPr>
        <w:spacing w:after="0" w:line="81" w:lineRule="exact"/>
        <w:rPr>
          <w:rFonts w:ascii="Times New Roman" w:cs="Times New Roman" w:eastAsia="Times New Roman" w:hAnsi="Times New Roman"/>
          <w:sz w:val="18"/>
          <w:szCs w:val="18"/>
          <w:color w:val="auto"/>
        </w:rPr>
      </w:pPr>
    </w:p>
    <w:p>
      <w:pPr>
        <w:jc w:val="both"/>
        <w:ind w:left="1420" w:right="500" w:hanging="439"/>
        <w:spacing w:after="0" w:line="261" w:lineRule="auto"/>
        <w:tabs>
          <w:tab w:leader="none" w:pos="14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included in clause (a)(i) above, the discounted future net revenues, calculated in accordance with SEC guidelines (utilizing the prices utilized in the Issuer’s year-end or quarterly reserve report), attributable to reserves that are required to be delivered to third parties to fully satisfy the obligations of the Issuer and its Restricted Subsidiaries with respect to Volumetric Production Payments on the schedules specified with respect thereto; and</w:t>
      </w:r>
    </w:p>
    <w:p>
      <w:pPr>
        <w:spacing w:after="0" w:line="85" w:lineRule="exact"/>
        <w:rPr>
          <w:rFonts w:ascii="Times New Roman" w:cs="Times New Roman" w:eastAsia="Times New Roman" w:hAnsi="Times New Roman"/>
          <w:sz w:val="18"/>
          <w:szCs w:val="18"/>
          <w:color w:val="auto"/>
        </w:rPr>
      </w:pPr>
    </w:p>
    <w:p>
      <w:pPr>
        <w:ind w:left="1420" w:right="280" w:hanging="439"/>
        <w:spacing w:after="0" w:line="258" w:lineRule="auto"/>
        <w:tabs>
          <w:tab w:leader="none" w:pos="14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discounted future net revenues, calculated in accordance with SEC guidelines, attributable to reserves subject to Dollar-Denominated Production Payments that, based on the estimates of production and price assumptions included in determining the discounted future net revenues specified in clause (a)(i) above, would be necessary to fully satisfy the payment obligations of the Issuer and its Restricted Subsidiaries with respect to Dollar-Denominated Production Payments on the schedules specified with respect thereto.</w:t>
      </w:r>
    </w:p>
    <w:p>
      <w:pPr>
        <w:spacing w:after="0" w:line="183" w:lineRule="exact"/>
        <w:rPr>
          <w:sz w:val="20"/>
          <w:szCs w:val="20"/>
          <w:color w:val="auto"/>
        </w:rPr>
      </w:pPr>
    </w:p>
    <w:p>
      <w:pPr>
        <w:ind w:right="320" w:firstLine="440"/>
        <w:spacing w:after="0" w:line="312" w:lineRule="auto"/>
        <w:rPr>
          <w:sz w:val="20"/>
          <w:szCs w:val="20"/>
          <w:color w:val="auto"/>
        </w:rPr>
      </w:pPr>
      <w:r>
        <w:rPr>
          <w:rFonts w:ascii="Times New Roman" w:cs="Times New Roman" w:eastAsia="Times New Roman" w:hAnsi="Times New Roman"/>
          <w:sz w:val="17"/>
          <w:szCs w:val="17"/>
          <w:color w:val="auto"/>
        </w:rPr>
        <w:t>If the Issuer changes its method of accounting from the successful efforts method of accounting to the full cost or a similar method, “Adjusted Consolidated Net Tangible Assets” will continue to be calculated as if the Issuer were still using the successful efforts method of accounting.</w:t>
      </w:r>
    </w:p>
    <w:p>
      <w:pPr>
        <w:spacing w:after="0" w:line="138" w:lineRule="exact"/>
        <w:rPr>
          <w:sz w:val="20"/>
          <w:szCs w:val="20"/>
          <w:color w:val="auto"/>
        </w:rPr>
      </w:pPr>
    </w:p>
    <w:p>
      <w:pPr>
        <w:ind w:right="20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Affiliate</w:t>
      </w:r>
      <w:r>
        <w:rPr>
          <w:rFonts w:ascii="Times New Roman" w:cs="Times New Roman" w:eastAsia="Times New Roman" w:hAnsi="Times New Roman"/>
          <w:sz w:val="18"/>
          <w:szCs w:val="18"/>
          <w:color w:val="auto"/>
        </w:rPr>
        <w:t>” of any specified Person means any other Person directly or indirectly controlling or controlled by or under direct or indirect common control with such specified Person. For purposes of this definition, “control,” as used with respect to any Person, means the possession, directly or indirectly, of the power to direct or cause the direction of the management or policies of such Person, whether through the ownership of voting securities, by agreement or otherwise. For purposes of this definition, the terms “</w:t>
      </w:r>
      <w:r>
        <w:rPr>
          <w:rFonts w:ascii="Times New Roman" w:cs="Times New Roman" w:eastAsia="Times New Roman" w:hAnsi="Times New Roman"/>
          <w:sz w:val="18"/>
          <w:szCs w:val="18"/>
          <w:i w:val="1"/>
          <w:iCs w:val="1"/>
          <w:color w:val="auto"/>
        </w:rPr>
        <w:t>controlling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controlled by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under common control with</w:t>
      </w:r>
      <w:r>
        <w:rPr>
          <w:rFonts w:ascii="Times New Roman" w:cs="Times New Roman" w:eastAsia="Times New Roman" w:hAnsi="Times New Roman"/>
          <w:sz w:val="18"/>
          <w:szCs w:val="18"/>
          <w:color w:val="auto"/>
        </w:rPr>
        <w:t>” have correlative meanings.</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13" w:name="page14"/>
    <w:bookmarkEnd w:id="1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Agent</w:t>
      </w:r>
      <w:r>
        <w:rPr>
          <w:rFonts w:ascii="Times New Roman" w:cs="Times New Roman" w:eastAsia="Times New Roman" w:hAnsi="Times New Roman"/>
          <w:sz w:val="18"/>
          <w:szCs w:val="18"/>
          <w:color w:val="auto"/>
        </w:rPr>
        <w:t>” means any Registrar or Paying Agent.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Applicable Premium</w:t>
      </w:r>
      <w:r>
        <w:rPr>
          <w:rFonts w:ascii="Times New Roman" w:cs="Times New Roman" w:eastAsia="Times New Roman" w:hAnsi="Times New Roman"/>
          <w:sz w:val="18"/>
          <w:szCs w:val="18"/>
          <w:color w:val="auto"/>
        </w:rPr>
        <w:t>” means, with respect to any Note on any redemption date, the greater of:</w:t>
      </w:r>
    </w:p>
    <w:p>
      <w:pPr>
        <w:spacing w:after="0" w:line="119" w:lineRule="exact"/>
        <w:rPr>
          <w:sz w:val="20"/>
          <w:szCs w:val="20"/>
          <w:color w:val="auto"/>
        </w:rPr>
      </w:pPr>
    </w:p>
    <w:p>
      <w:pPr>
        <w:ind w:left="1120" w:hanging="261"/>
        <w:spacing w:after="0"/>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of the principal amount of the Note; and</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of:</w:t>
      </w:r>
    </w:p>
    <w:p>
      <w:pPr>
        <w:spacing w:after="0" w:line="117" w:lineRule="exact"/>
        <w:rPr>
          <w:rFonts w:ascii="Times New Roman" w:cs="Times New Roman" w:eastAsia="Times New Roman" w:hAnsi="Times New Roman"/>
          <w:sz w:val="18"/>
          <w:szCs w:val="18"/>
          <w:color w:val="auto"/>
        </w:rPr>
      </w:pPr>
    </w:p>
    <w:p>
      <w:pPr>
        <w:ind w:left="980" w:firstLine="408"/>
        <w:spacing w:after="0" w:line="258" w:lineRule="auto"/>
        <w:tabs>
          <w:tab w:leader="none" w:pos="162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present value at such redemption date of (i) the redemption price of the Note at January 15, 2029 (such redemption price being set forth in the table appearing in Section 3.08(d))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all required interest payments due on the Note through January 15, 2029 (in each case, excluding accrued but unpaid interest to the redemption date), computed using a discount rate equal to the Treasury Rate as of such redemption date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50 basis points discounted to the redemption date on a semi-annual basis (assuming a 360-day year consisting of twelve 30-day months), over</w:t>
      </w:r>
    </w:p>
    <w:p>
      <w:pPr>
        <w:spacing w:after="0" w:line="75"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the Note.</w:t>
      </w:r>
    </w:p>
    <w:p>
      <w:pPr>
        <w:spacing w:after="0" w:line="223" w:lineRule="exact"/>
        <w:rPr>
          <w:sz w:val="20"/>
          <w:szCs w:val="20"/>
          <w:color w:val="auto"/>
        </w:rPr>
      </w:pPr>
    </w:p>
    <w:p>
      <w:pPr>
        <w:ind w:right="8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Applicable Procedures</w:t>
      </w:r>
      <w:r>
        <w:rPr>
          <w:rFonts w:ascii="Times New Roman" w:cs="Times New Roman" w:eastAsia="Times New Roman" w:hAnsi="Times New Roman"/>
          <w:sz w:val="18"/>
          <w:szCs w:val="18"/>
          <w:color w:val="auto"/>
        </w:rPr>
        <w:t>” means, with respect to any transfer or exchange of or for beneficial interests in any Global Note, the rules and procedures of the Depositary, Euroclear and Clearstream that apply to such transfer or exchange.</w:t>
      </w:r>
    </w:p>
    <w:p>
      <w:pPr>
        <w:spacing w:after="0" w:line="158" w:lineRule="exact"/>
        <w:rPr>
          <w:sz w:val="20"/>
          <w:szCs w:val="20"/>
          <w:color w:val="auto"/>
        </w:rPr>
      </w:pPr>
    </w:p>
    <w:p>
      <w:pPr>
        <w:ind w:right="6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as determined in good faith by the Issuer</w:t>
      </w:r>
      <w:r>
        <w:rPr>
          <w:rFonts w:ascii="Times New Roman" w:cs="Times New Roman" w:eastAsia="Times New Roman" w:hAnsi="Times New Roman"/>
          <w:sz w:val="18"/>
          <w:szCs w:val="18"/>
          <w:color w:val="auto"/>
        </w:rPr>
        <w:t>” means a determination made in good faith by the Board of Directors of the Issuer or any Officer of the Issuer involved in or otherwise familiar with the transaction for which such determination is being made, any such determination being conclusive for all purposes under this Indenture.</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Asset Sale</w:t>
      </w:r>
      <w:r>
        <w:rPr>
          <w:rFonts w:ascii="Times New Roman" w:cs="Times New Roman" w:eastAsia="Times New Roman" w:hAnsi="Times New Roman"/>
          <w:sz w:val="18"/>
          <w:szCs w:val="18"/>
          <w:color w:val="auto"/>
        </w:rPr>
        <w:t>” means:</w:t>
      </w:r>
    </w:p>
    <w:p>
      <w:pPr>
        <w:spacing w:after="0" w:line="119" w:lineRule="exact"/>
        <w:rPr>
          <w:sz w:val="20"/>
          <w:szCs w:val="20"/>
          <w:color w:val="auto"/>
        </w:rPr>
      </w:pPr>
    </w:p>
    <w:p>
      <w:pPr>
        <w:ind w:left="440" w:right="100" w:firstLine="419"/>
        <w:spacing w:after="0" w:line="282" w:lineRule="auto"/>
        <w:tabs>
          <w:tab w:leader="none" w:pos="111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lease (other than operating leases entered into in the ordinary course of business), conveyance or other disposition of any assets or rights by the Issuer or any of the Issuer’s Restricted Subsidiaries; and</w:t>
      </w:r>
    </w:p>
    <w:p>
      <w:pPr>
        <w:spacing w:after="0" w:line="53" w:lineRule="exact"/>
        <w:rPr>
          <w:rFonts w:ascii="Times New Roman" w:cs="Times New Roman" w:eastAsia="Times New Roman" w:hAnsi="Times New Roman"/>
          <w:sz w:val="18"/>
          <w:szCs w:val="18"/>
          <w:color w:val="auto"/>
        </w:rPr>
      </w:pPr>
    </w:p>
    <w:p>
      <w:pPr>
        <w:ind w:left="440" w:right="20" w:firstLine="419"/>
        <w:spacing w:after="0" w:line="261" w:lineRule="auto"/>
        <w:tabs>
          <w:tab w:leader="none" w:pos="111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Equity Interests by any of the Issuer’s Restricted Subsidiaries or the sale by the Issuer or any of the Issuer’s Restricted Subsidiaries of Equity Interests in any of the Issuer’s Subsidiaries (in either case other than Preferred Stock of any Restricted Subsidiary issued in compliance with Section 4.09 and directors’ qualifying shares or shares required by applicable law to be held by a Person other than the Issuer or a Restricted Subsidiary),</w:t>
      </w:r>
    </w:p>
    <w:p>
      <w:pPr>
        <w:spacing w:after="0" w:line="70" w:lineRule="exact"/>
        <w:rPr>
          <w:sz w:val="20"/>
          <w:szCs w:val="20"/>
          <w:color w:val="auto"/>
        </w:rPr>
      </w:pPr>
    </w:p>
    <w:p>
      <w:pPr>
        <w:jc w:val="both"/>
        <w:ind w:left="440" w:right="1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in the case of clause (1) or (2), the sale, assignment, transfer, conveyance, lease or other disposition of all or substantially all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properties or assets of the Issuer and its Subsidiaries (including by way of a merger or consolidation) will be governed by Section 4.15 and/or by Section 5.01 and not by the provisions of Section 4.10;</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68"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the preceding, none of the following items will be deemed to be an Asset Sale:</w:t>
      </w:r>
    </w:p>
    <w:p>
      <w:pPr>
        <w:spacing w:after="0" w:line="117" w:lineRule="exact"/>
        <w:rPr>
          <w:sz w:val="20"/>
          <w:szCs w:val="20"/>
          <w:color w:val="auto"/>
        </w:rPr>
      </w:pPr>
    </w:p>
    <w:p>
      <w:pPr>
        <w:ind w:right="280" w:firstLine="419"/>
        <w:spacing w:after="0" w:line="282" w:lineRule="auto"/>
        <w:tabs>
          <w:tab w:leader="none" w:pos="67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single transaction or series of related transactions that involves assets or Equity Interests having a Fair Market Value of less than $50.0 million;</w:t>
      </w:r>
    </w:p>
    <w:p>
      <w:pPr>
        <w:spacing w:after="0" w:line="53"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of assets between or among the Issuer and its Restricted Subsidiaries;</w:t>
      </w:r>
    </w:p>
    <w:p>
      <w:pPr>
        <w:spacing w:after="0" w:line="11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issuance or sale of Equity Interests by a Restricted Subsidiary of the Issuer to the Issuer or to a Restricted Subsidiary of the Issuer;</w:t>
      </w:r>
    </w:p>
    <w:p>
      <w:pPr>
        <w:spacing w:after="0" w:line="117" w:lineRule="exact"/>
        <w:rPr>
          <w:rFonts w:ascii="Times New Roman" w:cs="Times New Roman" w:eastAsia="Times New Roman" w:hAnsi="Times New Roman"/>
          <w:sz w:val="18"/>
          <w:szCs w:val="18"/>
          <w:color w:val="auto"/>
        </w:rPr>
      </w:pPr>
    </w:p>
    <w:p>
      <w:pPr>
        <w:jc w:val="both"/>
        <w:ind w:right="20" w:firstLine="419"/>
        <w:spacing w:after="0" w:line="261" w:lineRule="auto"/>
        <w:tabs>
          <w:tab w:leader="none" w:pos="67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lease or other disposition of products, services, inventory or accounts receivable in the ordinary course of business and any sale or other disposition of surplus, damaged, worn-out or obsolete assets (including the abandonment or other disposition of intellectual property that is, in the reasonable judgment of the Issuer, no longer economically practicable to maintain or useful in the conduct of the business of the Issuer and its Restricted Subsidiaries taken as whole);</w:t>
      </w:r>
    </w:p>
    <w:p>
      <w:pPr>
        <w:spacing w:after="0" w:line="71" w:lineRule="exact"/>
        <w:rPr>
          <w:rFonts w:ascii="Times New Roman" w:cs="Times New Roman" w:eastAsia="Times New Roman" w:hAnsi="Times New Roman"/>
          <w:sz w:val="18"/>
          <w:szCs w:val="18"/>
          <w:color w:val="auto"/>
        </w:rPr>
      </w:pPr>
    </w:p>
    <w:p>
      <w:pPr>
        <w:ind w:right="620" w:firstLine="419"/>
        <w:spacing w:after="0" w:line="282" w:lineRule="auto"/>
        <w:tabs>
          <w:tab w:leader="none" w:pos="67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abandonment, farm-out, lease or sublease of developed or undeveloped oil or natural gas properties, or the forfeiture of such properties, owned or held by the Issuer or any of its Restricted Subsidiaries in the ordinary course of business;</w:t>
      </w:r>
    </w:p>
    <w:p>
      <w:pPr>
        <w:spacing w:after="0" w:line="53" w:lineRule="exact"/>
        <w:rPr>
          <w:rFonts w:ascii="Times New Roman" w:cs="Times New Roman" w:eastAsia="Times New Roman" w:hAnsi="Times New Roman"/>
          <w:sz w:val="18"/>
          <w:szCs w:val="18"/>
          <w:color w:val="auto"/>
        </w:rPr>
      </w:pPr>
    </w:p>
    <w:p>
      <w:pPr>
        <w:ind w:right="100" w:firstLine="419"/>
        <w:spacing w:after="0" w:line="282" w:lineRule="auto"/>
        <w:tabs>
          <w:tab w:leader="none" w:pos="67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licenses and sublicenses by the Issuer or any of its Restricted Subsidiaries of software, intellectual property or other general intangibles in the ordinary course of business;</w:t>
      </w:r>
    </w:p>
    <w:p>
      <w:pPr>
        <w:spacing w:after="0" w:line="53"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surrender or waiver of contract rights or settlement, release, recovery on or surrender of contract, tort or other claims;</w:t>
      </w:r>
    </w:p>
    <w:p>
      <w:pPr>
        <w:spacing w:after="0" w:line="117" w:lineRule="exact"/>
        <w:rPr>
          <w:rFonts w:ascii="Times New Roman" w:cs="Times New Roman" w:eastAsia="Times New Roman" w:hAnsi="Times New Roman"/>
          <w:sz w:val="18"/>
          <w:szCs w:val="18"/>
          <w:color w:val="auto"/>
        </w:rPr>
      </w:pPr>
    </w:p>
    <w:p>
      <w:pPr>
        <w:ind w:right="440" w:firstLine="419"/>
        <w:spacing w:after="0" w:line="282" w:lineRule="auto"/>
        <w:tabs>
          <w:tab w:leader="none" w:pos="67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granting, creation or incurrence of Liens not prohibited by Section 4.12 and dispositions in connection with such Liens and the exercise by any Person in whose favor such Lien is granted of any of its rights in respect of such Lien;</w:t>
      </w:r>
    </w:p>
    <w:p>
      <w:pPr>
        <w:spacing w:after="0" w:line="53"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other disposition of cash or Cash Equivalents or other financial instruments (other than Oil and Gas Hedging Contracts);</w:t>
      </w:r>
    </w:p>
    <w:p>
      <w:pPr>
        <w:spacing w:after="0" w:line="117" w:lineRule="exact"/>
        <w:rPr>
          <w:rFonts w:ascii="Times New Roman" w:cs="Times New Roman" w:eastAsia="Times New Roman" w:hAnsi="Times New Roman"/>
          <w:sz w:val="18"/>
          <w:szCs w:val="18"/>
          <w:color w:val="auto"/>
        </w:rPr>
      </w:pPr>
    </w:p>
    <w:p>
      <w:pPr>
        <w:ind w:right="380" w:firstLine="419"/>
        <w:spacing w:after="0" w:line="282" w:lineRule="auto"/>
        <w:tabs>
          <w:tab w:leader="none" w:pos="76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disposition of assets that constitutes (or results in by virtue of the consideration received for such disposition) either a Restricted Payment that does not violate Section 4.07 or a Permitted Investment or a Permitted Payment;</w:t>
      </w:r>
    </w:p>
    <w:p>
      <w:pPr>
        <w:spacing w:after="0" w:line="53"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sale or other disposition of Hydrocarbons or other mineral products in the ordinary course of business;</w:t>
      </w:r>
    </w:p>
    <w:p>
      <w:pPr>
        <w:spacing w:after="0" w:line="117"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Asset Swap;</w:t>
      </w:r>
    </w:p>
    <w:p>
      <w:pPr>
        <w:spacing w:after="0" w:line="115" w:lineRule="exact"/>
        <w:rPr>
          <w:rFonts w:ascii="Times New Roman" w:cs="Times New Roman" w:eastAsia="Times New Roman" w:hAnsi="Times New Roman"/>
          <w:sz w:val="18"/>
          <w:szCs w:val="18"/>
          <w:color w:val="auto"/>
        </w:rPr>
      </w:pPr>
    </w:p>
    <w:p>
      <w:pPr>
        <w:ind w:right="80" w:firstLine="419"/>
        <w:spacing w:after="0" w:line="284" w:lineRule="auto"/>
        <w:tabs>
          <w:tab w:leader="none" w:pos="76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dispositions of crude oil and natural gas properties (whether or not in the ordinary course of business);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at the time of any such disposition such properties do not have associated with them any proved reserves;</w:t>
      </w:r>
    </w:p>
    <w:p>
      <w:pPr>
        <w:spacing w:after="0" w:line="50" w:lineRule="exact"/>
        <w:rPr>
          <w:rFonts w:ascii="Times New Roman" w:cs="Times New Roman" w:eastAsia="Times New Roman" w:hAnsi="Times New Roman"/>
          <w:sz w:val="18"/>
          <w:szCs w:val="18"/>
          <w:color w:val="auto"/>
        </w:rPr>
      </w:pPr>
    </w:p>
    <w:p>
      <w:pPr>
        <w:ind w:firstLine="419"/>
        <w:spacing w:after="0" w:line="261" w:lineRule="auto"/>
        <w:tabs>
          <w:tab w:leader="none" w:pos="76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Production Payments and Reserve Sales;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Production Payments and Reserve Sales, other than incentive compensation programs on terms that are customary in the Oil and Gas Business for geologists, geophysicists and other providers of technical services to the Issuer or a Restricted Subsidiary, shall have been created, incurred, issued, assumed or guaranteed in connection with the financing of, and within 60 days after the acquisition of, the property that is subject thereto;</w:t>
      </w:r>
    </w:p>
    <w:p>
      <w:pPr>
        <w:spacing w:after="0" w:line="114"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00"/>
          </w:cols>
          <w:pgMar w:left="880" w:top="270" w:right="519" w:bottom="1440" w:gutter="0" w:footer="0" w:header="0"/>
        </w:sectPr>
      </w:pPr>
    </w:p>
    <w:bookmarkStart w:id="15" w:name="page16"/>
    <w:bookmarkEnd w:id="15"/>
    <w:p>
      <w:pPr>
        <w:ind w:left="440" w:right="300" w:firstLine="419"/>
        <w:spacing w:after="0" w:line="282" w:lineRule="auto"/>
        <w:tabs>
          <w:tab w:leader="none" w:pos="120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disposition of assets or Equity Interests received in settlement of debts owing to a Person as a result of foreclosure, perfection or enforcement of any Lien or debt, which debts were owing to such Person; and</w:t>
      </w:r>
    </w:p>
    <w:p>
      <w:pPr>
        <w:spacing w:after="0" w:line="53" w:lineRule="exact"/>
        <w:rPr>
          <w:rFonts w:ascii="Times New Roman" w:cs="Times New Roman" w:eastAsia="Times New Roman" w:hAnsi="Times New Roman"/>
          <w:sz w:val="18"/>
          <w:szCs w:val="18"/>
          <w:color w:val="auto"/>
        </w:rPr>
      </w:pPr>
    </w:p>
    <w:p>
      <w:pPr>
        <w:ind w:left="440" w:right="300" w:firstLine="419"/>
        <w:spacing w:after="0" w:line="266" w:lineRule="auto"/>
        <w:tabs>
          <w:tab w:leader="none" w:pos="120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conveyance or other disposition (i) of Equity Interests in, or Indebtedness or other securities of, an Unrestricted Subsidiary (other than an Unrestricted Subsidiary the primary assets of which are cash and/or Cash Equivalents) or (ii) in connection with the CMB Transactions.</w:t>
      </w:r>
    </w:p>
    <w:p>
      <w:pPr>
        <w:spacing w:after="0" w:line="174"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Asset Swap</w:t>
      </w:r>
      <w:r>
        <w:rPr>
          <w:rFonts w:ascii="Times New Roman" w:cs="Times New Roman" w:eastAsia="Times New Roman" w:hAnsi="Times New Roman"/>
          <w:sz w:val="18"/>
          <w:szCs w:val="18"/>
          <w:color w:val="auto"/>
        </w:rPr>
        <w:t xml:space="preserve">” means any substantially contemporaneous (and in any event occurring within 180 days of each other) purchase and sale or exchange of any assets or properties used or useful in the Oil and Gas Business between the Issuer or any of its Restricted Subsidiaries and another Person;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Fair Market Value of the properties or assets traded or exchanged by the Issuer or such Restricted Subsidiary (together with any cash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Cash Equivalents) is reasonably equivalent to the Fair Market Value of the properties or assets (together with any cash or Cash Equivalents) to be received by the Issuer or such Restricted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any net cash or Cash Equivalents received must be applied in accordance with Section 4.10 if then in effect as if the Asset Swap were an Asset Sale.</w:t>
      </w:r>
    </w:p>
    <w:p>
      <w:pPr>
        <w:spacing w:after="0" w:line="182"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Attributable Debt</w:t>
      </w:r>
      <w:r>
        <w:rPr>
          <w:rFonts w:ascii="Times New Roman" w:cs="Times New Roman" w:eastAsia="Times New Roman" w:hAnsi="Times New Roman"/>
          <w:sz w:val="18"/>
          <w:szCs w:val="18"/>
          <w:color w:val="auto"/>
        </w:rPr>
        <w:t xml:space="preserve">” in respect of a sale and leaseback transaction means, at the time of determination, the present value of the obligation of the lessee for net rental payments during the remaining term of the lease included in such sale and leaseback transaction including any period for which such lease has been extended or may, at the option of the lessor, be extended. Such present value shall be calculated using a discount rate equal to the rate of interest implicit in such transaction, determined in accordance with GAAP;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such sale and leaseback transaction results in a Finance Lease Obligation, the amount of Indebtedness represented thereby will be determined in accordance with the definition of “Finance Lease Obligation.”</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Bankruptcy Law</w:t>
      </w:r>
      <w:r>
        <w:rPr>
          <w:rFonts w:ascii="Times New Roman" w:cs="Times New Roman" w:eastAsia="Times New Roman" w:hAnsi="Times New Roman"/>
          <w:sz w:val="18"/>
          <w:szCs w:val="18"/>
          <w:color w:val="auto"/>
        </w:rPr>
        <w:t>” means Title 11, U.S. Code or any similar federal or state law for the relief of debtors.</w:t>
      </w:r>
    </w:p>
    <w:p>
      <w:pPr>
        <w:spacing w:after="0" w:line="225"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Beneficial Owner</w:t>
      </w:r>
      <w:r>
        <w:rPr>
          <w:rFonts w:ascii="Times New Roman" w:cs="Times New Roman" w:eastAsia="Times New Roman" w:hAnsi="Times New Roman"/>
          <w:sz w:val="18"/>
          <w:szCs w:val="18"/>
          <w:color w:val="auto"/>
        </w:rPr>
        <w:t>” has the meaning assigned to such term in Rule 13d-3 and Rule 13d-5 under the Exchange Act, except that in calculating the beneficial ownership of any particular “person” (as that term is used in Section 13(d)(3) of the Exchange Act), such “person” will be deemed to have beneficial ownership of all securities that such “person” has the right to acquire within one year by conversion or exercise of other securities, whether such right is currently exercisable or is exercisable only after the passage of time. The terms “</w:t>
      </w:r>
      <w:r>
        <w:rPr>
          <w:rFonts w:ascii="Times New Roman" w:cs="Times New Roman" w:eastAsia="Times New Roman" w:hAnsi="Times New Roman"/>
          <w:sz w:val="18"/>
          <w:szCs w:val="18"/>
          <w:i w:val="1"/>
          <w:iCs w:val="1"/>
          <w:color w:val="auto"/>
        </w:rPr>
        <w:t>Beneficially Owns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Beneficially Owned</w:t>
      </w:r>
      <w:r>
        <w:rPr>
          <w:rFonts w:ascii="Times New Roman" w:cs="Times New Roman" w:eastAsia="Times New Roman" w:hAnsi="Times New Roman"/>
          <w:sz w:val="18"/>
          <w:szCs w:val="18"/>
          <w:color w:val="auto"/>
        </w:rPr>
        <w:t>” have a corresponding meaning. For purposes of this definition, a Person shall be deemed not to Beneficially Own securities that are the subject of a stock purchase agreement, merger agreement, amalgamation agreement, arrangement agreement or similar agreement until consummation of the transactions or, as applicable, series of related transactions contemplated thereby.</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Berry</w:t>
      </w:r>
      <w:r>
        <w:rPr>
          <w:rFonts w:ascii="Times New Roman" w:cs="Times New Roman" w:eastAsia="Times New Roman" w:hAnsi="Times New Roman"/>
          <w:sz w:val="18"/>
          <w:szCs w:val="18"/>
          <w:color w:val="auto"/>
        </w:rPr>
        <w:t>” means Berry Corporation (bry), a Delaware corporation.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 of Directors</w:t>
      </w:r>
      <w:r>
        <w:rPr>
          <w:rFonts w:ascii="Times New Roman" w:cs="Times New Roman" w:eastAsia="Times New Roman" w:hAnsi="Times New Roman"/>
          <w:sz w:val="18"/>
          <w:szCs w:val="18"/>
          <w:color w:val="auto"/>
        </w:rPr>
        <w:t>” means:</w:t>
      </w:r>
    </w:p>
    <w:p>
      <w:pPr>
        <w:spacing w:after="0" w:line="119" w:lineRule="exact"/>
        <w:rPr>
          <w:sz w:val="20"/>
          <w:szCs w:val="20"/>
          <w:color w:val="auto"/>
        </w:rPr>
      </w:pPr>
    </w:p>
    <w:p>
      <w:pPr>
        <w:ind w:left="1120" w:hanging="261"/>
        <w:spacing w:after="0"/>
        <w:tabs>
          <w:tab w:leader="none" w:pos="11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corporation, the board of directors of the corporation or any committee thereof duly authorized to act on behalf of such</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w:t>
      </w:r>
    </w:p>
    <w:p>
      <w:pPr>
        <w:spacing w:after="0" w:line="98"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limited partnership, the board of directors of the general partner of the partnership;</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16" w:name="page17"/>
    <w:bookmarkEnd w:id="16"/>
    <w:p>
      <w:pPr>
        <w:ind w:left="440" w:right="460" w:firstLine="419"/>
        <w:spacing w:after="0" w:line="282" w:lineRule="auto"/>
        <w:tabs>
          <w:tab w:leader="none" w:pos="111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respect to a limited liability company, the managing member or members or any controlling committee of managing members thereof; and</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other Person, the board or committee of such Person serving a similar function.</w:t>
      </w:r>
    </w:p>
    <w:p>
      <w:pPr>
        <w:spacing w:after="0" w:line="223"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Borrowing Base</w:t>
      </w:r>
      <w:r>
        <w:rPr>
          <w:rFonts w:ascii="Times New Roman" w:cs="Times New Roman" w:eastAsia="Times New Roman" w:hAnsi="Times New Roman"/>
          <w:sz w:val="18"/>
          <w:szCs w:val="18"/>
          <w:color w:val="auto"/>
        </w:rPr>
        <w:t>” means the maximum amount determined or re-determined by the lenders under the Credit Agreement, having a lender group with a majority in principal amount of the commitments thereunder provided by lenders that are commercial banks that engage in oil and gas reserve based lending in the ordinary course of their respective businesses, as the aggregate lending value to be ascribed to the Oil and Gas Properties of the Issuer and its Restricted Subsidiaries against which such lenders are prepared to provide loans, letters of credit or other Indebtedness to the Issuer and the Restricted Subsidiaries under the Credit Agreement, using their customary practices and standards for determining reserve based loans and which are generally applied by commercial lenders to borrowers in the Oil and Gas Business, as determined semi-annually during each year and/or on such other occasions as may be provided for by the Credit Agreement, and which is based upon, inter alia, the review by such lenders of the hydrocarbon reserves, royalty interests and assets and liabilities of the Issuer and the Restricted Subsidiaries.</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Day</w:t>
      </w:r>
      <w:r>
        <w:rPr>
          <w:rFonts w:ascii="Times New Roman" w:cs="Times New Roman" w:eastAsia="Times New Roman" w:hAnsi="Times New Roman"/>
          <w:sz w:val="18"/>
          <w:szCs w:val="18"/>
          <w:color w:val="auto"/>
        </w:rPr>
        <w:t>” means any day other than a Legal Holiday.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means:</w:t>
      </w:r>
    </w:p>
    <w:p>
      <w:pPr>
        <w:spacing w:after="0" w:line="119" w:lineRule="exact"/>
        <w:rPr>
          <w:sz w:val="20"/>
          <w:szCs w:val="20"/>
          <w:color w:val="auto"/>
        </w:rPr>
      </w:pPr>
    </w:p>
    <w:p>
      <w:pPr>
        <w:ind w:left="1120" w:hanging="261"/>
        <w:spacing w:after="0"/>
        <w:tabs>
          <w:tab w:leader="none" w:pos="11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corporation, corporate stock;</w:t>
      </w:r>
    </w:p>
    <w:p>
      <w:pPr>
        <w:spacing w:after="0" w:line="117" w:lineRule="exact"/>
        <w:rPr>
          <w:rFonts w:ascii="Times New Roman" w:cs="Times New Roman" w:eastAsia="Times New Roman" w:hAnsi="Times New Roman"/>
          <w:sz w:val="18"/>
          <w:szCs w:val="18"/>
          <w:color w:val="auto"/>
        </w:rPr>
      </w:pPr>
    </w:p>
    <w:p>
      <w:pPr>
        <w:ind w:left="440" w:right="740" w:firstLine="419"/>
        <w:spacing w:after="0" w:line="282" w:lineRule="auto"/>
        <w:tabs>
          <w:tab w:leader="none" w:pos="111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association or business entity, any and all shares, interests, participations, rights or other equivalents (however designated) of corporate stock;</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partnership or limited liability company, partnership interests (whether general or limited) or membership interests; and</w:t>
      </w:r>
    </w:p>
    <w:p>
      <w:pPr>
        <w:spacing w:after="0" w:line="117" w:lineRule="exact"/>
        <w:rPr>
          <w:rFonts w:ascii="Times New Roman" w:cs="Times New Roman" w:eastAsia="Times New Roman" w:hAnsi="Times New Roman"/>
          <w:sz w:val="18"/>
          <w:szCs w:val="18"/>
          <w:color w:val="auto"/>
        </w:rPr>
      </w:pPr>
    </w:p>
    <w:p>
      <w:pPr>
        <w:jc w:val="both"/>
        <w:ind w:left="440" w:right="440" w:firstLine="419"/>
        <w:spacing w:after="0" w:line="266" w:lineRule="auto"/>
        <w:tabs>
          <w:tab w:leader="none" w:pos="111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interest or participation that confers on a Person the right to receive a share of the profits and losses of, or distributions of assets of, the issuing Person, but excluding from all of the foregoing any debt securities exercisable for, exchangeable for or convertible into Capital Stock, whether or not such debt securities include any right of participation with Capital Stock.</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Cash Equivalents</w:t>
      </w:r>
      <w:r>
        <w:rPr>
          <w:rFonts w:ascii="Times New Roman" w:cs="Times New Roman" w:eastAsia="Times New Roman" w:hAnsi="Times New Roman"/>
          <w:sz w:val="18"/>
          <w:szCs w:val="18"/>
          <w:color w:val="auto"/>
        </w:rPr>
        <w:t>” means:</w:t>
      </w:r>
    </w:p>
    <w:p>
      <w:pPr>
        <w:spacing w:after="0" w:line="119" w:lineRule="exact"/>
        <w:rPr>
          <w:sz w:val="20"/>
          <w:szCs w:val="20"/>
          <w:color w:val="auto"/>
        </w:rPr>
      </w:pPr>
    </w:p>
    <w:p>
      <w:pPr>
        <w:ind w:left="1120" w:hanging="261"/>
        <w:spacing w:after="0"/>
        <w:tabs>
          <w:tab w:leader="none" w:pos="11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dollars;</w:t>
      </w:r>
    </w:p>
    <w:p>
      <w:pPr>
        <w:spacing w:after="0" w:line="117" w:lineRule="exact"/>
        <w:rPr>
          <w:rFonts w:ascii="Times New Roman" w:cs="Times New Roman" w:eastAsia="Times New Roman" w:hAnsi="Times New Roman"/>
          <w:sz w:val="18"/>
          <w:szCs w:val="18"/>
          <w:color w:val="auto"/>
        </w:rPr>
      </w:pPr>
    </w:p>
    <w:p>
      <w:pPr>
        <w:ind w:left="440" w:right="40" w:firstLine="419"/>
        <w:spacing w:after="0" w:line="266" w:lineRule="auto"/>
        <w:tabs>
          <w:tab w:leader="none" w:pos="111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issued or directly and fully guaranteed or insured by the United States government or any agency or instrumentality of the United States government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full faith and credit of the United States is pledged in support of those securities) having maturities of not more than one year from the date of acquisition;</w:t>
      </w:r>
    </w:p>
    <w:p>
      <w:pPr>
        <w:spacing w:after="0" w:line="67" w:lineRule="exact"/>
        <w:rPr>
          <w:rFonts w:ascii="Times New Roman" w:cs="Times New Roman" w:eastAsia="Times New Roman" w:hAnsi="Times New Roman"/>
          <w:sz w:val="18"/>
          <w:szCs w:val="18"/>
          <w:color w:val="auto"/>
        </w:rPr>
      </w:pPr>
    </w:p>
    <w:p>
      <w:pPr>
        <w:ind w:left="440" w:right="80" w:firstLine="419"/>
        <w:spacing w:after="0" w:line="266" w:lineRule="auto"/>
        <w:tabs>
          <w:tab w:leader="none" w:pos="111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marketable general obligations issued by any state of the United States of America or any political subdivision of any such state or any public instrumentality thereof maturing within one year from the date of acquisition thereof and, at the time of acquisition thereof, having a credit rating of “A” or better from either Moody’s, S&amp;P or Fitch;</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17" w:name="page18"/>
    <w:bookmarkEnd w:id="17"/>
    <w:p>
      <w:pPr>
        <w:ind w:left="440" w:right="260" w:firstLine="419"/>
        <w:spacing w:after="0" w:line="266" w:lineRule="auto"/>
        <w:tabs>
          <w:tab w:leader="none" w:pos="111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certificates of deposit, demand deposits and eurodollar time deposits with maturities of one year or less from the date of acquisition, bankers’ acceptances with maturities not exceeding six months and overnight bank deposits, in each case, with any domestic commercial bank having capital and surplus in excess of $500.0 million or that is a lender under the Credit Agreement;</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obligations with a term of not more than seven days for underlying securities of the types described in clauses (2), (3) and</w:t>
      </w:r>
    </w:p>
    <w:p>
      <w:pPr>
        <w:spacing w:after="0" w:line="2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entered into with any financial institution meeting the qualifications specified in clause (4) above;</w:t>
      </w:r>
    </w:p>
    <w:p>
      <w:pPr>
        <w:spacing w:after="0" w:line="98"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11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paper having one of the two highest ratings obtainable from Moody’s, S&amp;P or Fitch and, in each case, maturing within one year after the date of acquisition;</w:t>
      </w:r>
    </w:p>
    <w:p>
      <w:pPr>
        <w:spacing w:after="0" w:line="53" w:lineRule="exact"/>
        <w:rPr>
          <w:rFonts w:ascii="Times New Roman" w:cs="Times New Roman" w:eastAsia="Times New Roman" w:hAnsi="Times New Roman"/>
          <w:sz w:val="18"/>
          <w:szCs w:val="18"/>
          <w:color w:val="auto"/>
        </w:rPr>
      </w:pPr>
    </w:p>
    <w:p>
      <w:pPr>
        <w:ind w:left="440" w:right="100" w:firstLine="419"/>
        <w:spacing w:after="0" w:line="282" w:lineRule="auto"/>
        <w:tabs>
          <w:tab w:leader="none" w:pos="111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 market funds at least 95% of the assets of which constitute Cash Equivalents of the kinds described in clauses (1) through (6) of this definition;</w:t>
      </w:r>
    </w:p>
    <w:p>
      <w:pPr>
        <w:spacing w:after="0" w:line="53" w:lineRule="exact"/>
        <w:rPr>
          <w:rFonts w:ascii="Times New Roman" w:cs="Times New Roman" w:eastAsia="Times New Roman" w:hAnsi="Times New Roman"/>
          <w:sz w:val="18"/>
          <w:szCs w:val="18"/>
          <w:color w:val="auto"/>
        </w:rPr>
      </w:pPr>
    </w:p>
    <w:p>
      <w:pPr>
        <w:ind w:left="440" w:right="40" w:firstLine="419"/>
        <w:spacing w:after="0" w:line="282" w:lineRule="auto"/>
        <w:tabs>
          <w:tab w:leader="none" w:pos="111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Subsidiary of the Issuer organized or operating outside the United States, investments denominated in local currency that are similar to the items specified in clauses (1) through (7) above; and</w:t>
      </w:r>
    </w:p>
    <w:p>
      <w:pPr>
        <w:spacing w:after="0" w:line="53" w:lineRule="exact"/>
        <w:rPr>
          <w:rFonts w:ascii="Times New Roman" w:cs="Times New Roman" w:eastAsia="Times New Roman" w:hAnsi="Times New Roman"/>
          <w:sz w:val="18"/>
          <w:szCs w:val="18"/>
          <w:color w:val="auto"/>
        </w:rPr>
      </w:pPr>
    </w:p>
    <w:p>
      <w:pPr>
        <w:ind w:left="440" w:right="320" w:firstLine="419"/>
        <w:spacing w:after="0" w:line="282" w:lineRule="auto"/>
        <w:tabs>
          <w:tab w:leader="none" w:pos="111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marketable short-term money market and similar securities having a rating of at least P-2 from Moody’s, A-2 from S&amp;P or F-2 from Fitch, and in each case maturing within 24 months after the date of the creation thereof.</w:t>
      </w:r>
    </w:p>
    <w:p>
      <w:pPr>
        <w:spacing w:after="0" w:line="160" w:lineRule="exact"/>
        <w:rPr>
          <w:sz w:val="20"/>
          <w:szCs w:val="20"/>
          <w:color w:val="auto"/>
        </w:rPr>
      </w:pPr>
    </w:p>
    <w:p>
      <w:pPr>
        <w:ind w:right="78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Cash Management Obligations</w:t>
      </w:r>
      <w:r>
        <w:rPr>
          <w:rFonts w:ascii="Times New Roman" w:cs="Times New Roman" w:eastAsia="Times New Roman" w:hAnsi="Times New Roman"/>
          <w:sz w:val="18"/>
          <w:szCs w:val="18"/>
          <w:color w:val="auto"/>
        </w:rPr>
        <w:t>” means, with respect to any Person, any obligations of such Person to any lender in respect of treasury management arrangements, depositary or other cash management services, including any treasury management line of credit.</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of Control</w:t>
      </w:r>
      <w:r>
        <w:rPr>
          <w:rFonts w:ascii="Times New Roman" w:cs="Times New Roman" w:eastAsia="Times New Roman" w:hAnsi="Times New Roman"/>
          <w:sz w:val="18"/>
          <w:szCs w:val="18"/>
          <w:color w:val="auto"/>
        </w:rPr>
        <w:t>” means the occurrence of any of the following events:</w:t>
      </w:r>
    </w:p>
    <w:p>
      <w:pPr>
        <w:spacing w:after="0" w:line="119" w:lineRule="exact"/>
        <w:rPr>
          <w:sz w:val="20"/>
          <w:szCs w:val="20"/>
          <w:color w:val="auto"/>
        </w:rPr>
      </w:pPr>
    </w:p>
    <w:p>
      <w:pPr>
        <w:ind w:left="440" w:firstLine="419"/>
        <w:spacing w:after="0" w:line="256" w:lineRule="auto"/>
        <w:tabs>
          <w:tab w:leader="none" w:pos="111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“group” (as such terms are used in Sections 13(d) and 14(d) of the Exchange Act), other than any Subsidiary or Affiliate thereof, is or becomes the Beneficial Owner, directly or indirectly, of more than 50% of the total outstanding Voting Stock of the Issuer (measured by voting power rather than the number of shares), other than any such transaction in which the outstanding Voting Stock of the Issuer is changed into or exchanged for Voting Stock of the surviving Person or any parent thereof that collectively represents at least 50% of the total outstanding Voting Stock (measured by voting power rather than the number of shares) of the surviving Person or such parent immediately following such transaction;</w:t>
      </w:r>
    </w:p>
    <w:p>
      <w:pPr>
        <w:spacing w:after="0" w:line="79" w:lineRule="exact"/>
        <w:rPr>
          <w:rFonts w:ascii="Times New Roman" w:cs="Times New Roman" w:eastAsia="Times New Roman" w:hAnsi="Times New Roman"/>
          <w:sz w:val="18"/>
          <w:szCs w:val="18"/>
          <w:color w:val="auto"/>
        </w:rPr>
      </w:pPr>
    </w:p>
    <w:p>
      <w:pPr>
        <w:ind w:left="440" w:right="220" w:firstLine="419"/>
        <w:spacing w:after="0" w:line="282" w:lineRule="auto"/>
        <w:tabs>
          <w:tab w:leader="none" w:pos="111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sells, assigns, conveys, transfers, leases or otherwise disposes of all or substantially all of its assets to any Person other than the Issuer or a Subsidiary (other than by way of a merger or consolidation of the Issuer); or</w:t>
      </w:r>
    </w:p>
    <w:p>
      <w:pPr>
        <w:spacing w:after="0" w:line="53" w:lineRule="exact"/>
        <w:rPr>
          <w:rFonts w:ascii="Times New Roman" w:cs="Times New Roman" w:eastAsia="Times New Roman" w:hAnsi="Times New Roman"/>
          <w:sz w:val="18"/>
          <w:szCs w:val="18"/>
          <w:color w:val="auto"/>
        </w:rPr>
      </w:pPr>
    </w:p>
    <w:p>
      <w:pPr>
        <w:ind w:left="440" w:right="340" w:firstLine="419"/>
        <w:spacing w:after="0" w:line="282" w:lineRule="auto"/>
        <w:tabs>
          <w:tab w:leader="none" w:pos="111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is liquidated or dissolved or adopts a plan of liquidation or dissolution other than in a transaction which complies with the provisions described under Section 5.01.</w:t>
      </w:r>
    </w:p>
    <w:p>
      <w:pPr>
        <w:spacing w:after="0" w:line="162"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Notwithstanding the foregoing, (a) a transaction will not be deemed to involve a Change of Control if (i) the Issuer becomes a direct or indirect wholly owned Subsidiary of a holding company and (ii) immediately following that transaction no Person (other than a holding company satisfying the requirements of this sentence) is the Beneficial Owner, directly or indirectly, of more than 50% of the Voting Stock of such holding company; and (b) a Change of Control shall not be deemed to occur upon the consummation of any actions undertaken by the Issuer or any Restricted Subsidiary solely for the purpose of changing the legal structure of the Issuer or such Restricted Subsidiary.</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60"/>
          </w:cols>
          <w:pgMar w:left="440" w:top="270" w:right="499" w:bottom="1440" w:gutter="0" w:footer="0" w:header="0"/>
        </w:sectPr>
      </w:pPr>
    </w:p>
    <w:bookmarkStart w:id="18" w:name="page19"/>
    <w:bookmarkEnd w:id="1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Change of Control Triggering Event</w:t>
      </w:r>
      <w:r>
        <w:rPr>
          <w:rFonts w:ascii="Times New Roman" w:cs="Times New Roman" w:eastAsia="Times New Roman" w:hAnsi="Times New Roman"/>
          <w:sz w:val="18"/>
          <w:szCs w:val="18"/>
          <w:color w:val="auto"/>
        </w:rPr>
        <w:t>” means the occurrence of both a Change of Control and a Rating Decline.</w:t>
      </w:r>
    </w:p>
    <w:p>
      <w:pPr>
        <w:spacing w:after="0" w:line="225" w:lineRule="exact"/>
        <w:rPr>
          <w:sz w:val="20"/>
          <w:szCs w:val="20"/>
          <w:color w:val="auto"/>
        </w:rPr>
      </w:pPr>
    </w:p>
    <w:p>
      <w:pPr>
        <w:ind w:right="6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CMB Transactions</w:t>
      </w:r>
      <w:r>
        <w:rPr>
          <w:rFonts w:ascii="Times New Roman" w:cs="Times New Roman" w:eastAsia="Times New Roman" w:hAnsi="Times New Roman"/>
          <w:sz w:val="18"/>
          <w:szCs w:val="18"/>
          <w:color w:val="auto"/>
        </w:rPr>
        <w:t>” means any transaction deemed by the Issuer in good faith to be necessary or advisable in connection with a separation of the Issuer’s and its Subsidiaries’ carbon management and power generation business into a separate entity, including any spin-off, split-off or sale transaction.</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Clearstream</w:t>
      </w:r>
      <w:r>
        <w:rPr>
          <w:rFonts w:ascii="Times New Roman" w:cs="Times New Roman" w:eastAsia="Times New Roman" w:hAnsi="Times New Roman"/>
          <w:sz w:val="18"/>
          <w:szCs w:val="18"/>
          <w:color w:val="auto"/>
        </w:rPr>
        <w:t xml:space="preserve">” means Clearstream Banking,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means the Internal Revenue Code of 1986, as amended from time to time, and any successor statute or statutes thereto.</w:t>
      </w:r>
    </w:p>
    <w:p>
      <w:pPr>
        <w:spacing w:after="0" w:line="225" w:lineRule="exact"/>
        <w:rPr>
          <w:sz w:val="20"/>
          <w:szCs w:val="20"/>
          <w:color w:val="auto"/>
        </w:rPr>
      </w:pPr>
    </w:p>
    <w:p>
      <w:pPr>
        <w:ind w:right="4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Cash Flow</w:t>
      </w:r>
      <w:r>
        <w:rPr>
          <w:rFonts w:ascii="Times New Roman" w:cs="Times New Roman" w:eastAsia="Times New Roman" w:hAnsi="Times New Roman"/>
          <w:sz w:val="18"/>
          <w:szCs w:val="18"/>
          <w:color w:val="auto"/>
        </w:rPr>
        <w:t xml:space="preserve">” means, with respect to any specified Person for any period, the Consolidated Net Income of such Person for such period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without duplication:</w:t>
      </w:r>
    </w:p>
    <w:p>
      <w:pPr>
        <w:spacing w:after="0" w:line="50" w:lineRule="exact"/>
        <w:rPr>
          <w:sz w:val="20"/>
          <w:szCs w:val="20"/>
          <w:color w:val="auto"/>
        </w:rPr>
      </w:pPr>
    </w:p>
    <w:p>
      <w:pPr>
        <w:ind w:left="440" w:right="200" w:firstLine="419"/>
        <w:spacing w:after="0" w:line="284" w:lineRule="auto"/>
        <w:tabs>
          <w:tab w:leader="none" w:pos="111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amount equal to any extraordinary expenses or loss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any net loss realized by such Person or any of its Restricted Subsidiaries in connection with an Asset Sale, to the extent such expenses or losses were deducted in computing such Consolidated Net Income; </w:t>
      </w:r>
      <w:r>
        <w:rPr>
          <w:rFonts w:ascii="Times New Roman" w:cs="Times New Roman" w:eastAsia="Times New Roman" w:hAnsi="Times New Roman"/>
          <w:sz w:val="18"/>
          <w:szCs w:val="18"/>
          <w:i w:val="1"/>
          <w:iCs w:val="1"/>
          <w:color w:val="auto"/>
        </w:rPr>
        <w:t>plus</w:t>
      </w:r>
    </w:p>
    <w:p>
      <w:pPr>
        <w:spacing w:after="0" w:line="52" w:lineRule="exact"/>
        <w:rPr>
          <w:rFonts w:ascii="Times New Roman" w:cs="Times New Roman" w:eastAsia="Times New Roman" w:hAnsi="Times New Roman"/>
          <w:sz w:val="18"/>
          <w:szCs w:val="18"/>
          <w:color w:val="auto"/>
        </w:rPr>
      </w:pPr>
    </w:p>
    <w:p>
      <w:pPr>
        <w:ind w:left="440" w:right="80" w:firstLine="419"/>
        <w:spacing w:after="0" w:line="266" w:lineRule="auto"/>
        <w:tabs>
          <w:tab w:leader="none" w:pos="111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provision for taxes based on income or profits (including state franchise taxes accounted for as income taxes in accordance with GAAP) of such Person and its Restricted Subsidiaries for such period, to the extent that such provision for taxes was deducted in computing such Consolidated Net Income; </w:t>
      </w:r>
      <w:r>
        <w:rPr>
          <w:rFonts w:ascii="Times New Roman" w:cs="Times New Roman" w:eastAsia="Times New Roman" w:hAnsi="Times New Roman"/>
          <w:sz w:val="18"/>
          <w:szCs w:val="18"/>
          <w:i w:val="1"/>
          <w:iCs w:val="1"/>
          <w:color w:val="auto"/>
        </w:rPr>
        <w:t>plus</w:t>
      </w:r>
    </w:p>
    <w:p>
      <w:pPr>
        <w:spacing w:after="0" w:line="67" w:lineRule="exact"/>
        <w:rPr>
          <w:rFonts w:ascii="Times New Roman" w:cs="Times New Roman" w:eastAsia="Times New Roman" w:hAnsi="Times New Roman"/>
          <w:sz w:val="18"/>
          <w:szCs w:val="18"/>
          <w:color w:val="auto"/>
        </w:rPr>
      </w:pPr>
    </w:p>
    <w:p>
      <w:pPr>
        <w:ind w:left="440" w:right="100" w:firstLine="419"/>
        <w:spacing w:after="0" w:line="282" w:lineRule="auto"/>
        <w:tabs>
          <w:tab w:leader="none" w:pos="111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Fixed Charges of such Person and its Restricted Subsidiaries for such period, to the extent that such Fixed Charges were deducted in computing such Consolidated Net Income; </w:t>
      </w:r>
      <w:r>
        <w:rPr>
          <w:rFonts w:ascii="Times New Roman" w:cs="Times New Roman" w:eastAsia="Times New Roman" w:hAnsi="Times New Roman"/>
          <w:sz w:val="18"/>
          <w:szCs w:val="18"/>
          <w:i w:val="1"/>
          <w:iCs w:val="1"/>
          <w:color w:val="auto"/>
        </w:rPr>
        <w:t>plus</w:t>
      </w:r>
    </w:p>
    <w:p>
      <w:pPr>
        <w:spacing w:after="0" w:line="53" w:lineRule="exact"/>
        <w:rPr>
          <w:rFonts w:ascii="Times New Roman" w:cs="Times New Roman" w:eastAsia="Times New Roman" w:hAnsi="Times New Roman"/>
          <w:sz w:val="18"/>
          <w:szCs w:val="18"/>
          <w:color w:val="auto"/>
        </w:rPr>
      </w:pPr>
    </w:p>
    <w:p>
      <w:pPr>
        <w:ind w:left="440" w:right="200" w:firstLine="419"/>
        <w:spacing w:after="0" w:line="256" w:lineRule="auto"/>
        <w:tabs>
          <w:tab w:leader="none" w:pos="111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depreciation, depletion, amortization (including amortization of intangibles but excluding amortization of prepaid cash expenses that were paid in a prior period), impairment, abandonment expense, non-cash equity based compensation expense and other non-cash charges and expenses (excluding any such non-cash charge or expense to the extent that it represents an accrual of or reserve for cash charges or expenses in any future period or amortization of a prepaid cash charge or expense that was paid in a prior period) of such Person and its Restricted Subsidiaries for such period to the extent that such depreciation, depletion, amortization, impairment, abandonment expense and other non-cash charges or expenses were deducted in computing such Consolidated Net Income; </w:t>
      </w:r>
      <w:r>
        <w:rPr>
          <w:rFonts w:ascii="Times New Roman" w:cs="Times New Roman" w:eastAsia="Times New Roman" w:hAnsi="Times New Roman"/>
          <w:sz w:val="18"/>
          <w:szCs w:val="18"/>
          <w:i w:val="1"/>
          <w:iCs w:val="1"/>
          <w:color w:val="auto"/>
        </w:rPr>
        <w:t>plus</w:t>
      </w:r>
    </w:p>
    <w:p>
      <w:pPr>
        <w:spacing w:after="0" w:line="79" w:lineRule="exact"/>
        <w:rPr>
          <w:rFonts w:ascii="Times New Roman" w:cs="Times New Roman" w:eastAsia="Times New Roman" w:hAnsi="Times New Roman"/>
          <w:sz w:val="18"/>
          <w:szCs w:val="18"/>
          <w:color w:val="auto"/>
        </w:rPr>
      </w:pPr>
    </w:p>
    <w:p>
      <w:pPr>
        <w:ind w:left="440" w:right="40" w:firstLine="419"/>
        <w:spacing w:after="0" w:line="282" w:lineRule="auto"/>
        <w:tabs>
          <w:tab w:leader="none" w:pos="111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Person accounts for its oil and gas operations using successful efforts or a similar method of accounting, consolidated exploration expense of such Person and its Restricted Subsidiaries; </w:t>
      </w:r>
      <w:r>
        <w:rPr>
          <w:rFonts w:ascii="Times New Roman" w:cs="Times New Roman" w:eastAsia="Times New Roman" w:hAnsi="Times New Roman"/>
          <w:sz w:val="18"/>
          <w:szCs w:val="18"/>
          <w:i w:val="1"/>
          <w:iCs w:val="1"/>
          <w:color w:val="auto"/>
        </w:rPr>
        <w:t>minus</w:t>
      </w:r>
    </w:p>
    <w:p>
      <w:pPr>
        <w:spacing w:after="0" w:line="53" w:lineRule="exact"/>
        <w:rPr>
          <w:rFonts w:ascii="Times New Roman" w:cs="Times New Roman" w:eastAsia="Times New Roman" w:hAnsi="Times New Roman"/>
          <w:sz w:val="18"/>
          <w:szCs w:val="18"/>
          <w:color w:val="auto"/>
        </w:rPr>
      </w:pPr>
    </w:p>
    <w:p>
      <w:pPr>
        <w:ind w:left="440" w:right="360" w:firstLine="419"/>
        <w:spacing w:after="0" w:line="282" w:lineRule="auto"/>
        <w:tabs>
          <w:tab w:leader="none" w:pos="111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non-cash items increasing such Consolidated Net Income for such period, other than the accrual of revenue in the ordinary course of business; and </w:t>
      </w:r>
      <w:r>
        <w:rPr>
          <w:rFonts w:ascii="Times New Roman" w:cs="Times New Roman" w:eastAsia="Times New Roman" w:hAnsi="Times New Roman"/>
          <w:sz w:val="18"/>
          <w:szCs w:val="18"/>
          <w:i w:val="1"/>
          <w:iCs w:val="1"/>
          <w:color w:val="auto"/>
        </w:rPr>
        <w:t>minus</w:t>
      </w:r>
    </w:p>
    <w:p>
      <w:pPr>
        <w:spacing w:after="0" w:line="53" w:lineRule="exact"/>
        <w:rPr>
          <w:rFonts w:ascii="Times New Roman" w:cs="Times New Roman" w:eastAsia="Times New Roman" w:hAnsi="Times New Roman"/>
          <w:sz w:val="18"/>
          <w:szCs w:val="18"/>
          <w:color w:val="auto"/>
        </w:rPr>
      </w:pPr>
    </w:p>
    <w:p>
      <w:pPr>
        <w:ind w:left="440" w:firstLine="419"/>
        <w:spacing w:after="0" w:line="266" w:lineRule="auto"/>
        <w:tabs>
          <w:tab w:leader="none" w:pos="111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increasing such Consolidated Net Income for such period, the sum of (a) the amount of deferred revenues that are amortized during such period and are attributable to reserves that are subject to Volumetric Production Payments and (b) amounts recorded in accordance with GAAP as repayments of principal and interest pursuant to Dollar-Denominated Production Payments,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each case, on a consolidated basis and determined in accordance with GAAP.</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68" w:right="459" w:bottom="1440" w:gutter="0" w:footer="0" w:header="0"/>
        </w:sectPr>
      </w:pPr>
    </w:p>
    <w:bookmarkStart w:id="19" w:name="page20"/>
    <w:bookmarkEnd w:id="19"/>
    <w:p>
      <w:pPr>
        <w:ind w:right="140" w:firstLine="440"/>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Consolidated Leverage Ratio Indebtedness</w:t>
      </w:r>
      <w:r>
        <w:rPr>
          <w:rFonts w:ascii="Times New Roman" w:cs="Times New Roman" w:eastAsia="Times New Roman" w:hAnsi="Times New Roman"/>
          <w:sz w:val="18"/>
          <w:szCs w:val="18"/>
          <w:color w:val="auto"/>
        </w:rPr>
        <w:t>” of any Person as of any date means the aggregate amount of Indebtedness for money borrowed and Finance Lease Obligations of such Person and its Restricted Subsidiaries, determined on a consolidated basis.</w:t>
      </w:r>
    </w:p>
    <w:p>
      <w:pPr>
        <w:spacing w:after="0" w:line="158" w:lineRule="exact"/>
        <w:rPr>
          <w:sz w:val="20"/>
          <w:szCs w:val="20"/>
          <w:color w:val="auto"/>
        </w:rPr>
      </w:pPr>
    </w:p>
    <w:p>
      <w:pPr>
        <w:ind w:right="12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Net Income</w:t>
      </w:r>
      <w:r>
        <w:rPr>
          <w:rFonts w:ascii="Times New Roman" w:cs="Times New Roman" w:eastAsia="Times New Roman" w:hAnsi="Times New Roman"/>
          <w:sz w:val="18"/>
          <w:szCs w:val="18"/>
          <w:color w:val="auto"/>
        </w:rPr>
        <w:t xml:space="preserve">” means, with respect to any specified Person for any period, the aggregate of the net income (loss) of such Person and its Restricted Subsidiaries for such period, on a consolidated basis determined in accordance with GAAP and without any reduction in respect of Preferred Stock dividends;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67" w:lineRule="exact"/>
        <w:rPr>
          <w:sz w:val="20"/>
          <w:szCs w:val="20"/>
          <w:color w:val="auto"/>
        </w:rPr>
      </w:pPr>
    </w:p>
    <w:p>
      <w:pPr>
        <w:ind w:left="440" w:right="360" w:firstLine="419"/>
        <w:spacing w:after="0" w:line="266" w:lineRule="auto"/>
        <w:tabs>
          <w:tab w:leader="none" w:pos="111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income of any Person that is not a Restricted Subsidiary or that is accounted for by the equity method of accounting will be included, but only to the extent of, in the case of net income, the amount of dividends or distributions paid in cash to the specified Person or a Restricted Subsidiary of the Person;</w:t>
      </w:r>
    </w:p>
    <w:p>
      <w:pPr>
        <w:spacing w:after="0" w:line="67" w:lineRule="exact"/>
        <w:rPr>
          <w:rFonts w:ascii="Times New Roman" w:cs="Times New Roman" w:eastAsia="Times New Roman" w:hAnsi="Times New Roman"/>
          <w:sz w:val="18"/>
          <w:szCs w:val="18"/>
          <w:color w:val="auto"/>
        </w:rPr>
      </w:pPr>
    </w:p>
    <w:p>
      <w:pPr>
        <w:jc w:val="both"/>
        <w:ind w:left="440" w:firstLine="419"/>
        <w:spacing w:after="0" w:line="261" w:lineRule="auto"/>
        <w:tabs>
          <w:tab w:leader="none" w:pos="111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income of any Restricted Subsidiary of such Person (other than a Guarantor) will be excluded to the extent that the declaration or payment of dividends or similar distributions by that Restricted Subsidiary of that net income is not at the date of determination permitted, directly or indirectly, by operation of the terms of its charter, or any judgment, decree, order, statute, rule or governmental regulation applicable to that Restricted Subsidiary or its stockholders, partners or members or any other loan instrument, agreement or other contractual restriction;</w:t>
      </w:r>
    </w:p>
    <w:p>
      <w:pPr>
        <w:spacing w:after="0" w:line="71"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cumulative effect of a change in accounting principles will be excluded;</w:t>
      </w:r>
    </w:p>
    <w:p>
      <w:pPr>
        <w:spacing w:after="0" w:line="115" w:lineRule="exact"/>
        <w:rPr>
          <w:rFonts w:ascii="Times New Roman" w:cs="Times New Roman" w:eastAsia="Times New Roman" w:hAnsi="Times New Roman"/>
          <w:sz w:val="18"/>
          <w:szCs w:val="18"/>
          <w:color w:val="auto"/>
        </w:rPr>
      </w:pPr>
    </w:p>
    <w:p>
      <w:pPr>
        <w:jc w:val="both"/>
        <w:ind w:left="440" w:right="80" w:firstLine="419"/>
        <w:spacing w:after="0" w:line="261" w:lineRule="auto"/>
        <w:tabs>
          <w:tab w:leader="none" w:pos="111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gain (loss), net of taxes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all fees and expenses relating thereto), realized upon the sale or other disposition of any property, plant or equipment of such Person or its consolidated Restricted Subsidiaries (including pursuant to any sale or leaseback transaction) which is not sold or otherwise disposed of in the ordinary course of business and any gain (loss) realized upon the sale or other disposition of any Capital Stock of any Person, together with any related provision for taxes on any such gain, will be excluded;</w:t>
      </w:r>
    </w:p>
    <w:p>
      <w:pPr>
        <w:spacing w:after="0" w:line="73" w:lineRule="exact"/>
        <w:rPr>
          <w:rFonts w:ascii="Times New Roman" w:cs="Times New Roman" w:eastAsia="Times New Roman" w:hAnsi="Times New Roman"/>
          <w:sz w:val="18"/>
          <w:szCs w:val="18"/>
          <w:color w:val="auto"/>
        </w:rPr>
      </w:pPr>
    </w:p>
    <w:p>
      <w:pPr>
        <w:ind w:left="440" w:right="140" w:firstLine="419"/>
        <w:spacing w:after="0" w:line="261" w:lineRule="auto"/>
        <w:tabs>
          <w:tab w:leader="none" w:pos="111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deducted in the calculation of Consolidated Net Income, any non-cash or other charges relating to any premium or penalty paid, write off of deferred financing costs or other financial recapitalization charges in connection with redeeming or retiring any Indebtedness prior to its Stated Maturity, and any fees and expenses incurred in connection with debt financings or restructurings or in connection with the Issuer’s bankruptcy restructuring, will be excluded;</w:t>
      </w:r>
    </w:p>
    <w:p>
      <w:pPr>
        <w:spacing w:after="0" w:line="71" w:lineRule="exact"/>
        <w:rPr>
          <w:rFonts w:ascii="Times New Roman" w:cs="Times New Roman" w:eastAsia="Times New Roman" w:hAnsi="Times New Roman"/>
          <w:sz w:val="18"/>
          <w:szCs w:val="18"/>
          <w:color w:val="auto"/>
        </w:rPr>
      </w:pPr>
    </w:p>
    <w:p>
      <w:pPr>
        <w:ind w:left="440" w:right="300" w:firstLine="419"/>
        <w:spacing w:after="0" w:line="282" w:lineRule="auto"/>
        <w:tabs>
          <w:tab w:leader="none" w:pos="111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“ceiling limitation” on oil and gas properties or other asset impairment writedowns on oil and gas properties or other non-current assets under GAAP or SEC guidelines will be excluded;</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equity compensation expenses, including under FASB ASC 718, will be excluded;</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income tax provision will be excluded; and</w:t>
      </w:r>
    </w:p>
    <w:p>
      <w:pPr>
        <w:spacing w:after="0" w:line="117" w:lineRule="exact"/>
        <w:rPr>
          <w:rFonts w:ascii="Times New Roman" w:cs="Times New Roman" w:eastAsia="Times New Roman" w:hAnsi="Times New Roman"/>
          <w:sz w:val="18"/>
          <w:szCs w:val="18"/>
          <w:color w:val="auto"/>
        </w:rPr>
      </w:pPr>
    </w:p>
    <w:p>
      <w:pPr>
        <w:ind w:left="440" w:right="200" w:firstLine="419"/>
        <w:spacing w:after="0" w:line="282" w:lineRule="auto"/>
        <w:tabs>
          <w:tab w:leader="none" w:pos="111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unrealized non-cash gains or losses or charges in respect of Hedging Obligations (including those resulting from the application of FASB ASC 815) will be excluded.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68" w:right="459" w:bottom="1440" w:gutter="0" w:footer="0" w:header="0"/>
        </w:sectPr>
      </w:pPr>
    </w:p>
    <w:bookmarkStart w:id="20" w:name="page21"/>
    <w:bookmarkEnd w:id="20"/>
    <w:p>
      <w:pPr>
        <w:ind w:left="4" w:right="140" w:firstLine="440"/>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i w:val="1"/>
          <w:iCs w:val="1"/>
          <w:color w:val="auto"/>
        </w:rPr>
        <w:t>Consolidated Net Working Capital</w:t>
      </w:r>
      <w:r>
        <w:rPr>
          <w:rFonts w:ascii="Times New Roman" w:cs="Times New Roman" w:eastAsia="Times New Roman" w:hAnsi="Times New Roman"/>
          <w:sz w:val="17"/>
          <w:szCs w:val="17"/>
          <w:color w:val="auto"/>
        </w:rPr>
        <w:t xml:space="preserve">” means (a) all current assets of the Issuer and its Restricted Subsidiaries except current assets from Oil and Gas Hedging Contracts, </w:t>
      </w:r>
      <w:r>
        <w:rPr>
          <w:rFonts w:ascii="Times New Roman" w:cs="Times New Roman" w:eastAsia="Times New Roman" w:hAnsi="Times New Roman"/>
          <w:sz w:val="17"/>
          <w:szCs w:val="17"/>
          <w:i w:val="1"/>
          <w:iCs w:val="1"/>
          <w:color w:val="auto"/>
        </w:rPr>
        <w:t>less</w:t>
      </w:r>
      <w:r>
        <w:rPr>
          <w:rFonts w:ascii="Times New Roman" w:cs="Times New Roman" w:eastAsia="Times New Roman" w:hAnsi="Times New Roman"/>
          <w:sz w:val="17"/>
          <w:szCs w:val="17"/>
          <w:color w:val="auto"/>
        </w:rPr>
        <w:t xml:space="preserve"> (b) all current liabilities of the Issuer and its Restricted Subsidiaries, except (i) current liabilities included in Indebtedness,</w:t>
      </w:r>
    </w:p>
    <w:p>
      <w:pPr>
        <w:spacing w:after="0" w:line="1" w:lineRule="exact"/>
        <w:rPr>
          <w:sz w:val="20"/>
          <w:szCs w:val="20"/>
          <w:color w:val="auto"/>
        </w:rPr>
      </w:pPr>
    </w:p>
    <w:p>
      <w:pPr>
        <w:jc w:val="both"/>
        <w:ind w:left="4" w:right="120" w:hanging="4"/>
        <w:spacing w:after="0" w:line="277" w:lineRule="auto"/>
        <w:tabs>
          <w:tab w:leader="none" w:pos="269"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current liabilities associated with future abandonment or asset retirement obligations relating to oil and natural gas properties, (iii) current liabilities associated with non-cash stock based compensation and (iv) any current liabilities from Oil and Gas Hedging Contracts, in each case as set forth in the consolidated financial statements of the Issuer prepared in accordance with GAAP (excluding any adjustments made pursuant to FASB ASC 815).</w:t>
      </w:r>
    </w:p>
    <w:p>
      <w:pPr>
        <w:spacing w:after="0" w:line="16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continuing</w:t>
      </w:r>
      <w:r>
        <w:rPr>
          <w:rFonts w:ascii="Times New Roman" w:cs="Times New Roman" w:eastAsia="Times New Roman" w:hAnsi="Times New Roman"/>
          <w:sz w:val="18"/>
          <w:szCs w:val="18"/>
          <w:color w:val="auto"/>
        </w:rPr>
        <w:t>” means, with respect to any Default or Event of Default, that such Default or Event of Default has not been cured or waived.</w:t>
      </w:r>
    </w:p>
    <w:p>
      <w:pPr>
        <w:spacing w:after="0" w:line="225" w:lineRule="exact"/>
        <w:rPr>
          <w:sz w:val="20"/>
          <w:szCs w:val="20"/>
          <w:color w:val="auto"/>
        </w:rPr>
      </w:pPr>
    </w:p>
    <w:p>
      <w:pPr>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Corporate Trust Office of the Trustee</w:t>
      </w:r>
      <w:r>
        <w:rPr>
          <w:rFonts w:ascii="Times New Roman" w:cs="Times New Roman" w:eastAsia="Times New Roman" w:hAnsi="Times New Roman"/>
          <w:sz w:val="18"/>
          <w:szCs w:val="18"/>
          <w:color w:val="auto"/>
        </w:rPr>
        <w:t>” means the principal office of the Trustee which at any time its corporate trust business shall be administered, which office at the date hereof is located at the address of the Trustee specified in Section 12.02, or such other address as to which the Trustee may give notice to the Issuer, or the principal corporate trust office of any successor trustee (or such other address as such successor trustee may designate from time to time by notice to the Issuer).</w:t>
      </w:r>
    </w:p>
    <w:p>
      <w:pPr>
        <w:spacing w:after="0" w:line="180" w:lineRule="exact"/>
        <w:rPr>
          <w:sz w:val="20"/>
          <w:szCs w:val="20"/>
          <w:color w:val="auto"/>
        </w:rPr>
      </w:pPr>
    </w:p>
    <w:p>
      <w:pPr>
        <w:ind w:left="4" w:right="8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Credit Agreement</w:t>
      </w:r>
      <w:r>
        <w:rPr>
          <w:rFonts w:ascii="Times New Roman" w:cs="Times New Roman" w:eastAsia="Times New Roman" w:hAnsi="Times New Roman"/>
          <w:sz w:val="18"/>
          <w:szCs w:val="18"/>
          <w:color w:val="auto"/>
        </w:rPr>
        <w:t>” means the Amended and Restated Credit Agreement dated as of April 26, 2023, as amended to the Issue Date, among the Issuer, the guarantors party thereto, Citibank, N.A., as administrative agent, and the lenders and agents party thereto from time to time, as such agreement, in whole or in part, in one or more instances, may hereafter be amended, renewed, extended, increased, substituted, refinanced, restructured, replaced, supplemented or otherwise modified from time to time (including, without limitation, any successive renewals, extensions, increases, substitutions, refinancings, restructurings, replacements, supplementations or other modifications of the foregoing).</w:t>
      </w:r>
    </w:p>
    <w:p>
      <w:pPr>
        <w:spacing w:after="0" w:line="183" w:lineRule="exact"/>
        <w:rPr>
          <w:sz w:val="20"/>
          <w:szCs w:val="20"/>
          <w:color w:val="auto"/>
        </w:rPr>
      </w:pPr>
    </w:p>
    <w:p>
      <w:pPr>
        <w:ind w:left="4"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Credit Facilities</w:t>
      </w:r>
      <w:r>
        <w:rPr>
          <w:rFonts w:ascii="Times New Roman" w:cs="Times New Roman" w:eastAsia="Times New Roman" w:hAnsi="Times New Roman"/>
          <w:sz w:val="18"/>
          <w:szCs w:val="18"/>
          <w:color w:val="auto"/>
        </w:rPr>
        <w:t>” means one or more debt facilities (including the Credit Agreement), loan agreements, indentures or commercial paper facilities, in each case, with banks or other institutional lenders or investors providing for revolving credit loans, term loans, capital market financings, debt securities, receivables financing (including through the sale of receivables to such lenders or to special purpose entities formed to borrow from such lenders against such receivables) or letters of credit, in each case, as amended, restated, modified, renewed, refunded, replaced in any manner (whether upon or after termination or otherwise) or refinanced (including by means of sales or exchanges of debt securities to or with institutional investors) in whole or in part from time to time.</w:t>
      </w:r>
    </w:p>
    <w:p>
      <w:pPr>
        <w:spacing w:after="0" w:line="18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Custodian</w:t>
      </w:r>
      <w:r>
        <w:rPr>
          <w:rFonts w:ascii="Times New Roman" w:cs="Times New Roman" w:eastAsia="Times New Roman" w:hAnsi="Times New Roman"/>
          <w:sz w:val="18"/>
          <w:szCs w:val="18"/>
          <w:color w:val="auto"/>
        </w:rPr>
        <w:t>” means the Trustee, as custodian with respect to the Notes in global form, or any successor entity thereto.</w:t>
      </w:r>
    </w:p>
    <w:p>
      <w:pPr>
        <w:spacing w:after="0" w:line="225" w:lineRule="exact"/>
        <w:rPr>
          <w:sz w:val="20"/>
          <w:szCs w:val="20"/>
          <w:color w:val="auto"/>
        </w:rPr>
      </w:pPr>
    </w:p>
    <w:p>
      <w:pPr>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Customary Recourse Exceptions</w:t>
      </w:r>
      <w:r>
        <w:rPr>
          <w:rFonts w:ascii="Times New Roman" w:cs="Times New Roman" w:eastAsia="Times New Roman" w:hAnsi="Times New Roman"/>
          <w:sz w:val="18"/>
          <w:szCs w:val="18"/>
          <w:color w:val="auto"/>
        </w:rPr>
        <w:t>” means, with respect to any Non-Recourse Debt of an Unrestricted Subsidiary or Joint Venture, exclusions from the exculpation provisions with respect to such Non-Recourse Debt for the voluntary bankruptcy of such Unrestricted Subsidiary, fraud, misapplication of cash, environmental claims, waste, willful destruction and other circumstances customarily excluded by lenders from exculpation provisions or included in separate indemnification agreements in non-recourse financings.</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 Minimis Guaranteed Amount</w:t>
      </w:r>
      <w:r>
        <w:rPr>
          <w:rFonts w:ascii="Times New Roman" w:cs="Times New Roman" w:eastAsia="Times New Roman" w:hAnsi="Times New Roman"/>
          <w:sz w:val="18"/>
          <w:szCs w:val="18"/>
          <w:color w:val="auto"/>
        </w:rPr>
        <w:t>” means a principal amount of Indebtedness that does not exceed $25.0 million.</w:t>
      </w:r>
    </w:p>
    <w:p>
      <w:pPr>
        <w:spacing w:after="0" w:line="160"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4"/>
          </w:cols>
          <w:pgMar w:left="436" w:top="268" w:right="459" w:bottom="1440" w:gutter="0" w:footer="0" w:header="0"/>
        </w:sectPr>
      </w:pPr>
    </w:p>
    <w:bookmarkStart w:id="21" w:name="page22"/>
    <w:bookmarkEnd w:id="2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Default</w:t>
      </w:r>
      <w:r>
        <w:rPr>
          <w:rFonts w:ascii="Times New Roman" w:cs="Times New Roman" w:eastAsia="Times New Roman" w:hAnsi="Times New Roman"/>
          <w:sz w:val="18"/>
          <w:szCs w:val="18"/>
          <w:color w:val="auto"/>
        </w:rPr>
        <w:t>” means any event that is, or with the passage of time or the giving of notice or both would be, an Event of Default.</w:t>
      </w:r>
    </w:p>
    <w:p>
      <w:pPr>
        <w:spacing w:after="0" w:line="225" w:lineRule="exact"/>
        <w:rPr>
          <w:sz w:val="20"/>
          <w:szCs w:val="20"/>
          <w:color w:val="auto"/>
        </w:rPr>
      </w:pPr>
    </w:p>
    <w:p>
      <w:pPr>
        <w:jc w:val="both"/>
        <w:ind w:right="6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Definitive Note</w:t>
      </w:r>
      <w:r>
        <w:rPr>
          <w:rFonts w:ascii="Times New Roman" w:cs="Times New Roman" w:eastAsia="Times New Roman" w:hAnsi="Times New Roman"/>
          <w:sz w:val="18"/>
          <w:szCs w:val="18"/>
          <w:color w:val="auto"/>
        </w:rPr>
        <w:t xml:space="preserve">” means a certificated Note registered in the name of the Holder thereof and issued in accordance with Section 2.06,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except that such Note shall not bear the Global Note Legend and shall not have the “Schedule of Increases or Decreases of Interests in the Global Note” attached thereto.</w:t>
      </w:r>
    </w:p>
    <w:p>
      <w:pPr>
        <w:spacing w:after="0" w:line="173"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Derivative Instrument</w:t>
      </w:r>
      <w:r>
        <w:rPr>
          <w:rFonts w:ascii="Times New Roman" w:cs="Times New Roman" w:eastAsia="Times New Roman" w:hAnsi="Times New Roman"/>
          <w:sz w:val="18"/>
          <w:szCs w:val="18"/>
          <w:color w:val="auto"/>
        </w:rPr>
        <w:t>” with respect to a Person, means any contract, instrument or other right to receive payment or delivery of cash or other assets to which such Person or any Affiliate of such Person that is acting in concert with such Person in connection with such Person’s investment in the Notes (other than a Screened Affiliate) is a party (whether or not requiring further performance by such Person), the value and/or cash flows of which (or any material portion thereof) are materially affected by the value and/or performance of the Notes and/or the creditworthiness of the Issuer and/or any one or more of the Guarantors (the “</w:t>
      </w:r>
      <w:r>
        <w:rPr>
          <w:rFonts w:ascii="Times New Roman" w:cs="Times New Roman" w:eastAsia="Times New Roman" w:hAnsi="Times New Roman"/>
          <w:sz w:val="18"/>
          <w:szCs w:val="18"/>
          <w:i w:val="1"/>
          <w:iCs w:val="1"/>
          <w:color w:val="auto"/>
        </w:rPr>
        <w:t>Performance References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2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Designated Non-cash Consideration</w:t>
      </w:r>
      <w:r>
        <w:rPr>
          <w:rFonts w:ascii="Times New Roman" w:cs="Times New Roman" w:eastAsia="Times New Roman" w:hAnsi="Times New Roman"/>
          <w:sz w:val="18"/>
          <w:szCs w:val="18"/>
          <w:color w:val="auto"/>
        </w:rPr>
        <w:t xml:space="preserve">” means the Fair Market Value of non-cash consideration received by the Issuer or a Restricted Subsidiary in connection with an Asset Sale that is so designated as Designated Non-cash Consideration,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the amount of cash or Cash Equivalents received in connection with a subsequent sale of or collection on such Designated Non-cash Consideration.</w:t>
      </w:r>
    </w:p>
    <w:p>
      <w:pPr>
        <w:spacing w:after="0" w:line="173" w:lineRule="exact"/>
        <w:rPr>
          <w:sz w:val="20"/>
          <w:szCs w:val="20"/>
          <w:color w:val="auto"/>
        </w:rPr>
      </w:pPr>
    </w:p>
    <w:p>
      <w:pPr>
        <w:jc w:val="both"/>
        <w:ind w:right="30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Depositary</w:t>
      </w:r>
      <w:r>
        <w:rPr>
          <w:rFonts w:ascii="Times New Roman" w:cs="Times New Roman" w:eastAsia="Times New Roman" w:hAnsi="Times New Roman"/>
          <w:sz w:val="18"/>
          <w:szCs w:val="18"/>
          <w:color w:val="auto"/>
        </w:rPr>
        <w:t>” means, with respect to the Notes issuable or issued in whole or in part in global form, the Person specified in Section 2.03 as the Depositary with respect to the Notes, and any and all successors thereto appointed as depositary hereunder and having become such pursuant to the applicable provision of this Indenture.</w:t>
      </w:r>
    </w:p>
    <w:p>
      <w:pPr>
        <w:spacing w:after="0" w:line="173"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Disqualified Stock</w:t>
      </w:r>
      <w:r>
        <w:rPr>
          <w:rFonts w:ascii="Times New Roman" w:cs="Times New Roman" w:eastAsia="Times New Roman" w:hAnsi="Times New Roman"/>
          <w:sz w:val="18"/>
          <w:szCs w:val="18"/>
          <w:color w:val="auto"/>
        </w:rPr>
        <w:t xml:space="preserve">” means any Capital Stock that, by its terms (or by the terms of any security into which it is convertible, or for which it is exchangeable, in each case, at the option of the holder of the Capital Stock), or upon the happening of any event, matures or is mandatorily redeemable, pursuant to a sinking fund obligation or otherwise, or redeemable at the option of the holder of the Capital Stock (other than in exchange for Capital Stock of the Issuer (other than Disqualified Stock)), in whole or in part, on or prior to the date that is 91 days after the earlier of (a) the date on which no Notes are outstanding and (b) the date on which the Notes mature;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only the portion of Capital Stock which is mandatorily redeemable or matures or is redeemable at the option of the holder thereof prior to such date will be deemed to be Disqualified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any Capital Stock issued pursuant to any plan of the Issuer or any of its Affiliates for the benefit of one or more employees will not constitute Disqualified Stock solely because it may be required to be repurchased by the Issuer or any of its Affiliates in order to satisfy applicable contractual, statutory or regulatory obligations. Notwithstanding the preceding sentence, any Capital Stock that would constitute Disqualified Stock solely because the holders of the Capital Stock have the right to require the Issuer to repurchase or redeem such Capital Stock upon the occurrence of a change of control or an asset sale will not constitute Disqualified Stock if (x) the terms of such Capital Stock provide that the Issuer may not repurchase or redeem any such Capital Stock pursuant to such provisions unless such repurchase or redemption complies with Section 4.07 or (y) the terms of such Capital Stock provide that the Issuer may not repurchase or redeem any such Capital Stock pursuant to such provisions prior to the Issuer’s purchase of the Notes as is required to be purchased pursuant to the provisions of this Indenture. The amount (or principal amount) of Disqualified Stock deemed to be outstanding at any time for purposes of this Indenture will be the maximum amount that the Issuer and its Restricted Subsidiaries may become obligated to pay upon the maturity of, or pursuant to any mandatory redemption provisions of, such Disqualified Stock, exclusive of accrued dividends.</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68" w:right="479" w:bottom="1440" w:gutter="0" w:footer="0" w:header="0"/>
        </w:sectPr>
      </w:pPr>
    </w:p>
    <w:bookmarkStart w:id="22" w:name="page23"/>
    <w:bookmarkEnd w:id="22"/>
    <w:p>
      <w:pPr>
        <w:ind w:right="260" w:firstLine="440"/>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Dollar-Denominated Production Payments</w:t>
      </w:r>
      <w:r>
        <w:rPr>
          <w:rFonts w:ascii="Times New Roman" w:cs="Times New Roman" w:eastAsia="Times New Roman" w:hAnsi="Times New Roman"/>
          <w:sz w:val="18"/>
          <w:szCs w:val="18"/>
          <w:color w:val="auto"/>
        </w:rPr>
        <w:t>” means production payment obligations recorded as liabilities in accordance with GAAP, together with all undertakings and obligations in connection therewith.</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EHP Entity</w:t>
      </w:r>
      <w:r>
        <w:rPr>
          <w:rFonts w:ascii="Times New Roman" w:cs="Times New Roman" w:eastAsia="Times New Roman" w:hAnsi="Times New Roman"/>
          <w:sz w:val="18"/>
          <w:szCs w:val="18"/>
          <w:color w:val="auto"/>
        </w:rPr>
        <w:t>” means Elk Hills Power, LLC and its Subsidiaries, and any successor thereto.</w:t>
      </w:r>
    </w:p>
    <w:p>
      <w:pPr>
        <w:spacing w:after="0" w:line="225" w:lineRule="exact"/>
        <w:rPr>
          <w:sz w:val="20"/>
          <w:szCs w:val="20"/>
          <w:color w:val="auto"/>
        </w:rPr>
      </w:pPr>
    </w:p>
    <w:p>
      <w:pPr>
        <w:jc w:val="both"/>
        <w:ind w:right="34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Electronic Means</w:t>
      </w:r>
      <w:r>
        <w:rPr>
          <w:rFonts w:ascii="Times New Roman" w:cs="Times New Roman" w:eastAsia="Times New Roman" w:hAnsi="Times New Roman"/>
          <w:sz w:val="18"/>
          <w:szCs w:val="18"/>
          <w:color w:val="auto"/>
        </w:rPr>
        <w:t>” means the following communications methods: e-mail, facsimile transmission, secure electronic transmission containing applicable authorization codes, passwords and/or authentication keys issued by the Trustee, or another method or system specified by the Trustee as available for use in connection with its services hereunder.</w:t>
      </w:r>
    </w:p>
    <w:p>
      <w:pPr>
        <w:spacing w:after="0" w:line="173"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Equity Interests</w:t>
      </w:r>
      <w:r>
        <w:rPr>
          <w:rFonts w:ascii="Times New Roman" w:cs="Times New Roman" w:eastAsia="Times New Roman" w:hAnsi="Times New Roman"/>
          <w:sz w:val="18"/>
          <w:szCs w:val="18"/>
          <w:color w:val="auto"/>
        </w:rPr>
        <w:t>” of any Person means (1) any and all Capital Stock of such Person and (2) all rights to purchase, warrants or options (whether or not currently exercisable), participations or other equivalents of or interests in (however designated) such Capital Stock of such Person, but excluding from all of the foregoing any debt securities exercisable for, exchangeable for or convertible into Equity Interests, regardless of whether such debt securities include any right of participation with Equity Interests.</w:t>
      </w:r>
    </w:p>
    <w:p>
      <w:pPr>
        <w:spacing w:after="0" w:line="180" w:lineRule="exact"/>
        <w:rPr>
          <w:sz w:val="20"/>
          <w:szCs w:val="20"/>
          <w:color w:val="auto"/>
        </w:rPr>
      </w:pPr>
    </w:p>
    <w:p>
      <w:pPr>
        <w:ind w:right="16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Equity Offering</w:t>
      </w:r>
      <w:r>
        <w:rPr>
          <w:rFonts w:ascii="Times New Roman" w:cs="Times New Roman" w:eastAsia="Times New Roman" w:hAnsi="Times New Roman"/>
          <w:sz w:val="18"/>
          <w:szCs w:val="18"/>
          <w:color w:val="auto"/>
        </w:rPr>
        <w:t>” means a sale of Equity Interests of the Issuer (other than Disqualified Stock and other than to a Subsidiary of the Issuer) made for cash or any cash contribution to the capital of the Issuer in respect of Equity Interests (other than Disqualified Stock), in each case after the Issue Date.</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Euroclear</w:t>
      </w:r>
      <w:r>
        <w:rPr>
          <w:rFonts w:ascii="Times New Roman" w:cs="Times New Roman" w:eastAsia="Times New Roman" w:hAnsi="Times New Roman"/>
          <w:sz w:val="18"/>
          <w:szCs w:val="18"/>
          <w:color w:val="auto"/>
        </w:rPr>
        <w:t>” means Euroclear Bank, S.A./N.V., as operator of the Euroclear system.</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ind w:right="8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Existing Indebtedness</w:t>
      </w:r>
      <w:r>
        <w:rPr>
          <w:rFonts w:ascii="Times New Roman" w:cs="Times New Roman" w:eastAsia="Times New Roman" w:hAnsi="Times New Roman"/>
          <w:sz w:val="18"/>
          <w:szCs w:val="18"/>
          <w:color w:val="auto"/>
        </w:rPr>
        <w:t>” means all Indebtedness of the Issuer and its Subsidiaries (other than Indebtedness under the Credit Agreement, the Notes and the Guarantees) in existence on the Issue Date, until such amounts are repaid.</w:t>
      </w:r>
    </w:p>
    <w:p>
      <w:pPr>
        <w:spacing w:after="0" w:line="158" w:lineRule="exact"/>
        <w:rPr>
          <w:sz w:val="20"/>
          <w:szCs w:val="20"/>
          <w:color w:val="auto"/>
        </w:rPr>
      </w:pPr>
    </w:p>
    <w:p>
      <w:pPr>
        <w:ind w:right="1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Fair Market Value</w:t>
      </w:r>
      <w:r>
        <w:rPr>
          <w:rFonts w:ascii="Times New Roman" w:cs="Times New Roman" w:eastAsia="Times New Roman" w:hAnsi="Times New Roman"/>
          <w:sz w:val="18"/>
          <w:szCs w:val="18"/>
          <w:color w:val="auto"/>
        </w:rPr>
        <w:t>” means the value that would be paid by a willing buyer to an unaffiliated willing seller in a transaction not involving distress or necessity of either party.</w:t>
      </w:r>
    </w:p>
    <w:p>
      <w:pPr>
        <w:spacing w:after="0" w:line="158"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Finance Lease Obligation</w:t>
      </w:r>
      <w:r>
        <w:rPr>
          <w:rFonts w:ascii="Times New Roman" w:cs="Times New Roman" w:eastAsia="Times New Roman" w:hAnsi="Times New Roman"/>
          <w:sz w:val="18"/>
          <w:szCs w:val="18"/>
          <w:color w:val="auto"/>
        </w:rPr>
        <w:t>” means, at the time any determination is to be made, the amount of the liability in respect of a finance lease that would at that time be required to be capitalized on a balance sheet prepared in accordance with GAAP, with the amount of Indebtedness represented by such obligation being the capitalized amount of such obligation determined in accordance with GAAP, and the Stated Maturity thereof being the date of the last payment of rent or any other amount due under such lease prior to the first date upon which such lease may be prepaid by the lessee without payment of a penalty. Notwithstanding the foregoing, any lease (whether entered into before or after the Issue Date) that would have been classified as an operating lease pursuant to GAAP as in effect on the Issue Date will be deemed not to represent a Finance Lease Obligation. For purposes of Section 4.12, a Finance Lease Obligation will be deemed to be secured by a Lien on the property being leased.</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Fitch</w:t>
      </w:r>
      <w:r>
        <w:rPr>
          <w:rFonts w:ascii="Times New Roman" w:cs="Times New Roman" w:eastAsia="Times New Roman" w:hAnsi="Times New Roman"/>
          <w:sz w:val="18"/>
          <w:szCs w:val="18"/>
          <w:color w:val="auto"/>
        </w:rPr>
        <w:t>” means Fitch Ratings Inc., and any successor to the ratings business thereof.</w:t>
      </w:r>
    </w:p>
    <w:p>
      <w:pPr>
        <w:spacing w:after="0" w:line="225" w:lineRule="exact"/>
        <w:rPr>
          <w:sz w:val="20"/>
          <w:szCs w:val="20"/>
          <w:color w:val="auto"/>
        </w:rPr>
      </w:pPr>
    </w:p>
    <w:p>
      <w:pPr>
        <w:ind w:right="2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Fixed Charge Coverage Ratio</w:t>
      </w:r>
      <w:r>
        <w:rPr>
          <w:rFonts w:ascii="Times New Roman" w:cs="Times New Roman" w:eastAsia="Times New Roman" w:hAnsi="Times New Roman"/>
          <w:sz w:val="18"/>
          <w:szCs w:val="18"/>
          <w:color w:val="auto"/>
        </w:rPr>
        <w:t>” means with respect to any specified Person for any four-quarter reference period, the ratio of the Consolidated Cash Flow of such Person for such period to the Fixed Charges of such Person for such period. In the event that the specified Person or any of its Restricted Subsidiaries incurs, assumes, guarantees, repays, repurchases, redeems, defeases or otherwise discharges any Indebtedness (other than ordinary working capital borrowings) or issues, repurchases or redeems Preferred Stock subsequent to the commencement of the period for which the Fixed Charge Coverage Ratio is being calculated and on or prior to the date on which the event for which the calculation of the Fixed</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40" w:top="268" w:right="479" w:bottom="1440" w:gutter="0" w:footer="0" w:header="0"/>
        </w:sectPr>
      </w:pPr>
    </w:p>
    <w:bookmarkStart w:id="23" w:name="page24"/>
    <w:bookmarkEnd w:id="23"/>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Charge Coverage Ratio is made (the “</w:t>
      </w:r>
      <w:r>
        <w:rPr>
          <w:rFonts w:ascii="Times New Roman" w:cs="Times New Roman" w:eastAsia="Times New Roman" w:hAnsi="Times New Roman"/>
          <w:sz w:val="18"/>
          <w:szCs w:val="18"/>
          <w:i w:val="1"/>
          <w:iCs w:val="1"/>
          <w:color w:val="auto"/>
        </w:rPr>
        <w:t>Calculation Date</w:t>
      </w:r>
      <w:r>
        <w:rPr>
          <w:rFonts w:ascii="Times New Roman" w:cs="Times New Roman" w:eastAsia="Times New Roman" w:hAnsi="Times New Roman"/>
          <w:sz w:val="18"/>
          <w:szCs w:val="18"/>
          <w:color w:val="auto"/>
        </w:rPr>
        <w:t xml:space="preserve">”), then the Fixed Charge Coverage Ratio will be calculated giving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to such incurrence, assumption, guarantee, repayment, repurchase, redemption, defeasance or other discharge of Indebtedness, or such issuance, repurchase or redemption of Preferred Stock, and the use of the proceeds therefrom, as if the same had occurred at the beginning of the applicable four-quarter reference period (except that in making such computation, interest on the amount of Indebtedness under any revolving Credit Facility outstanding on the date of such determination will be deemed to be (i) the average daily balance of such Indebtedness during such four fiscal quarters or such shorter period for which such Credit Facility was outstanding or (ii) if such revolving Credit Facility was created after the end of such four fiscal quarters, the average daily balance of such Indebtedness during the period from the date of creation of such revolving Credit Facility to the date of such determination). If any Indebtedness bears a floating rate of interest and is being given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the interest expense on such Indebtedness will be calculated as if the average rate in effect from the beginning of such period to the Calculation Date had been the applicable rate for the entire period (taking into account any interest Hedging Obligation applicable to such Indebtedness, but if the remaining term of such interest Hedging Obligation is less than twelve months, then such interest Hedging Obligation shall only be taken into account for that portion of the period equal to the remaining term thereof). If any Indebtedness that is being given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bears an interest rate at the option of such Person, the interest rate shall be calculated by applying such option rate chosen by such Person. Interest on Indebtedness that may optionally be determined at an interest rate based upon a factor of a prime or similar rate, a Eurocurrency interbank offered rate, or other rate shall be deemed to have been based upon the rate actually chosen or, if none, then based upon such optional rate chosen as such Person may designate. Interest on any Indebtedness under a revolving Credit Facility will be calculated based upon the average daily balance of such Indebtedness during the applicable period.</w:t>
      </w:r>
    </w:p>
    <w:p>
      <w:pPr>
        <w:spacing w:after="0" w:line="1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addition, for purposes of calculating the Fixed Charge Coverage Ratio:</w:t>
      </w:r>
    </w:p>
    <w:p>
      <w:pPr>
        <w:spacing w:after="0" w:line="117" w:lineRule="exact"/>
        <w:rPr>
          <w:sz w:val="20"/>
          <w:szCs w:val="20"/>
          <w:color w:val="auto"/>
        </w:rPr>
      </w:pPr>
    </w:p>
    <w:p>
      <w:pPr>
        <w:ind w:left="440" w:right="100" w:firstLine="419"/>
        <w:spacing w:after="0" w:line="256" w:lineRule="auto"/>
        <w:tabs>
          <w:tab w:leader="none" w:pos="111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acquisitions or Investments that have been made, or contributions received, by the specified Person or any of its Restricted Subsidiaries, including through mergers, consolidations or otherwise (including acquisitions or Investments or contributions of assets used or useful in the Oil and Gas Business), or any Person or any of its Restricted Subsidiaries acquired by the specified Person or any of its Restricted Subsidiaries, and including all related financing transactions and including increases in ownership of Restricted Subsidiaries, during the four-quarter reference period or subsequent to such four-quarter reference period and on or prior to the Calculation Date, or that are to be made on the Calculation Date, will be given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as if they had occurred on the first day of the four-quarter reference period;</w:t>
      </w:r>
    </w:p>
    <w:p>
      <w:pPr>
        <w:spacing w:after="0" w:line="79" w:lineRule="exact"/>
        <w:rPr>
          <w:rFonts w:ascii="Times New Roman" w:cs="Times New Roman" w:eastAsia="Times New Roman" w:hAnsi="Times New Roman"/>
          <w:sz w:val="18"/>
          <w:szCs w:val="18"/>
          <w:color w:val="auto"/>
        </w:rPr>
      </w:pPr>
    </w:p>
    <w:p>
      <w:pPr>
        <w:ind w:left="440" w:right="700" w:firstLine="419"/>
        <w:spacing w:after="0" w:line="282" w:lineRule="auto"/>
        <w:tabs>
          <w:tab w:leader="none" w:pos="111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Cash Flow attributable to discontinued operations, as determined in accordance with GAAP, and operations or businesses or Investments (or ownership interests therein) disposed of on or prior to the Calculation Date, will be excluded;</w:t>
      </w:r>
    </w:p>
    <w:p>
      <w:pPr>
        <w:spacing w:after="0" w:line="53" w:lineRule="exact"/>
        <w:rPr>
          <w:rFonts w:ascii="Times New Roman" w:cs="Times New Roman" w:eastAsia="Times New Roman" w:hAnsi="Times New Roman"/>
          <w:sz w:val="18"/>
          <w:szCs w:val="18"/>
          <w:color w:val="auto"/>
        </w:rPr>
      </w:pPr>
    </w:p>
    <w:p>
      <w:pPr>
        <w:ind w:left="440" w:right="340" w:firstLine="419"/>
        <w:spacing w:after="0" w:line="261" w:lineRule="auto"/>
        <w:tabs>
          <w:tab w:leader="none" w:pos="111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Fixed Charges attributable to discontinued operations, as determined in accordance with GAAP, and operations or businesses or Investments (or ownership interests therein) disposed of on or prior to the Calculation Date, will be excluded, but only to the extent that the obligations giving rise to such Fixed Charges will not be obligations of the specified Person or any of its Restricted Subsidiaries following the Calculation Date;</w:t>
      </w:r>
    </w:p>
    <w:p>
      <w:pPr>
        <w:spacing w:after="0" w:line="71" w:lineRule="exact"/>
        <w:rPr>
          <w:rFonts w:ascii="Times New Roman" w:cs="Times New Roman" w:eastAsia="Times New Roman" w:hAnsi="Times New Roman"/>
          <w:sz w:val="18"/>
          <w:szCs w:val="18"/>
          <w:color w:val="auto"/>
        </w:rPr>
      </w:pPr>
    </w:p>
    <w:p>
      <w:pPr>
        <w:ind w:left="440" w:right="260" w:firstLine="419"/>
        <w:spacing w:after="0" w:line="282" w:lineRule="auto"/>
        <w:tabs>
          <w:tab w:leader="none" w:pos="111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that is to be a Restricted Subsidiary of the specified Person immediately following the Calculation Date will be deemed to have been a Restricted Subsidiary at all times during such four-quarter reference period;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68" w:right="459" w:bottom="1440" w:gutter="0" w:footer="0" w:header="0"/>
        </w:sectPr>
      </w:pPr>
    </w:p>
    <w:bookmarkStart w:id="24" w:name="page25"/>
    <w:bookmarkEnd w:id="24"/>
    <w:p>
      <w:pPr>
        <w:ind w:left="440" w:right="180" w:firstLine="419"/>
        <w:spacing w:after="0" w:line="282" w:lineRule="auto"/>
        <w:tabs>
          <w:tab w:leader="none" w:pos="111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Person that is not to be a Restricted Subsidiary of the specified Person immediately following the Calculation Date will be deemed not to have been a Restricted Subsidiary at any time during such four-quarter reference period;</w:t>
      </w:r>
    </w:p>
    <w:p>
      <w:pPr>
        <w:spacing w:after="0" w:line="53" w:lineRule="exact"/>
        <w:rPr>
          <w:rFonts w:ascii="Times New Roman" w:cs="Times New Roman" w:eastAsia="Times New Roman" w:hAnsi="Times New Roman"/>
          <w:sz w:val="18"/>
          <w:szCs w:val="18"/>
          <w:color w:val="auto"/>
        </w:rPr>
      </w:pPr>
    </w:p>
    <w:p>
      <w:pPr>
        <w:ind w:left="440" w:right="100" w:firstLine="419"/>
        <w:spacing w:after="0" w:line="266" w:lineRule="auto"/>
        <w:tabs>
          <w:tab w:leader="none" w:pos="111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reasonably anticipated by such Person to be received during the applicable four-quarter reference period from cash or Cash Equivalents held by such Person or any Restricted Subsidiary of such Person, which cash or Cash Equivalents exist on the Calculation Date or will exist as a result of the transaction giving rise to the need to calculate the Fixed Charge Coverage Ratio, will be included; and</w:t>
      </w:r>
    </w:p>
    <w:p>
      <w:pPr>
        <w:spacing w:after="0" w:line="67" w:lineRule="exact"/>
        <w:rPr>
          <w:rFonts w:ascii="Times New Roman" w:cs="Times New Roman" w:eastAsia="Times New Roman" w:hAnsi="Times New Roman"/>
          <w:sz w:val="18"/>
          <w:szCs w:val="18"/>
          <w:color w:val="auto"/>
        </w:rPr>
      </w:pPr>
    </w:p>
    <w:p>
      <w:pPr>
        <w:ind w:left="440" w:right="80" w:firstLine="419"/>
        <w:spacing w:after="0" w:line="255" w:lineRule="auto"/>
        <w:tabs>
          <w:tab w:leader="none" w:pos="111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since the beginning of such four-quarter reference period, any Person (that subsequently became a Restricted Subsidiary or was merged or consolidated with or into such Person or any of its Restricted Subsidiaries since the beginning of such four-quarter reference period) disposed of any operations or businesses or Investments (or ownership interests therein) or made any acquisition or Investment or received any contribution that would have required an adjustment pursuant to clause (1), (2) or (3) above if made by such Person or any of its Restricted Subsidiaries during such four-quarter reference period, Consolidated Cash Flow and Fixed Charges for such period will be calculated after giving </w:t>
      </w:r>
      <w:r>
        <w:rPr>
          <w:rFonts w:ascii="Times New Roman" w:cs="Times New Roman" w:eastAsia="Times New Roman" w:hAnsi="Times New Roman"/>
          <w:sz w:val="18"/>
          <w:szCs w:val="18"/>
          <w:i w:val="1"/>
          <w:iCs w:val="1"/>
          <w:color w:val="auto"/>
        </w:rPr>
        <w:t xml:space="preserve">pro forma </w:t>
      </w:r>
      <w:r>
        <w:rPr>
          <w:rFonts w:ascii="Times New Roman" w:cs="Times New Roman" w:eastAsia="Times New Roman" w:hAnsi="Times New Roman"/>
          <w:sz w:val="18"/>
          <w:szCs w:val="18"/>
          <w:color w:val="auto"/>
        </w:rPr>
        <w:t>effect thereto as if such disposition or acquisition, contribution or Investment had occurred on the first day of such four-quarter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reference period.</w:t>
      </w:r>
    </w:p>
    <w:p>
      <w:pPr>
        <w:spacing w:after="0" w:line="187"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For purposes of this definition, whenever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is to be given to any calculation under this definition, the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calculations will be determined in good faith by a responsible financial or accounting Officer of the Issuer, which determination shall be conclusive for all purposes under this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Officer may in such Officer’s discretion include any reasonably identifiable and factually supportable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changes to Consolidated Cash Flow or Fixed Charges, including any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expense and cost reductions or synergies that have occurred or are reasonably expected to occur within the 12 months immediately following the Calculation Date (regardless of whether those cost savings or operating improvements could then be reflected in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financial statements in accordance with Regulation S-X promulgated under the Securities Act or any other regulation or policy of the SEC related thereto).</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Fixed Charges</w:t>
      </w:r>
      <w:r>
        <w:rPr>
          <w:rFonts w:ascii="Times New Roman" w:cs="Times New Roman" w:eastAsia="Times New Roman" w:hAnsi="Times New Roman"/>
          <w:sz w:val="18"/>
          <w:szCs w:val="18"/>
          <w:color w:val="auto"/>
        </w:rPr>
        <w:t>” means, with respect to any specified Person for any period, the sum, without duplication, of:</w:t>
      </w:r>
    </w:p>
    <w:p>
      <w:pPr>
        <w:spacing w:after="0" w:line="117" w:lineRule="exact"/>
        <w:rPr>
          <w:sz w:val="20"/>
          <w:szCs w:val="20"/>
          <w:color w:val="auto"/>
        </w:rPr>
      </w:pPr>
    </w:p>
    <w:p>
      <w:pPr>
        <w:ind w:left="440" w:right="260" w:firstLine="419"/>
        <w:spacing w:after="0" w:line="262" w:lineRule="auto"/>
        <w:tabs>
          <w:tab w:leader="none" w:pos="111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interest expense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interest income) of such Person and its Restricted Subsidiaries for such period, whether paid or accrued (excluding (i) any interest attributable to Dollar-Denominated Production Payments, (ii) write-off of deferred financing costs and</w:t>
      </w:r>
    </w:p>
    <w:p>
      <w:pPr>
        <w:ind w:left="440" w:hanging="4"/>
        <w:spacing w:after="0" w:line="253" w:lineRule="auto"/>
        <w:tabs>
          <w:tab w:leader="none" w:pos="7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accretion of interest charges on future plugging and abandonment obligations, future retirement benefits and other obligations that do not constitute Indebtedness, but including, without limitation, amortization of debt issuance costs and original issue discount, non-cash interest payments, the interest component of all payments associated with Finance Lease Obligations, imputed interest with respect to Attributable Debt, commissions, discounts and other fees and charges incurred in respect of letter of credit or bankers’ acceptance financings), and net of the effect of all payments made or received pursuant to Hedging Obligations in respect of interest rates; </w:t>
      </w:r>
      <w:r>
        <w:rPr>
          <w:rFonts w:ascii="Times New Roman" w:cs="Times New Roman" w:eastAsia="Times New Roman" w:hAnsi="Times New Roman"/>
          <w:sz w:val="18"/>
          <w:szCs w:val="18"/>
          <w:i w:val="1"/>
          <w:iCs w:val="1"/>
          <w:color w:val="auto"/>
        </w:rPr>
        <w:t>plus</w:t>
      </w:r>
    </w:p>
    <w:p>
      <w:pPr>
        <w:spacing w:after="0" w:line="76"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consolidated interest expense of such Person and its Restricted Subsidiaries that was capitalized during such period; </w:t>
      </w:r>
      <w:r>
        <w:rPr>
          <w:rFonts w:ascii="Times New Roman" w:cs="Times New Roman" w:eastAsia="Times New Roman" w:hAnsi="Times New Roman"/>
          <w:sz w:val="18"/>
          <w:szCs w:val="18"/>
          <w:i w:val="1"/>
          <w:iCs w:val="1"/>
          <w:color w:val="auto"/>
        </w:rPr>
        <w:t>plus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25" w:name="page26"/>
    <w:bookmarkEnd w:id="25"/>
    <w:p>
      <w:pPr>
        <w:ind w:left="440" w:right="160" w:firstLine="419"/>
        <w:spacing w:after="0" w:line="266" w:lineRule="auto"/>
        <w:tabs>
          <w:tab w:leader="none" w:pos="111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interest on Indebtedness of another Person (other than Non-Recourse Debt of any Unrestricted Subsidiary or Joint Venture incurred pursuant to Section 4.09(b)(14)) that is guaranteed by such Person or one of its Restricted Subsidiaries or secured by a Lien on assets of such Person or one of its Restricted Subsidiaries, whether or not such guarantee or Lien is called upon; </w:t>
      </w:r>
      <w:r>
        <w:rPr>
          <w:rFonts w:ascii="Times New Roman" w:cs="Times New Roman" w:eastAsia="Times New Roman" w:hAnsi="Times New Roman"/>
          <w:sz w:val="18"/>
          <w:szCs w:val="18"/>
          <w:i w:val="1"/>
          <w:iCs w:val="1"/>
          <w:color w:val="auto"/>
        </w:rPr>
        <w:t>plus</w:t>
      </w:r>
    </w:p>
    <w:p>
      <w:pPr>
        <w:spacing w:after="0" w:line="67" w:lineRule="exact"/>
        <w:rPr>
          <w:rFonts w:ascii="Times New Roman" w:cs="Times New Roman" w:eastAsia="Times New Roman" w:hAnsi="Times New Roman"/>
          <w:sz w:val="18"/>
          <w:szCs w:val="18"/>
          <w:color w:val="auto"/>
        </w:rPr>
      </w:pPr>
    </w:p>
    <w:p>
      <w:pPr>
        <w:ind w:left="440" w:firstLine="419"/>
        <w:spacing w:after="0" w:line="266" w:lineRule="auto"/>
        <w:tabs>
          <w:tab w:leader="none" w:pos="111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dividends, whether paid or accrued and whether or not in cash, on any series of Disqualified Stock of such Person or any series of Preferred Stock of its Restricted Subsidiaries, other than dividends on Equity Interests payable solely in Equity Interests of such Person (other than Disqualified Stock) or to such Person or a Restricted Subsidiary of such Person,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each case, on a consolidated basis and determined in accordance with GAAP.</w:t>
      </w:r>
    </w:p>
    <w:p>
      <w:pPr>
        <w:spacing w:after="0" w:line="223" w:lineRule="exact"/>
        <w:rPr>
          <w:sz w:val="20"/>
          <w:szCs w:val="20"/>
          <w:color w:val="auto"/>
        </w:rPr>
      </w:pPr>
    </w:p>
    <w:p>
      <w:pPr>
        <w:ind w:right="1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GAAP</w:t>
      </w:r>
      <w:r>
        <w:rPr>
          <w:rFonts w:ascii="Times New Roman" w:cs="Times New Roman" w:eastAsia="Times New Roman" w:hAnsi="Times New Roman"/>
          <w:sz w:val="18"/>
          <w:szCs w:val="18"/>
          <w:color w:val="auto"/>
        </w:rPr>
        <w:t>” means generally accepted accounting principles in the United States, which are in effect from time to time. All ratio computations based on GAAP contained in this Indenture will be computed in conformity with GAAP.</w:t>
      </w:r>
    </w:p>
    <w:p>
      <w:pPr>
        <w:spacing w:after="0" w:line="158" w:lineRule="exact"/>
        <w:rPr>
          <w:sz w:val="20"/>
          <w:szCs w:val="20"/>
          <w:color w:val="auto"/>
        </w:rPr>
      </w:pPr>
    </w:p>
    <w:p>
      <w:pPr>
        <w:ind w:right="5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Global Note Legend</w:t>
      </w:r>
      <w:r>
        <w:rPr>
          <w:rFonts w:ascii="Times New Roman" w:cs="Times New Roman" w:eastAsia="Times New Roman" w:hAnsi="Times New Roman"/>
          <w:sz w:val="18"/>
          <w:szCs w:val="18"/>
          <w:color w:val="auto"/>
        </w:rPr>
        <w:t>” means the legend set forth in Section 2.06(g)(2), which is required to be placed on all Global Notes issued under this Indenture.</w:t>
      </w:r>
    </w:p>
    <w:p>
      <w:pPr>
        <w:spacing w:after="0" w:line="158"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Global Notes</w:t>
      </w:r>
      <w:r>
        <w:rPr>
          <w:rFonts w:ascii="Times New Roman" w:cs="Times New Roman" w:eastAsia="Times New Roman" w:hAnsi="Times New Roman"/>
          <w:sz w:val="18"/>
          <w:szCs w:val="18"/>
          <w:color w:val="auto"/>
        </w:rPr>
        <w:t xml:space="preserve">” means, individually and collectively, each of the Restricted Global Notes and the Unrestricted Global Notes deposited with or on behalf of and registered in the name of the Depositary or its nominee,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and that bears the Global Note Legend and that has the “Schedule of Increases or Decreases of Interests in the Global Note” attached thereto issued in accordance with Section 2.01, 2.06(b)(4) or 2.06(d)(4).</w:t>
      </w:r>
    </w:p>
    <w:p>
      <w:pPr>
        <w:spacing w:after="0" w:line="180" w:lineRule="exact"/>
        <w:rPr>
          <w:sz w:val="20"/>
          <w:szCs w:val="20"/>
          <w:color w:val="auto"/>
        </w:rPr>
      </w:pPr>
    </w:p>
    <w:p>
      <w:pPr>
        <w:ind w:right="18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Government Securities</w:t>
      </w:r>
      <w:r>
        <w:rPr>
          <w:rFonts w:ascii="Times New Roman" w:cs="Times New Roman" w:eastAsia="Times New Roman" w:hAnsi="Times New Roman"/>
          <w:sz w:val="18"/>
          <w:szCs w:val="18"/>
          <w:color w:val="auto"/>
        </w:rPr>
        <w:t>” means direct obligations of, or obligations guaranteed by, the United States of America, and the payment for which the United States pledges its full faith and credit.</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Guarantee</w:t>
      </w:r>
      <w:r>
        <w:rPr>
          <w:rFonts w:ascii="Times New Roman" w:cs="Times New Roman" w:eastAsia="Times New Roman" w:hAnsi="Times New Roman"/>
          <w:sz w:val="18"/>
          <w:szCs w:val="18"/>
          <w:color w:val="auto"/>
        </w:rPr>
        <w:t>” means the guarantee by each Guarantor of the Issuer’s obligations under this Indenture and the Notes, as provided in Article 10.</w:t>
      </w:r>
    </w:p>
    <w:p>
      <w:pPr>
        <w:spacing w:after="0" w:line="225"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i w:val="1"/>
          <w:iCs w:val="1"/>
          <w:color w:val="auto"/>
        </w:rPr>
        <w:t>uarantee</w:t>
      </w:r>
      <w:r>
        <w:rPr>
          <w:rFonts w:ascii="Times New Roman" w:cs="Times New Roman" w:eastAsia="Times New Roman" w:hAnsi="Times New Roman"/>
          <w:sz w:val="18"/>
          <w:szCs w:val="18"/>
          <w:color w:val="auto"/>
        </w:rPr>
        <w:t>”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 When used as a verb, “guarantee” has a correlative meaning.</w:t>
      </w:r>
    </w:p>
    <w:p>
      <w:pPr>
        <w:spacing w:after="0" w:line="183" w:lineRule="exact"/>
        <w:rPr>
          <w:sz w:val="20"/>
          <w:szCs w:val="20"/>
          <w:color w:val="auto"/>
        </w:rPr>
      </w:pPr>
    </w:p>
    <w:p>
      <w:pPr>
        <w:ind w:right="40" w:firstLine="440"/>
        <w:spacing w:after="0" w:line="31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Guarantors</w:t>
      </w:r>
      <w:r>
        <w:rPr>
          <w:rFonts w:ascii="Times New Roman" w:cs="Times New Roman" w:eastAsia="Times New Roman" w:hAnsi="Times New Roman"/>
          <w:sz w:val="17"/>
          <w:szCs w:val="17"/>
          <w:color w:val="auto"/>
        </w:rPr>
        <w:t>” means any Subsidiary of the Issuer that guarantees the Notes in accordance with the provisions of this Indenture, and their respective successors and assigns, in each case, until the Guarantee of such Person has been released in accordance with the provisions of this Indenture.</w:t>
      </w:r>
    </w:p>
    <w:p>
      <w:pPr>
        <w:spacing w:after="0" w:line="135" w:lineRule="exact"/>
        <w:rPr>
          <w:sz w:val="20"/>
          <w:szCs w:val="20"/>
          <w:color w:val="auto"/>
        </w:rPr>
      </w:pPr>
    </w:p>
    <w:p>
      <w:pPr>
        <w:ind w:right="8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Hedging Obligations</w:t>
      </w:r>
      <w:r>
        <w:rPr>
          <w:rFonts w:ascii="Times New Roman" w:cs="Times New Roman" w:eastAsia="Times New Roman" w:hAnsi="Times New Roman"/>
          <w:sz w:val="18"/>
          <w:szCs w:val="18"/>
          <w:color w:val="auto"/>
        </w:rPr>
        <w:t>” means, with respect to any specified Person, the obligations of such Person under any (a) Interest Rate Agreement, (b) Oil and Gas Hedging Contract, or (c) other agreements or arrangements designed to protect such Person against or to manage exposure to fluctuations in currency exchange rates.</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Holder</w:t>
      </w:r>
      <w:r>
        <w:rPr>
          <w:rFonts w:ascii="Times New Roman" w:cs="Times New Roman" w:eastAsia="Times New Roman" w:hAnsi="Times New Roman"/>
          <w:sz w:val="18"/>
          <w:szCs w:val="18"/>
          <w:color w:val="auto"/>
        </w:rPr>
        <w:t>” means a Person in whose name a Note is registered.</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20"/>
          </w:cols>
          <w:pgMar w:left="440" w:top="270" w:right="439" w:bottom="1440" w:gutter="0" w:footer="0" w:header="0"/>
        </w:sectPr>
      </w:pPr>
    </w:p>
    <w:bookmarkStart w:id="26" w:name="page27"/>
    <w:bookmarkEnd w:id="26"/>
    <w:p>
      <w:pPr>
        <w:ind w:right="480" w:firstLine="440"/>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Hydrocarbons</w:t>
      </w:r>
      <w:r>
        <w:rPr>
          <w:rFonts w:ascii="Times New Roman" w:cs="Times New Roman" w:eastAsia="Times New Roman" w:hAnsi="Times New Roman"/>
          <w:sz w:val="18"/>
          <w:szCs w:val="18"/>
          <w:color w:val="auto"/>
        </w:rPr>
        <w:t>” means oil, natural gas, casing head gas, drip gasoline, natural gasoline, condensate, distillate, liquid hydrocarbons, gaseous hydrocarbons and all constituents, elements or compounds thereof and products refined or processed therefrom.</w:t>
      </w:r>
    </w:p>
    <w:p>
      <w:pPr>
        <w:spacing w:after="0" w:line="158" w:lineRule="exact"/>
        <w:rPr>
          <w:sz w:val="20"/>
          <w:szCs w:val="20"/>
          <w:color w:val="auto"/>
        </w:rPr>
      </w:pPr>
    </w:p>
    <w:p>
      <w:pPr>
        <w:ind w:right="18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means, with respect to any specified Person, any indebtedness of such Person (excluding accrued expenses and Trade Payables), whether or not contingent:</w:t>
      </w:r>
    </w:p>
    <w:p>
      <w:pPr>
        <w:spacing w:after="0" w:line="52" w:lineRule="exact"/>
        <w:rPr>
          <w:sz w:val="20"/>
          <w:szCs w:val="20"/>
          <w:color w:val="auto"/>
        </w:rPr>
      </w:pPr>
    </w:p>
    <w:p>
      <w:pPr>
        <w:ind w:left="1120" w:hanging="261"/>
        <w:spacing w:after="0"/>
        <w:tabs>
          <w:tab w:leader="none" w:pos="11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borrowed money;</w:t>
      </w:r>
    </w:p>
    <w:p>
      <w:pPr>
        <w:spacing w:after="0" w:line="117" w:lineRule="exact"/>
        <w:rPr>
          <w:rFonts w:ascii="Times New Roman" w:cs="Times New Roman" w:eastAsia="Times New Roman" w:hAnsi="Times New Roman"/>
          <w:sz w:val="18"/>
          <w:szCs w:val="18"/>
          <w:color w:val="auto"/>
        </w:rPr>
      </w:pPr>
    </w:p>
    <w:p>
      <w:pPr>
        <w:ind w:left="440" w:right="80" w:firstLine="419"/>
        <w:spacing w:after="0" w:line="276" w:lineRule="auto"/>
        <w:tabs>
          <w:tab w:leader="none" w:pos="1118"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evidenced by bonds, notes, debentures or similar instruments or (b) constituting letters of credit (or reimbursement agreements in respect thereof) (other than obligations with respect to letters of credit securing obligations (other than obligations described in clauses (1), (2)(a),</w:t>
      </w:r>
    </w:p>
    <w:p>
      <w:pPr>
        <w:ind w:left="440" w:right="36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(3), (4) or (6) of this definition) entered into in the ordinary course of business of such Person to the extent such letters of credit are not drawn upon or, if and to the extent drawn upon, such drawing is reimbursed no later than the tenth Business Day following payment on the letter of credit);</w:t>
      </w:r>
    </w:p>
    <w:p>
      <w:pPr>
        <w:spacing w:after="0" w:line="77" w:lineRule="exact"/>
        <w:rPr>
          <w:rFonts w:ascii="Times New Roman" w:cs="Times New Roman" w:eastAsia="Times New Roman" w:hAnsi="Times New Roman"/>
          <w:sz w:val="17"/>
          <w:szCs w:val="17"/>
          <w:color w:val="auto"/>
        </w:rPr>
      </w:pPr>
    </w:p>
    <w:p>
      <w:pPr>
        <w:ind w:left="1120" w:hanging="261"/>
        <w:spacing w:after="0"/>
        <w:tabs>
          <w:tab w:leader="none" w:pos="11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bankers’ acceptances;</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representing Finance Lease Obligations or Attributable Debt in respect of sale and leaseback transactions;</w:t>
      </w:r>
    </w:p>
    <w:p>
      <w:pPr>
        <w:spacing w:after="0" w:line="117" w:lineRule="exact"/>
        <w:rPr>
          <w:rFonts w:ascii="Times New Roman" w:cs="Times New Roman" w:eastAsia="Times New Roman" w:hAnsi="Times New Roman"/>
          <w:sz w:val="18"/>
          <w:szCs w:val="18"/>
          <w:color w:val="auto"/>
        </w:rPr>
      </w:pPr>
    </w:p>
    <w:p>
      <w:pPr>
        <w:ind w:left="440" w:right="480" w:firstLine="419"/>
        <w:spacing w:after="0" w:line="282" w:lineRule="auto"/>
        <w:tabs>
          <w:tab w:leader="none" w:pos="111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representing the balance deferred and unpaid of the purchase price of any property or services due more than six months after such property is acquired or such services are completed; or</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representing any Hedging Obligations,</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and to the extent any of the preceding items (other than letters of credit, Attributable Debt and Hedging Obligations) would appear as a liability upon a balance sheet of the specified Person prepared in accordance with GAAP.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 (including, with respect to any Production Payment, any warranties or guarantees of production or payment by such Person with respect to such Production Payment, but excluding other contractual obligations of such Person with respect to such Production Payment). Subject to the preceding sentence, neither Dollar-Denominated Production Payments nor Volumetric Production Payments shall be deemed to be Indebtedness.</w:t>
      </w:r>
    </w:p>
    <w:p>
      <w:pPr>
        <w:spacing w:after="0" w:line="189"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In addition, “Indebtedness” of any Person shall include Indebtedness described in the preceding paragraph that would not appear as a liability on the balance sheet of such Person if:</w:t>
      </w:r>
    </w:p>
    <w:p>
      <w:pPr>
        <w:spacing w:after="0" w:line="54" w:lineRule="exact"/>
        <w:rPr>
          <w:sz w:val="20"/>
          <w:szCs w:val="20"/>
          <w:color w:val="auto"/>
        </w:rPr>
      </w:pPr>
    </w:p>
    <w:p>
      <w:pPr>
        <w:ind w:left="1120" w:hanging="261"/>
        <w:spacing w:after="0"/>
        <w:tabs>
          <w:tab w:leader="none" w:pos="11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Indebtedness is the obligation of a partnership that is a Joint Venture;</w:t>
      </w:r>
    </w:p>
    <w:p>
      <w:pPr>
        <w:spacing w:after="0" w:line="115" w:lineRule="exact"/>
        <w:rPr>
          <w:rFonts w:ascii="Times New Roman" w:cs="Times New Roman" w:eastAsia="Times New Roman" w:hAnsi="Times New Roman"/>
          <w:sz w:val="18"/>
          <w:szCs w:val="18"/>
          <w:color w:val="auto"/>
        </w:rPr>
      </w:pPr>
    </w:p>
    <w:p>
      <w:pPr>
        <w:ind w:left="5420" w:right="140" w:hanging="4561"/>
        <w:spacing w:after="0" w:line="456" w:lineRule="auto"/>
        <w:tabs>
          <w:tab w:leader="none" w:pos="11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or a Restricted Subsidiary of such Person is a general partner of the Joint Venture (a “</w:t>
      </w:r>
      <w:r>
        <w:rPr>
          <w:rFonts w:ascii="Times New Roman" w:cs="Times New Roman" w:eastAsia="Times New Roman" w:hAnsi="Times New Roman"/>
          <w:sz w:val="18"/>
          <w:szCs w:val="18"/>
          <w:i w:val="1"/>
          <w:iCs w:val="1"/>
          <w:color w:val="auto"/>
        </w:rPr>
        <w:t>Joint Venture General Partner</w:t>
      </w:r>
      <w:r>
        <w:rPr>
          <w:rFonts w:ascii="Times New Roman" w:cs="Times New Roman" w:eastAsia="Times New Roman" w:hAnsi="Times New Roman"/>
          <w:sz w:val="18"/>
          <w:szCs w:val="18"/>
          <w:color w:val="auto"/>
        </w:rPr>
        <w:t>”); and 17</w:t>
      </w:r>
    </w:p>
    <w:p>
      <w:pPr>
        <w:sectPr>
          <w:pgSz w:w="11900" w:h="16838" w:orient="portrait"/>
          <w:cols w:equalWidth="0" w:num="1">
            <w:col w:w="11000"/>
          </w:cols>
          <w:pgMar w:left="440" w:top="268" w:right="459" w:bottom="1440" w:gutter="0" w:footer="0" w:header="0"/>
        </w:sectPr>
      </w:pPr>
    </w:p>
    <w:bookmarkStart w:id="27" w:name="page28"/>
    <w:bookmarkEnd w:id="27"/>
    <w:p>
      <w:pPr>
        <w:ind w:left="440" w:right="160" w:firstLine="419"/>
        <w:spacing w:after="0" w:line="282" w:lineRule="auto"/>
        <w:tabs>
          <w:tab w:leader="none" w:pos="111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there is recourse, by contract or operation of law, with respect to the payment of such Indebtedness to property or assets of such Person or a Restricted Subsidiary of such Person; and then such Indebtedness shall be included in an amount not to exceed:</w:t>
      </w:r>
    </w:p>
    <w:p>
      <w:pPr>
        <w:spacing w:after="0" w:line="53" w:lineRule="exact"/>
        <w:rPr>
          <w:rFonts w:ascii="Times New Roman" w:cs="Times New Roman" w:eastAsia="Times New Roman" w:hAnsi="Times New Roman"/>
          <w:sz w:val="18"/>
          <w:szCs w:val="18"/>
          <w:color w:val="auto"/>
        </w:rPr>
      </w:pPr>
    </w:p>
    <w:p>
      <w:pPr>
        <w:ind w:left="980" w:firstLine="408"/>
        <w:spacing w:after="0" w:line="282" w:lineRule="auto"/>
        <w:tabs>
          <w:tab w:leader="none" w:pos="162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lesser of (i) the net assets of the Joint Venture General Partner and (ii) the amount of such obligations to the extent that there is recourse, by contract or operation of law, to the property or assets of such Person or a Restricted Subsidiary of such Person; or</w:t>
      </w:r>
    </w:p>
    <w:p>
      <w:pPr>
        <w:spacing w:after="0" w:line="53" w:lineRule="exact"/>
        <w:rPr>
          <w:rFonts w:ascii="Times New Roman" w:cs="Times New Roman" w:eastAsia="Times New Roman" w:hAnsi="Times New Roman"/>
          <w:sz w:val="18"/>
          <w:szCs w:val="18"/>
          <w:color w:val="auto"/>
        </w:rPr>
      </w:pPr>
    </w:p>
    <w:p>
      <w:pPr>
        <w:ind w:left="980" w:right="160" w:firstLine="408"/>
        <w:spacing w:after="0" w:line="261" w:lineRule="auto"/>
        <w:tabs>
          <w:tab w:leader="none" w:pos="1636"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less than the amount determined pursuant to clause (a) immediately above, the actual amount of such Indebtedness that is recourse to such Person or a Restricted Subsidiary of such Person, if the Indebtedness is evidenced by a writing and is for a determinable amount and the related interest expense shall be included in Fixed Charges to the extent actually paid by such Person or its Restricted Subsidiaries.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Notwithstanding the foregoing, the following shall not in any event constitute “Indebtedness”:</w:t>
      </w:r>
    </w:p>
    <w:p>
      <w:pPr>
        <w:spacing w:after="0" w:line="117" w:lineRule="exact"/>
        <w:rPr>
          <w:sz w:val="20"/>
          <w:szCs w:val="20"/>
          <w:color w:val="auto"/>
        </w:rPr>
      </w:pPr>
    </w:p>
    <w:p>
      <w:pPr>
        <w:ind w:left="440" w:right="100" w:firstLine="419"/>
        <w:spacing w:after="0" w:line="261" w:lineRule="auto"/>
        <w:tabs>
          <w:tab w:leader="none" w:pos="111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indebtedness which has been defeased or discharged in accordance with GAAP or defeased or discharged pursuant to the deposit of cash or Cash Equivalents (in an amount sufficient to satisfy all such indebtedness at maturity or redemption, as applicable, and all payments of interest and premium, if any) in a trust or account created or pledged for the sole benefit of the holders of such indebtedness, and subject to no other Liens, and the other applicable terms of the instrument governing such indebtedness;</w:t>
      </w:r>
    </w:p>
    <w:p>
      <w:pPr>
        <w:spacing w:after="0" w:line="71" w:lineRule="exact"/>
        <w:rPr>
          <w:rFonts w:ascii="Times New Roman" w:cs="Times New Roman" w:eastAsia="Times New Roman" w:hAnsi="Times New Roman"/>
          <w:sz w:val="18"/>
          <w:szCs w:val="18"/>
          <w:color w:val="auto"/>
        </w:rPr>
      </w:pPr>
    </w:p>
    <w:p>
      <w:pPr>
        <w:ind w:left="440" w:right="140" w:firstLine="419"/>
        <w:spacing w:after="0" w:line="281" w:lineRule="auto"/>
        <w:tabs>
          <w:tab w:leader="none" w:pos="1118"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obligation of a Person in respect of a farm-in agreement or similar arrangement whereby such Person agrees to pay all or a share of the drilling, completion or other expenses of an exploratory or development well (which agreement may be subject to maximum payment obligations, after which expenses are shared in accordance with the working or participation interest therein or in accordance with the agreement of the parties) or perform the drilling, completion or other operation on such well in exchange for an ownership interest in an oil or gas property;</w:t>
      </w:r>
    </w:p>
    <w:p>
      <w:pPr>
        <w:spacing w:after="0" w:line="56" w:lineRule="exact"/>
        <w:rPr>
          <w:rFonts w:ascii="Times New Roman" w:cs="Times New Roman" w:eastAsia="Times New Roman" w:hAnsi="Times New Roman"/>
          <w:sz w:val="17"/>
          <w:szCs w:val="17"/>
          <w:color w:val="auto"/>
        </w:rPr>
      </w:pPr>
    </w:p>
    <w:p>
      <w:pPr>
        <w:ind w:left="440" w:right="380" w:firstLine="419"/>
        <w:spacing w:after="0" w:line="282" w:lineRule="auto"/>
        <w:tabs>
          <w:tab w:leader="none" w:pos="111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unrealized losses or charges in respect of Interest Rate Agreements or Oil and Gas Hedging Contracts (including those resulting from the application of FASB ASC 815);</w:t>
      </w:r>
    </w:p>
    <w:p>
      <w:pPr>
        <w:spacing w:after="0" w:line="53" w:lineRule="exact"/>
        <w:rPr>
          <w:rFonts w:ascii="Times New Roman" w:cs="Times New Roman" w:eastAsia="Times New Roman" w:hAnsi="Times New Roman"/>
          <w:sz w:val="18"/>
          <w:szCs w:val="18"/>
          <w:color w:val="auto"/>
        </w:rPr>
      </w:pPr>
    </w:p>
    <w:p>
      <w:pPr>
        <w:ind w:left="440" w:right="140" w:firstLine="419"/>
        <w:spacing w:after="0" w:line="282" w:lineRule="auto"/>
        <w:tabs>
          <w:tab w:leader="none" w:pos="111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and other obligations, agreements, instruments or arrangements described in clauses (10), (18) and (19) of the definition of “Permitted Liens”; and</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Management Obligations.</w:t>
      </w:r>
    </w:p>
    <w:p>
      <w:pPr>
        <w:spacing w:after="0" w:line="2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means this Indenture, as amended or supplemented from time to time.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Indirect Participant</w:t>
      </w:r>
      <w:r>
        <w:rPr>
          <w:rFonts w:ascii="Times New Roman" w:cs="Times New Roman" w:eastAsia="Times New Roman" w:hAnsi="Times New Roman"/>
          <w:sz w:val="18"/>
          <w:szCs w:val="18"/>
          <w:color w:val="auto"/>
        </w:rPr>
        <w:t>” means a Person who holds a beneficial interest in a Global Note through a Participant.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Initial Notes</w:t>
      </w:r>
      <w:r>
        <w:rPr>
          <w:rFonts w:ascii="Times New Roman" w:cs="Times New Roman" w:eastAsia="Times New Roman" w:hAnsi="Times New Roman"/>
          <w:sz w:val="18"/>
          <w:szCs w:val="18"/>
          <w:color w:val="auto"/>
        </w:rPr>
        <w:t>” means the first $400,000,000 aggregate principal amount of Notes issued under this Indenture on the Issue Date.</w:t>
      </w:r>
    </w:p>
    <w:p>
      <w:pPr>
        <w:spacing w:after="0" w:line="225" w:lineRule="exact"/>
        <w:rPr>
          <w:sz w:val="20"/>
          <w:szCs w:val="20"/>
          <w:color w:val="auto"/>
        </w:rPr>
      </w:pPr>
    </w:p>
    <w:p>
      <w:pPr>
        <w:ind w:right="22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Interest Rate Agreement</w:t>
      </w:r>
      <w:r>
        <w:rPr>
          <w:rFonts w:ascii="Times New Roman" w:cs="Times New Roman" w:eastAsia="Times New Roman" w:hAnsi="Times New Roman"/>
          <w:sz w:val="18"/>
          <w:szCs w:val="18"/>
          <w:color w:val="auto"/>
        </w:rPr>
        <w:t>” means any interest rate swap agreement (whether from fixed to floating or from floating to fixed), interest rate cap agreement, interest rate collar agreement or other similar agreement or arrangement designed to protect the Issuer or any of its Restricted Subsidiaries against fluctuations in interest rates and is not for speculative purposes.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28" w:name="page29"/>
    <w:bookmarkEnd w:id="28"/>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Investment</w:t>
      </w:r>
      <w:r>
        <w:rPr>
          <w:rFonts w:ascii="Times New Roman" w:cs="Times New Roman" w:eastAsia="Times New Roman" w:hAnsi="Times New Roman"/>
          <w:sz w:val="18"/>
          <w:szCs w:val="18"/>
          <w:color w:val="auto"/>
        </w:rPr>
        <w:t>” means, with respect to any Person, any direct or indirect investment by such Person in other Persons (including Affiliates) in the form of loans (including guarantees), advances or capital contributions, and purchases or other acquisitions for consideration of Indebtedness, Equity Interests or other securities, together with all items that are or would be classified as investments on a balance sheet prepared in accordance with GAAP (excluding, in each case, (1) commission, travel and similar advances to officers and employees made in the ordinary course of business, (2) any interest in an oil or natural gas leasehold to the extent constituting a security under applicable law and (3) advances to customers in the ordinary course of business that are recorded as accounts receivable on the balance sheet of the lender, prepaid expenses or deposits and extensions of trade credit on commercially reasonable terms in accordance with normal trade practices). If the Issuer or any Restricted Subsidiary of the Issuer sells or otherwise disposes of any Equity Interests of any direct or indirect Restricted Subsidiary of the Issuer such that, after giving effect to any such sale or disposition, such Person is no longer a Restricted Subsidiary of the Issuer (other than the sale of all of the outstanding Capital Stock of such Subsidiary), the Issuer will be deemed to have made an Investment on the date of any such sale or disposition equal to the Fair Market Value of the Issuer’s Investments in such Subsidiary that were not sold or disposed of in an amount determined as provided in the penultimate paragraph of Section 4.07. The acquisition by the Issuer or any Restricted Subsidiary of the Issuer of a Person that holds an Investment in a third Person will be deemed to be an Investment by the Issuer or such Restricted Subsidiary in such third Person in an amount equal to the Fair Market Value of the Investments held by the acquired Person in such third Person in an amount determined as provided in the penultimate paragraph of Section 4.07. Except as otherwise provided in this Indenture, the amount of an Investment will be determined at the time the Investment is made and without giving effect to subsequent changes in value or write-ups, write-downs or write-offs with respect to such Investment.</w:t>
      </w:r>
    </w:p>
    <w:p>
      <w:pPr>
        <w:spacing w:after="0" w:line="195"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Investment Grade Rating</w:t>
      </w:r>
      <w:r>
        <w:rPr>
          <w:rFonts w:ascii="Times New Roman" w:cs="Times New Roman" w:eastAsia="Times New Roman" w:hAnsi="Times New Roman"/>
          <w:sz w:val="18"/>
          <w:szCs w:val="18"/>
          <w:color w:val="auto"/>
        </w:rPr>
        <w:t>” means a rating equal to or higher than Baa3 (or the equivalent) by Moody’s or BBB- (or the equivalent) by Fitch or S&amp;P (or, if either such entity ceases to rate the Notes for reasons outside of the control of the Issuer, the equivalent investment grade credit rating from any other “nationally recognized statistical rating organization” within the meaning of Section 3(a)(62) of the Exchange Act selected by the Issuer as a replacement agency).</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Issue Date</w:t>
      </w:r>
      <w:r>
        <w:rPr>
          <w:rFonts w:ascii="Times New Roman" w:cs="Times New Roman" w:eastAsia="Times New Roman" w:hAnsi="Times New Roman"/>
          <w:sz w:val="18"/>
          <w:szCs w:val="18"/>
          <w:color w:val="auto"/>
        </w:rPr>
        <w:t>” means October 8, 2025.</w:t>
      </w:r>
    </w:p>
    <w:p>
      <w:pPr>
        <w:spacing w:after="0" w:line="225" w:lineRule="exact"/>
        <w:rPr>
          <w:sz w:val="20"/>
          <w:szCs w:val="20"/>
          <w:color w:val="auto"/>
        </w:rPr>
      </w:pPr>
    </w:p>
    <w:p>
      <w:pPr>
        <w:ind w:right="2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Joint Venture</w:t>
      </w:r>
      <w:r>
        <w:rPr>
          <w:rFonts w:ascii="Times New Roman" w:cs="Times New Roman" w:eastAsia="Times New Roman" w:hAnsi="Times New Roman"/>
          <w:sz w:val="18"/>
          <w:szCs w:val="18"/>
          <w:color w:val="auto"/>
        </w:rPr>
        <w:t>” means any Person that is not a direct or indirect Subsidiary of the Issuer in which the Issuer or any of its Restricted Subsidiaries makes any Investment.</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Joint Venture General Business Partner</w:t>
      </w:r>
      <w:r>
        <w:rPr>
          <w:rFonts w:ascii="Times New Roman" w:cs="Times New Roman" w:eastAsia="Times New Roman" w:hAnsi="Times New Roman"/>
          <w:sz w:val="18"/>
          <w:szCs w:val="18"/>
          <w:color w:val="auto"/>
        </w:rPr>
        <w:t>” has the meaning set forth in the definition of “Indebtedness.”</w:t>
      </w:r>
    </w:p>
    <w:p>
      <w:pPr>
        <w:spacing w:after="0" w:line="225" w:lineRule="exact"/>
        <w:rPr>
          <w:sz w:val="20"/>
          <w:szCs w:val="20"/>
          <w:color w:val="auto"/>
        </w:rPr>
      </w:pPr>
    </w:p>
    <w:p>
      <w:pPr>
        <w:ind w:right="1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Legal Holiday</w:t>
      </w:r>
      <w:r>
        <w:rPr>
          <w:rFonts w:ascii="Times New Roman" w:cs="Times New Roman" w:eastAsia="Times New Roman" w:hAnsi="Times New Roman"/>
          <w:sz w:val="18"/>
          <w:szCs w:val="18"/>
          <w:color w:val="auto"/>
        </w:rPr>
        <w:t>” means a Saturday, a Sunday or a day on which banking institutions in the City of Los Angeles, California, the place of payment or the City of New York, New York are authorized by law, regulation or executive order to remain closed.</w:t>
      </w:r>
    </w:p>
    <w:p>
      <w:pPr>
        <w:spacing w:after="0" w:line="158"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Lien</w:t>
      </w:r>
      <w:r>
        <w:rPr>
          <w:rFonts w:ascii="Times New Roman" w:cs="Times New Roman" w:eastAsia="Times New Roman" w:hAnsi="Times New Roman"/>
          <w:sz w:val="18"/>
          <w:szCs w:val="18"/>
          <w:color w:val="auto"/>
        </w:rPr>
        <w:t>” means, with respect to any asset, any mortgage, lien, pledge, charge, security interest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 other than a precautionary financing statement respecting a lease not intended as a security agreement.</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68" w:right="459" w:bottom="1440" w:gutter="0" w:footer="0" w:header="0"/>
        </w:sectPr>
      </w:pPr>
    </w:p>
    <w:bookmarkStart w:id="29" w:name="page30"/>
    <w:bookmarkEnd w:id="29"/>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Limited Condition Transaction</w:t>
      </w:r>
      <w:r>
        <w:rPr>
          <w:rFonts w:ascii="Times New Roman" w:cs="Times New Roman" w:eastAsia="Times New Roman" w:hAnsi="Times New Roman"/>
          <w:sz w:val="18"/>
          <w:szCs w:val="18"/>
          <w:color w:val="auto"/>
        </w:rPr>
        <w:t>” means (1) any Investment or acquisition (whether by merger, amalgamation, consolidation or other business combination or the acquisition of Capital Stock or otherwise) whose consummation is not conditioned on the availability of, or on obtaining, third party financing, (2) any redemption, repurchase, defeasance, satisfaction and discharge or repayment of Indebtedness, Disqualified Stock or Preferred Stock requiring irrevocable notice in advance of such redemption, repurchase, defeasance, satisfaction and discharge or repayment and (3) any Restricted Payment requiring irrevocable notice in advance thereof.</w:t>
      </w:r>
    </w:p>
    <w:p>
      <w:pPr>
        <w:spacing w:after="0" w:line="183" w:lineRule="exact"/>
        <w:rPr>
          <w:sz w:val="20"/>
          <w:szCs w:val="20"/>
          <w:color w:val="auto"/>
        </w:rPr>
      </w:pPr>
    </w:p>
    <w:p>
      <w:pPr>
        <w:ind w:right="32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Long Derivative Instrument</w:t>
      </w:r>
      <w:r>
        <w:rPr>
          <w:rFonts w:ascii="Times New Roman" w:cs="Times New Roman" w:eastAsia="Times New Roman" w:hAnsi="Times New Roman"/>
          <w:sz w:val="18"/>
          <w:szCs w:val="18"/>
          <w:color w:val="auto"/>
        </w:rPr>
        <w:t>” means a Derivative Instrument (i) the value of which generally increases, and/or the payment or delivery obligations under which generally decrease, with positive changes to the Performance References and/or (ii) the value of which generally decreases, and/or the payment or delivery obligations under which generally increase, with negative changes to the Performance References.</w:t>
      </w:r>
    </w:p>
    <w:p>
      <w:pPr>
        <w:spacing w:after="0" w:line="173" w:lineRule="exact"/>
        <w:rPr>
          <w:sz w:val="20"/>
          <w:szCs w:val="20"/>
          <w:color w:val="auto"/>
        </w:rPr>
      </w:pPr>
    </w:p>
    <w:p>
      <w:pPr>
        <w:ind w:right="20" w:firstLine="440"/>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Midstream and Infrastructure Assets</w:t>
      </w:r>
      <w:r>
        <w:rPr>
          <w:rFonts w:ascii="Times New Roman" w:cs="Times New Roman" w:eastAsia="Times New Roman" w:hAnsi="Times New Roman"/>
          <w:sz w:val="17"/>
          <w:szCs w:val="17"/>
          <w:color w:val="auto"/>
        </w:rPr>
        <w:t>” means (i) assets used primarily for gathering, distributing, marketing, selling, treating, processing, transmission, compression, fractionation, dehydration, sourcing, disposal, stabilization, treatment, transporting of, or storage, disposal, or other handling of, Hydrocarbons, water, carbon dioxide, sand, minerals, chemicals or other products or substances commonly created, used, recovered, produced or processed in the conduct of the Oil and Gas Business, including compression, pumping, treatment and disposal facilities, gathering lines and systems, and other assets commonly considered midstream assets or useful in connection with the conduct of midstream operations, (ii) power and cogeneration facilities, steam flood facilities, carbon capture and sequestration facilities and assets, and any infrastructure or fixtures or assets related thereto, including machinery, valves, engines, boilers, tanks, parts, fittings, lines, cables, towers, rights of way and easements and (iii) Equity Interests of any Person if (a) all or substantially all of the assets of such Person consist of or will consist of assets described in clauses (i) or (ii) above or (b) all or substantially all of such Person’s business is ownership of, operation of, construction or development of, or direct or indirect investment in, such assets.</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Moody’s</w:t>
      </w:r>
      <w:r>
        <w:rPr>
          <w:rFonts w:ascii="Times New Roman" w:cs="Times New Roman" w:eastAsia="Times New Roman" w:hAnsi="Times New Roman"/>
          <w:sz w:val="18"/>
          <w:szCs w:val="18"/>
          <w:color w:val="auto"/>
        </w:rPr>
        <w:t>” means Moody’s Investors Service, Inc. and any successor to the ratings business thereof.</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Net Proceeds</w:t>
      </w:r>
      <w:r>
        <w:rPr>
          <w:rFonts w:ascii="Times New Roman" w:cs="Times New Roman" w:eastAsia="Times New Roman" w:hAnsi="Times New Roman"/>
          <w:sz w:val="18"/>
          <w:szCs w:val="18"/>
          <w:color w:val="auto"/>
        </w:rPr>
        <w:t>” means the aggregate cash proceeds and Cash Equivalents received by the Issuer or any of its Restricted Subsidiaries in respect of any Asset Sale (including, without limitation, any cash or Cash Equivalents received upon the sale or other disposition of any non-cash consideration received in any Asset Sale but excluding any non-cash consideration deemed to be cash or Cash Equivalents for purposes Section 4.10), net of (i) the costs relating to such Asset Sale, including, without limitation, legal, title and recording expenses, accounting and investment banking fees, and sales commissions, (ii) distributions and other payments required to be made to minority interest holders in Subsidiaries or joint ventures as a result of such Asset Sale, (iii) any relocation expenses and severance and associated costs, expenses and charges of personnel relating to the assets subject to or incurred as a result of the Asset Sale, (iv) taxes paid or payable as a result of the Asset Sale, in each case, after taking into account any available tax credits or deductions and any tax sharing arrangements, (v) amounts required to be applied to the repayment of Indebtedness (other than revolving credit Indebtedness under a Credit Facility that is secured by a Lien on the asset or assets that were the subject of such Asset Sale), and (vi) any reserve for adjustment or indemnification obligations in respect of the sale price of such asset or assets established in accordance with GAAP.</w:t>
      </w:r>
    </w:p>
    <w:p>
      <w:pPr>
        <w:spacing w:after="0" w:line="185"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Net Short</w:t>
      </w:r>
      <w:r>
        <w:rPr>
          <w:rFonts w:ascii="Times New Roman" w:cs="Times New Roman" w:eastAsia="Times New Roman" w:hAnsi="Times New Roman"/>
          <w:sz w:val="18"/>
          <w:szCs w:val="18"/>
          <w:color w:val="auto"/>
        </w:rPr>
        <w:t xml:space="preserve">” means, with respect to a Holder or beneficial owner, as of a date of determination, either (i) the value of its Short Derivative Instruments exceeds the sum of (x) the value of its Notes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(y) the value of its Long Derivative Instruments as of such date of determination or (ii) it is reasonably expected that such would have been the case were a Failure to Pay or Bankruptcy Credit Event (each as defined in the 2014 International Swaps and Derivatives Association, Inc. Credit Derivatives Definitions) to have occurred with respect to the Issuer or any Guarantor immediately prior to such date of determination.</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0"/>
          </w:cols>
          <w:pgMar w:left="440" w:top="268" w:right="479" w:bottom="1440" w:gutter="0" w:footer="0" w:header="0"/>
        </w:sectPr>
      </w:pPr>
    </w:p>
    <w:bookmarkStart w:id="30" w:name="page31"/>
    <w:bookmarkEnd w:id="3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Non-Recourse Debt</w:t>
      </w:r>
      <w:r>
        <w:rPr>
          <w:rFonts w:ascii="Times New Roman" w:cs="Times New Roman" w:eastAsia="Times New Roman" w:hAnsi="Times New Roman"/>
          <w:sz w:val="18"/>
          <w:szCs w:val="18"/>
          <w:color w:val="auto"/>
        </w:rPr>
        <w:t>” means, with respect to Indebtedness of any Unrestricted Subsidiary or Joint Venture, Indebtedness:</w:t>
      </w:r>
    </w:p>
    <w:p>
      <w:pPr>
        <w:spacing w:after="0" w:line="119" w:lineRule="exact"/>
        <w:rPr>
          <w:sz w:val="20"/>
          <w:szCs w:val="20"/>
          <w:color w:val="auto"/>
        </w:rPr>
      </w:pPr>
    </w:p>
    <w:p>
      <w:pPr>
        <w:ind w:left="440" w:right="160" w:firstLine="419"/>
        <w:spacing w:after="0" w:line="261" w:lineRule="auto"/>
        <w:tabs>
          <w:tab w:leader="none" w:pos="111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which neither the Issuer nor any of its Restricted Subsidiaries (a) provides credit support under any undertaking, agreement or instrument that would constitute Indebtedness or (b) is directly or indirectly liable as a guarantor or otherwise, except for Customary Recourse Exceptions and except by the pledge of (or a guarantee limited in recourse solely to) the Equity Interests of such Unrestricted Subsidiary or Joint Venture; and</w:t>
      </w:r>
    </w:p>
    <w:p>
      <w:pPr>
        <w:spacing w:after="0" w:line="71" w:lineRule="exact"/>
        <w:rPr>
          <w:rFonts w:ascii="Times New Roman" w:cs="Times New Roman" w:eastAsia="Times New Roman" w:hAnsi="Times New Roman"/>
          <w:sz w:val="18"/>
          <w:szCs w:val="18"/>
          <w:color w:val="auto"/>
        </w:rPr>
      </w:pPr>
    </w:p>
    <w:p>
      <w:pPr>
        <w:ind w:left="440" w:right="160" w:firstLine="419"/>
        <w:spacing w:after="0" w:line="282" w:lineRule="auto"/>
        <w:tabs>
          <w:tab w:leader="none" w:pos="111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which the lenders will not have any recourse to the Capital Stock or assets of the Issuer or any of its Restricted Subsidiaries (other than the Equity Interests of such Unrestricted Subsidiary or Joint Venture), except for Customary Recourse Exceptions.</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Non-U.S. Person</w:t>
      </w:r>
      <w:r>
        <w:rPr>
          <w:rFonts w:ascii="Times New Roman" w:cs="Times New Roman" w:eastAsia="Times New Roman" w:hAnsi="Times New Roman"/>
          <w:sz w:val="18"/>
          <w:szCs w:val="18"/>
          <w:color w:val="auto"/>
        </w:rPr>
        <w:t>” means a Person who is not a U.S. Person.</w:t>
      </w:r>
    </w:p>
    <w:p>
      <w:pPr>
        <w:spacing w:after="0" w:line="225" w:lineRule="exact"/>
        <w:rPr>
          <w:sz w:val="20"/>
          <w:szCs w:val="20"/>
          <w:color w:val="auto"/>
        </w:rPr>
      </w:pPr>
    </w:p>
    <w:p>
      <w:pPr>
        <w:jc w:val="both"/>
        <w:ind w:right="22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 has the meaning assigned to it in the preamble to this Indenture. The Initial Notes and any Additional Notes shall be treated as a single class for all purposes under this Indenture, and unless the context otherwise requires, all references to the Notes shall include the Initial Notes and any Additional Notes.</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NYMEX</w:t>
      </w:r>
      <w:r>
        <w:rPr>
          <w:rFonts w:ascii="Times New Roman" w:cs="Times New Roman" w:eastAsia="Times New Roman" w:hAnsi="Times New Roman"/>
          <w:sz w:val="18"/>
          <w:szCs w:val="18"/>
          <w:color w:val="auto"/>
        </w:rPr>
        <w:t>” means the New York Mercantile Exchange, a commodity futures exchange owned and operated by CME Group of Chicago.</w:t>
      </w:r>
    </w:p>
    <w:p>
      <w:pPr>
        <w:spacing w:after="0" w:line="225" w:lineRule="exact"/>
        <w:rPr>
          <w:sz w:val="20"/>
          <w:szCs w:val="20"/>
          <w:color w:val="auto"/>
        </w:rPr>
      </w:pPr>
    </w:p>
    <w:p>
      <w:pPr>
        <w:ind w:right="3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Obligations</w:t>
      </w:r>
      <w:r>
        <w:rPr>
          <w:rFonts w:ascii="Times New Roman" w:cs="Times New Roman" w:eastAsia="Times New Roman" w:hAnsi="Times New Roman"/>
          <w:sz w:val="18"/>
          <w:szCs w:val="18"/>
          <w:color w:val="auto"/>
        </w:rPr>
        <w:t>” means any principal, interest, penalties, fees, indemnifications, reimbursements, damages and other liabilities payable under the documentation governing any Indebtedness.</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Offering Memorandum</w:t>
      </w:r>
      <w:r>
        <w:rPr>
          <w:rFonts w:ascii="Times New Roman" w:cs="Times New Roman" w:eastAsia="Times New Roman" w:hAnsi="Times New Roman"/>
          <w:sz w:val="18"/>
          <w:szCs w:val="18"/>
          <w:color w:val="auto"/>
        </w:rPr>
        <w:t>” means the offering memorandum of the Issuer dated September 24, 2025 relating to the issuance of the Initial Notes.</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Officer</w:t>
      </w:r>
      <w:r>
        <w:rPr>
          <w:rFonts w:ascii="Times New Roman" w:cs="Times New Roman" w:eastAsia="Times New Roman" w:hAnsi="Times New Roman"/>
          <w:sz w:val="18"/>
          <w:szCs w:val="18"/>
          <w:color w:val="auto"/>
        </w:rPr>
        <w:t>” means, with respect to any Person, the Chairman of the Board, the Chief Executive Officer, the President, the Chief Operating Officer, the Chief Financial Officer, the Chief Accounting Officer, the Treasurer, any Assistant Treasurer, the Controller, the Secretary, any Assistant Secretary or any Vice President of such Person (or, if such Person is a limited partnership, the Chairman of the Board, the Chief Executive Officer, the President, the Chief Operating Officer, the Chief Financial Officer, the Chief Accounting Officer, the Treasurer, any Assistant Treasurer, the Controller, the Secretary, any Assistant Secretary, any Vice President or any Assistant Vice President of such Person’s general partner).</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Officer’s Certificate</w:t>
      </w:r>
      <w:r>
        <w:rPr>
          <w:rFonts w:ascii="Times New Roman" w:cs="Times New Roman" w:eastAsia="Times New Roman" w:hAnsi="Times New Roman"/>
          <w:sz w:val="18"/>
          <w:szCs w:val="18"/>
          <w:color w:val="auto"/>
        </w:rPr>
        <w:t>” means a certificate signed on behalf of the Issuer by an Officer of the Issuer that meets the requirements of Section 12.05.</w:t>
      </w:r>
    </w:p>
    <w:p>
      <w:pPr>
        <w:spacing w:after="0" w:line="225"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Oil and Gas Business</w:t>
      </w:r>
      <w:r>
        <w:rPr>
          <w:rFonts w:ascii="Times New Roman" w:cs="Times New Roman" w:eastAsia="Times New Roman" w:hAnsi="Times New Roman"/>
          <w:sz w:val="18"/>
          <w:szCs w:val="18"/>
          <w:color w:val="auto"/>
        </w:rPr>
        <w:t>” means (i) the acquisition, exploration, development, production, operation and disposition of interests in oil, gas and other Hydrocarbon properties, (ii) the gathering, marketing, treating, processing, storage, selling and transporting of any production from such interests or properties, (iii) power generation or cogeneration and distribution of power and related activities, (iv) any business relating to exploration for or development, production, treatment, processing, storage, transportation or marketing of oil, gas and other minerals and products produced in association therewith, including steam and water, (v) developing, constructing, owning, operating and maintaining (a) low carbon, carbon management, carbon sequestration and/or carbon offsetting technologies, assets, infrastructure and businesses, including carbon dioxide and associated gases capture (including direct air capture and pre- and post-combustion capture processes), transportation, utilization and/or sequestration technologies, facilities or assets, (b) solar, wind, geothermal or other renewable power generation or deployment technologies,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20"/>
          </w:cols>
          <w:pgMar w:left="440" w:top="268" w:right="439" w:bottom="1440" w:gutter="0" w:footer="0" w:header="0"/>
        </w:sectPr>
      </w:pPr>
    </w:p>
    <w:bookmarkStart w:id="31" w:name="page32"/>
    <w:bookmarkEnd w:id="31"/>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facilities or assets, (c) the production, storage, or transportation of hydrogen, ammonia or other substances, and (d) energy storage or other clean energy technologies, facilities or assets, (vi) any other activities conducted by the Issuer and its Subsidiaries on the Issue Date and (vii) any activity that, as determined in good faith by the Issuer, arises from, relates to or is ancillary, complementary or incidental to or necessary or appropriate for the activities described in clauses (i) through (vi) of this definition.</w:t>
      </w:r>
    </w:p>
    <w:p>
      <w:pPr>
        <w:spacing w:after="0" w:line="178" w:lineRule="exact"/>
        <w:rPr>
          <w:sz w:val="20"/>
          <w:szCs w:val="20"/>
          <w:color w:val="auto"/>
        </w:rPr>
      </w:pPr>
    </w:p>
    <w:p>
      <w:pPr>
        <w:ind w:right="3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Oil and Gas Hedging Contracts</w:t>
      </w:r>
      <w:r>
        <w:rPr>
          <w:rFonts w:ascii="Times New Roman" w:cs="Times New Roman" w:eastAsia="Times New Roman" w:hAnsi="Times New Roman"/>
          <w:sz w:val="18"/>
          <w:szCs w:val="18"/>
          <w:color w:val="auto"/>
        </w:rPr>
        <w:t>” means any puts, cap transactions, floor transactions, collar transactions, forward contract, commodity swap agreement, commodity option agreement or other similar agreement or arrangement in respect of Hydrocarbons to be purchased, used, produced, processed or sold by the Issuer or any of its Restricted Subsidiary that are customary in the Oil and Gas Business and designed to protect against or manage price risks, basis risks or other risks encountered in the Oil and Gas Business and not for speculative purposes.</w:t>
      </w:r>
    </w:p>
    <w:p>
      <w:pPr>
        <w:spacing w:after="0" w:line="180" w:lineRule="exact"/>
        <w:rPr>
          <w:sz w:val="20"/>
          <w:szCs w:val="20"/>
          <w:color w:val="auto"/>
        </w:rPr>
      </w:pPr>
    </w:p>
    <w:p>
      <w:pPr>
        <w:ind w:right="60" w:firstLine="440"/>
        <w:spacing w:after="0" w:line="31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Oil and Gas Properties</w:t>
      </w:r>
      <w:r>
        <w:rPr>
          <w:rFonts w:ascii="Times New Roman" w:cs="Times New Roman" w:eastAsia="Times New Roman" w:hAnsi="Times New Roman"/>
          <w:sz w:val="17"/>
          <w:szCs w:val="17"/>
          <w:color w:val="auto"/>
        </w:rPr>
        <w:t>” means all properties, including equity or other ownership interest therein, owned by such Person or any of its Restricted Subsidiaries which contain or are believed to contain “proved oil and gas reserves” as defined in Rule 4-10 of Regulation S-X of the Securities Act.</w:t>
      </w:r>
    </w:p>
    <w:p>
      <w:pPr>
        <w:spacing w:after="0" w:line="135" w:lineRule="exact"/>
        <w:rPr>
          <w:sz w:val="20"/>
          <w:szCs w:val="20"/>
          <w:color w:val="auto"/>
        </w:rPr>
      </w:pPr>
    </w:p>
    <w:p>
      <w:pPr>
        <w:ind w:right="86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Opinion of Counsel</w:t>
      </w:r>
      <w:r>
        <w:rPr>
          <w:rFonts w:ascii="Times New Roman" w:cs="Times New Roman" w:eastAsia="Times New Roman" w:hAnsi="Times New Roman"/>
          <w:sz w:val="18"/>
          <w:szCs w:val="18"/>
          <w:color w:val="auto"/>
        </w:rPr>
        <w:t>” means an opinion from legal counsel who is reasonably acceptable to the Trustee, that meets the requirements of Section 12.04, which counsel may be an employee of or counsel to the Issuer, any Subsidiary of the Issuer or the Trustee.</w:t>
      </w:r>
    </w:p>
    <w:p>
      <w:pPr>
        <w:spacing w:after="0" w:line="158" w:lineRule="exact"/>
        <w:rPr>
          <w:sz w:val="20"/>
          <w:szCs w:val="20"/>
          <w:color w:val="auto"/>
        </w:rPr>
      </w:pPr>
    </w:p>
    <w:p>
      <w:pPr>
        <w:ind w:right="3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Participant</w:t>
      </w:r>
      <w:r>
        <w:rPr>
          <w:rFonts w:ascii="Times New Roman" w:cs="Times New Roman" w:eastAsia="Times New Roman" w:hAnsi="Times New Roman"/>
          <w:sz w:val="18"/>
          <w:szCs w:val="18"/>
          <w:color w:val="auto"/>
        </w:rPr>
        <w:t>” means, with respect to the Depositary, Euroclear or Clearstream, a Person who has an account with the Depositary, Euroclear or Clearstream, respectively (and, with respect to DTC, shall include Euroclear and Clearstream).</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Performance Reference</w:t>
      </w:r>
      <w:r>
        <w:rPr>
          <w:rFonts w:ascii="Times New Roman" w:cs="Times New Roman" w:eastAsia="Times New Roman" w:hAnsi="Times New Roman"/>
          <w:sz w:val="18"/>
          <w:szCs w:val="18"/>
          <w:color w:val="auto"/>
        </w:rPr>
        <w:t>” has the meaning set forth in the definition of “Derivative Instrument.”</w:t>
      </w:r>
    </w:p>
    <w:p>
      <w:pPr>
        <w:spacing w:after="0" w:line="225"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Acquisition Indebtedness</w:t>
      </w:r>
      <w:r>
        <w:rPr>
          <w:rFonts w:ascii="Times New Roman" w:cs="Times New Roman" w:eastAsia="Times New Roman" w:hAnsi="Times New Roman"/>
          <w:sz w:val="18"/>
          <w:szCs w:val="18"/>
          <w:color w:val="auto"/>
        </w:rPr>
        <w:t xml:space="preserve">” means Indebtedness or Disqualified Stock or Preferred Stock of the Issuer or any of its Restricted Subsidiaries to the extent such Indebtedness or Disqualified Stock or Preferred Stock (i) was Indebtedness or Disqualified Stock or Preferred Stock of any other Person existing at the time (a) such Person became a Restricted Subsidiary of the Issuer or (b) such Person was merged or consolidated with or into the Issuer or any of its Restricted Subsidiaries, or (ii) is incurred in contemplation of the foregoing,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on the date such Person became a Restricted Subsidiary or the date such Person was merged or consolidated with or into the Issuer or any of its Restricted Subsidiaries, as applicable, either of:</w:t>
      </w:r>
    </w:p>
    <w:p>
      <w:pPr>
        <w:spacing w:after="0" w:line="74" w:lineRule="exact"/>
        <w:rPr>
          <w:sz w:val="20"/>
          <w:szCs w:val="20"/>
          <w:color w:val="auto"/>
        </w:rPr>
      </w:pPr>
    </w:p>
    <w:p>
      <w:pPr>
        <w:ind w:left="440" w:right="40" w:firstLine="419"/>
        <w:spacing w:after="0" w:line="290" w:lineRule="auto"/>
        <w:tabs>
          <w:tab w:leader="none" w:pos="1118"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immediately after giving effect to such transaction and any related financing transaction on a </w:t>
      </w:r>
      <w:r>
        <w:rPr>
          <w:rFonts w:ascii="Times New Roman" w:cs="Times New Roman" w:eastAsia="Times New Roman" w:hAnsi="Times New Roman"/>
          <w:sz w:val="17"/>
          <w:szCs w:val="17"/>
          <w:i w:val="1"/>
          <w:iCs w:val="1"/>
          <w:color w:val="auto"/>
        </w:rPr>
        <w:t>pro forma</w:t>
      </w:r>
      <w:r>
        <w:rPr>
          <w:rFonts w:ascii="Times New Roman" w:cs="Times New Roman" w:eastAsia="Times New Roman" w:hAnsi="Times New Roman"/>
          <w:sz w:val="17"/>
          <w:szCs w:val="17"/>
          <w:color w:val="auto"/>
        </w:rPr>
        <w:t xml:space="preserve"> basis as if the same had occurred at the beginning of the applicable four-quarter period, the Issuer or such Person (if the Issuer is not the survivor in the transaction) would be permitted to incur at least $1.00 of additional Indebtedness pursuant to the Fixed Charge Coverage Ratio test set forth in Section 4.09(a); or</w:t>
      </w:r>
    </w:p>
    <w:p>
      <w:pPr>
        <w:spacing w:after="0" w:line="47" w:lineRule="exact"/>
        <w:rPr>
          <w:rFonts w:ascii="Times New Roman" w:cs="Times New Roman" w:eastAsia="Times New Roman" w:hAnsi="Times New Roman"/>
          <w:sz w:val="17"/>
          <w:szCs w:val="17"/>
          <w:color w:val="auto"/>
        </w:rPr>
      </w:pPr>
    </w:p>
    <w:p>
      <w:pPr>
        <w:ind w:left="440" w:right="40" w:firstLine="419"/>
        <w:spacing w:after="0" w:line="267" w:lineRule="auto"/>
        <w:tabs>
          <w:tab w:leader="none" w:pos="111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immediately after giving effect to such transaction and any related financing transaction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as if the same had occurred at the beginning of the applicable four-quarter period, the Fixed Charge Coverage Ratio of the Issuer or such Person (if the Issuer is not the survivor in the transaction) is equal to or greater than the Fixed Charge Coverage Ratio of the Issuer immediately prior to such transaction.</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32" w:name="page33"/>
    <w:bookmarkEnd w:id="32"/>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Permitted Business Investments</w:t>
      </w:r>
      <w:r>
        <w:rPr>
          <w:rFonts w:ascii="Times New Roman" w:cs="Times New Roman" w:eastAsia="Times New Roman" w:hAnsi="Times New Roman"/>
          <w:sz w:val="18"/>
          <w:szCs w:val="18"/>
          <w:color w:val="auto"/>
        </w:rPr>
        <w:t>” means Investments made in the ordinary course of, and of a nature that is or shall have become customary in, the Oil and Gas Business as a means of actively exploiting, exploring for, acquiring, developing, processing, gathering, marketing or transporting oil and natural gas through agreements, transactions, interests or arrangements which permit one to share risks or costs, comply with regulatory requirements regarding local ownership or satisfy other objectives customarily achieved through the conduct of Oil and Gas Business jointly with third parties, including, without limitation, (i) ownership interests in oil, natural gas, other Hydrocarbon properties or any interest therein or gathering, transportation, processing, storage or related systems, (ii) Investments in the form of or pursuant to operating agreements, working interests, royalty interests, mineral interests, processing agreements, farm-in agreements, farm-out agreements, development agreements, area of mutual interest agreements, unitization agreements, pooling agreements, joint bidding agreements, service contracts, joint venture agreements, partnership agreements (whether general or limited), limited liability company agreements, trust agreements, subscription agreements, stock purchase agreements and other similar or customary agreements with third parties, (iii) Investments in the form of mineral leases, production sharing agreements, production sales and marketing agreements, oil or gas leases, overriding royalty agreements, net profits agreements, production payment agreements or royalty trust agreements with third parties, (iv) Investments of operating funds on behalf of co-owners of properties used in the Oil and Gas Business of the Issuer or its Restricted Subsidiaries pursuant to joint operating agreements, and (v) direct or indirect ownership interests in drilling rigs, fracturing units and other equipment used in the Oil and Gas Business or in Persons that own or provide such equipment.</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Investments</w:t>
      </w:r>
      <w:r>
        <w:rPr>
          <w:rFonts w:ascii="Times New Roman" w:cs="Times New Roman" w:eastAsia="Times New Roman" w:hAnsi="Times New Roman"/>
          <w:sz w:val="18"/>
          <w:szCs w:val="18"/>
          <w:color w:val="auto"/>
        </w:rPr>
        <w:t>” means:</w:t>
      </w:r>
    </w:p>
    <w:p>
      <w:pPr>
        <w:spacing w:after="0" w:line="119" w:lineRule="exact"/>
        <w:rPr>
          <w:sz w:val="20"/>
          <w:szCs w:val="20"/>
          <w:color w:val="auto"/>
        </w:rPr>
      </w:pPr>
    </w:p>
    <w:p>
      <w:pPr>
        <w:ind w:left="1120" w:hanging="261"/>
        <w:spacing w:after="0"/>
        <w:tabs>
          <w:tab w:leader="none" w:pos="11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 in the Issuer (including, without limitation, through the purchase of any Notes) or in a Restricted Subsidiary of the</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w:t>
      </w:r>
    </w:p>
    <w:p>
      <w:pPr>
        <w:spacing w:after="0" w:line="98"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 in cash and Cash Equivalents;</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 by the Issuer or any Restricted Subsidiary of the Issuer in a Person, if as a result of such Investment:</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becomes a Restricted Subsidiary of the Issuer; or</w:t>
      </w:r>
    </w:p>
    <w:p>
      <w:pPr>
        <w:spacing w:after="0" w:line="117" w:lineRule="exact"/>
        <w:rPr>
          <w:rFonts w:ascii="Times New Roman" w:cs="Times New Roman" w:eastAsia="Times New Roman" w:hAnsi="Times New Roman"/>
          <w:sz w:val="18"/>
          <w:szCs w:val="18"/>
          <w:color w:val="auto"/>
        </w:rPr>
      </w:pPr>
    </w:p>
    <w:p>
      <w:pPr>
        <w:ind w:left="980" w:right="380" w:firstLine="408"/>
        <w:spacing w:after="0" w:line="282" w:lineRule="auto"/>
        <w:tabs>
          <w:tab w:leader="none" w:pos="1636"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is merged, consolidated or amalgamated with or into, or transfers or conveys substantially all of its properties or assets to, or is liquidated into, the Issuer or a Restricted Subsidiary of the Issuer;</w:t>
      </w:r>
    </w:p>
    <w:p>
      <w:pPr>
        <w:spacing w:after="0" w:line="53" w:lineRule="exact"/>
        <w:rPr>
          <w:rFonts w:ascii="Times New Roman" w:cs="Times New Roman" w:eastAsia="Times New Roman" w:hAnsi="Times New Roman"/>
          <w:sz w:val="18"/>
          <w:szCs w:val="18"/>
          <w:color w:val="auto"/>
        </w:rPr>
      </w:pPr>
    </w:p>
    <w:p>
      <w:pPr>
        <w:ind w:left="440" w:right="260" w:firstLine="419"/>
        <w:spacing w:after="0" w:line="282" w:lineRule="auto"/>
        <w:tabs>
          <w:tab w:leader="none" w:pos="111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 made as a result of the receipt of non-cash consideration from an Asset Sale or Asset Swap that was made pursuant to and in compliance with Section 4.10;</w:t>
      </w:r>
    </w:p>
    <w:p>
      <w:pPr>
        <w:spacing w:after="0" w:line="53" w:lineRule="exact"/>
        <w:rPr>
          <w:rFonts w:ascii="Times New Roman" w:cs="Times New Roman" w:eastAsia="Times New Roman" w:hAnsi="Times New Roman"/>
          <w:sz w:val="18"/>
          <w:szCs w:val="18"/>
          <w:color w:val="auto"/>
        </w:rPr>
      </w:pPr>
    </w:p>
    <w:p>
      <w:pPr>
        <w:ind w:left="440" w:right="80" w:firstLine="419"/>
        <w:spacing w:after="0" w:line="261" w:lineRule="auto"/>
        <w:tabs>
          <w:tab w:leader="none" w:pos="111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acquisition of assets or Capital Stock solely in exchange for the issuance of, or with or out of the net cash proceeds of the substantially concurrent (a) contribution (other than from a Restricted Subsidiary) to the equity capital of the Issuer in respect of or (b) sale (other than to a Restricted Subsidiary) of, Equity Interests (other than Disqualified Stock) of the Issuer;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such case, the amount of such issuance, contribution or sale will be disregarded for purposes of clause (C)(ii) of Section 4.07(a);</w:t>
      </w:r>
    </w:p>
    <w:p>
      <w:pPr>
        <w:spacing w:after="0" w:line="71" w:lineRule="exact"/>
        <w:rPr>
          <w:rFonts w:ascii="Times New Roman" w:cs="Times New Roman" w:eastAsia="Times New Roman" w:hAnsi="Times New Roman"/>
          <w:sz w:val="18"/>
          <w:szCs w:val="18"/>
          <w:color w:val="auto"/>
        </w:rPr>
      </w:pPr>
    </w:p>
    <w:p>
      <w:pPr>
        <w:ind w:left="440" w:firstLine="419"/>
        <w:spacing w:after="0" w:line="266" w:lineRule="auto"/>
        <w:tabs>
          <w:tab w:leader="none" w:pos="111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Investments received in compromise or resolution of (a) obligations of trade creditors or customers that were incurred in the ordinary course of business of the Issuer or any of its Restricted Subsidiaries, including pursuant to any plan of reorganization or similar arrangement upon the bankruptcy or insolvency of any trade creditor or customer; or (b) litigation, arbitration or other disputes;</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represented by Hedging Obligations;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68" w:right="459" w:bottom="1440" w:gutter="0" w:footer="0" w:header="0"/>
        </w:sectPr>
      </w:pPr>
    </w:p>
    <w:bookmarkStart w:id="33" w:name="page34"/>
    <w:bookmarkEnd w:id="33"/>
    <w:p>
      <w:pPr>
        <w:ind w:left="4" w:right="360" w:firstLine="419"/>
        <w:spacing w:after="0" w:line="266" w:lineRule="auto"/>
        <w:tabs>
          <w:tab w:leader="none" w:pos="68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Investments in any Person to the extent such Investments consist of prepaid expenses, negotiable instruments held for collection and lease, utility and workers’ compensation, performance and other deposits made in the ordinary course of business by the Issuer or any of its Restricted Subsidiaries;</w:t>
      </w:r>
    </w:p>
    <w:p>
      <w:pPr>
        <w:spacing w:after="0" w:line="67" w:lineRule="exact"/>
        <w:rPr>
          <w:rFonts w:ascii="Times New Roman" w:cs="Times New Roman" w:eastAsia="Times New Roman" w:hAnsi="Times New Roman"/>
          <w:sz w:val="18"/>
          <w:szCs w:val="18"/>
          <w:color w:val="auto"/>
        </w:rPr>
      </w:pPr>
    </w:p>
    <w:p>
      <w:pPr>
        <w:ind w:left="4" w:right="20" w:firstLine="419"/>
        <w:spacing w:after="0" w:line="282" w:lineRule="auto"/>
        <w:tabs>
          <w:tab w:leader="none" w:pos="68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relocation allowances for, and loans or advances to, officers, directors or employees made in the ordinary course of business of the Issuer or any Restricted Subsidiary of the Issuer;</w:t>
      </w:r>
    </w:p>
    <w:p>
      <w:pPr>
        <w:spacing w:after="0" w:line="53" w:lineRule="exact"/>
        <w:rPr>
          <w:rFonts w:ascii="Times New Roman" w:cs="Times New Roman" w:eastAsia="Times New Roman" w:hAnsi="Times New Roman"/>
          <w:sz w:val="18"/>
          <w:szCs w:val="18"/>
          <w:color w:val="auto"/>
        </w:rPr>
      </w:pPr>
    </w:p>
    <w:p>
      <w:pPr>
        <w:ind w:left="764" w:hanging="341"/>
        <w:spacing w:after="0"/>
        <w:tabs>
          <w:tab w:leader="none" w:pos="76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repurchases of the Notes or Guarantees;</w:t>
      </w:r>
    </w:p>
    <w:p>
      <w:pPr>
        <w:spacing w:after="0" w:line="117" w:lineRule="exact"/>
        <w:rPr>
          <w:rFonts w:ascii="Times New Roman" w:cs="Times New Roman" w:eastAsia="Times New Roman" w:hAnsi="Times New Roman"/>
          <w:sz w:val="18"/>
          <w:szCs w:val="18"/>
          <w:color w:val="auto"/>
        </w:rPr>
      </w:pPr>
    </w:p>
    <w:p>
      <w:pPr>
        <w:ind w:left="4" w:right="100" w:firstLine="419"/>
        <w:spacing w:after="0" w:line="282" w:lineRule="auto"/>
        <w:tabs>
          <w:tab w:leader="none" w:pos="765"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guarantee of Indebtedness of (a) the Issuer or a Restricted Subsidiary or (b) any Person that is not an Affiliate of the Issuer, in each case permitted to be incurred by Section 4.09;</w:t>
      </w:r>
    </w:p>
    <w:p>
      <w:pPr>
        <w:spacing w:after="0" w:line="53" w:lineRule="exact"/>
        <w:rPr>
          <w:rFonts w:ascii="Times New Roman" w:cs="Times New Roman" w:eastAsia="Times New Roman" w:hAnsi="Times New Roman"/>
          <w:sz w:val="18"/>
          <w:szCs w:val="18"/>
          <w:color w:val="auto"/>
        </w:rPr>
      </w:pPr>
    </w:p>
    <w:p>
      <w:pPr>
        <w:ind w:left="4" w:firstLine="419"/>
        <w:spacing w:after="0" w:line="272" w:lineRule="auto"/>
        <w:tabs>
          <w:tab w:leader="none" w:pos="771"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Investment existing on, or made pursuant to binding commitments existing on, the Issue Date and any Investment consisting of an extension, modification or renewal of any Investment existing on, or made pursuant to a binding commitment existing on, the Issue Date;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amount of any such Investment may be increased (a) as required by the terms of such Investment as in existence on the Issue Date or</w:t>
      </w:r>
    </w:p>
    <w:p>
      <w:pPr>
        <w:spacing w:after="0" w:line="1"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otherwise permitted under this Indenture;</w:t>
      </w:r>
    </w:p>
    <w:p>
      <w:pPr>
        <w:spacing w:after="0" w:line="98" w:lineRule="exact"/>
        <w:rPr>
          <w:rFonts w:ascii="Times New Roman" w:cs="Times New Roman" w:eastAsia="Times New Roman" w:hAnsi="Times New Roman"/>
          <w:sz w:val="18"/>
          <w:szCs w:val="18"/>
          <w:color w:val="auto"/>
        </w:rPr>
      </w:pPr>
    </w:p>
    <w:p>
      <w:pPr>
        <w:ind w:left="4" w:firstLine="419"/>
        <w:spacing w:after="0" w:line="261" w:lineRule="auto"/>
        <w:tabs>
          <w:tab w:leader="none" w:pos="771"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acquired after the Issue Date as a result of the acquisition by the Issuer or any Restricted Subsidiary of the Issuer of another Person, including by way of a merger or consolidation with or into the Issuer or any of its Restricted Subsidiaries in a transaction that is not prohibited by Section 5.01 after the Issue Date to the extent that such Investments were not made in contemplation of such acquisition, merger or consolidation and were in existence on the date of such acquisition, merger or consolidation;</w:t>
      </w:r>
    </w:p>
    <w:p>
      <w:pPr>
        <w:spacing w:after="0" w:line="71" w:lineRule="exact"/>
        <w:rPr>
          <w:rFonts w:ascii="Times New Roman" w:cs="Times New Roman" w:eastAsia="Times New Roman" w:hAnsi="Times New Roman"/>
          <w:sz w:val="18"/>
          <w:szCs w:val="18"/>
          <w:color w:val="auto"/>
        </w:rPr>
      </w:pPr>
    </w:p>
    <w:p>
      <w:pPr>
        <w:ind w:left="764" w:hanging="341"/>
        <w:spacing w:after="0"/>
        <w:tabs>
          <w:tab w:leader="none" w:pos="76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Business Investments, Permitted Other Investments and any Investment made in connection with the CMB Transactions;</w:t>
      </w:r>
    </w:p>
    <w:p>
      <w:pPr>
        <w:spacing w:after="0" w:line="117" w:lineRule="exact"/>
        <w:rPr>
          <w:rFonts w:ascii="Times New Roman" w:cs="Times New Roman" w:eastAsia="Times New Roman" w:hAnsi="Times New Roman"/>
          <w:sz w:val="18"/>
          <w:szCs w:val="18"/>
          <w:color w:val="auto"/>
        </w:rPr>
      </w:pPr>
    </w:p>
    <w:p>
      <w:pPr>
        <w:ind w:left="4" w:right="400" w:firstLine="419"/>
        <w:spacing w:after="0" w:line="282" w:lineRule="auto"/>
        <w:tabs>
          <w:tab w:leader="none" w:pos="771"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received as a result of a foreclosure by, or other transfer of title to, the Issuer or any of its Restricted Subsidiaries with respect to any secured Investment in default;</w:t>
      </w:r>
    </w:p>
    <w:p>
      <w:pPr>
        <w:spacing w:after="0" w:line="53" w:lineRule="exact"/>
        <w:rPr>
          <w:rFonts w:ascii="Times New Roman" w:cs="Times New Roman" w:eastAsia="Times New Roman" w:hAnsi="Times New Roman"/>
          <w:sz w:val="18"/>
          <w:szCs w:val="18"/>
          <w:color w:val="auto"/>
        </w:rPr>
      </w:pPr>
    </w:p>
    <w:p>
      <w:pPr>
        <w:ind w:left="4" w:right="100" w:firstLine="419"/>
        <w:spacing w:after="0" w:line="266" w:lineRule="auto"/>
        <w:tabs>
          <w:tab w:leader="none" w:pos="771"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receivables owing to the Issuer or any Restricted Subsidiary created or acquired in the ordinary course of business and payable or dischargeable in accordance with customary trade terms;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trade terms may include such concessionary trade terms as the Issuer or any such Restricted Subsidiary deems reasonable under the circumstances;</w:t>
      </w:r>
    </w:p>
    <w:p>
      <w:pPr>
        <w:spacing w:after="0" w:line="67" w:lineRule="exact"/>
        <w:rPr>
          <w:rFonts w:ascii="Times New Roman" w:cs="Times New Roman" w:eastAsia="Times New Roman" w:hAnsi="Times New Roman"/>
          <w:sz w:val="18"/>
          <w:szCs w:val="18"/>
          <w:color w:val="auto"/>
        </w:rPr>
      </w:pPr>
    </w:p>
    <w:p>
      <w:pPr>
        <w:ind w:left="4" w:right="120" w:firstLine="419"/>
        <w:spacing w:after="0" w:line="282" w:lineRule="auto"/>
        <w:tabs>
          <w:tab w:leader="none" w:pos="771"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or other Investments arising from the incurrence of Indebtedness by the Issuer or any Restricted Subsidiary with respect to Indebtedness of any Unrestricted Subsidiary or Joint Venture permitted under Section 4.09(b)(14);</w:t>
      </w:r>
    </w:p>
    <w:p>
      <w:pPr>
        <w:spacing w:after="0" w:line="53" w:lineRule="exact"/>
        <w:rPr>
          <w:rFonts w:ascii="Times New Roman" w:cs="Times New Roman" w:eastAsia="Times New Roman" w:hAnsi="Times New Roman"/>
          <w:sz w:val="18"/>
          <w:szCs w:val="18"/>
          <w:color w:val="auto"/>
        </w:rPr>
      </w:pPr>
    </w:p>
    <w:p>
      <w:pPr>
        <w:ind w:left="4" w:right="280" w:firstLine="419"/>
        <w:spacing w:after="0" w:line="266" w:lineRule="auto"/>
        <w:tabs>
          <w:tab w:leader="none" w:pos="771"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of performance or other obligations (other than Indebtedness) arising in the ordinary course in the Oil and Gas Business, including obligations under oil and natural gas exploration, development, joint operating, and related agreements and licenses, concessions or operating leases related to the Oil and Gas Business;</w:t>
      </w:r>
    </w:p>
    <w:p>
      <w:pPr>
        <w:spacing w:after="0" w:line="67" w:lineRule="exact"/>
        <w:rPr>
          <w:rFonts w:ascii="Times New Roman" w:cs="Times New Roman" w:eastAsia="Times New Roman" w:hAnsi="Times New Roman"/>
          <w:sz w:val="18"/>
          <w:szCs w:val="18"/>
          <w:color w:val="auto"/>
        </w:rPr>
      </w:pPr>
    </w:p>
    <w:p>
      <w:pPr>
        <w:ind w:left="4" w:right="520" w:firstLine="419"/>
        <w:spacing w:after="0" w:line="282" w:lineRule="auto"/>
        <w:tabs>
          <w:tab w:leader="none" w:pos="771"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advances and prepayments for asset purchases in the ordinary course of business in the Oil and Gas Business of the Issuer or any Restricted Subsidiary;</w:t>
      </w:r>
    </w:p>
    <w:p>
      <w:pPr>
        <w:spacing w:after="0" w:line="94"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564"/>
          </w:cols>
          <w:pgMar w:left="876" w:top="270" w:right="459" w:bottom="1440" w:gutter="0" w:footer="0" w:header="0"/>
        </w:sectPr>
      </w:pPr>
    </w:p>
    <w:bookmarkStart w:id="34" w:name="page35"/>
    <w:bookmarkEnd w:id="34"/>
    <w:p>
      <w:pPr>
        <w:ind w:left="440" w:firstLine="419"/>
        <w:spacing w:after="0" w:line="282" w:lineRule="auto"/>
        <w:tabs>
          <w:tab w:leader="none" w:pos="1208"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contribution of the Capital Stock of the EHP Entity to one or more Unrestricted Subsidiaries or the designation of the EHP Entity as an Unrestricted Subsidiary; and</w:t>
      </w:r>
    </w:p>
    <w:p>
      <w:pPr>
        <w:spacing w:after="0" w:line="53" w:lineRule="exact"/>
        <w:rPr>
          <w:rFonts w:ascii="Times New Roman" w:cs="Times New Roman" w:eastAsia="Times New Roman" w:hAnsi="Times New Roman"/>
          <w:sz w:val="18"/>
          <w:szCs w:val="18"/>
          <w:color w:val="auto"/>
        </w:rPr>
      </w:pPr>
    </w:p>
    <w:p>
      <w:pPr>
        <w:ind w:left="440" w:right="20" w:firstLine="419"/>
        <w:spacing w:after="0" w:line="253" w:lineRule="auto"/>
        <w:tabs>
          <w:tab w:leader="none" w:pos="1208"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Investment in any Person having an aggregate Fair Market Value (measured on the date such Investment was made and without giving effect to subsequent changes in value) that, when taken together with the Fair Market Value (as so measured) of all other Investments made pursuant to this clause (21) that are at the time outstanding, that does not exceed the greater of (a) $570.0 million and (b) 5.0% of Adjusted Consolidated Net Tangible Assets determined at the time such Investment is made;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any Investment pursuant to this clause (21) is made in any Person that is not a Restricted Subsidiary of the Issuer at the date of the making of such Investment and such Person becomes a Restricted Subsidiary of the Issuer after such date, such Investment shall thereafter be deemed to have been made pursuant to clause</w:t>
      </w:r>
    </w:p>
    <w:p>
      <w:pPr>
        <w:spacing w:after="0" w:line="5" w:lineRule="exact"/>
        <w:rPr>
          <w:rFonts w:ascii="Times New Roman" w:cs="Times New Roman" w:eastAsia="Times New Roman" w:hAnsi="Times New Roman"/>
          <w:sz w:val="18"/>
          <w:szCs w:val="18"/>
          <w:color w:val="auto"/>
        </w:rPr>
      </w:pPr>
    </w:p>
    <w:p>
      <w:pPr>
        <w:ind w:left="440" w:right="120" w:hanging="4"/>
        <w:spacing w:after="0" w:line="260" w:lineRule="auto"/>
        <w:tabs>
          <w:tab w:leader="none" w:pos="69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and shall cease to have been made pursuant to this clause (21) for so long as such Person continues to be a Restricted Subsidiary of the Issuer (unless the Issuer otherwise classifies such Investment in compliance with this Indenture).</w:t>
      </w:r>
    </w:p>
    <w:p>
      <w:pPr>
        <w:spacing w:after="0" w:line="181"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With respect to any Investment, the Issuer may, in its sole discretion, classify all or any portion of such Investment in one or more of the above clauses so that the entire Investment is a Permitted Investment.</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Liens</w:t>
      </w:r>
      <w:r>
        <w:rPr>
          <w:rFonts w:ascii="Times New Roman" w:cs="Times New Roman" w:eastAsia="Times New Roman" w:hAnsi="Times New Roman"/>
          <w:sz w:val="18"/>
          <w:szCs w:val="18"/>
          <w:color w:val="auto"/>
        </w:rPr>
        <w:t>” means:</w:t>
      </w:r>
    </w:p>
    <w:p>
      <w:pPr>
        <w:spacing w:after="0" w:line="119" w:lineRule="exact"/>
        <w:rPr>
          <w:sz w:val="20"/>
          <w:szCs w:val="20"/>
          <w:color w:val="auto"/>
        </w:rPr>
      </w:pPr>
    </w:p>
    <w:p>
      <w:pPr>
        <w:ind w:left="440" w:right="160" w:firstLine="419"/>
        <w:spacing w:after="0" w:line="282" w:lineRule="auto"/>
        <w:tabs>
          <w:tab w:leader="none" w:pos="111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assets of the Issuer or any Restricted Subsidiary securing Indebtedness under Credit Facilities that was permitted by the terms of this Indenture to be incurred pursuant to clause (1) of Section 4.09(b);</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the Issuer or the Guarantors;</w:t>
      </w:r>
    </w:p>
    <w:p>
      <w:pPr>
        <w:spacing w:after="0" w:line="117" w:lineRule="exact"/>
        <w:rPr>
          <w:rFonts w:ascii="Times New Roman" w:cs="Times New Roman" w:eastAsia="Times New Roman" w:hAnsi="Times New Roman"/>
          <w:sz w:val="18"/>
          <w:szCs w:val="18"/>
          <w:color w:val="auto"/>
        </w:rPr>
      </w:pPr>
    </w:p>
    <w:p>
      <w:pPr>
        <w:ind w:left="440" w:right="60" w:firstLine="419"/>
        <w:spacing w:after="0" w:line="266" w:lineRule="auto"/>
        <w:tabs>
          <w:tab w:leader="none" w:pos="111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property of a Person existing at the time such Person becomes a Restricted Subsidiary of the Issuer or is merged with or into or consolidated with the Issuer or any Restricted Subsidiary of the Issuer;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Liens do not extend to any other property owned by such Person or any of its Restricted Subsidiaries;</w:t>
      </w:r>
    </w:p>
    <w:p>
      <w:pPr>
        <w:spacing w:after="0" w:line="67" w:lineRule="exact"/>
        <w:rPr>
          <w:rFonts w:ascii="Times New Roman" w:cs="Times New Roman" w:eastAsia="Times New Roman" w:hAnsi="Times New Roman"/>
          <w:sz w:val="18"/>
          <w:szCs w:val="18"/>
          <w:color w:val="auto"/>
        </w:rPr>
      </w:pPr>
    </w:p>
    <w:p>
      <w:pPr>
        <w:ind w:left="440" w:right="420" w:firstLine="419"/>
        <w:spacing w:after="0" w:line="282" w:lineRule="auto"/>
        <w:tabs>
          <w:tab w:leader="none" w:pos="111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property (including Capital Stock) existing at the time of acquisition of the property by the Issuer or any Subsidiary of the Issuer;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Liens do not extend to any property other than that acquired;</w:t>
      </w:r>
    </w:p>
    <w:p>
      <w:pPr>
        <w:spacing w:after="0" w:line="53" w:lineRule="exact"/>
        <w:rPr>
          <w:rFonts w:ascii="Times New Roman" w:cs="Times New Roman" w:eastAsia="Times New Roman" w:hAnsi="Times New Roman"/>
          <w:sz w:val="18"/>
          <w:szCs w:val="18"/>
          <w:color w:val="auto"/>
        </w:rPr>
      </w:pPr>
    </w:p>
    <w:p>
      <w:pPr>
        <w:ind w:left="440" w:right="40" w:firstLine="419"/>
        <w:spacing w:after="0" w:line="261" w:lineRule="auto"/>
        <w:tabs>
          <w:tab w:leader="none" w:pos="111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pledges or deposits or other Liens to secure the performance of statutory obligations, insurance, surety or appeal bonds, workers’ compensation, unemployment and similar obligations, bid, leases (including, without limitation, statutory and common law landlord’s liens), government contracts, plugging and abandonment obligations and performance bonds or other obligations of a like nature incurred in the ordinary course of business (including Liens to secure letters of credit issued to assure payment of such obligations);</w:t>
      </w:r>
    </w:p>
    <w:p>
      <w:pPr>
        <w:spacing w:after="0" w:line="71"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Indebtedness represented by (x) Sale and Leaseback Transactions permitted to be incurred under this Indenture and</w:t>
      </w:r>
    </w:p>
    <w:p>
      <w:pPr>
        <w:spacing w:after="0" w:line="27" w:lineRule="exact"/>
        <w:rPr>
          <w:rFonts w:ascii="Times New Roman" w:cs="Times New Roman" w:eastAsia="Times New Roman" w:hAnsi="Times New Roman"/>
          <w:sz w:val="18"/>
          <w:szCs w:val="18"/>
          <w:color w:val="auto"/>
        </w:rPr>
      </w:pPr>
    </w:p>
    <w:p>
      <w:pPr>
        <w:ind w:left="440" w:right="140" w:hanging="4"/>
        <w:spacing w:after="0" w:line="253" w:lineRule="auto"/>
        <w:tabs>
          <w:tab w:leader="none" w:pos="69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Finance Lease Obligations, mortgage financings or purchase money obligations or other Indebtedness, in each case in this clause (y) that are incurred for the purpose of financing all or any part of the purchase price or other acquisition cost or cost of design, construction, installation, development, repair or improvement of property, plant or equipment used in the business of the Issuer or any of its Restricted Subsidiaries and acquired or designed, constructed, installed, developed, repaired or improved in the ordinary course of business;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such Liens are in favor of the seller or other transferor or lessor of</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80"/>
          </w:cols>
          <w:pgMar w:left="440" w:top="270" w:right="479" w:bottom="1440" w:gutter="0" w:footer="0" w:header="0"/>
        </w:sectPr>
      </w:pPr>
    </w:p>
    <w:bookmarkStart w:id="35" w:name="page36"/>
    <w:bookmarkEnd w:id="35"/>
    <w:p>
      <w:pPr>
        <w:ind w:left="4" w:right="6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such asset or property, in favor of the Person or Persons designing, constructing, installing, developing, repairing or improving such asset or property, or in favor of the Person or Persons that provided the funding for the acquisition, design, construction, installation, development, repair or improvement cost, as the case may be, of such asset or property, (b) such Liens are created no later than 360 days after the acquisition, lease, leaseback, design, construction, installation, development, repair or improvement, (c) the aggregate principal amount of the Indebtedness secured by such Liens is otherwise permitted to be incurred under this Indenture and does not exceed the greater of (i) the cost of the asset or property so acquired, designed, constructed, installed, developed, repaired or improved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related financing costs and (ii) the Fair Market Value of the asset or property so acquired, leased, designed, constructed, installed, developed, repaired or improved, measured at the date of such acquisition or lease, or the date of completion of such design, construction, installation, development, repair or improvement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related financing costs, and</w:t>
      </w:r>
    </w:p>
    <w:p>
      <w:pPr>
        <w:ind w:left="4" w:right="100" w:hanging="4"/>
        <w:spacing w:after="0" w:line="255" w:lineRule="auto"/>
        <w:tabs>
          <w:tab w:leader="none" w:pos="25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Liens are limited to the asset or property so acquired, leased, designed, constructed, installed, developed, repaired or improved (together with improvements, additions, accessions and contractual rights relating primarily thereto and all proceeds thereof (including dividends, distributions and increases in respect thereof));</w:t>
      </w:r>
    </w:p>
    <w:p>
      <w:pPr>
        <w:spacing w:after="0" w:line="77" w:lineRule="exact"/>
        <w:rPr>
          <w:rFonts w:ascii="Times New Roman" w:cs="Times New Roman" w:eastAsia="Times New Roman" w:hAnsi="Times New Roman"/>
          <w:sz w:val="18"/>
          <w:szCs w:val="18"/>
          <w:color w:val="auto"/>
        </w:rPr>
      </w:pPr>
    </w:p>
    <w:p>
      <w:pPr>
        <w:ind w:left="4" w:right="180" w:firstLine="419"/>
        <w:spacing w:after="0" w:line="282" w:lineRule="auto"/>
        <w:tabs>
          <w:tab w:leader="none" w:pos="681"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existing on the Issue Date after giving effect to the issuance of the Initial Notes and the application of proceeds therefrom (other than Liens securing Indebtedness under the Credit Agreement);</w:t>
      </w:r>
    </w:p>
    <w:p>
      <w:pPr>
        <w:spacing w:after="0" w:line="53" w:lineRule="exact"/>
        <w:rPr>
          <w:rFonts w:ascii="Times New Roman" w:cs="Times New Roman" w:eastAsia="Times New Roman" w:hAnsi="Times New Roman"/>
          <w:sz w:val="18"/>
          <w:szCs w:val="18"/>
          <w:color w:val="auto"/>
        </w:rPr>
      </w:pPr>
    </w:p>
    <w:p>
      <w:pPr>
        <w:ind w:left="684" w:hanging="261"/>
        <w:spacing w:after="0"/>
        <w:tabs>
          <w:tab w:leader="none" w:pos="68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created for the benefit of (or to secure) the Notes or the Guarantees or to secure other obligations under this Indenture;</w:t>
      </w:r>
    </w:p>
    <w:p>
      <w:pPr>
        <w:spacing w:after="0" w:line="117" w:lineRule="exact"/>
        <w:rPr>
          <w:rFonts w:ascii="Times New Roman" w:cs="Times New Roman" w:eastAsia="Times New Roman" w:hAnsi="Times New Roman"/>
          <w:sz w:val="18"/>
          <w:szCs w:val="18"/>
          <w:color w:val="auto"/>
        </w:rPr>
      </w:pPr>
    </w:p>
    <w:p>
      <w:pPr>
        <w:ind w:left="4" w:right="180" w:firstLine="419"/>
        <w:spacing w:after="0" w:line="312" w:lineRule="auto"/>
        <w:tabs>
          <w:tab w:leader="none" w:pos="681"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on and pledges of the Equity Interests of any Unrestricted Subsidiary or any Joint Venture owned by the Issuer or any Restricted Subsidiary of the Issuer to the extent securing Non-Recourse Debt or other Indebtedness of such Unrestricted Subsidiary or Joint Venture;</w:t>
      </w:r>
    </w:p>
    <w:p>
      <w:pPr>
        <w:spacing w:after="0" w:line="31" w:lineRule="exact"/>
        <w:rPr>
          <w:rFonts w:ascii="Times New Roman" w:cs="Times New Roman" w:eastAsia="Times New Roman" w:hAnsi="Times New Roman"/>
          <w:sz w:val="17"/>
          <w:szCs w:val="17"/>
          <w:color w:val="auto"/>
        </w:rPr>
      </w:pPr>
    </w:p>
    <w:p>
      <w:pPr>
        <w:ind w:left="764" w:hanging="341"/>
        <w:spacing w:after="0"/>
        <w:tabs>
          <w:tab w:leader="none" w:pos="76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pipelines or pipeline facilities that arise by operation of law;</w:t>
      </w:r>
    </w:p>
    <w:p>
      <w:pPr>
        <w:spacing w:after="0" w:line="117" w:lineRule="exact"/>
        <w:rPr>
          <w:rFonts w:ascii="Times New Roman" w:cs="Times New Roman" w:eastAsia="Times New Roman" w:hAnsi="Times New Roman"/>
          <w:sz w:val="18"/>
          <w:szCs w:val="18"/>
          <w:color w:val="auto"/>
        </w:rPr>
      </w:pPr>
    </w:p>
    <w:p>
      <w:pPr>
        <w:ind w:left="764" w:hanging="341"/>
        <w:spacing w:after="0"/>
        <w:tabs>
          <w:tab w:leader="none" w:pos="76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reserved in oil and natural gas mineral leases for bonus or rental payments and for compliance with the terms of such leases;</w:t>
      </w:r>
    </w:p>
    <w:p>
      <w:pPr>
        <w:spacing w:after="0" w:line="117" w:lineRule="exact"/>
        <w:rPr>
          <w:rFonts w:ascii="Times New Roman" w:cs="Times New Roman" w:eastAsia="Times New Roman" w:hAnsi="Times New Roman"/>
          <w:sz w:val="18"/>
          <w:szCs w:val="18"/>
          <w:color w:val="auto"/>
        </w:rPr>
      </w:pPr>
    </w:p>
    <w:p>
      <w:pPr>
        <w:ind w:left="764" w:hanging="341"/>
        <w:spacing w:after="0"/>
        <w:tabs>
          <w:tab w:leader="none" w:pos="76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to secure any Indebtedness incurred to refinance or replace Indebtedness secured by any Lien described under clauses (3), (4),</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(6), (7), (8), (12) and (22) of this definition permitted to be incurred under this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w:t>
      </w:r>
    </w:p>
    <w:p>
      <w:pPr>
        <w:spacing w:after="0" w:line="98" w:lineRule="exact"/>
        <w:rPr>
          <w:rFonts w:ascii="Times New Roman" w:cs="Times New Roman" w:eastAsia="Times New Roman" w:hAnsi="Times New Roman"/>
          <w:sz w:val="18"/>
          <w:szCs w:val="18"/>
          <w:color w:val="auto"/>
        </w:rPr>
      </w:pPr>
    </w:p>
    <w:p>
      <w:pPr>
        <w:ind w:left="544" w:right="320" w:firstLine="408"/>
        <w:spacing w:after="0" w:line="266" w:lineRule="auto"/>
        <w:tabs>
          <w:tab w:leader="none" w:pos="1189"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Lien is limited to all or part of the same property and assets that secured or, under the written agreements pursuant to which the original Lien arose, could secure the original Lien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improvements and accessions to such property or proceeds or distributions thereof); and</w:t>
      </w:r>
    </w:p>
    <w:p>
      <w:pPr>
        <w:spacing w:after="0" w:line="67" w:lineRule="exact"/>
        <w:rPr>
          <w:rFonts w:ascii="Times New Roman" w:cs="Times New Roman" w:eastAsia="Times New Roman" w:hAnsi="Times New Roman"/>
          <w:sz w:val="18"/>
          <w:szCs w:val="18"/>
          <w:color w:val="auto"/>
        </w:rPr>
      </w:pPr>
    </w:p>
    <w:p>
      <w:pPr>
        <w:ind w:left="544" w:firstLine="408"/>
        <w:spacing w:after="0" w:line="261" w:lineRule="auto"/>
        <w:tabs>
          <w:tab w:leader="none" w:pos="1199"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Indebtedness secured by the new Lien is not increased to any amount greater than the sum of (x) the outstanding principal amount, or, if greater, committed amount, of the Indebtedness exchanged, renewed, refunded, refinanced, replaced, defeased or discharged with such Permitted Refinancing Indebtedness and (y) an amount necessary to pay any fees and expenses, including premiums, related to such exchange, renewal, refunding, refinancing, replacement, defeasance or discharge;</w:t>
      </w:r>
    </w:p>
    <w:p>
      <w:pPr>
        <w:spacing w:after="0" w:line="71" w:lineRule="exact"/>
        <w:rPr>
          <w:rFonts w:ascii="Times New Roman" w:cs="Times New Roman" w:eastAsia="Times New Roman" w:hAnsi="Times New Roman"/>
          <w:sz w:val="18"/>
          <w:szCs w:val="18"/>
          <w:color w:val="auto"/>
        </w:rPr>
      </w:pPr>
    </w:p>
    <w:p>
      <w:pPr>
        <w:ind w:left="764" w:hanging="341"/>
        <w:spacing w:after="0"/>
        <w:tabs>
          <w:tab w:leader="none" w:pos="76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insurance policies and proceeds thereof, or other deposits, to secure insurance premium financings;</w:t>
      </w:r>
    </w:p>
    <w:p>
      <w:pPr>
        <w:spacing w:after="0" w:line="158" w:lineRule="exact"/>
        <w:rPr>
          <w:sz w:val="20"/>
          <w:szCs w:val="20"/>
          <w:color w:val="auto"/>
        </w:rPr>
      </w:pPr>
    </w:p>
    <w:p>
      <w:pPr>
        <w:jc w:val="center"/>
        <w:ind w:right="376"/>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524"/>
          </w:cols>
          <w:pgMar w:left="876" w:top="270" w:right="499" w:bottom="1440" w:gutter="0" w:footer="0" w:header="0"/>
        </w:sectPr>
      </w:pPr>
    </w:p>
    <w:bookmarkStart w:id="36" w:name="page37"/>
    <w:bookmarkEnd w:id="36"/>
    <w:p>
      <w:pPr>
        <w:ind w:left="760" w:hanging="341"/>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filing of Uniform Commercial Code financing statements as a precautionary measure in connection with operating leases;</w:t>
      </w:r>
    </w:p>
    <w:p>
      <w:pPr>
        <w:spacing w:after="0" w:line="117" w:lineRule="exact"/>
        <w:rPr>
          <w:rFonts w:ascii="Times New Roman" w:cs="Times New Roman" w:eastAsia="Times New Roman" w:hAnsi="Times New Roman"/>
          <w:sz w:val="18"/>
          <w:szCs w:val="18"/>
          <w:color w:val="auto"/>
        </w:rPr>
      </w:pPr>
    </w:p>
    <w:p>
      <w:pPr>
        <w:jc w:val="both"/>
        <w:ind w:right="300" w:firstLine="419"/>
        <w:spacing w:after="0" w:line="289" w:lineRule="auto"/>
        <w:tabs>
          <w:tab w:leader="none" w:pos="768"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bankers’ Liens, rights of setoff, rights of revocation, refund or chargeback with respect to money or instruments of the Issuer or any Restricted Subsidiary, Liens arising out of judgments or awards not constituting an Event of Default and notices of lis pendens and associated rights related to litigation being contested in good faith by appropriate proceedings and for which adequate reserves have been made;</w:t>
      </w:r>
    </w:p>
    <w:p>
      <w:pPr>
        <w:spacing w:after="0" w:line="49" w:lineRule="exact"/>
        <w:rPr>
          <w:rFonts w:ascii="Times New Roman" w:cs="Times New Roman" w:eastAsia="Times New Roman" w:hAnsi="Times New Roman"/>
          <w:sz w:val="17"/>
          <w:szCs w:val="17"/>
          <w:color w:val="auto"/>
        </w:rPr>
      </w:pPr>
    </w:p>
    <w:p>
      <w:pPr>
        <w:ind w:left="760" w:hanging="341"/>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cash, Cash Equivalents or other property arising in connection with the defeasance, discharge or redemption of Indebtedness;</w:t>
      </w:r>
    </w:p>
    <w:p>
      <w:pPr>
        <w:spacing w:after="0" w:line="117" w:lineRule="exact"/>
        <w:rPr>
          <w:rFonts w:ascii="Times New Roman" w:cs="Times New Roman" w:eastAsia="Times New Roman" w:hAnsi="Times New Roman"/>
          <w:sz w:val="18"/>
          <w:szCs w:val="18"/>
          <w:color w:val="auto"/>
        </w:rPr>
      </w:pPr>
    </w:p>
    <w:p>
      <w:pPr>
        <w:jc w:val="both"/>
        <w:ind w:right="420" w:firstLine="419"/>
        <w:spacing w:after="0" w:line="266" w:lineRule="auto"/>
        <w:tabs>
          <w:tab w:leader="none" w:pos="76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specific items of inventory or other goods (and the proceeds thereof) of any Person securing such Person’s obligations in respect of bankers’ acceptances issued or created in the ordinary course of business for the account of such Person to facilitate the purchase, shipment or storage of such inventory or other goods;</w:t>
      </w:r>
    </w:p>
    <w:p>
      <w:pPr>
        <w:spacing w:after="0" w:line="65" w:lineRule="exact"/>
        <w:rPr>
          <w:rFonts w:ascii="Times New Roman" w:cs="Times New Roman" w:eastAsia="Times New Roman" w:hAnsi="Times New Roman"/>
          <w:sz w:val="18"/>
          <w:szCs w:val="18"/>
          <w:color w:val="auto"/>
        </w:rPr>
      </w:pPr>
    </w:p>
    <w:p>
      <w:pPr>
        <w:ind w:right="120" w:firstLine="419"/>
        <w:spacing w:after="0" w:line="284" w:lineRule="auto"/>
        <w:tabs>
          <w:tab w:leader="none" w:pos="76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in respect of Production Payments and Reserve Sales;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Liens are limited to the property that is subject to such Production Payments and Reserve Sales;</w:t>
      </w:r>
    </w:p>
    <w:p>
      <w:pPr>
        <w:spacing w:after="0" w:line="52" w:lineRule="exact"/>
        <w:rPr>
          <w:rFonts w:ascii="Times New Roman" w:cs="Times New Roman" w:eastAsia="Times New Roman" w:hAnsi="Times New Roman"/>
          <w:sz w:val="18"/>
          <w:szCs w:val="18"/>
          <w:color w:val="auto"/>
        </w:rPr>
      </w:pPr>
    </w:p>
    <w:p>
      <w:pPr>
        <w:ind w:right="80" w:firstLine="419"/>
        <w:spacing w:after="0" w:line="254" w:lineRule="auto"/>
        <w:tabs>
          <w:tab w:leader="none" w:pos="76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arising under oil and natural gas leases or subleases, overriding royalty interests, assignments, farm-out agreements, farm-in agreements, division orders, contracts for the sale, purchase, exchange, transportation, gathering or processing of Hydrocarbons, unitizations and pooling designations, declarations, orders and agreements, development agreements, joint venture agreements, partnership agreements, operating agreements, royalties, working interests, net profits interests, joint interest billing arrangements, participation agreements, production sales contracts, production payment agreements, royalty trust agreements, incentive compensation programs for geologists, geophysicists and other providers of technical services to the Issuer or a Restricted Subsidiary, area of mutual interest agreements, gas balancing or deferred production agreements, injection, repressuring and recycling agreements, salt water or other disposal agreements, seismic or geophysical permits or agreements, licenses, sublicenses and other agreements which are customary in the Oil and Gas Business;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in all instances that such Liens are limited to the assets that are the subject of the relevant agreement, program, order or contract;</w:t>
      </w:r>
    </w:p>
    <w:p>
      <w:pPr>
        <w:spacing w:after="0" w:line="80" w:lineRule="exact"/>
        <w:rPr>
          <w:rFonts w:ascii="Times New Roman" w:cs="Times New Roman" w:eastAsia="Times New Roman" w:hAnsi="Times New Roman"/>
          <w:sz w:val="18"/>
          <w:szCs w:val="18"/>
          <w:color w:val="auto"/>
        </w:rPr>
      </w:pPr>
    </w:p>
    <w:p>
      <w:pPr>
        <w:ind w:right="440" w:firstLine="419"/>
        <w:spacing w:after="0" w:line="282" w:lineRule="auto"/>
        <w:tabs>
          <w:tab w:leader="none" w:pos="76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to secure performance of Hedging Obligations of the Issuer or any of its Restricted Subsidiaries entered into in the ordinary course of business and not for speculative purposes;</w:t>
      </w:r>
    </w:p>
    <w:p>
      <w:pPr>
        <w:spacing w:after="0" w:line="53" w:lineRule="exact"/>
        <w:rPr>
          <w:rFonts w:ascii="Times New Roman" w:cs="Times New Roman" w:eastAsia="Times New Roman" w:hAnsi="Times New Roman"/>
          <w:sz w:val="18"/>
          <w:szCs w:val="18"/>
          <w:color w:val="auto"/>
        </w:rPr>
      </w:pPr>
    </w:p>
    <w:p>
      <w:pPr>
        <w:jc w:val="both"/>
        <w:ind w:right="280" w:firstLine="419"/>
        <w:spacing w:after="0" w:line="261" w:lineRule="auto"/>
        <w:tabs>
          <w:tab w:leader="none" w:pos="76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arising under this Indenture in favor of the Trustee for its own benefit and similar Liens in favor of other trustees, agents and representatives arising under instruments governing Indebtedness permitted to be incurred under this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Liens are solely for the benefit of the trustees, agents or representatives in their capacities as such and not for the benefit of the holders of such Indebtedness;</w:t>
      </w:r>
    </w:p>
    <w:p>
      <w:pPr>
        <w:spacing w:after="0" w:line="71" w:lineRule="exact"/>
        <w:rPr>
          <w:rFonts w:ascii="Times New Roman" w:cs="Times New Roman" w:eastAsia="Times New Roman" w:hAnsi="Times New Roman"/>
          <w:sz w:val="18"/>
          <w:szCs w:val="18"/>
          <w:color w:val="auto"/>
        </w:rPr>
      </w:pPr>
    </w:p>
    <w:p>
      <w:pPr>
        <w:ind w:firstLine="419"/>
        <w:spacing w:after="0" w:line="258" w:lineRule="auto"/>
        <w:tabs>
          <w:tab w:leader="none" w:pos="76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incurred by the Issuer or any Restricted Subsidiary of the Issuer with respect to Indebtedness in aggregate principal amount that, when taken together with the aggregate principal amount of all other Indebtedness secured by Liens incurred pursuant to this clause (22) then outstanding, together with all other then outstanding Indebtedness secured by Liens incurred pursuant to clause (12) of this definition that had previously refinanced or replaced Indebtedness secured by Liens incurred under this clause (22), does not exceed the greater of (a) $570.0 million and (b) 5.0% of Adjusted Consolidated Net Tangible Assets determined at the time such Lien is incurred;</w:t>
      </w:r>
    </w:p>
    <w:p>
      <w:pPr>
        <w:spacing w:after="0" w:line="11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540"/>
          </w:cols>
          <w:pgMar w:left="880" w:top="270" w:right="479" w:bottom="1440" w:gutter="0" w:footer="0" w:header="0"/>
        </w:sectPr>
      </w:pPr>
    </w:p>
    <w:bookmarkStart w:id="37" w:name="page38"/>
    <w:bookmarkEnd w:id="37"/>
    <w:p>
      <w:pPr>
        <w:ind w:left="440" w:right="340" w:firstLine="419"/>
        <w:spacing w:after="0" w:line="282" w:lineRule="auto"/>
        <w:tabs>
          <w:tab w:leader="none" w:pos="120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leases and subleases of real property which do not materially interfere with the ordinary conduct of the business of the Issuer or the Restricted Subsidiaries;</w:t>
      </w:r>
    </w:p>
    <w:p>
      <w:pPr>
        <w:spacing w:after="0" w:line="53" w:lineRule="exact"/>
        <w:rPr>
          <w:rFonts w:ascii="Times New Roman" w:cs="Times New Roman" w:eastAsia="Times New Roman" w:hAnsi="Times New Roman"/>
          <w:sz w:val="18"/>
          <w:szCs w:val="18"/>
          <w:color w:val="auto"/>
        </w:rPr>
      </w:pPr>
    </w:p>
    <w:p>
      <w:pPr>
        <w:ind w:left="1200" w:hanging="341"/>
        <w:spacing w:after="0"/>
        <w:tabs>
          <w:tab w:leader="none" w:pos="12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arising by reason of:</w:t>
      </w:r>
    </w:p>
    <w:p>
      <w:pPr>
        <w:spacing w:after="0" w:line="117" w:lineRule="exact"/>
        <w:rPr>
          <w:rFonts w:ascii="Times New Roman" w:cs="Times New Roman" w:eastAsia="Times New Roman" w:hAnsi="Times New Roman"/>
          <w:sz w:val="18"/>
          <w:szCs w:val="18"/>
          <w:color w:val="auto"/>
        </w:rPr>
      </w:pPr>
    </w:p>
    <w:p>
      <w:pPr>
        <w:ind w:left="980" w:right="180" w:firstLine="408"/>
        <w:spacing w:after="0" w:line="266" w:lineRule="auto"/>
        <w:tabs>
          <w:tab w:leader="none" w:pos="1625"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taxes, assessments or governmental charges or claims that are not yet delinquent or that are being contested in good faith by appropriate proceedings promptly instituted and diligently conducted;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reserve or other appropriate provision as will be required in conformity with GAAP will have been made therefor,</w:t>
      </w:r>
    </w:p>
    <w:p>
      <w:pPr>
        <w:spacing w:after="0" w:line="6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 faith deposits in connection with tenders, leases and contracts (other than contracts for the payment of Indebtedness),</w:t>
      </w:r>
    </w:p>
    <w:p>
      <w:pPr>
        <w:spacing w:after="0" w:line="117" w:lineRule="exact"/>
        <w:rPr>
          <w:rFonts w:ascii="Times New Roman" w:cs="Times New Roman" w:eastAsia="Times New Roman" w:hAnsi="Times New Roman"/>
          <w:sz w:val="18"/>
          <w:szCs w:val="18"/>
          <w:color w:val="auto"/>
        </w:rPr>
      </w:pPr>
    </w:p>
    <w:p>
      <w:pPr>
        <w:ind w:left="980" w:right="40" w:firstLine="408"/>
        <w:spacing w:after="0" w:line="256" w:lineRule="auto"/>
        <w:tabs>
          <w:tab w:leader="none" w:pos="1625"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survey exceptions, zoning restrictions, easements, licenses, reservations, title defects, rights of others for rights of way, utilities, sewers, electric lines, telephone or telegraph lines, and other similar purposes, provisions, covenants, conditions, waivers, restrictions on the use of property or minor irregularities of title (and with respect to leasehold interests, mortgages, obligations, Liens and other encumbrances incurred, created, assumed or permitted to exist and arising by, through or under a landlord or owner of the leased property, with or without consent of the lessee), none of which materially impairs the use of any parcel of property material to the operation of the business of the Issuer or the Restricted Subsidiaries or the value of such property for the purpose of such business,</w:t>
      </w:r>
    </w:p>
    <w:p>
      <w:pPr>
        <w:spacing w:after="0" w:line="79" w:lineRule="exact"/>
        <w:rPr>
          <w:rFonts w:ascii="Times New Roman" w:cs="Times New Roman" w:eastAsia="Times New Roman" w:hAnsi="Times New Roman"/>
          <w:sz w:val="18"/>
          <w:szCs w:val="18"/>
          <w:color w:val="auto"/>
        </w:rPr>
      </w:pPr>
    </w:p>
    <w:p>
      <w:pPr>
        <w:ind w:left="980" w:right="40" w:firstLine="408"/>
        <w:spacing w:after="0" w:line="258" w:lineRule="auto"/>
        <w:tabs>
          <w:tab w:leader="none" w:pos="1636"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 of law or contract in favor of mechanics, carriers, warehousemen, landlords, materialmen, laborers, employees, suppliers and similar persons, incurred in the ordinary course of business, to the extent such Liens relate only to the tangible property of the lessee which is located on such property, for sums which are not yet delinquent or are being contested in good faith by negotiations or by appropriate proceedings which suspend the collection thereof; if such reserve or other appropriate provision, if any, as shall be required by GAAP shall have been made in respect thereof, or</w:t>
      </w:r>
    </w:p>
    <w:p>
      <w:pPr>
        <w:spacing w:after="0" w:line="75"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normal depository or cash-management arrangements with banks; and</w:t>
      </w:r>
    </w:p>
    <w:p>
      <w:pPr>
        <w:spacing w:after="0" w:line="117" w:lineRule="exact"/>
        <w:rPr>
          <w:rFonts w:ascii="Times New Roman" w:cs="Times New Roman" w:eastAsia="Times New Roman" w:hAnsi="Times New Roman"/>
          <w:sz w:val="18"/>
          <w:szCs w:val="18"/>
          <w:color w:val="auto"/>
        </w:rPr>
      </w:pPr>
    </w:p>
    <w:p>
      <w:pPr>
        <w:ind w:left="440" w:firstLine="419"/>
        <w:spacing w:after="0" w:line="255" w:lineRule="auto"/>
        <w:tabs>
          <w:tab w:leader="none" w:pos="120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any specific property or any interest therein, construction thereon or improvement thereto to secure all or any part of the costs incurred for surveying, exploration, drilling, extraction, development, operation, production, construction, alteration, repair or improvement of, in, from, under or on such property and the plugging and abandonment of wells located thereon (it being understood that, in the case of oil and gas producing properties, or any interest therein, costs incurred for development and production shall include costs incurred for all facilities relating to such properties or to projects, ventures or other arrangements of which such properties form a part or which relate to such properties or interests and costs incurred for processing, gathering, marketing, refining and storage of such production), in each case that do not secure Indebtedness for borrowed money.</w:t>
      </w:r>
    </w:p>
    <w:p>
      <w:pPr>
        <w:spacing w:after="0" w:line="189"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In each case set forth above, notwithstanding any stated limitation on the assets that may be subject to such Lien, a Permitted Lien on a specified asset or group or type of assets shall also include any Lien on all improvements, additions, accessions and contractual rights relating primarily thereto and all proceeds thereof (including dividends, distributions and increases in respect thereof).</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80"/>
          </w:cols>
          <w:pgMar w:left="440" w:top="270" w:right="479" w:bottom="1440" w:gutter="0" w:footer="0" w:header="0"/>
        </w:sectPr>
      </w:pPr>
    </w:p>
    <w:bookmarkStart w:id="38" w:name="page39"/>
    <w:bookmarkEnd w:id="38"/>
    <w:p>
      <w:pPr>
        <w:jc w:val="both"/>
        <w:ind w:right="120" w:firstLine="440"/>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Permitted Other Investments</w:t>
      </w:r>
      <w:r>
        <w:rPr>
          <w:rFonts w:ascii="Times New Roman" w:cs="Times New Roman" w:eastAsia="Times New Roman" w:hAnsi="Times New Roman"/>
          <w:sz w:val="18"/>
          <w:szCs w:val="18"/>
          <w:color w:val="auto"/>
        </w:rPr>
        <w:t xml:space="preserve">” means Investments by the Issuer or any of its Restricted Subsidiaries in any Person (including in any Unrestricted Subsidiary) consisting of a capital contribution, or arising from the receipt of non-cash consideration from a transfer, to such Person of Midstream and Infrastructure Assets;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67" w:lineRule="exact"/>
        <w:rPr>
          <w:sz w:val="20"/>
          <w:szCs w:val="20"/>
          <w:color w:val="auto"/>
        </w:rPr>
      </w:pPr>
    </w:p>
    <w:p>
      <w:pPr>
        <w:ind w:left="440" w:right="640" w:firstLine="419"/>
        <w:spacing w:after="0" w:line="282" w:lineRule="auto"/>
        <w:tabs>
          <w:tab w:leader="none" w:pos="1118"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any such Investment and immediately thereafter, the Issuer would be permitted to incur at least $1.00 of additional Indebtedness pursuant to the Fixed Charge Coverage Ratio test set forth in Section 4.09(a); and</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Person has outstanding Indebtedness at the time of any such Investment, either (a) all such Indebtedness is Non-Recourse Debt or</w:t>
      </w:r>
    </w:p>
    <w:p>
      <w:pPr>
        <w:spacing w:after="0" w:line="27" w:lineRule="exact"/>
        <w:rPr>
          <w:rFonts w:ascii="Times New Roman" w:cs="Times New Roman" w:eastAsia="Times New Roman" w:hAnsi="Times New Roman"/>
          <w:sz w:val="18"/>
          <w:szCs w:val="18"/>
          <w:color w:val="auto"/>
        </w:rPr>
      </w:pPr>
    </w:p>
    <w:p>
      <w:pPr>
        <w:ind w:left="440" w:hanging="4"/>
        <w:spacing w:after="0" w:line="260" w:lineRule="auto"/>
        <w:tabs>
          <w:tab w:leader="none" w:pos="69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Indebtedness of such Person that is not Non-Recourse Debt could, at the time such Investment is made, be incurred at that time by the Issuer pursuant to the Fixed Charge Coverage Ratio test set forth in Section 4.09(a).</w:t>
      </w:r>
    </w:p>
    <w:p>
      <w:pPr>
        <w:spacing w:after="0" w:line="179" w:lineRule="exact"/>
        <w:rPr>
          <w:sz w:val="20"/>
          <w:szCs w:val="20"/>
          <w:color w:val="auto"/>
        </w:rPr>
      </w:pPr>
    </w:p>
    <w:p>
      <w:pPr>
        <w:ind w:right="160" w:firstLine="440"/>
        <w:spacing w:after="0" w:line="29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Permitted Refinancing Indebtedness</w:t>
      </w:r>
      <w:r>
        <w:rPr>
          <w:rFonts w:ascii="Times New Roman" w:cs="Times New Roman" w:eastAsia="Times New Roman" w:hAnsi="Times New Roman"/>
          <w:sz w:val="17"/>
          <w:szCs w:val="17"/>
          <w:color w:val="auto"/>
        </w:rPr>
        <w:t xml:space="preserve">” means any Indebtedness or Disqualified Stock or Preferred Stock of the Issuer or any of its Restricted Subsidiaries issued in exchange for, or the net proceeds of which are used to renew, refund, refinance, replace, defease or discharge other Indebtedness or Disqualified Stock or Preferred Stock of the Issuer or any of its Restricted Subsidiaries (other than intercompany Indebtedness);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w:t>
      </w:r>
    </w:p>
    <w:p>
      <w:pPr>
        <w:spacing w:after="0" w:line="49" w:lineRule="exact"/>
        <w:rPr>
          <w:sz w:val="20"/>
          <w:szCs w:val="20"/>
          <w:color w:val="auto"/>
        </w:rPr>
      </w:pPr>
    </w:p>
    <w:p>
      <w:pPr>
        <w:jc w:val="both"/>
        <w:ind w:left="440" w:right="60" w:firstLine="419"/>
        <w:spacing w:after="0" w:line="261" w:lineRule="auto"/>
        <w:tabs>
          <w:tab w:leader="none" w:pos="111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(or accreted value, if applicable) of such Permitted Refinancing Indebtedness does not exceed the principal amount of the Indebtedness or Disqualified Stock or Preferred Stock exchanged, renewed, refunded, refinanced, replaced, defeased or discharged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all accrued interest on the Indebtedness and all accrued dividends on the Disqualified Stock or Preferred Stock and the amount of all fees and expenses, including premiums, incurred in connection therewith);</w:t>
      </w:r>
    </w:p>
    <w:p>
      <w:pPr>
        <w:spacing w:after="0" w:line="71" w:lineRule="exact"/>
        <w:rPr>
          <w:rFonts w:ascii="Times New Roman" w:cs="Times New Roman" w:eastAsia="Times New Roman" w:hAnsi="Times New Roman"/>
          <w:sz w:val="18"/>
          <w:szCs w:val="18"/>
          <w:color w:val="auto"/>
        </w:rPr>
      </w:pPr>
    </w:p>
    <w:p>
      <w:pPr>
        <w:jc w:val="both"/>
        <w:ind w:left="440" w:right="220" w:firstLine="419"/>
        <w:spacing w:after="0" w:line="261" w:lineRule="auto"/>
        <w:tabs>
          <w:tab w:leader="none" w:pos="111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Permitted Refinancing Indebtedness has a final maturity date that is either (a) no earlier than the final maturity date of, and has a Weighted Average Life to Maturity equal to or greater than the Weighted Average Life to Maturity of, the Indebtedness or Disqualified Stock or Preferred Stock being exchanged, renewed, refunded, refinanced, replaced, defeased or discharged or (b) more than 90 days after the final maturity date of the Notes;</w:t>
      </w:r>
    </w:p>
    <w:p>
      <w:pPr>
        <w:spacing w:after="0" w:line="71" w:lineRule="exact"/>
        <w:rPr>
          <w:rFonts w:ascii="Times New Roman" w:cs="Times New Roman" w:eastAsia="Times New Roman" w:hAnsi="Times New Roman"/>
          <w:sz w:val="18"/>
          <w:szCs w:val="18"/>
          <w:color w:val="auto"/>
        </w:rPr>
      </w:pPr>
    </w:p>
    <w:p>
      <w:pPr>
        <w:ind w:left="440" w:right="260" w:firstLine="419"/>
        <w:spacing w:after="0" w:line="258" w:lineRule="auto"/>
        <w:tabs>
          <w:tab w:leader="none" w:pos="111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Indebtedness being exchanged, renewed, refunded, refinanced, replaced, defeased or discharged is subordinated in right of payment to the Notes or the Guarantees, such Permitted Refinancing Indebtedness is subordinated in right of payment to the Notes or the Guarantees, as applicable, on terms at least as favorable to the Holders of Notes as those contained in the documentation governing (or shall be Capital Stock of the obligor on) the Indebtedness being exchanged, renewed, refunded, refinanced, replaced, defeased or discharged, as determined in good faith by the Issuer;</w:t>
      </w:r>
    </w:p>
    <w:p>
      <w:pPr>
        <w:spacing w:after="0" w:line="75" w:lineRule="exact"/>
        <w:rPr>
          <w:rFonts w:ascii="Times New Roman" w:cs="Times New Roman" w:eastAsia="Times New Roman" w:hAnsi="Times New Roman"/>
          <w:sz w:val="18"/>
          <w:szCs w:val="18"/>
          <w:color w:val="auto"/>
        </w:rPr>
      </w:pPr>
    </w:p>
    <w:p>
      <w:pPr>
        <w:ind w:left="440" w:right="400" w:firstLine="419"/>
        <w:spacing w:after="0" w:line="282" w:lineRule="auto"/>
        <w:tabs>
          <w:tab w:leader="none" w:pos="111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Indebtedness is not incurred by a Restricted Subsidiary of the Issuer (other than a Guarantor) if the Issuer or a Guarantor is the issuer or other obligor on the Indebtedness being exchanged, renewed, refunded, refinanced, replaced, defeased or discharged;</w:t>
      </w:r>
    </w:p>
    <w:p>
      <w:pPr>
        <w:spacing w:after="0" w:line="53" w:lineRule="exact"/>
        <w:rPr>
          <w:rFonts w:ascii="Times New Roman" w:cs="Times New Roman" w:eastAsia="Times New Roman" w:hAnsi="Times New Roman"/>
          <w:sz w:val="18"/>
          <w:szCs w:val="18"/>
          <w:color w:val="auto"/>
        </w:rPr>
      </w:pPr>
    </w:p>
    <w:p>
      <w:pPr>
        <w:ind w:left="440" w:right="160" w:firstLine="419"/>
        <w:spacing w:after="0" w:line="282" w:lineRule="auto"/>
        <w:tabs>
          <w:tab w:leader="none" w:pos="111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Preferred Stock being exchanged, renewed, refunded, refinanced, replaced, defeased or discharged was Disqualified Stock of the Issuer, the Permitted Refinancing Indebtedness shall be Disqualified Stock of the Issuer; and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68" w:right="459" w:bottom="1440" w:gutter="0" w:footer="0" w:header="0"/>
        </w:sectPr>
      </w:pPr>
    </w:p>
    <w:bookmarkStart w:id="39" w:name="page40"/>
    <w:bookmarkEnd w:id="39"/>
    <w:p>
      <w:pPr>
        <w:ind w:left="440" w:right="500" w:firstLine="419"/>
        <w:spacing w:after="0" w:line="282" w:lineRule="auto"/>
        <w:tabs>
          <w:tab w:leader="none" w:pos="111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any Preferred Stock being exchanged, renewed, refunded, refinanced, replaced, defeased or discharged was Preferred Stock of a Restricted Subsidiary, the Permitted Refinancing Indebtedness shall be Preferred Stock of such Restricted Subsidiary.</w:t>
      </w:r>
    </w:p>
    <w:p>
      <w:pPr>
        <w:spacing w:after="0" w:line="160" w:lineRule="exact"/>
        <w:rPr>
          <w:sz w:val="20"/>
          <w:szCs w:val="20"/>
          <w:color w:val="auto"/>
        </w:rPr>
      </w:pPr>
    </w:p>
    <w:p>
      <w:pPr>
        <w:ind w:right="46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means any individual, corporation, partnership, joint venture, association, joint-stock company, trust, unincorporated organization, limited liability company or government or other entity.</w:t>
      </w:r>
    </w:p>
    <w:p>
      <w:pPr>
        <w:spacing w:after="0" w:line="158" w:lineRule="exact"/>
        <w:rPr>
          <w:sz w:val="20"/>
          <w:szCs w:val="20"/>
          <w:color w:val="auto"/>
        </w:rPr>
      </w:pPr>
    </w:p>
    <w:p>
      <w:pPr>
        <w:ind w:right="70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Preferred Stock</w:t>
      </w:r>
      <w:r>
        <w:rPr>
          <w:rFonts w:ascii="Times New Roman" w:cs="Times New Roman" w:eastAsia="Times New Roman" w:hAnsi="Times New Roman"/>
          <w:sz w:val="18"/>
          <w:szCs w:val="18"/>
          <w:color w:val="auto"/>
        </w:rPr>
        <w:t>” means, with respect to any Person, any and all preferred or preference stock or other similar Equity Interests (however designated) of such Person whether outstanding or issued after the Issue Date.</w:t>
      </w:r>
    </w:p>
    <w:p>
      <w:pPr>
        <w:spacing w:after="0" w:line="158" w:lineRule="exact"/>
        <w:rPr>
          <w:sz w:val="20"/>
          <w:szCs w:val="20"/>
          <w:color w:val="auto"/>
        </w:rPr>
      </w:pPr>
    </w:p>
    <w:p>
      <w:pPr>
        <w:ind w:right="18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Private Placement Legend</w:t>
      </w:r>
      <w:r>
        <w:rPr>
          <w:rFonts w:ascii="Times New Roman" w:cs="Times New Roman" w:eastAsia="Times New Roman" w:hAnsi="Times New Roman"/>
          <w:sz w:val="18"/>
          <w:szCs w:val="18"/>
          <w:color w:val="auto"/>
        </w:rPr>
        <w:t>” means the legend set forth in Section 2.06(g)(1) to be placed on all Notes issued under this Indenture except where otherwise permitted by the provisions of this Indenture.</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Production Payments</w:t>
      </w:r>
      <w:r>
        <w:rPr>
          <w:rFonts w:ascii="Times New Roman" w:cs="Times New Roman" w:eastAsia="Times New Roman" w:hAnsi="Times New Roman"/>
          <w:sz w:val="18"/>
          <w:szCs w:val="18"/>
          <w:color w:val="auto"/>
        </w:rPr>
        <w:t>” means Dollar-Denominated Production Payments and Volumetric Production Payments, collectively.</w:t>
      </w:r>
    </w:p>
    <w:p>
      <w:pPr>
        <w:spacing w:after="0" w:line="22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Production Payments and Reserve Sales</w:t>
      </w:r>
      <w:r>
        <w:rPr>
          <w:rFonts w:ascii="Times New Roman" w:cs="Times New Roman" w:eastAsia="Times New Roman" w:hAnsi="Times New Roman"/>
          <w:sz w:val="18"/>
          <w:szCs w:val="18"/>
          <w:color w:val="auto"/>
        </w:rPr>
        <w:t>” means the grant or transfer by the Issuer or any of its Restricted Subsidiaries to any Person of a royalty, overriding royalty, net profits interest, Production Payment, partnership or other interest in oil and gas properties, reserves or the right to receive all or a portion of the production or the proceeds from the sale of production attributable to such properties where the holder of such interest has recourse solely to such production or proceeds of production, subject to the obligation of the grantor or transferor to operate and maintain, or cause the subject interests to be operated and maintained, in a reasonably prudent manner or other customary standard or subject to the obligation of the grantor or transferor to indemnify for environmental, title or other matters customary in the Oil and Gas Business, including any such grants or transfers pursuant to incentive compensation programs on terms that are reasonably customary in the Oil and Gas Business for geologists, geophysicists or other providers of technical services to the Issuer or any of its Restricted Subsidiaries.</w:t>
      </w:r>
    </w:p>
    <w:p>
      <w:pPr>
        <w:spacing w:after="0" w:line="185" w:lineRule="exact"/>
        <w:rPr>
          <w:sz w:val="20"/>
          <w:szCs w:val="20"/>
          <w:color w:val="auto"/>
        </w:rPr>
      </w:pPr>
    </w:p>
    <w:p>
      <w:pPr>
        <w:ind w:right="4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 forma basis</w:t>
      </w:r>
      <w:r>
        <w:rPr>
          <w:rFonts w:ascii="Times New Roman" w:cs="Times New Roman" w:eastAsia="Times New Roman" w:hAnsi="Times New Roman"/>
          <w:sz w:val="18"/>
          <w:szCs w:val="18"/>
          <w:color w:val="auto"/>
        </w:rPr>
        <w:t xml:space="preserve">” means calculated giving effect to the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adjustments set out in the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adjustment provisions set forth in the definition of “Fixed Charge Coverage Ratio.”</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QIB</w:t>
      </w:r>
      <w:r>
        <w:rPr>
          <w:rFonts w:ascii="Times New Roman" w:cs="Times New Roman" w:eastAsia="Times New Roman" w:hAnsi="Times New Roman"/>
          <w:sz w:val="18"/>
          <w:szCs w:val="18"/>
          <w:color w:val="auto"/>
        </w:rPr>
        <w:t>” means a “qualified institutional buyer” as defined in Rule 144A.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Rating Agency</w:t>
      </w:r>
      <w:r>
        <w:rPr>
          <w:rFonts w:ascii="Times New Roman" w:cs="Times New Roman" w:eastAsia="Times New Roman" w:hAnsi="Times New Roman"/>
          <w:sz w:val="18"/>
          <w:szCs w:val="18"/>
          <w:color w:val="auto"/>
        </w:rPr>
        <w:t>” means:</w:t>
      </w:r>
    </w:p>
    <w:p>
      <w:pPr>
        <w:spacing w:after="0" w:line="119" w:lineRule="exact"/>
        <w:rPr>
          <w:sz w:val="20"/>
          <w:szCs w:val="20"/>
          <w:color w:val="auto"/>
        </w:rPr>
      </w:pPr>
    </w:p>
    <w:p>
      <w:pPr>
        <w:ind w:left="1120" w:hanging="261"/>
        <w:spacing w:after="0"/>
        <w:tabs>
          <w:tab w:leader="none" w:pos="11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Fitch, Moody’s and S&amp;P; and</w:t>
      </w:r>
    </w:p>
    <w:p>
      <w:pPr>
        <w:spacing w:after="0" w:line="117" w:lineRule="exact"/>
        <w:rPr>
          <w:rFonts w:ascii="Times New Roman" w:cs="Times New Roman" w:eastAsia="Times New Roman" w:hAnsi="Times New Roman"/>
          <w:sz w:val="18"/>
          <w:szCs w:val="18"/>
          <w:color w:val="auto"/>
        </w:rPr>
      </w:pPr>
    </w:p>
    <w:p>
      <w:pPr>
        <w:jc w:val="both"/>
        <w:ind w:left="440" w:right="180" w:firstLine="419"/>
        <w:spacing w:after="0" w:line="266" w:lineRule="auto"/>
        <w:tabs>
          <w:tab w:leader="none" w:pos="111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Fitch, Moody’s or S&amp;P ceases to rate the Notes or fails to make a rating of the Notes publicly available for reasons outside of our control, a “nationally recognized statistical rating organization” within the meaning of Section 3(a)(62) of the Exchange Act selected by the Issuer as a replacement rating agency for Fitch, Moody’s or S&amp;P, as the case may be.</w:t>
      </w:r>
    </w:p>
    <w:p>
      <w:pPr>
        <w:spacing w:after="0" w:line="174" w:lineRule="exact"/>
        <w:rPr>
          <w:sz w:val="20"/>
          <w:szCs w:val="20"/>
          <w:color w:val="auto"/>
        </w:rPr>
      </w:pPr>
    </w:p>
    <w:p>
      <w:pPr>
        <w:ind w:right="28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Rating Date</w:t>
      </w:r>
      <w:r>
        <w:rPr>
          <w:rFonts w:ascii="Times New Roman" w:cs="Times New Roman" w:eastAsia="Times New Roman" w:hAnsi="Times New Roman"/>
          <w:sz w:val="18"/>
          <w:szCs w:val="18"/>
          <w:color w:val="auto"/>
        </w:rPr>
        <w:t>” means the earlier of the date of public notice of (i) the occurrence of a Change of Control or (ii) the Issuer’s intention to effect a Change of Control.</w:t>
      </w:r>
    </w:p>
    <w:p>
      <w:pPr>
        <w:spacing w:after="0" w:line="158"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Rating Decline</w:t>
      </w:r>
      <w:r>
        <w:rPr>
          <w:rFonts w:ascii="Times New Roman" w:cs="Times New Roman" w:eastAsia="Times New Roman" w:hAnsi="Times New Roman"/>
          <w:sz w:val="18"/>
          <w:szCs w:val="18"/>
          <w:color w:val="auto"/>
        </w:rPr>
        <w:t xml:space="preserve">” shall be deemed to have occurred if, no later than 30 days after the Rating Date (which period shall be extended so long as the rating of the Notes is under publicly announced consideration for possible downgrade by any of the Rating Agencies and one other Rating Agency has either downgraded, or publicly announced that it is considering downgrading, the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any case, for the avoidance of doubt, a publicly announced change or possible change in outlook (including negative outlook</w:t>
      </w:r>
    </w:p>
    <w:p>
      <w:pPr>
        <w:spacing w:after="0" w:line="1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80"/>
          </w:cols>
          <w:pgMar w:left="440" w:top="270" w:right="479" w:bottom="1440" w:gutter="0" w:footer="0" w:header="0"/>
        </w:sectPr>
      </w:pPr>
    </w:p>
    <w:bookmarkStart w:id="40" w:name="page41"/>
    <w:bookmarkEnd w:id="40"/>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or negative watch or similar status) shall not extend such period), at least two of the Rating Agencies decrease their rating of the Notes as a result of a Change of Control to a rating that is below their respective ratings of the Notes on the day immediately prior to the earlier of (i) the date of the first public announcement of the possibility of a proposed transaction that would result in a Change of Control or (ii) the date that the possibility of such transaction is disclosed to either of the Rating Agencies;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a Rating Decline shall be deemed to have occurred only if the applicable Rating Agencies announce or publicly confirm that such rating decrease resulted from a Change of Control (and not primarily from any other event or circumstance). Notwithstanding the foregoing, if the Notes have an Investment Grade Rating by at least two of the Rating Agencies immediately prior to the Rating Date, then “Rating Decline” means a decrease in the ratings of the Notes by one or more gradations (including gradations within categories as well as between rating categories) by at least two of the Rating Agencies such that the rating of the Notes by each such Rating Agency falls below an Investment Grade Rating no later than 30 days after the Rating Date (which 30-day period will be extended so long as the rating of the Notes is under publicly announced consideration for possible downgrade by any of the Rating Agencies and one other Rating Agency has either downgraded, or publicly announced that it is considering downgrading, the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any case, for the avoidance of doubt, a publicly announced change or possible change in outlook (including negative outlook or negative watch or similar status) shall not extend such period).</w:t>
      </w:r>
    </w:p>
    <w:p>
      <w:pPr>
        <w:spacing w:after="0" w:line="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Regulation S</w:t>
      </w:r>
      <w:r>
        <w:rPr>
          <w:rFonts w:ascii="Times New Roman" w:cs="Times New Roman" w:eastAsia="Times New Roman" w:hAnsi="Times New Roman"/>
          <w:sz w:val="18"/>
          <w:szCs w:val="18"/>
          <w:color w:val="auto"/>
        </w:rPr>
        <w:t>” means Regulation S promulgated under the Securities Act.</w:t>
      </w:r>
    </w:p>
    <w:p>
      <w:pPr>
        <w:spacing w:after="0" w:line="225" w:lineRule="exact"/>
        <w:rPr>
          <w:sz w:val="20"/>
          <w:szCs w:val="20"/>
          <w:color w:val="auto"/>
        </w:rPr>
      </w:pPr>
    </w:p>
    <w:p>
      <w:pPr>
        <w:ind w:right="8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Regulation S Global Note</w:t>
      </w:r>
      <w:r>
        <w:rPr>
          <w:rFonts w:ascii="Times New Roman" w:cs="Times New Roman" w:eastAsia="Times New Roman" w:hAnsi="Times New Roman"/>
          <w:sz w:val="18"/>
          <w:szCs w:val="18"/>
          <w:color w:val="auto"/>
        </w:rPr>
        <w:t xml:space="preserve">” means a Global Note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bearing the Global Note Legend and the Private Placement Legend and deposited with or on behalf of and registered in the name of the Depositary or its nominee, issued in a denomination equal to the outstanding principal amount of the Notes initially sold in reliance on Rule 903 of Regulation S.</w:t>
      </w:r>
    </w:p>
    <w:p>
      <w:pPr>
        <w:spacing w:after="0" w:line="173" w:lineRule="exact"/>
        <w:rPr>
          <w:sz w:val="20"/>
          <w:szCs w:val="20"/>
          <w:color w:val="auto"/>
        </w:rPr>
      </w:pPr>
    </w:p>
    <w:p>
      <w:pPr>
        <w:ind w:right="1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Resale Restriction Termination Date</w:t>
      </w:r>
      <w:r>
        <w:rPr>
          <w:rFonts w:ascii="Times New Roman" w:cs="Times New Roman" w:eastAsia="Times New Roman" w:hAnsi="Times New Roman"/>
          <w:sz w:val="18"/>
          <w:szCs w:val="18"/>
          <w:color w:val="auto"/>
        </w:rPr>
        <w:t>” means, with respect to any Note, the date one year after the later of the date of original issue of such Note or the last day on which the Issuer or any Affiliate of the Issuer was the owner of such Note (or any predecessor of such Note).</w:t>
      </w:r>
    </w:p>
    <w:p>
      <w:pPr>
        <w:spacing w:after="0" w:line="158"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Responsible Officer</w:t>
      </w:r>
      <w:r>
        <w:rPr>
          <w:rFonts w:ascii="Times New Roman" w:cs="Times New Roman" w:eastAsia="Times New Roman" w:hAnsi="Times New Roman"/>
          <w:sz w:val="18"/>
          <w:szCs w:val="18"/>
          <w:color w:val="auto"/>
        </w:rPr>
        <w:t>,” when used with respect to the Trustee, means any officer within the Corporate Trust Office of the Trustee (or any successor group of the Trustee) or any other officer of the Trustee customarily performing functions similar to those performed by any of the above designated officers and also means, with respect to a particular corporate trust matter, any other officer to whom such matter is referred because of his knowledge of and familiarity with the particular subject and, in each case, who shall have direct responsibility for the administration of this Indenture.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Definitive Note</w:t>
      </w:r>
      <w:r>
        <w:rPr>
          <w:rFonts w:ascii="Times New Roman" w:cs="Times New Roman" w:eastAsia="Times New Roman" w:hAnsi="Times New Roman"/>
          <w:sz w:val="18"/>
          <w:szCs w:val="18"/>
          <w:color w:val="auto"/>
        </w:rPr>
        <w:t>” means a Definitive Note bearing the Private Placement Legend.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Global Note</w:t>
      </w:r>
      <w:r>
        <w:rPr>
          <w:rFonts w:ascii="Times New Roman" w:cs="Times New Roman" w:eastAsia="Times New Roman" w:hAnsi="Times New Roman"/>
          <w:sz w:val="18"/>
          <w:szCs w:val="18"/>
          <w:color w:val="auto"/>
        </w:rPr>
        <w:t>” means a Global Note bearing the Private Placement Legend.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Investment</w:t>
      </w:r>
      <w:r>
        <w:rPr>
          <w:rFonts w:ascii="Times New Roman" w:cs="Times New Roman" w:eastAsia="Times New Roman" w:hAnsi="Times New Roman"/>
          <w:sz w:val="18"/>
          <w:szCs w:val="18"/>
          <w:color w:val="auto"/>
        </w:rPr>
        <w:t>” means an Investment other than a Permitted Investment.</w:t>
      </w:r>
    </w:p>
    <w:p>
      <w:pPr>
        <w:spacing w:after="0" w:line="225" w:lineRule="exact"/>
        <w:rPr>
          <w:sz w:val="20"/>
          <w:szCs w:val="20"/>
          <w:color w:val="auto"/>
        </w:rPr>
      </w:pPr>
    </w:p>
    <w:p>
      <w:pPr>
        <w:ind w:right="28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Subsidiary</w:t>
      </w:r>
      <w:r>
        <w:rPr>
          <w:rFonts w:ascii="Times New Roman" w:cs="Times New Roman" w:eastAsia="Times New Roman" w:hAnsi="Times New Roman"/>
          <w:sz w:val="18"/>
          <w:szCs w:val="18"/>
          <w:color w:val="auto"/>
        </w:rPr>
        <w:t>” of a Person means any Subsidiary of the referent Person that is not an Unrestricted Subsidiary. Except where expressly stated otherwise, all references to Restricted Subsidiaries refer to Restricted Subsidiaries of the Issuer.</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Rule 144</w:t>
      </w:r>
      <w:r>
        <w:rPr>
          <w:rFonts w:ascii="Times New Roman" w:cs="Times New Roman" w:eastAsia="Times New Roman" w:hAnsi="Times New Roman"/>
          <w:sz w:val="18"/>
          <w:szCs w:val="18"/>
          <w:color w:val="auto"/>
        </w:rPr>
        <w:t>” means Rule 144 promulgated under the Securities Act.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Rule 144A</w:t>
      </w:r>
      <w:r>
        <w:rPr>
          <w:rFonts w:ascii="Times New Roman" w:cs="Times New Roman" w:eastAsia="Times New Roman" w:hAnsi="Times New Roman"/>
          <w:sz w:val="18"/>
          <w:szCs w:val="18"/>
          <w:color w:val="auto"/>
        </w:rPr>
        <w:t>” means Rule 144A promulgated under the Securities Act.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Rule 903</w:t>
      </w:r>
      <w:r>
        <w:rPr>
          <w:rFonts w:ascii="Times New Roman" w:cs="Times New Roman" w:eastAsia="Times New Roman" w:hAnsi="Times New Roman"/>
          <w:sz w:val="18"/>
          <w:szCs w:val="18"/>
          <w:color w:val="auto"/>
        </w:rPr>
        <w:t>” means Rule 903 promulgated under the Securities Act.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70" w:right="459" w:bottom="1440" w:gutter="0" w:footer="0" w:header="0"/>
        </w:sectPr>
      </w:pPr>
    </w:p>
    <w:bookmarkStart w:id="41" w:name="page42"/>
    <w:bookmarkEnd w:id="4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Rule 904</w:t>
      </w:r>
      <w:r>
        <w:rPr>
          <w:rFonts w:ascii="Times New Roman" w:cs="Times New Roman" w:eastAsia="Times New Roman" w:hAnsi="Times New Roman"/>
          <w:sz w:val="18"/>
          <w:szCs w:val="18"/>
          <w:color w:val="auto"/>
        </w:rPr>
        <w:t>” means Rule 904 promulgated under the Securities Act.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S&amp;P</w:t>
      </w:r>
      <w:r>
        <w:rPr>
          <w:rFonts w:ascii="Times New Roman" w:cs="Times New Roman" w:eastAsia="Times New Roman" w:hAnsi="Times New Roman"/>
          <w:sz w:val="18"/>
          <w:szCs w:val="18"/>
          <w:color w:val="auto"/>
        </w:rPr>
        <w:t>” means S&amp;P Global Ratings.</w:t>
      </w:r>
    </w:p>
    <w:p>
      <w:pPr>
        <w:spacing w:after="0" w:line="225" w:lineRule="exact"/>
        <w:rPr>
          <w:sz w:val="20"/>
          <w:szCs w:val="20"/>
          <w:color w:val="auto"/>
        </w:rPr>
      </w:pPr>
    </w:p>
    <w:p>
      <w:pPr>
        <w:ind w:right="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Sale and Leaseback Transaction</w:t>
      </w:r>
      <w:r>
        <w:rPr>
          <w:rFonts w:ascii="Times New Roman" w:cs="Times New Roman" w:eastAsia="Times New Roman" w:hAnsi="Times New Roman"/>
          <w:sz w:val="18"/>
          <w:szCs w:val="18"/>
          <w:color w:val="auto"/>
        </w:rPr>
        <w:t>” means an arrangement relating to property now owned or hereafter acquired whereby the Issuer or a Restricted Subsidiary of the Issuer transfers such property to a Person and the Issuer or a Restricted Subsidiary of the Issuer leases it from such Person.</w:t>
      </w:r>
    </w:p>
    <w:p>
      <w:pPr>
        <w:spacing w:after="0" w:line="158"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Screened Affiliate</w:t>
      </w:r>
      <w:r>
        <w:rPr>
          <w:rFonts w:ascii="Times New Roman" w:cs="Times New Roman" w:eastAsia="Times New Roman" w:hAnsi="Times New Roman"/>
          <w:sz w:val="18"/>
          <w:szCs w:val="18"/>
          <w:color w:val="auto"/>
        </w:rPr>
        <w:t>” means any Affiliate of a Holder (i) that makes investment decisions independently from such Holder and any other Affiliate of such Holder that is not a Screened Affiliate, (ii) that has in place customary information screens between it and such Holder and any other Affiliate of such Holder that is not a Screened Affiliate and such screens prohibit the sharing of information with respect to the Issuer or its Subsidiaries, (iii) whose investment policies are not directed by such Holder or any other Affiliate of such Holder that is acting in concert with such Holder in connection with its investment in the Notes, and (iv) whose investment decisions are not influenced by the investment decisions of such Holder or any other Affiliate of such Holder that is acting in concert with such Holders in connection with its investment in the Notes.</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means the Securities and Exchange Commission.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Senior Debt</w:t>
      </w:r>
      <w:r>
        <w:rPr>
          <w:rFonts w:ascii="Times New Roman" w:cs="Times New Roman" w:eastAsia="Times New Roman" w:hAnsi="Times New Roman"/>
          <w:sz w:val="18"/>
          <w:szCs w:val="18"/>
          <w:color w:val="auto"/>
        </w:rPr>
        <w:t>” means:</w:t>
      </w:r>
    </w:p>
    <w:p>
      <w:pPr>
        <w:spacing w:after="0" w:line="119" w:lineRule="exact"/>
        <w:rPr>
          <w:sz w:val="20"/>
          <w:szCs w:val="20"/>
          <w:color w:val="auto"/>
        </w:rPr>
      </w:pPr>
    </w:p>
    <w:p>
      <w:pPr>
        <w:ind w:left="440" w:right="120" w:firstLine="419"/>
        <w:spacing w:after="0" w:line="282" w:lineRule="auto"/>
        <w:tabs>
          <w:tab w:leader="none" w:pos="111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Indebtedness of the Issuer or any of its Restricted Subsidiaries outstanding under Credit Facilities and all obligations under Hedging Obligations with respect thereto;</w:t>
      </w:r>
    </w:p>
    <w:p>
      <w:pPr>
        <w:spacing w:after="0" w:line="53" w:lineRule="exact"/>
        <w:rPr>
          <w:rFonts w:ascii="Times New Roman" w:cs="Times New Roman" w:eastAsia="Times New Roman" w:hAnsi="Times New Roman"/>
          <w:sz w:val="18"/>
          <w:szCs w:val="18"/>
          <w:color w:val="auto"/>
        </w:rPr>
      </w:pPr>
    </w:p>
    <w:p>
      <w:pPr>
        <w:ind w:left="440" w:right="80" w:firstLine="419"/>
        <w:spacing w:after="0" w:line="266" w:lineRule="auto"/>
        <w:tabs>
          <w:tab w:leader="none" w:pos="111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Indebtedness of the Issuer or any of its Restricted Subsidiaries permitted to be incurred under the terms of this Indenture, unless the instrument under which such Indebtedness is incurred expressly provides that it is subordinated in right of payment to the Notes or any Guarantee; and</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with respect to the items listed in the preceding clauses (1) and (2).</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Notwithstanding anything to the contrary in the preceding sentence, Senior Debt will not include:</w:t>
      </w:r>
    </w:p>
    <w:p>
      <w:pPr>
        <w:spacing w:after="0" w:line="117" w:lineRule="exact"/>
        <w:rPr>
          <w:sz w:val="20"/>
          <w:szCs w:val="20"/>
          <w:color w:val="auto"/>
        </w:rPr>
      </w:pPr>
    </w:p>
    <w:p>
      <w:pPr>
        <w:ind w:left="1120" w:hanging="261"/>
        <w:spacing w:after="0"/>
        <w:tabs>
          <w:tab w:leader="none" w:pos="11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intercompany Indebtedness of the Issuer or any of its Restricted Subsidiaries to the Issuer or any Affiliate;</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Indebtedness that is incurred in violation of this Indenture; or</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Capital Stock.</w:t>
      </w:r>
    </w:p>
    <w:p>
      <w:pPr>
        <w:spacing w:after="0" w:line="223" w:lineRule="exact"/>
        <w:rPr>
          <w:sz w:val="20"/>
          <w:szCs w:val="20"/>
          <w:color w:val="auto"/>
        </w:rPr>
      </w:pPr>
    </w:p>
    <w:p>
      <w:pPr>
        <w:ind w:right="38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Short Derivative Instrument</w:t>
      </w:r>
      <w:r>
        <w:rPr>
          <w:rFonts w:ascii="Times New Roman" w:cs="Times New Roman" w:eastAsia="Times New Roman" w:hAnsi="Times New Roman"/>
          <w:sz w:val="18"/>
          <w:szCs w:val="18"/>
          <w:color w:val="auto"/>
        </w:rPr>
        <w:t>” means a Derivative Instrument (i) the value of which generally decreases, and/or the payment or delivery obligations under which generally increase, with positive changes to the Performance References and/or (ii) the value of which generally increases, and/or the payment or delivery obligations under which generally decrease, with negative changes to the Performance References.</w:t>
      </w:r>
    </w:p>
    <w:p>
      <w:pPr>
        <w:spacing w:after="0" w:line="173" w:lineRule="exact"/>
        <w:rPr>
          <w:sz w:val="20"/>
          <w:szCs w:val="20"/>
          <w:color w:val="auto"/>
        </w:rPr>
      </w:pPr>
    </w:p>
    <w:p>
      <w:pPr>
        <w:ind w:right="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Significant Subsidiary</w:t>
      </w:r>
      <w:r>
        <w:rPr>
          <w:rFonts w:ascii="Times New Roman" w:cs="Times New Roman" w:eastAsia="Times New Roman" w:hAnsi="Times New Roman"/>
          <w:sz w:val="18"/>
          <w:szCs w:val="18"/>
          <w:color w:val="auto"/>
        </w:rPr>
        <w:t>” means any Restricted Subsidiary that would be a “significant subsidiary” as defined in Article 1, Rule 1-02 of Regulation S-X, promulgated pursuant to the Securities Act, as such Regulation is in effect on the Issue Date.</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80"/>
          </w:cols>
          <w:pgMar w:left="440" w:top="268" w:right="479" w:bottom="1440" w:gutter="0" w:footer="0" w:header="0"/>
        </w:sectPr>
      </w:pPr>
    </w:p>
    <w:bookmarkStart w:id="42" w:name="page43"/>
    <w:bookmarkEnd w:id="42"/>
    <w:p>
      <w:pPr>
        <w:ind w:right="100" w:firstLine="440"/>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Stated Maturity</w:t>
      </w:r>
      <w:r>
        <w:rPr>
          <w:rFonts w:ascii="Times New Roman" w:cs="Times New Roman" w:eastAsia="Times New Roman" w:hAnsi="Times New Roman"/>
          <w:sz w:val="18"/>
          <w:szCs w:val="18"/>
          <w:color w:val="auto"/>
        </w:rPr>
        <w:t>” means, with respect to any installment of interest or principal on any series of Indebtedness, the date on which the payment of interest or principal was scheduled to be paid in the original documentation governing such Indebtedness, and will not include any contingent obligations to repay, redeem or repurchase any such interest or principal prior to the date originally scheduled for the payment thereof.</w:t>
      </w:r>
    </w:p>
    <w:p>
      <w:pPr>
        <w:spacing w:after="0" w:line="173"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Strip Prices</w:t>
      </w:r>
      <w:r>
        <w:rPr>
          <w:rFonts w:ascii="Times New Roman" w:cs="Times New Roman" w:eastAsia="Times New Roman" w:hAnsi="Times New Roman"/>
          <w:sz w:val="18"/>
          <w:szCs w:val="18"/>
          <w:color w:val="auto"/>
        </w:rPr>
        <w:t xml:space="preserve">” means, as of any date of determination, the forward month prices for the most comparable Hydrocarbon commodity applicable to such future production month for a five year period (or such shorter period if forward month prices are not quoted for a reasonably comparable Hydrocarbon commodity for the full specified period), with such prices held constant thereafter based on the last quoted forward month price of such period, as such prices are (i) quoted on the NYMEX (or its successor), and (ii) as adjusted in good faith by the Issuer’s management for energy content, quality and basis differentials;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estimated future production for which prices are defined, within the meaning of SEC guidelines, by contractual arrangements (excluding escalations based upon future conditions), then such contract prices shall be applied to future production subject to such arrangements.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means, with respect to any specified Person:</w:t>
      </w:r>
    </w:p>
    <w:p>
      <w:pPr>
        <w:spacing w:after="0" w:line="119" w:lineRule="exact"/>
        <w:rPr>
          <w:sz w:val="20"/>
          <w:szCs w:val="20"/>
          <w:color w:val="auto"/>
        </w:rPr>
      </w:pPr>
    </w:p>
    <w:p>
      <w:pPr>
        <w:ind w:left="440" w:right="120" w:firstLine="419"/>
        <w:spacing w:after="0" w:line="266" w:lineRule="auto"/>
        <w:tabs>
          <w:tab w:leader="none" w:pos="111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association or other business entity (other than a partnership or limited liability company) of which more than 50% of the total voting power of its Voting Stock is at the time owned or controlled, directly or indirectly, by that Person or one or more of the other Subsidiaries of that Person (or a combination thereof); and</w:t>
      </w:r>
    </w:p>
    <w:p>
      <w:pPr>
        <w:spacing w:after="0" w:line="67" w:lineRule="exact"/>
        <w:rPr>
          <w:rFonts w:ascii="Times New Roman" w:cs="Times New Roman" w:eastAsia="Times New Roman" w:hAnsi="Times New Roman"/>
          <w:sz w:val="18"/>
          <w:szCs w:val="18"/>
          <w:color w:val="auto"/>
        </w:rPr>
      </w:pPr>
    </w:p>
    <w:p>
      <w:pPr>
        <w:ind w:left="440" w:firstLine="419"/>
        <w:spacing w:after="0" w:line="258" w:lineRule="auto"/>
        <w:tabs>
          <w:tab w:leader="none" w:pos="111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partnership or limited liability company of which (a) more than 50% of the capital accounts, distribution rights, total equity and voting interests or general or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or (b) such Person or any Subsidiary of such Person is the sole or controlling general partner or manager or managing member of, or otherwise controls, such entity.</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TIA</w:t>
      </w:r>
      <w:r>
        <w:rPr>
          <w:rFonts w:ascii="Times New Roman" w:cs="Times New Roman" w:eastAsia="Times New Roman" w:hAnsi="Times New Roman"/>
          <w:sz w:val="18"/>
          <w:szCs w:val="18"/>
          <w:color w:val="auto"/>
        </w:rPr>
        <w:t>” means the Trust Indenture Act of 1939, as amended (15 U.S.C. §§ 77aaa-77bbbb), as in effect on the Issue Date.</w:t>
      </w:r>
    </w:p>
    <w:p>
      <w:pPr>
        <w:spacing w:after="0" w:line="225"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Total Leverage Ratio</w:t>
      </w:r>
      <w:r>
        <w:rPr>
          <w:rFonts w:ascii="Times New Roman" w:cs="Times New Roman" w:eastAsia="Times New Roman" w:hAnsi="Times New Roman"/>
          <w:sz w:val="18"/>
          <w:szCs w:val="18"/>
          <w:color w:val="auto"/>
        </w:rPr>
        <w:t xml:space="preserve">” means, at any date of determination, the ratio of (a) Consolidated Leverage Ratio Indebtedness, net of consolidated cash and Cash Equivalents, of the Issuer and the Restricted Subsidiaries on such date to (b) Consolidated Cash Flow of the Issuer and the Restricted Subsidiaries for the period of four consecutive fiscal quarters for which internal financial statements are available prior to such date, in each case, calculated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w:t>
      </w:r>
    </w:p>
    <w:p>
      <w:pPr>
        <w:spacing w:after="0" w:line="180" w:lineRule="exact"/>
        <w:rPr>
          <w:sz w:val="20"/>
          <w:szCs w:val="20"/>
          <w:color w:val="auto"/>
        </w:rPr>
      </w:pPr>
    </w:p>
    <w:p>
      <w:pPr>
        <w:ind w:right="30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Trade Payables</w:t>
      </w:r>
      <w:r>
        <w:rPr>
          <w:rFonts w:ascii="Times New Roman" w:cs="Times New Roman" w:eastAsia="Times New Roman" w:hAnsi="Times New Roman"/>
          <w:sz w:val="18"/>
          <w:szCs w:val="18"/>
          <w:color w:val="auto"/>
        </w:rPr>
        <w:t>” means, as to any Person, (a) accounts payable or other obligations of such Person created or assumed by such Person in the ordinary course of business in connection with the obtaining of goods or services and (b) obligations arising under contracts for the exploration, development, drilling, completion and plugging and abandonment of wells or for the construction, repair or maintenance of related infrastructure or facilities.</w:t>
      </w:r>
    </w:p>
    <w:p>
      <w:pPr>
        <w:spacing w:after="0" w:line="180" w:lineRule="exact"/>
        <w:rPr>
          <w:sz w:val="20"/>
          <w:szCs w:val="20"/>
          <w:color w:val="auto"/>
        </w:rPr>
      </w:pPr>
    </w:p>
    <w:p>
      <w:pPr>
        <w:ind w:right="2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Treasury Rate</w:t>
      </w:r>
      <w:r>
        <w:rPr>
          <w:rFonts w:ascii="Times New Roman" w:cs="Times New Roman" w:eastAsia="Times New Roman" w:hAnsi="Times New Roman"/>
          <w:sz w:val="18"/>
          <w:szCs w:val="18"/>
          <w:color w:val="auto"/>
        </w:rPr>
        <w:t>” means, as of any redemption date, the yield to maturity as of such redemption date of the most recently issued United States Treasury securities with a constant maturity (as compiled and published in the most recent Federal Reserve Statistical Release H.15 that has become publicly available at least two Business Days prior to the redemption date (or, if such Statistical Release is no longer published or the relevant information does not appear thereon, any publicly available source of similar market data))</w:t>
      </w:r>
    </w:p>
    <w:p>
      <w:pPr>
        <w:spacing w:after="0" w:line="1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20"/>
          </w:cols>
          <w:pgMar w:left="440" w:top="268" w:right="539" w:bottom="1440" w:gutter="0" w:footer="0" w:header="0"/>
        </w:sectPr>
      </w:pPr>
    </w:p>
    <w:bookmarkStart w:id="43" w:name="page44"/>
    <w:bookmarkEnd w:id="43"/>
    <w:p>
      <w:pPr>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most nearly equal to the period from the redemption date to January 15, 2029;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period from the redemption date to January 15, 2029, is less than one year, the weekly average yield on actively traded United States Treasury securities adjusted to a constant maturity of one year will be used. The Issuer will (a) calculate the Treasury Rate on the second Business Day preceding the applicable redemption date and (b) prior to such redemption date file with the Trustee an Officer’s Certificate setting forth the Applicable Premium and the Treasury Rate and showing the calculation of each in reasonable detail. The Trustee may conclusively rely on such Officer’s Certificate and shall have no obligation to confirm or verify any such calculations.</w:t>
      </w:r>
    </w:p>
    <w:p>
      <w:pPr>
        <w:spacing w:after="0" w:line="182" w:lineRule="exact"/>
        <w:rPr>
          <w:sz w:val="20"/>
          <w:szCs w:val="20"/>
          <w:color w:val="auto"/>
        </w:rPr>
      </w:pPr>
    </w:p>
    <w:p>
      <w:pPr>
        <w:ind w:right="28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 means Wilmington Trust, National Association, in its capacity as such, until a successor replaces it in accordance with the applicable provisions of this Indenture and thereafter means the successor serving hereunder.</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Unrestricted Definitive Note</w:t>
      </w:r>
      <w:r>
        <w:rPr>
          <w:rFonts w:ascii="Times New Roman" w:cs="Times New Roman" w:eastAsia="Times New Roman" w:hAnsi="Times New Roman"/>
          <w:sz w:val="18"/>
          <w:szCs w:val="18"/>
          <w:color w:val="auto"/>
        </w:rPr>
        <w:t>” means a Definitive Note that does not bear and is not required to bear the Private Placement Legend.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Unrestricted Global Note</w:t>
      </w:r>
      <w:r>
        <w:rPr>
          <w:rFonts w:ascii="Times New Roman" w:cs="Times New Roman" w:eastAsia="Times New Roman" w:hAnsi="Times New Roman"/>
          <w:sz w:val="18"/>
          <w:szCs w:val="18"/>
          <w:color w:val="auto"/>
        </w:rPr>
        <w:t>” means a Global Note that does not bear and is not required to bear the Private Placement Legend.</w:t>
      </w:r>
    </w:p>
    <w:p>
      <w:pPr>
        <w:spacing w:after="0" w:line="225" w:lineRule="exact"/>
        <w:rPr>
          <w:sz w:val="20"/>
          <w:szCs w:val="20"/>
          <w:color w:val="auto"/>
        </w:rPr>
      </w:pPr>
    </w:p>
    <w:p>
      <w:pPr>
        <w:jc w:val="both"/>
        <w:ind w:right="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Unrestricted Subsidiary</w:t>
      </w:r>
      <w:r>
        <w:rPr>
          <w:rFonts w:ascii="Times New Roman" w:cs="Times New Roman" w:eastAsia="Times New Roman" w:hAnsi="Times New Roman"/>
          <w:sz w:val="18"/>
          <w:szCs w:val="18"/>
          <w:color w:val="auto"/>
        </w:rPr>
        <w:t>” means (a) as of the Issue Date, without further action, Carbon TerraVault Holdings, LLC and its Subsidiaries, Oso Rojo, LLC and California Resources Pipeline Company, LLC and (b) any Subsidiary of the Issuer (including any newly acquired or newly formed Subsidiary or a Person becoming a Subsidiary through merger or consolidation or Investment therein) that is designated (or deemed designated) by the Issuer as an Unrestricted Subsidiary pursuant to an Officer’s Certificate, but only to the extent, in the case of this clause (b), that such Subsidiary, at the time of such designation:</w:t>
      </w:r>
    </w:p>
    <w:p>
      <w:pPr>
        <w:spacing w:after="0" w:line="77" w:lineRule="exact"/>
        <w:rPr>
          <w:sz w:val="20"/>
          <w:szCs w:val="20"/>
          <w:color w:val="auto"/>
        </w:rPr>
      </w:pPr>
    </w:p>
    <w:p>
      <w:pPr>
        <w:ind w:left="440" w:right="100" w:firstLine="419"/>
        <w:spacing w:after="0" w:line="282" w:lineRule="auto"/>
        <w:tabs>
          <w:tab w:leader="none" w:pos="1118"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 Indebtedness other than Non-Recourse Debt owing to any Person other than the Issuer or any of its Restricted Subsidiaries (other than any guarantee of the Notes or the Guarantees or any Indebtedness that would be released upon such designation);</w:t>
      </w:r>
    </w:p>
    <w:p>
      <w:pPr>
        <w:spacing w:after="0" w:line="53" w:lineRule="exact"/>
        <w:rPr>
          <w:rFonts w:ascii="Times New Roman" w:cs="Times New Roman" w:eastAsia="Times New Roman" w:hAnsi="Times New Roman"/>
          <w:sz w:val="18"/>
          <w:szCs w:val="18"/>
          <w:color w:val="auto"/>
        </w:rPr>
      </w:pPr>
    </w:p>
    <w:p>
      <w:pPr>
        <w:ind w:left="440" w:right="120" w:firstLine="419"/>
        <w:spacing w:after="0" w:line="258" w:lineRule="auto"/>
        <w:tabs>
          <w:tab w:leader="none" w:pos="1118"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permitted by Section 4.11, is not party to any agreement, contract, arrangement or understanding with the Issuer or any Restricted Subsidiary of the Issuer unless the terms of any such agreement, contract, arrangement or understanding, together with the terms of all other agreements, contracts, arrangements and understandings with such Unrestricted Subsidiary, taken as a whole, are no less favorable to the Issuer or such Restricted Subsidiary than those that might be obtained at the time from Persons who are not Affiliates of the Issuer, as determined in good faith by the Issuer;</w:t>
      </w:r>
    </w:p>
    <w:p>
      <w:pPr>
        <w:spacing w:after="0" w:line="75" w:lineRule="exact"/>
        <w:rPr>
          <w:rFonts w:ascii="Times New Roman" w:cs="Times New Roman" w:eastAsia="Times New Roman" w:hAnsi="Times New Roman"/>
          <w:sz w:val="18"/>
          <w:szCs w:val="18"/>
          <w:color w:val="auto"/>
        </w:rPr>
      </w:pPr>
    </w:p>
    <w:p>
      <w:pPr>
        <w:ind w:left="440" w:right="520" w:firstLine="419"/>
        <w:spacing w:after="0" w:line="282" w:lineRule="auto"/>
        <w:tabs>
          <w:tab w:leader="none" w:pos="1118"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Person with respect to which neither the Issuer nor any of its Restricted Subsidiaries has any direct or indirect obligation (a) to subscribe for additional Equity Interests or (b) to maintain or preserve such Person’s financial condition; and</w:t>
      </w:r>
    </w:p>
    <w:p>
      <w:pPr>
        <w:spacing w:after="0" w:line="53" w:lineRule="exact"/>
        <w:rPr>
          <w:rFonts w:ascii="Times New Roman" w:cs="Times New Roman" w:eastAsia="Times New Roman" w:hAnsi="Times New Roman"/>
          <w:sz w:val="18"/>
          <w:szCs w:val="18"/>
          <w:color w:val="auto"/>
        </w:rPr>
      </w:pPr>
    </w:p>
    <w:p>
      <w:pPr>
        <w:ind w:left="440" w:right="100" w:firstLine="419"/>
        <w:spacing w:after="0" w:line="257" w:lineRule="auto"/>
        <w:tabs>
          <w:tab w:leader="none" w:pos="1118"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guaranteed or otherwise become an obligor on any Indebtedness of the Issuer or any of its Restricted Subsidiaries, except to the extent such guarantee or obligation would be released upon such designation and except for (x) any Non-Recourse Debt with respect to which the Issuer or any Restricted Subsidiary has pledged (or provided a guarantee limited in recourse solely to) Equity Interests in such Subsidiary or</w:t>
      </w:r>
    </w:p>
    <w:p>
      <w:pPr>
        <w:spacing w:after="0" w:line="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guarantee of the Notes and the Guarantees,</w:t>
      </w:r>
    </w:p>
    <w:p>
      <w:pPr>
        <w:spacing w:after="0" w:line="207" w:lineRule="exact"/>
        <w:rPr>
          <w:sz w:val="20"/>
          <w:szCs w:val="20"/>
          <w:color w:val="auto"/>
        </w:rPr>
      </w:pPr>
    </w:p>
    <w:p>
      <w:pPr>
        <w:ind w:right="300"/>
        <w:spacing w:after="0" w:line="289" w:lineRule="auto"/>
        <w:rPr>
          <w:sz w:val="20"/>
          <w:szCs w:val="20"/>
          <w:color w:val="auto"/>
        </w:rPr>
      </w:pPr>
      <w:r>
        <w:rPr>
          <w:rFonts w:ascii="Times New Roman" w:cs="Times New Roman" w:eastAsia="Times New Roman" w:hAnsi="Times New Roman"/>
          <w:sz w:val="17"/>
          <w:szCs w:val="17"/>
          <w:color w:val="auto"/>
        </w:rPr>
        <w:t>except, in the case of clauses (1), (2), (3) or (4), for any such Indebtedness that is subject to a guarantee by or other obligation of, or any agreement, contract, arrangement or understanding with, or any equity subscription or credit support obligation of, the Issuer or Restricted Subsidiary that constitutes an Investment in such Subsidiary that has been effected as a Restricted Payment or Permitted Investment that complies with Section 4.07.</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20"/>
          </w:cols>
          <w:pgMar w:left="440" w:top="268" w:right="439" w:bottom="1440" w:gutter="0" w:footer="0" w:header="0"/>
        </w:sectPr>
      </w:pPr>
    </w:p>
    <w:bookmarkStart w:id="44" w:name="page45"/>
    <w:bookmarkEnd w:id="4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Subsidiaries of an Unrestricted Subsidiary shall also be Unrestricted Subsidiaries automatically without further action.</w:t>
      </w:r>
    </w:p>
    <w:p>
      <w:pPr>
        <w:spacing w:after="0" w:line="2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 Person</w:t>
      </w:r>
      <w:r>
        <w:rPr>
          <w:rFonts w:ascii="Times New Roman" w:cs="Times New Roman" w:eastAsia="Times New Roman" w:hAnsi="Times New Roman"/>
          <w:sz w:val="18"/>
          <w:szCs w:val="18"/>
          <w:color w:val="auto"/>
        </w:rPr>
        <w:t>” means a U.S. Person as defined in Rule 902(k) promulgated under the Securities Act.</w:t>
      </w:r>
    </w:p>
    <w:p>
      <w:pPr>
        <w:spacing w:after="0" w:line="225" w:lineRule="exact"/>
        <w:rPr>
          <w:sz w:val="20"/>
          <w:szCs w:val="20"/>
          <w:color w:val="auto"/>
        </w:rPr>
      </w:pPr>
    </w:p>
    <w:p>
      <w:pPr>
        <w:ind w:right="10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Volumetric Production Payments</w:t>
      </w:r>
      <w:r>
        <w:rPr>
          <w:rFonts w:ascii="Times New Roman" w:cs="Times New Roman" w:eastAsia="Times New Roman" w:hAnsi="Times New Roman"/>
          <w:sz w:val="18"/>
          <w:szCs w:val="18"/>
          <w:color w:val="auto"/>
        </w:rPr>
        <w:t>” means production payment obligations recorded as deferred revenue in accordance with GAAP, together with all undertakings and obligations in connection therewith.</w:t>
      </w:r>
    </w:p>
    <w:p>
      <w:pPr>
        <w:spacing w:after="0" w:line="158"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Voting Stock</w:t>
      </w:r>
      <w:r>
        <w:rPr>
          <w:rFonts w:ascii="Times New Roman" w:cs="Times New Roman" w:eastAsia="Times New Roman" w:hAnsi="Times New Roman"/>
          <w:sz w:val="18"/>
          <w:szCs w:val="18"/>
          <w:color w:val="auto"/>
        </w:rPr>
        <w:t xml:space="preserve">” of any specified Person as of any date means the Capital Stock of such Person entitling the holders thereof (whether at all times or only so long as no senior class of Capital Stock has voting power by reason of any contingency) to vote in the election of members of the Board of Directors of such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a limited partnership or other entity which does not have a Board of Directors, Voting Stock means the Capital Stock of the general partner of such limited partnership or other business entity with the ultimate authority to manage the business and operations of such Person.</w:t>
      </w:r>
    </w:p>
    <w:p>
      <w:pPr>
        <w:spacing w:after="0" w:line="183" w:lineRule="exact"/>
        <w:rPr>
          <w:sz w:val="20"/>
          <w:szCs w:val="20"/>
          <w:color w:val="auto"/>
        </w:rPr>
      </w:pPr>
    </w:p>
    <w:p>
      <w:pPr>
        <w:ind w:right="10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Weighted Average Life to Maturity</w:t>
      </w:r>
      <w:r>
        <w:rPr>
          <w:rFonts w:ascii="Times New Roman" w:cs="Times New Roman" w:eastAsia="Times New Roman" w:hAnsi="Times New Roman"/>
          <w:sz w:val="18"/>
          <w:szCs w:val="18"/>
          <w:color w:val="auto"/>
        </w:rPr>
        <w:t xml:space="preserve">” means, when applied to any Indebtedness (or Disqualified Stock or Preferred Stock) at any date, the number of years obtained by </w:t>
      </w:r>
      <w:r>
        <w:rPr>
          <w:rFonts w:ascii="Times New Roman" w:cs="Times New Roman" w:eastAsia="Times New Roman" w:hAnsi="Times New Roman"/>
          <w:sz w:val="18"/>
          <w:szCs w:val="18"/>
          <w:i w:val="1"/>
          <w:iCs w:val="1"/>
          <w:color w:val="auto"/>
        </w:rPr>
        <w:t>dividing</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jc w:val="both"/>
        <w:ind w:left="440" w:right="60" w:firstLine="419"/>
        <w:spacing w:after="0" w:line="261" w:lineRule="auto"/>
        <w:tabs>
          <w:tab w:leader="none" w:pos="111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sum of the products obtained by </w:t>
      </w:r>
      <w:r>
        <w:rPr>
          <w:rFonts w:ascii="Times New Roman" w:cs="Times New Roman" w:eastAsia="Times New Roman" w:hAnsi="Times New Roman"/>
          <w:sz w:val="18"/>
          <w:szCs w:val="18"/>
          <w:i w:val="1"/>
          <w:iCs w:val="1"/>
          <w:color w:val="auto"/>
        </w:rPr>
        <w:t>multiplying</w:t>
      </w:r>
      <w:r>
        <w:rPr>
          <w:rFonts w:ascii="Times New Roman" w:cs="Times New Roman" w:eastAsia="Times New Roman" w:hAnsi="Times New Roman"/>
          <w:sz w:val="18"/>
          <w:szCs w:val="18"/>
          <w:color w:val="auto"/>
        </w:rPr>
        <w:t xml:space="preserve"> (a) the amount of each then remaining installment, sinking fund, serial maturity or other required payments of principal or (with respect to Preferred Stock) redemption or similar payment, including payment at final maturity, in respect of the Indebtedness (or Disqualified Stock or Preferred Stock), </w:t>
      </w:r>
      <w:r>
        <w:rPr>
          <w:rFonts w:ascii="Times New Roman" w:cs="Times New Roman" w:eastAsia="Times New Roman" w:hAnsi="Times New Roman"/>
          <w:sz w:val="18"/>
          <w:szCs w:val="18"/>
          <w:i w:val="1"/>
          <w:iCs w:val="1"/>
          <w:color w:val="auto"/>
        </w:rPr>
        <w:t>by</w:t>
      </w:r>
      <w:r>
        <w:rPr>
          <w:rFonts w:ascii="Times New Roman" w:cs="Times New Roman" w:eastAsia="Times New Roman" w:hAnsi="Times New Roman"/>
          <w:sz w:val="18"/>
          <w:szCs w:val="18"/>
          <w:color w:val="auto"/>
        </w:rPr>
        <w:t xml:space="preserve"> (b) the number of years (calculated to the nearest one-twelfth) that will elapse between such date and the making of such payment; </w:t>
      </w:r>
      <w:r>
        <w:rPr>
          <w:rFonts w:ascii="Times New Roman" w:cs="Times New Roman" w:eastAsia="Times New Roman" w:hAnsi="Times New Roman"/>
          <w:sz w:val="18"/>
          <w:szCs w:val="18"/>
          <w:i w:val="1"/>
          <w:iCs w:val="1"/>
          <w:color w:val="auto"/>
        </w:rPr>
        <w:t>by</w:t>
      </w:r>
    </w:p>
    <w:p>
      <w:pPr>
        <w:spacing w:after="0" w:line="7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then outstanding principal amount of such Indebtedness (or Disqualified Stock or Preferred Stock).</w:t>
      </w:r>
    </w:p>
    <w:p>
      <w:pPr>
        <w:spacing w:after="0" w:line="2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i w:val="1"/>
          <w:iCs w:val="1"/>
          <w:color w:val="auto"/>
        </w:rPr>
        <w:t>Other Definitions.</w:t>
      </w:r>
    </w:p>
    <w:p>
      <w:pPr>
        <w:spacing w:after="0" w:line="237"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3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Term</w:t>
            </w:r>
          </w:p>
        </w:tc>
        <w:tc>
          <w:tcPr>
            <w:tcW w:w="330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Defined in</w:t>
            </w:r>
          </w:p>
        </w:tc>
        <w:tc>
          <w:tcPr>
            <w:tcW w:w="0" w:type="dxa"/>
            <w:vAlign w:val="bottom"/>
          </w:tcPr>
          <w:p>
            <w:pPr>
              <w:spacing w:after="0"/>
              <w:rPr>
                <w:sz w:val="1"/>
                <w:szCs w:val="1"/>
                <w:color w:val="auto"/>
              </w:rPr>
            </w:pPr>
          </w:p>
        </w:tc>
      </w:tr>
      <w:tr>
        <w:trPr>
          <w:trHeight w:val="191"/>
        </w:trPr>
        <w:tc>
          <w:tcPr>
            <w:tcW w:w="3140" w:type="dxa"/>
            <w:vAlign w:val="bottom"/>
            <w:gridSpan w:val="2"/>
            <w:vMerge w:val="continue"/>
          </w:tcPr>
          <w:p>
            <w:pPr>
              <w:spacing w:after="0"/>
              <w:rPr>
                <w:sz w:val="16"/>
                <w:szCs w:val="16"/>
                <w:color w:val="auto"/>
              </w:rPr>
            </w:pPr>
          </w:p>
        </w:tc>
        <w:tc>
          <w:tcPr>
            <w:tcW w:w="33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Section</w:t>
            </w:r>
          </w:p>
        </w:tc>
        <w:tc>
          <w:tcPr>
            <w:tcW w:w="0" w:type="dxa"/>
            <w:vAlign w:val="bottom"/>
          </w:tcPr>
          <w:p>
            <w:pPr>
              <w:spacing w:after="0"/>
              <w:rPr>
                <w:sz w:val="1"/>
                <w:szCs w:val="1"/>
                <w:color w:val="auto"/>
              </w:rPr>
            </w:pPr>
          </w:p>
        </w:tc>
      </w:tr>
      <w:tr>
        <w:trPr>
          <w:trHeight w:val="183"/>
        </w:trPr>
        <w:tc>
          <w:tcPr>
            <w:tcW w:w="320" w:type="dxa"/>
            <w:vAlign w:val="bottom"/>
            <w:tcBorders>
              <w:top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w w:val="93"/>
              </w:rPr>
              <w:t>“</w:t>
            </w:r>
            <w:r>
              <w:rPr>
                <w:rFonts w:ascii="Times New Roman" w:cs="Times New Roman" w:eastAsia="Times New Roman" w:hAnsi="Times New Roman"/>
                <w:sz w:val="18"/>
                <w:szCs w:val="18"/>
                <w:i w:val="1"/>
                <w:iCs w:val="1"/>
                <w:color w:val="auto"/>
                <w:w w:val="93"/>
              </w:rPr>
              <w:t>Act</w:t>
            </w:r>
          </w:p>
        </w:tc>
        <w:tc>
          <w:tcPr>
            <w:tcW w:w="282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w:t>
            </w:r>
          </w:p>
        </w:tc>
        <w:tc>
          <w:tcPr>
            <w:tcW w:w="3300" w:type="dxa"/>
            <w:vAlign w:val="bottom"/>
          </w:tcPr>
          <w:p>
            <w:pPr>
              <w:spacing w:after="0"/>
              <w:rPr>
                <w:sz w:val="15"/>
                <w:szCs w:val="15"/>
                <w:color w:val="auto"/>
              </w:rPr>
            </w:pPr>
          </w:p>
        </w:tc>
        <w:tc>
          <w:tcPr>
            <w:tcW w:w="104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12.15(a)</w:t>
            </w: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Affiliate Transaction</w:t>
            </w:r>
            <w:r>
              <w:rPr>
                <w:rFonts w:ascii="Times New Roman" w:cs="Times New Roman" w:eastAsia="Times New Roman" w:hAnsi="Times New Roman"/>
                <w:sz w:val="18"/>
                <w:szCs w:val="18"/>
                <w:color w:val="auto"/>
              </w:rPr>
              <w:t>”</w:t>
            </w:r>
          </w:p>
        </w:tc>
        <w:tc>
          <w:tcPr>
            <w:tcW w:w="33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4.11(a)</w:t>
            </w: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Alternate Offer</w:t>
            </w:r>
            <w:r>
              <w:rPr>
                <w:rFonts w:ascii="Times New Roman" w:cs="Times New Roman" w:eastAsia="Times New Roman" w:hAnsi="Times New Roman"/>
                <w:sz w:val="18"/>
                <w:szCs w:val="18"/>
                <w:color w:val="auto"/>
              </w:rPr>
              <w:t>”</w:t>
            </w:r>
          </w:p>
        </w:tc>
        <w:tc>
          <w:tcPr>
            <w:tcW w:w="33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4.15(d)</w:t>
            </w:r>
          </w:p>
        </w:tc>
        <w:tc>
          <w:tcPr>
            <w:tcW w:w="0" w:type="dxa"/>
            <w:vAlign w:val="bottom"/>
          </w:tcPr>
          <w:p>
            <w:pPr>
              <w:spacing w:after="0"/>
              <w:rPr>
                <w:sz w:val="1"/>
                <w:szCs w:val="1"/>
                <w:color w:val="auto"/>
              </w:rPr>
            </w:pPr>
          </w:p>
        </w:tc>
      </w:tr>
      <w:tr>
        <w:trPr>
          <w:trHeight w:val="218"/>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Applicable Premium Deficit</w:t>
            </w:r>
            <w:r>
              <w:rPr>
                <w:rFonts w:ascii="Times New Roman" w:cs="Times New Roman" w:eastAsia="Times New Roman" w:hAnsi="Times New Roman"/>
                <w:sz w:val="18"/>
                <w:szCs w:val="18"/>
                <w:color w:val="auto"/>
              </w:rPr>
              <w:t>”</w:t>
            </w:r>
          </w:p>
        </w:tc>
        <w:tc>
          <w:tcPr>
            <w:tcW w:w="33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8.04(a) or</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11.01(a)(2),</w:t>
            </w:r>
          </w:p>
        </w:tc>
        <w:tc>
          <w:tcPr>
            <w:tcW w:w="0" w:type="dxa"/>
            <w:vAlign w:val="bottom"/>
          </w:tcPr>
          <w:p>
            <w:pPr>
              <w:spacing w:after="0"/>
              <w:rPr>
                <w:sz w:val="1"/>
                <w:szCs w:val="1"/>
                <w:color w:val="auto"/>
              </w:rPr>
            </w:pPr>
          </w:p>
        </w:tc>
      </w:tr>
      <w:tr>
        <w:trPr>
          <w:trHeight w:val="230"/>
        </w:trPr>
        <w:tc>
          <w:tcPr>
            <w:tcW w:w="3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Asset Sale Offer</w:t>
            </w:r>
            <w:r>
              <w:rPr>
                <w:rFonts w:ascii="Times New Roman" w:cs="Times New Roman" w:eastAsia="Times New Roman" w:hAnsi="Times New Roman"/>
                <w:sz w:val="18"/>
                <w:szCs w:val="18"/>
                <w:color w:val="auto"/>
              </w:rPr>
              <w:t>”</w:t>
            </w:r>
          </w:p>
        </w:tc>
        <w:tc>
          <w:tcPr>
            <w:tcW w:w="33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as applicable</w:t>
            </w:r>
          </w:p>
        </w:tc>
        <w:tc>
          <w:tcPr>
            <w:tcW w:w="0" w:type="dxa"/>
            <w:vAlign w:val="bottom"/>
          </w:tcPr>
          <w:p>
            <w:pPr>
              <w:spacing w:after="0"/>
              <w:rPr>
                <w:sz w:val="1"/>
                <w:szCs w:val="1"/>
                <w:color w:val="auto"/>
              </w:rPr>
            </w:pPr>
          </w:p>
        </w:tc>
      </w:tr>
      <w:tr>
        <w:trPr>
          <w:trHeight w:val="214"/>
        </w:trPr>
        <w:tc>
          <w:tcPr>
            <w:tcW w:w="3140" w:type="dxa"/>
            <w:vAlign w:val="bottom"/>
            <w:gridSpan w:val="2"/>
            <w:vMerge w:val="continue"/>
          </w:tcPr>
          <w:p>
            <w:pPr>
              <w:spacing w:after="0"/>
              <w:rPr>
                <w:sz w:val="18"/>
                <w:szCs w:val="18"/>
                <w:color w:val="auto"/>
              </w:rPr>
            </w:pPr>
          </w:p>
        </w:tc>
        <w:tc>
          <w:tcPr>
            <w:tcW w:w="33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4.10(f)</w:t>
            </w: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Authentication Order</w:t>
            </w:r>
            <w:r>
              <w:rPr>
                <w:rFonts w:ascii="Times New Roman" w:cs="Times New Roman" w:eastAsia="Times New Roman" w:hAnsi="Times New Roman"/>
                <w:sz w:val="18"/>
                <w:szCs w:val="18"/>
                <w:color w:val="auto"/>
              </w:rPr>
              <w:t>”</w:t>
            </w:r>
          </w:p>
        </w:tc>
        <w:tc>
          <w:tcPr>
            <w:tcW w:w="4340" w:type="dxa"/>
            <w:vAlign w:val="bottom"/>
            <w:gridSpan w:val="2"/>
          </w:tcPr>
          <w:p>
            <w:pPr>
              <w:jc w:val="center"/>
              <w:ind w:left="3210"/>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Authorized Officers</w:t>
            </w:r>
            <w:r>
              <w:rPr>
                <w:rFonts w:ascii="Times New Roman" w:cs="Times New Roman" w:eastAsia="Times New Roman" w:hAnsi="Times New Roman"/>
                <w:sz w:val="18"/>
                <w:szCs w:val="18"/>
                <w:color w:val="auto"/>
              </w:rPr>
              <w:t>”</w:t>
            </w:r>
          </w:p>
        </w:tc>
        <w:tc>
          <w:tcPr>
            <w:tcW w:w="4340" w:type="dxa"/>
            <w:vAlign w:val="bottom"/>
            <w:gridSpan w:val="2"/>
          </w:tcPr>
          <w:p>
            <w:pPr>
              <w:jc w:val="center"/>
              <w:ind w:left="3210"/>
              <w:spacing w:after="0"/>
              <w:rPr>
                <w:sz w:val="20"/>
                <w:szCs w:val="20"/>
                <w:color w:val="auto"/>
              </w:rPr>
            </w:pPr>
            <w:r>
              <w:rPr>
                <w:rFonts w:ascii="Times New Roman" w:cs="Times New Roman" w:eastAsia="Times New Roman" w:hAnsi="Times New Roman"/>
                <w:sz w:val="18"/>
                <w:szCs w:val="18"/>
                <w:color w:val="auto"/>
                <w:w w:val="98"/>
              </w:rPr>
              <w:t>12.17</w:t>
            </w: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Berry Merger</w:t>
            </w:r>
            <w:r>
              <w:rPr>
                <w:rFonts w:ascii="Times New Roman" w:cs="Times New Roman" w:eastAsia="Times New Roman" w:hAnsi="Times New Roman"/>
                <w:sz w:val="18"/>
                <w:szCs w:val="18"/>
                <w:color w:val="auto"/>
              </w:rPr>
              <w:t>”</w:t>
            </w:r>
          </w:p>
        </w:tc>
        <w:tc>
          <w:tcPr>
            <w:tcW w:w="33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3.07(a)</w:t>
            </w: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of Control Offer</w:t>
            </w:r>
            <w:r>
              <w:rPr>
                <w:rFonts w:ascii="Times New Roman" w:cs="Times New Roman" w:eastAsia="Times New Roman" w:hAnsi="Times New Roman"/>
                <w:sz w:val="18"/>
                <w:szCs w:val="18"/>
                <w:color w:val="auto"/>
              </w:rPr>
              <w:t>”</w:t>
            </w:r>
          </w:p>
        </w:tc>
        <w:tc>
          <w:tcPr>
            <w:tcW w:w="33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4.15(a)</w:t>
            </w: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of Control Payment</w:t>
            </w:r>
            <w:r>
              <w:rPr>
                <w:rFonts w:ascii="Times New Roman" w:cs="Times New Roman" w:eastAsia="Times New Roman" w:hAnsi="Times New Roman"/>
                <w:sz w:val="18"/>
                <w:szCs w:val="18"/>
                <w:color w:val="auto"/>
              </w:rPr>
              <w:t>”</w:t>
            </w:r>
          </w:p>
        </w:tc>
        <w:tc>
          <w:tcPr>
            <w:tcW w:w="33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4.15(a)</w:t>
            </w: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of Control Purchase Date</w:t>
            </w:r>
            <w:r>
              <w:rPr>
                <w:rFonts w:ascii="Times New Roman" w:cs="Times New Roman" w:eastAsia="Times New Roman" w:hAnsi="Times New Roman"/>
                <w:sz w:val="18"/>
                <w:szCs w:val="18"/>
                <w:color w:val="auto"/>
              </w:rPr>
              <w:t>”</w:t>
            </w:r>
          </w:p>
        </w:tc>
        <w:tc>
          <w:tcPr>
            <w:tcW w:w="33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4.15(a)</w:t>
            </w:r>
          </w:p>
        </w:tc>
        <w:tc>
          <w:tcPr>
            <w:tcW w:w="0" w:type="dxa"/>
            <w:vAlign w:val="bottom"/>
          </w:tcPr>
          <w:p>
            <w:pPr>
              <w:spacing w:after="0"/>
              <w:rPr>
                <w:sz w:val="1"/>
                <w:szCs w:val="1"/>
                <w:color w:val="auto"/>
              </w:rPr>
            </w:pPr>
          </w:p>
        </w:tc>
      </w:tr>
      <w:tr>
        <w:trPr>
          <w:trHeight w:val="236"/>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Covenant Defeasance</w:t>
            </w:r>
            <w:r>
              <w:rPr>
                <w:rFonts w:ascii="Times New Roman" w:cs="Times New Roman" w:eastAsia="Times New Roman" w:hAnsi="Times New Roman"/>
                <w:sz w:val="18"/>
                <w:szCs w:val="18"/>
                <w:color w:val="auto"/>
              </w:rPr>
              <w:t>”</w:t>
            </w:r>
          </w:p>
        </w:tc>
        <w:tc>
          <w:tcPr>
            <w:tcW w:w="4340" w:type="dxa"/>
            <w:vAlign w:val="bottom"/>
            <w:gridSpan w:val="2"/>
          </w:tcPr>
          <w:p>
            <w:pPr>
              <w:jc w:val="center"/>
              <w:ind w:left="3210"/>
              <w:spacing w:after="0"/>
              <w:rPr>
                <w:sz w:val="20"/>
                <w:szCs w:val="20"/>
                <w:color w:val="auto"/>
              </w:rPr>
            </w:pPr>
            <w:r>
              <w:rPr>
                <w:rFonts w:ascii="Times New Roman" w:cs="Times New Roman" w:eastAsia="Times New Roman" w:hAnsi="Times New Roman"/>
                <w:sz w:val="18"/>
                <w:szCs w:val="18"/>
                <w:color w:val="auto"/>
              </w:rPr>
              <w:t>8.03</w:t>
            </w:r>
          </w:p>
        </w:tc>
        <w:tc>
          <w:tcPr>
            <w:tcW w:w="0" w:type="dxa"/>
            <w:vAlign w:val="bottom"/>
          </w:tcPr>
          <w:p>
            <w:pPr>
              <w:spacing w:after="0"/>
              <w:rPr>
                <w:sz w:val="1"/>
                <w:szCs w:val="1"/>
                <w:color w:val="auto"/>
              </w:rPr>
            </w:pPr>
          </w:p>
        </w:tc>
      </w:tr>
      <w:tr>
        <w:trPr>
          <w:trHeight w:val="365"/>
        </w:trPr>
        <w:tc>
          <w:tcPr>
            <w:tcW w:w="3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300" w:type="dxa"/>
            <w:vAlign w:val="bottom"/>
          </w:tcPr>
          <w:p>
            <w:pPr>
              <w:jc w:val="right"/>
              <w:ind w:right="2510"/>
              <w:spacing w:after="0"/>
              <w:rPr>
                <w:sz w:val="20"/>
                <w:szCs w:val="20"/>
                <w:color w:val="auto"/>
              </w:rPr>
            </w:pPr>
            <w:r>
              <w:rPr>
                <w:rFonts w:ascii="Times New Roman" w:cs="Times New Roman" w:eastAsia="Times New Roman" w:hAnsi="Times New Roman"/>
                <w:sz w:val="18"/>
                <w:szCs w:val="18"/>
                <w:color w:val="auto"/>
              </w:rPr>
              <w:t>35</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440" w:top="270" w:right="459" w:bottom="1440" w:gutter="0" w:footer="0" w:header="0"/>
        </w:sectPr>
      </w:pPr>
    </w:p>
    <w:bookmarkStart w:id="45" w:name="page46"/>
    <w:bookmarkEnd w:id="4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1760" w:type="dxa"/>
        <w:tblCellMar>
          <w:top w:w="0" w:type="dxa"/>
          <w:left w:w="0" w:type="dxa"/>
          <w:bottom w:w="0" w:type="dxa"/>
          <w:right w:w="0" w:type="dxa"/>
        </w:tblCellMar>
      </w:tblPr>
      <w:tr>
        <w:trPr>
          <w:trHeight w:val="161"/>
        </w:trPr>
        <w:tc>
          <w:tcPr>
            <w:tcW w:w="3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98"/>
              </w:rPr>
              <w:t>Term</w:t>
            </w:r>
          </w:p>
        </w:tc>
        <w:tc>
          <w:tcPr>
            <w:tcW w:w="6120" w:type="dxa"/>
            <w:vAlign w:val="bottom"/>
            <w:vMerge w:val="restart"/>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Defined in</w:t>
            </w:r>
          </w:p>
        </w:tc>
        <w:tc>
          <w:tcPr>
            <w:tcW w:w="0" w:type="dxa"/>
            <w:vAlign w:val="bottom"/>
          </w:tcPr>
          <w:p>
            <w:pPr>
              <w:spacing w:after="0"/>
              <w:rPr>
                <w:sz w:val="1"/>
                <w:szCs w:val="1"/>
                <w:color w:val="auto"/>
              </w:rPr>
            </w:pPr>
          </w:p>
        </w:tc>
      </w:tr>
      <w:tr>
        <w:trPr>
          <w:trHeight w:val="191"/>
        </w:trPr>
        <w:tc>
          <w:tcPr>
            <w:tcW w:w="320" w:type="dxa"/>
            <w:vAlign w:val="bottom"/>
            <w:tcBorders>
              <w:bottom w:val="single" w:sz="8" w:color="auto"/>
            </w:tcBorders>
            <w:vMerge w:val="continue"/>
          </w:tcPr>
          <w:p>
            <w:pPr>
              <w:spacing w:after="0"/>
              <w:rPr>
                <w:sz w:val="16"/>
                <w:szCs w:val="16"/>
                <w:color w:val="auto"/>
              </w:rPr>
            </w:pPr>
          </w:p>
        </w:tc>
        <w:tc>
          <w:tcPr>
            <w:tcW w:w="6120" w:type="dxa"/>
            <w:vAlign w:val="bottom"/>
            <w:vMerge w:val="continue"/>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Section</w:t>
            </w:r>
          </w:p>
        </w:tc>
        <w:tc>
          <w:tcPr>
            <w:tcW w:w="0" w:type="dxa"/>
            <w:vAlign w:val="bottom"/>
          </w:tcPr>
          <w:p>
            <w:pPr>
              <w:spacing w:after="0"/>
              <w:rPr>
                <w:sz w:val="1"/>
                <w:szCs w:val="1"/>
                <w:color w:val="auto"/>
              </w:rPr>
            </w:pPr>
          </w:p>
        </w:tc>
      </w:tr>
      <w:tr>
        <w:trPr>
          <w:trHeight w:val="183"/>
        </w:trPr>
        <w:tc>
          <w:tcPr>
            <w:tcW w:w="64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Covenant Satisfaction Officer’s Certificate</w:t>
            </w:r>
            <w:r>
              <w:rPr>
                <w:rFonts w:ascii="Times New Roman" w:cs="Times New Roman" w:eastAsia="Times New Roman" w:hAnsi="Times New Roman"/>
                <w:sz w:val="18"/>
                <w:szCs w:val="18"/>
                <w:color w:val="auto"/>
              </w:rPr>
              <w:t>”</w:t>
            </w:r>
          </w:p>
        </w:tc>
        <w:tc>
          <w:tcPr>
            <w:tcW w:w="104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rPr>
              <w:t>6.01</w:t>
            </w: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DTC</w:t>
            </w:r>
            <w:r>
              <w:rPr>
                <w:rFonts w:ascii="Times New Roman" w:cs="Times New Roman" w:eastAsia="Times New Roman" w:hAnsi="Times New Roman"/>
                <w:sz w:val="18"/>
                <w:szCs w:val="18"/>
                <w:color w:val="auto"/>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Event of Default</w:t>
            </w:r>
            <w:r>
              <w:rPr>
                <w:rFonts w:ascii="Times New Roman" w:cs="Times New Roman" w:eastAsia="Times New Roman" w:hAnsi="Times New Roman"/>
                <w:sz w:val="18"/>
                <w:szCs w:val="18"/>
                <w:color w:val="auto"/>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6.01</w:t>
            </w: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Excess Proceeds</w:t>
            </w:r>
            <w:r>
              <w:rPr>
                <w:rFonts w:ascii="Times New Roman" w:cs="Times New Roman" w:eastAsia="Times New Roman" w:hAnsi="Times New Roman"/>
                <w:sz w:val="18"/>
                <w:szCs w:val="18"/>
                <w:color w:val="auto"/>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4.10(f)</w:t>
            </w: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Final Decision</w:t>
            </w:r>
            <w:r>
              <w:rPr>
                <w:rFonts w:ascii="Times New Roman" w:cs="Times New Roman" w:eastAsia="Times New Roman" w:hAnsi="Times New Roman"/>
                <w:sz w:val="18"/>
                <w:szCs w:val="18"/>
                <w:color w:val="auto"/>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6.01</w:t>
            </w: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incur</w:t>
            </w:r>
            <w:r>
              <w:rPr>
                <w:rFonts w:ascii="Times New Roman" w:cs="Times New Roman" w:eastAsia="Times New Roman" w:hAnsi="Times New Roman"/>
                <w:sz w:val="18"/>
                <w:szCs w:val="18"/>
                <w:color w:val="auto"/>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4.09(a)</w:t>
            </w: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Initial Default</w:t>
            </w:r>
            <w:r>
              <w:rPr>
                <w:rFonts w:ascii="Times New Roman" w:cs="Times New Roman" w:eastAsia="Times New Roman" w:hAnsi="Times New Roman"/>
                <w:sz w:val="18"/>
                <w:szCs w:val="18"/>
                <w:color w:val="auto"/>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Instructions</w:t>
            </w:r>
            <w:r>
              <w:rPr>
                <w:rFonts w:ascii="Times New Roman" w:cs="Times New Roman" w:eastAsia="Times New Roman" w:hAnsi="Times New Roman"/>
                <w:sz w:val="18"/>
                <w:szCs w:val="18"/>
                <w:color w:val="auto"/>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12.17</w:t>
            </w: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Interest Payment Date</w:t>
            </w:r>
            <w:r>
              <w:rPr>
                <w:rFonts w:ascii="Times New Roman" w:cs="Times New Roman" w:eastAsia="Times New Roman" w:hAnsi="Times New Roman"/>
                <w:sz w:val="18"/>
                <w:szCs w:val="18"/>
                <w:color w:val="auto"/>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Exhibit A</w:t>
            </w: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Issuer</w:t>
            </w:r>
            <w:r>
              <w:rPr>
                <w:rFonts w:ascii="Times New Roman" w:cs="Times New Roman" w:eastAsia="Times New Roman" w:hAnsi="Times New Roman"/>
                <w:sz w:val="18"/>
                <w:szCs w:val="18"/>
                <w:color w:val="auto"/>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Preamble</w:t>
            </w: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Issuer Website</w:t>
            </w:r>
            <w:r>
              <w:rPr>
                <w:rFonts w:ascii="Times New Roman" w:cs="Times New Roman" w:eastAsia="Times New Roman" w:hAnsi="Times New Roman"/>
                <w:sz w:val="18"/>
                <w:szCs w:val="18"/>
                <w:color w:val="auto"/>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4.03(f)</w:t>
            </w: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LCT Election</w:t>
            </w:r>
            <w:r>
              <w:rPr>
                <w:rFonts w:ascii="Times New Roman" w:cs="Times New Roman" w:eastAsia="Times New Roman" w:hAnsi="Times New Roman"/>
                <w:sz w:val="18"/>
                <w:szCs w:val="18"/>
                <w:color w:val="auto"/>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LCT Test Date</w:t>
            </w:r>
            <w:r>
              <w:rPr>
                <w:rFonts w:ascii="Times New Roman" w:cs="Times New Roman" w:eastAsia="Times New Roman" w:hAnsi="Times New Roman"/>
                <w:sz w:val="18"/>
                <w:szCs w:val="18"/>
                <w:color w:val="auto"/>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Legal Defeasance</w:t>
            </w:r>
            <w:r>
              <w:rPr>
                <w:rFonts w:ascii="Times New Roman" w:cs="Times New Roman" w:eastAsia="Times New Roman" w:hAnsi="Times New Roman"/>
                <w:sz w:val="18"/>
                <w:szCs w:val="18"/>
                <w:color w:val="auto"/>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8.02</w:t>
            </w: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Merger Agreement</w:t>
            </w:r>
            <w:r>
              <w:rPr>
                <w:rFonts w:ascii="Times New Roman" w:cs="Times New Roman" w:eastAsia="Times New Roman" w:hAnsi="Times New Roman"/>
                <w:sz w:val="18"/>
                <w:szCs w:val="18"/>
                <w:color w:val="auto"/>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3.07(a)</w:t>
            </w: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Noteholder Direction</w:t>
            </w:r>
            <w:r>
              <w:rPr>
                <w:rFonts w:ascii="Times New Roman" w:cs="Times New Roman" w:eastAsia="Times New Roman" w:hAnsi="Times New Roman"/>
                <w:sz w:val="18"/>
                <w:szCs w:val="18"/>
                <w:color w:val="auto"/>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6.01</w:t>
            </w: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Offer Amount</w:t>
            </w:r>
            <w:r>
              <w:rPr>
                <w:rFonts w:ascii="Times New Roman" w:cs="Times New Roman" w:eastAsia="Times New Roman" w:hAnsi="Times New Roman"/>
                <w:sz w:val="18"/>
                <w:szCs w:val="18"/>
                <w:color w:val="auto"/>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Offer Period</w:t>
            </w:r>
            <w:r>
              <w:rPr>
                <w:rFonts w:ascii="Times New Roman" w:cs="Times New Roman" w:eastAsia="Times New Roman" w:hAnsi="Times New Roman"/>
                <w:sz w:val="18"/>
                <w:szCs w:val="18"/>
                <w:color w:val="auto"/>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Outside Date</w:t>
            </w:r>
            <w:r>
              <w:rPr>
                <w:rFonts w:ascii="Times New Roman" w:cs="Times New Roman" w:eastAsia="Times New Roman" w:hAnsi="Times New Roman"/>
                <w:sz w:val="18"/>
                <w:szCs w:val="18"/>
                <w:color w:val="auto"/>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3.07(a)</w:t>
            </w: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Paying Agent</w:t>
            </w:r>
            <w:r>
              <w:rPr>
                <w:rFonts w:ascii="Times New Roman" w:cs="Times New Roman" w:eastAsia="Times New Roman" w:hAnsi="Times New Roman"/>
                <w:sz w:val="18"/>
                <w:szCs w:val="18"/>
                <w:color w:val="auto"/>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Payment Default</w:t>
            </w:r>
            <w:r>
              <w:rPr>
                <w:rFonts w:ascii="Times New Roman" w:cs="Times New Roman" w:eastAsia="Times New Roman" w:hAnsi="Times New Roman"/>
                <w:sz w:val="18"/>
                <w:szCs w:val="18"/>
                <w:color w:val="auto"/>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6.01(g)(1)</w:t>
            </w: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Debt</w:t>
            </w:r>
            <w:r>
              <w:rPr>
                <w:rFonts w:ascii="Times New Roman" w:cs="Times New Roman" w:eastAsia="Times New Roman" w:hAnsi="Times New Roman"/>
                <w:sz w:val="18"/>
                <w:szCs w:val="18"/>
                <w:color w:val="auto"/>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4.09(b)</w:t>
            </w: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Payment</w:t>
            </w:r>
            <w:r>
              <w:rPr>
                <w:rFonts w:ascii="Times New Roman" w:cs="Times New Roman" w:eastAsia="Times New Roman" w:hAnsi="Times New Roman"/>
                <w:sz w:val="18"/>
                <w:szCs w:val="18"/>
                <w:color w:val="auto"/>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4.07(b)</w:t>
            </w: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Position Representation</w:t>
            </w:r>
            <w:r>
              <w:rPr>
                <w:rFonts w:ascii="Times New Roman" w:cs="Times New Roman" w:eastAsia="Times New Roman" w:hAnsi="Times New Roman"/>
                <w:sz w:val="18"/>
                <w:szCs w:val="18"/>
                <w:color w:val="auto"/>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6.01</w:t>
            </w: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Officer</w:t>
            </w:r>
            <w:r>
              <w:rPr>
                <w:rFonts w:ascii="Times New Roman" w:cs="Times New Roman" w:eastAsia="Times New Roman" w:hAnsi="Times New Roman"/>
                <w:sz w:val="18"/>
                <w:szCs w:val="18"/>
                <w:color w:val="auto"/>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2.06(g)(1)(B)</w:t>
            </w: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Purchase Date</w:t>
            </w:r>
            <w:r>
              <w:rPr>
                <w:rFonts w:ascii="Times New Roman" w:cs="Times New Roman" w:eastAsia="Times New Roman" w:hAnsi="Times New Roman"/>
                <w:sz w:val="18"/>
                <w:szCs w:val="18"/>
                <w:color w:val="auto"/>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Registrar</w:t>
            </w:r>
            <w:r>
              <w:rPr>
                <w:rFonts w:ascii="Times New Roman" w:cs="Times New Roman" w:eastAsia="Times New Roman" w:hAnsi="Times New Roman"/>
                <w:sz w:val="18"/>
                <w:szCs w:val="18"/>
                <w:color w:val="auto"/>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Payments</w:t>
            </w:r>
            <w:r>
              <w:rPr>
                <w:rFonts w:ascii="Times New Roman" w:cs="Times New Roman" w:eastAsia="Times New Roman" w:hAnsi="Times New Roman"/>
                <w:sz w:val="18"/>
                <w:szCs w:val="18"/>
                <w:color w:val="auto"/>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4.07(a)(4)</w:t>
            </w: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Mandatory Redemption</w:t>
            </w:r>
            <w:r>
              <w:rPr>
                <w:rFonts w:ascii="Times New Roman" w:cs="Times New Roman" w:eastAsia="Times New Roman" w:hAnsi="Times New Roman"/>
                <w:sz w:val="18"/>
                <w:szCs w:val="18"/>
                <w:color w:val="auto"/>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3.07(a)</w:t>
            </w: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Mandatory Redemption Date</w:t>
            </w:r>
            <w:r>
              <w:rPr>
                <w:rFonts w:ascii="Times New Roman" w:cs="Times New Roman" w:eastAsia="Times New Roman" w:hAnsi="Times New Roman"/>
                <w:sz w:val="18"/>
                <w:szCs w:val="18"/>
                <w:color w:val="auto"/>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3.07(b)</w:t>
            </w: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Mandatory Redemption Price</w:t>
            </w:r>
            <w:r>
              <w:rPr>
                <w:rFonts w:ascii="Times New Roman" w:cs="Times New Roman" w:eastAsia="Times New Roman" w:hAnsi="Times New Roman"/>
                <w:sz w:val="18"/>
                <w:szCs w:val="18"/>
                <w:color w:val="auto"/>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3.07(a)</w:t>
            </w: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Mandatory Redemption Trigger Date</w:t>
            </w:r>
            <w:r>
              <w:rPr>
                <w:rFonts w:ascii="Times New Roman" w:cs="Times New Roman" w:eastAsia="Times New Roman" w:hAnsi="Times New Roman"/>
                <w:sz w:val="18"/>
                <w:szCs w:val="18"/>
                <w:color w:val="auto"/>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3.07(a)</w:t>
            </w: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Verification Covenant</w:t>
            </w:r>
            <w:r>
              <w:rPr>
                <w:rFonts w:ascii="Times New Roman" w:cs="Times New Roman" w:eastAsia="Times New Roman" w:hAnsi="Times New Roman"/>
                <w:sz w:val="18"/>
                <w:szCs w:val="18"/>
                <w:color w:val="auto"/>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6.01</w:t>
            </w:r>
          </w:p>
        </w:tc>
        <w:tc>
          <w:tcPr>
            <w:tcW w:w="0" w:type="dxa"/>
            <w:vAlign w:val="bottom"/>
          </w:tcPr>
          <w:p>
            <w:pPr>
              <w:spacing w:after="0"/>
              <w:rPr>
                <w:sz w:val="1"/>
                <w:szCs w:val="1"/>
                <w:color w:val="auto"/>
              </w:rPr>
            </w:pPr>
          </w:p>
        </w:tc>
      </w:tr>
      <w:tr>
        <w:trPr>
          <w:trHeight w:val="23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Verification Officer’s Certificate</w:t>
            </w:r>
            <w:r>
              <w:rPr>
                <w:rFonts w:ascii="Times New Roman" w:cs="Times New Roman" w:eastAsia="Times New Roman" w:hAnsi="Times New Roman"/>
                <w:sz w:val="18"/>
                <w:szCs w:val="18"/>
                <w:color w:val="auto"/>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6.01</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i w:val="1"/>
          <w:iCs w:val="1"/>
          <w:color w:val="auto"/>
        </w:rPr>
        <w:t>No Incorporation by Reference of Trust Indenture Act.</w:t>
      </w:r>
    </w:p>
    <w:p>
      <w:pPr>
        <w:spacing w:after="0" w:line="227"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This Indenture is not qualified under the TIA, and the TIA shall not apply to or in any way govern the terms of this Indenture, except to the extent required by law. Except as so required, no provisions of the TIA are incorporated into this Indenture unless expressly incorporated pursuant to this Indenture.</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i w:val="1"/>
          <w:iCs w:val="1"/>
          <w:color w:val="auto"/>
        </w:rPr>
        <w:t>Rules of Construction.</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Unless the context otherwise requires:</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a term has the meaning assigned to it;</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40"/>
          </w:cols>
          <w:pgMar w:left="440" w:top="253" w:right="519" w:bottom="1440" w:gutter="0" w:footer="0" w:header="0"/>
        </w:sectPr>
      </w:pPr>
    </w:p>
    <w:bookmarkStart w:id="46" w:name="page47"/>
    <w:bookmarkEnd w:id="46"/>
    <w:p>
      <w:pPr>
        <w:ind w:left="1240" w:hanging="253"/>
        <w:spacing w:after="0"/>
        <w:tabs>
          <w:tab w:leader="none" w:pos="12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 accounting term not otherwise defined has the meaning assigned to it in accordance with GAAP;</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is not exclusive;</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in the singular include the plural, and in the plural include the singular;</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shall be interpreted to express a command;</w:t>
      </w:r>
    </w:p>
    <w:p>
      <w:pPr>
        <w:spacing w:after="0" w:line="225"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apply to successive events and transactions;</w:t>
      </w:r>
    </w:p>
    <w:p>
      <w:pPr>
        <w:spacing w:after="0" w:line="225" w:lineRule="exact"/>
        <w:rPr>
          <w:rFonts w:ascii="Times New Roman" w:cs="Times New Roman" w:eastAsia="Times New Roman" w:hAnsi="Times New Roman"/>
          <w:sz w:val="18"/>
          <w:szCs w:val="18"/>
          <w:color w:val="auto"/>
        </w:rPr>
      </w:pPr>
    </w:p>
    <w:p>
      <w:pPr>
        <w:ind w:right="240" w:firstLine="987"/>
        <w:spacing w:after="0" w:line="282" w:lineRule="auto"/>
        <w:tabs>
          <w:tab w:leader="none" w:pos="124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sections of or rules under the Securities Act will be deemed to include substitute, replacement of successor sections or rules adopted by the SEC from time to time;</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or “including” shall be deemed to be followed by the words “without limitation”; and</w:t>
      </w:r>
    </w:p>
    <w:p>
      <w:pPr>
        <w:spacing w:after="0" w:line="225" w:lineRule="exact"/>
        <w:rPr>
          <w:rFonts w:ascii="Times New Roman" w:cs="Times New Roman" w:eastAsia="Times New Roman" w:hAnsi="Times New Roman"/>
          <w:sz w:val="18"/>
          <w:szCs w:val="18"/>
          <w:color w:val="auto"/>
        </w:rPr>
      </w:pPr>
    </w:p>
    <w:p>
      <w:pPr>
        <w:ind w:firstLine="987"/>
        <w:spacing w:after="0" w:line="282" w:lineRule="auto"/>
        <w:tabs>
          <w:tab w:leader="none" w:pos="120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“herein,” “hereof” and other words of similar import refer to this Indenture as a whole (as amended or supplemented from time to time) and not to any particular Article, Section or other subdivision.</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i w:val="1"/>
          <w:iCs w:val="1"/>
          <w:color w:val="auto"/>
        </w:rPr>
        <w:t>Limited Condition Transactions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100" w:firstLine="440"/>
        <w:spacing w:after="0" w:line="252" w:lineRule="auto"/>
        <w:rPr>
          <w:sz w:val="20"/>
          <w:szCs w:val="20"/>
          <w:color w:val="auto"/>
        </w:rPr>
      </w:pPr>
      <w:r>
        <w:rPr>
          <w:rFonts w:ascii="Times New Roman" w:cs="Times New Roman" w:eastAsia="Times New Roman" w:hAnsi="Times New Roman"/>
          <w:sz w:val="18"/>
          <w:szCs w:val="18"/>
          <w:color w:val="auto"/>
        </w:rPr>
        <w:t>When calculating the availability under any basket or ratio under this Indenture or compliance with any provision of this Indenture in connection with any Limited Condition Transaction and any actions or transactions related thereto (including acquisitions, Investments and the incurrence or issuance of Indebtedness, Liens, Disqualified Stock or Preferred Stock and the use of proceeds thereof, repayments and Restricted Payments), in each case, at the option of the Issuer (the Issuer’s election to exercise such option, an “</w:t>
      </w:r>
      <w:r>
        <w:rPr>
          <w:rFonts w:ascii="Times New Roman" w:cs="Times New Roman" w:eastAsia="Times New Roman" w:hAnsi="Times New Roman"/>
          <w:sz w:val="18"/>
          <w:szCs w:val="18"/>
          <w:i w:val="1"/>
          <w:iCs w:val="1"/>
          <w:color w:val="auto"/>
        </w:rPr>
        <w:t>LCT Election</w:t>
      </w:r>
      <w:r>
        <w:rPr>
          <w:rFonts w:ascii="Times New Roman" w:cs="Times New Roman" w:eastAsia="Times New Roman" w:hAnsi="Times New Roman"/>
          <w:sz w:val="18"/>
          <w:szCs w:val="18"/>
          <w:color w:val="auto"/>
        </w:rPr>
        <w:t>”), the date of determination for availability under any such basket or ratio and whether any such action or transaction is permitted (or any requirement or condition therefor is complied with or satisfied (including as to the absence of any continuing Default or Event of Default)) under this Indenture shall be deemed to be the date (the “</w:t>
      </w:r>
      <w:r>
        <w:rPr>
          <w:rFonts w:ascii="Times New Roman" w:cs="Times New Roman" w:eastAsia="Times New Roman" w:hAnsi="Times New Roman"/>
          <w:sz w:val="18"/>
          <w:szCs w:val="18"/>
          <w:i w:val="1"/>
          <w:iCs w:val="1"/>
          <w:color w:val="auto"/>
        </w:rPr>
        <w:t>LCT Test Date</w:t>
      </w:r>
      <w:r>
        <w:rPr>
          <w:rFonts w:ascii="Times New Roman" w:cs="Times New Roman" w:eastAsia="Times New Roman" w:hAnsi="Times New Roman"/>
          <w:sz w:val="18"/>
          <w:szCs w:val="18"/>
          <w:color w:val="auto"/>
        </w:rPr>
        <w:t xml:space="preserve">”) the definitive agreements for such Limited Condition Transaction are entered into (or, if applicable, the date of delivery of an irrevocable notice or similar event), and if, calculated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and after giving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to the Limited Condition Transaction and any actions or transactions related thereto including acquisitions, Investments and the incurrence or issuance of Indebtedness, Liens, Disqualified Stock or Preferred Stock and the use of proceeds thereof, repayments and Restricted Payments) and any related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adjustments, the Issuer or any of its Restricted Subsidiaries would have been permitted to take such actions or consummate such transactions on the relevant LCT Test Date in compliance with such ratio, test or basket (and any related requirements and conditions), such ratio, test or basket (and any related requirements and conditions) shall be deemed to have been complied with (or satisfied) for all purposes (in the case of Indebtedness, for example, whether such Indebtedness is committed, issued or incurred at the LCT Test Date or at any time thereafter);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 if financial statements for one or more subsequent fiscal quarters shall have become available, the Issuer may elect, in its sole discretion, to re-determine all such ratios, tests or baskets on the basis of such financial statements, in which case, such date of redetermination shall thereafter be deemed to be the applicable LCT Test Date for purposes of such ratios, tests or baskets, and (b) except as contemplated in the foregoing clause (a), compliance with such ratios, tests or baskets (and any related requirements and conditions) shall not be determined or tested at any time after the applicable LCT Test Date for such Limited Condition Transaction and any actions or transactions related thereto (including acquisitions, Investments and the incurrence or issuance of Indebtedness, Liens, Disqualified Stock or Preferred Stock and the use of proceeds thereof, repayments and Restricted Payments).</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60"/>
          </w:cols>
          <w:pgMar w:left="440" w:top="270" w:right="499" w:bottom="1440" w:gutter="0" w:footer="0" w:header="0"/>
        </w:sectPr>
      </w:pPr>
    </w:p>
    <w:bookmarkStart w:id="47" w:name="page48"/>
    <w:bookmarkEnd w:id="47"/>
    <w:p>
      <w:pPr>
        <w:ind w:left="4" w:right="100" w:firstLine="44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the avoidance of doubt, if the Issuer has made an LCT Election, (1) if any of the ratios, tests or baskets for which compliance was determined or tested as of the LCT Test Date would at any time after the LCT Test Date have been exceeded or otherwise failed to have been complied with as a result of fluctuations in any such ratio, test or basket, including due to fluctuations in total assets of the Issuer or the Person subject to such Limited Condition Transaction, such baskets, tests or ratios will not be deemed to have been exceeded or failed to have been complied with as a result of such fluctuations; (2) if any related requirements and conditions (including as to the absence of any continuing Default or Event of Default) for which compliance or satisfaction was determined or tested as of the LCT Test Date would at any time after the LCT Test Date not have been complied with or satisfied (including due to the occurrence or continuation of an Default or Event of Default), such requirements and conditions will not be deemed to have been failed to be complied with or satisfied (and such Default or Event of Default shall be deemed not to have occurred or be continuing); and</w:t>
      </w:r>
    </w:p>
    <w:p>
      <w:pPr>
        <w:ind w:left="4" w:right="140" w:hanging="4"/>
        <w:spacing w:after="0" w:line="253" w:lineRule="auto"/>
        <w:tabs>
          <w:tab w:leader="none" w:pos="25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calculating the availability under any ratio, test or basket in connection with any action or transaction unrelated to such Limited Condition Transaction following the relevant LCT Test Date and prior to the earlier of the date on which such Limited Condition Transaction is consummated or the date that the definitive agreement or date for redemption, purchase or repayment specified in an irrevocable notice for such Limited Condition Transaction is terminated, expires or passes, as applicable, without consummation of such Limited Condition Transaction, any such ratio, test or basket shall be determined or tested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and giving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to such Limited Condition Transaction.</w:t>
      </w:r>
    </w:p>
    <w:p>
      <w:pPr>
        <w:spacing w:after="0" w:line="200" w:lineRule="exact"/>
        <w:rPr>
          <w:sz w:val="20"/>
          <w:szCs w:val="20"/>
          <w:color w:val="auto"/>
        </w:rPr>
      </w:pPr>
    </w:p>
    <w:p>
      <w:pPr>
        <w:spacing w:after="0" w:line="203" w:lineRule="exact"/>
        <w:rPr>
          <w:sz w:val="20"/>
          <w:szCs w:val="20"/>
          <w:color w:val="auto"/>
        </w:rPr>
      </w:pPr>
    </w:p>
    <w:p>
      <w:pPr>
        <w:ind w:left="5064"/>
        <w:spacing w:after="0"/>
        <w:rPr>
          <w:sz w:val="20"/>
          <w:szCs w:val="20"/>
          <w:color w:val="auto"/>
        </w:rPr>
      </w:pPr>
      <w:r>
        <w:rPr>
          <w:rFonts w:ascii="Times New Roman" w:cs="Times New Roman" w:eastAsia="Times New Roman" w:hAnsi="Times New Roman"/>
          <w:sz w:val="18"/>
          <w:szCs w:val="18"/>
          <w:color w:val="auto"/>
        </w:rPr>
        <w:t>ARTICLE 2</w:t>
      </w:r>
    </w:p>
    <w:p>
      <w:pPr>
        <w:spacing w:after="0" w:line="27" w:lineRule="exact"/>
        <w:rPr>
          <w:sz w:val="20"/>
          <w:szCs w:val="20"/>
          <w:color w:val="auto"/>
        </w:rPr>
      </w:pPr>
    </w:p>
    <w:p>
      <w:pPr>
        <w:ind w:left="5024"/>
        <w:spacing w:after="0"/>
        <w:rPr>
          <w:sz w:val="20"/>
          <w:szCs w:val="20"/>
          <w:color w:val="auto"/>
        </w:rPr>
      </w:pPr>
      <w:r>
        <w:rPr>
          <w:rFonts w:ascii="Times New Roman" w:cs="Times New Roman" w:eastAsia="Times New Roman" w:hAnsi="Times New Roman"/>
          <w:sz w:val="18"/>
          <w:szCs w:val="18"/>
          <w:color w:val="auto"/>
        </w:rPr>
        <w:t>THE NOTES</w:t>
      </w:r>
    </w:p>
    <w:p>
      <w:pPr>
        <w:spacing w:after="0" w:line="20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i w:val="1"/>
          <w:iCs w:val="1"/>
          <w:color w:val="auto"/>
        </w:rPr>
        <w:t>Form and Dating.</w:t>
      </w:r>
    </w:p>
    <w:p>
      <w:pPr>
        <w:spacing w:after="0" w:line="225" w:lineRule="exact"/>
        <w:rPr>
          <w:sz w:val="20"/>
          <w:szCs w:val="20"/>
          <w:color w:val="auto"/>
        </w:rPr>
      </w:pPr>
    </w:p>
    <w:p>
      <w:pPr>
        <w:ind w:left="4" w:right="40" w:firstLine="987"/>
        <w:spacing w:after="0" w:line="267" w:lineRule="auto"/>
        <w:tabs>
          <w:tab w:leader="none" w:pos="12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The Notes and the Trustee’s certificate of authentication will be substantially in the form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hereto. The Notes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notations, legends or endorsements required by law, stock exchange rule or usage. Each Note will be dated the date of its authentication. The Notes shall be in minimum denominations of $2,000 and integral multiples of $1,000 in excess thereof.</w:t>
      </w:r>
    </w:p>
    <w:p>
      <w:pPr>
        <w:spacing w:after="0" w:line="175" w:lineRule="exact"/>
        <w:rPr>
          <w:sz w:val="20"/>
          <w:szCs w:val="20"/>
          <w:color w:val="auto"/>
        </w:rPr>
      </w:pPr>
    </w:p>
    <w:p>
      <w:pPr>
        <w:ind w:left="4" w:right="300" w:firstLine="440"/>
        <w:spacing w:after="0" w:line="261" w:lineRule="auto"/>
        <w:rPr>
          <w:sz w:val="20"/>
          <w:szCs w:val="20"/>
          <w:color w:val="auto"/>
        </w:rPr>
      </w:pPr>
      <w:r>
        <w:rPr>
          <w:rFonts w:ascii="Times New Roman" w:cs="Times New Roman" w:eastAsia="Times New Roman" w:hAnsi="Times New Roman"/>
          <w:sz w:val="18"/>
          <w:szCs w:val="18"/>
          <w:color w:val="auto"/>
        </w:rPr>
        <w:t>The terms and provisions contained in the Notes will constitute, and are hereby expressly made, a part of this Indenture and the Issuer, the Guarantors and the Trustee, by their execution and delivery of this Indenture, expressly agree to such terms and provisions and to be bound thereby. However, to the extent any provision of any Note conflicts with the express provisions of this Indenture, the provisions of this Indenture shall govern and be controlling.</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terms of the Notes will include those stated in this Indenture.</w:t>
      </w:r>
    </w:p>
    <w:p>
      <w:pPr>
        <w:spacing w:after="0" w:line="223" w:lineRule="exact"/>
        <w:rPr>
          <w:sz w:val="20"/>
          <w:szCs w:val="20"/>
          <w:color w:val="auto"/>
        </w:rPr>
      </w:pPr>
    </w:p>
    <w:p>
      <w:pPr>
        <w:jc w:val="both"/>
        <w:ind w:left="4" w:firstLine="987"/>
        <w:spacing w:after="0" w:line="269" w:lineRule="auto"/>
        <w:tabs>
          <w:tab w:leader="none" w:pos="1250"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Global Notes</w:t>
      </w:r>
      <w:r>
        <w:rPr>
          <w:rFonts w:ascii="Times New Roman" w:cs="Times New Roman" w:eastAsia="Times New Roman" w:hAnsi="Times New Roman"/>
          <w:sz w:val="17"/>
          <w:szCs w:val="17"/>
          <w:color w:val="auto"/>
        </w:rPr>
        <w:t>. Notes issued in global form will be substantially in the form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hereto (including the Global Note Legend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thereon and the “Schedule of Increases or Decreases of Interests in the Global Note” attached thereto). Each Global Note will represent such of the outstanding Notes as will be specified therein and each shall provide that it represents the aggregate principal amount of outstanding Notes from time to time endorsed thereon and that the aggregate principal amount of outstanding Notes represented thereby may from time to time be reduced or increased, as appropriate, to reflect exchanges and redemptions or repurchases. Any endorsement of a Global Note to reflect the amount of any increase or decrease in the aggregate principal amount of outstanding Notes represented thereby will be made by the Trustee or the Custodian, at the direction of the Trustee,</w:t>
      </w:r>
    </w:p>
    <w:p>
      <w:pPr>
        <w:spacing w:after="0" w:line="1" w:lineRule="exact"/>
        <w:rPr>
          <w:rFonts w:ascii="Times New Roman" w:cs="Times New Roman" w:eastAsia="Times New Roman" w:hAnsi="Times New Roman"/>
          <w:sz w:val="17"/>
          <w:szCs w:val="17"/>
          <w:color w:val="auto"/>
        </w:rPr>
      </w:pPr>
    </w:p>
    <w:p>
      <w:pPr>
        <w:ind w:left="4" w:right="100" w:hanging="4"/>
        <w:spacing w:after="0" w:line="260" w:lineRule="auto"/>
        <w:tabs>
          <w:tab w:leader="none" w:pos="21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exchange, in accordance with instructions given by the Holder thereof as required by Section 2.06 or (ii) in the case of a redemption or repurchase, in accordance with Section 2.06(a).</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24"/>
          </w:cols>
          <w:pgMar w:left="436" w:top="270" w:right="439" w:bottom="1440" w:gutter="0" w:footer="0" w:header="0"/>
        </w:sectPr>
      </w:pPr>
    </w:p>
    <w:bookmarkStart w:id="48" w:name="page49"/>
    <w:bookmarkEnd w:id="48"/>
    <w:p>
      <w:pPr>
        <w:ind w:right="60" w:firstLine="987"/>
        <w:spacing w:after="0" w:line="261" w:lineRule="auto"/>
        <w:tabs>
          <w:tab w:leader="none" w:pos="123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Euroclear and Clearstream Procedures Applicable. </w:t>
      </w:r>
      <w:r>
        <w:rPr>
          <w:rFonts w:ascii="Times New Roman" w:cs="Times New Roman" w:eastAsia="Times New Roman" w:hAnsi="Times New Roman"/>
          <w:sz w:val="18"/>
          <w:szCs w:val="18"/>
          <w:color w:val="auto"/>
        </w:rPr>
        <w:t>The provisions of the “Operating Procedures of the Euroclear System” and “Terms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Conditions Governing Use of Euroclear” and the “General Terms and Conditions of Clearstream Banking” and “Customer Handbook” of Clearstream will be applicable to transfers of beneficial interests in the Regulation S Global Note that are held by Participants through Euroclear or Clearstream.</w:t>
      </w:r>
    </w:p>
    <w:p>
      <w:pPr>
        <w:spacing w:after="0" w:line="179" w:lineRule="exact"/>
        <w:rPr>
          <w:rFonts w:ascii="Times New Roman" w:cs="Times New Roman" w:eastAsia="Times New Roman" w:hAnsi="Times New Roman"/>
          <w:sz w:val="18"/>
          <w:szCs w:val="18"/>
          <w:color w:val="auto"/>
        </w:rPr>
      </w:pPr>
    </w:p>
    <w:p>
      <w:pPr>
        <w:ind w:right="60" w:firstLine="987"/>
        <w:spacing w:after="0" w:line="284" w:lineRule="auto"/>
        <w:tabs>
          <w:tab w:leader="none" w:pos="124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Definitive Notes</w:t>
      </w:r>
      <w:r>
        <w:rPr>
          <w:rFonts w:ascii="Times New Roman" w:cs="Times New Roman" w:eastAsia="Times New Roman" w:hAnsi="Times New Roman"/>
          <w:sz w:val="18"/>
          <w:szCs w:val="18"/>
          <w:color w:val="auto"/>
        </w:rPr>
        <w:t>. Notes issued in definitive form shall be substantially in the form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attached hereto (but without the Global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 Legend thereon and without the “Schedule of Increases or Decreases of Interests in the Global Note” attached thereto).</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i w:val="1"/>
          <w:iCs w:val="1"/>
          <w:color w:val="auto"/>
        </w:rPr>
        <w:t>Execution and Authentication.</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 least one Officer must sign the Notes for the Issuer by manual, facsimile, electronic or electronically transmitted signature.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an Officer whose signature is on a Note no longer holds that office at the time a Note is authenticated, the Note will nevertheless be valid.</w:t>
      </w:r>
    </w:p>
    <w:p>
      <w:pPr>
        <w:spacing w:after="0" w:line="225"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A Note will not be valid until authenticated by the manual signature of the Trustee. The signature will be conclusive evidence that the Note has been authenticated under this Indenture.</w:t>
      </w:r>
    </w:p>
    <w:p>
      <w:pPr>
        <w:spacing w:after="0" w:line="16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Trustee will, upon receipt of a written order of the Issuer signed by an Officer of the Issuer (an “</w:t>
      </w:r>
      <w:r>
        <w:rPr>
          <w:rFonts w:ascii="Times New Roman" w:cs="Times New Roman" w:eastAsia="Times New Roman" w:hAnsi="Times New Roman"/>
          <w:sz w:val="18"/>
          <w:szCs w:val="18"/>
          <w:i w:val="1"/>
          <w:iCs w:val="1"/>
          <w:color w:val="auto"/>
        </w:rPr>
        <w:t>Authentication Order</w:t>
      </w:r>
      <w:r>
        <w:rPr>
          <w:rFonts w:ascii="Times New Roman" w:cs="Times New Roman" w:eastAsia="Times New Roman" w:hAnsi="Times New Roman"/>
          <w:sz w:val="18"/>
          <w:szCs w:val="18"/>
          <w:color w:val="auto"/>
        </w:rPr>
        <w:t>”), authenticate Notes for original issue (i) on the Issue Date as Initial Notes in the aggregate principal amount of $400,000,000 and (ii) from time to time any Additional Notes that may be validly issued under this Indenture. The aggregate principal amount of Notes outstanding at any time may not exceed the aggregate principal amount of Notes authorized for issuance by the Issuer pursuant to one or more Authentication Orders, except as provided in Section 2.07.</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Trustee shall also authenticate and deliver Notes at the times and in the manner specified in Sections 2.06, 2.07, 2.10, 3.06, 3.10, 4.15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9.04.</w:t>
      </w:r>
    </w:p>
    <w:p>
      <w:pPr>
        <w:spacing w:after="0" w:line="207"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The Trustee may appoint an authenticating agent acceptable to the Issuer to authenticate Notes. An authenticating agent may authenticate Notes whenever the Trustee may do so. Each reference in this Indenture to authentication by the Trustee includes authentication by such agent. An authenticating agent has the same rights as an Agent to deal with Holders or an Affiliate of the Issuer.</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i w:val="1"/>
          <w:iCs w:val="1"/>
          <w:color w:val="auto"/>
        </w:rPr>
        <w:t>Registrar and Paying Agent.</w:t>
      </w:r>
    </w:p>
    <w:p>
      <w:pPr>
        <w:spacing w:after="0" w:line="225" w:lineRule="exact"/>
        <w:rPr>
          <w:sz w:val="20"/>
          <w:szCs w:val="20"/>
          <w:color w:val="auto"/>
        </w:rPr>
      </w:pPr>
    </w:p>
    <w:p>
      <w:pPr>
        <w:ind w:right="60" w:firstLine="440"/>
        <w:spacing w:after="0" w:line="257" w:lineRule="auto"/>
        <w:rPr>
          <w:sz w:val="20"/>
          <w:szCs w:val="20"/>
          <w:color w:val="auto"/>
        </w:rPr>
      </w:pPr>
      <w:r>
        <w:rPr>
          <w:rFonts w:ascii="Times New Roman" w:cs="Times New Roman" w:eastAsia="Times New Roman" w:hAnsi="Times New Roman"/>
          <w:sz w:val="18"/>
          <w:szCs w:val="18"/>
          <w:color w:val="auto"/>
        </w:rPr>
        <w:t>The Issuer will maintain an office or agency where Notes may be presented for registration of transfer or for exchange (“</w:t>
      </w:r>
      <w:r>
        <w:rPr>
          <w:rFonts w:ascii="Times New Roman" w:cs="Times New Roman" w:eastAsia="Times New Roman" w:hAnsi="Times New Roman"/>
          <w:sz w:val="18"/>
          <w:szCs w:val="18"/>
          <w:i w:val="1"/>
          <w:iCs w:val="1"/>
          <w:color w:val="auto"/>
        </w:rPr>
        <w:t>Registrar</w:t>
      </w:r>
      <w:r>
        <w:rPr>
          <w:rFonts w:ascii="Times New Roman" w:cs="Times New Roman" w:eastAsia="Times New Roman" w:hAnsi="Times New Roman"/>
          <w:sz w:val="18"/>
          <w:szCs w:val="18"/>
          <w:color w:val="auto"/>
        </w:rPr>
        <w:t>”) and an office or agency where Notes may be presented for payment (“</w:t>
      </w:r>
      <w:r>
        <w:rPr>
          <w:rFonts w:ascii="Times New Roman" w:cs="Times New Roman" w:eastAsia="Times New Roman" w:hAnsi="Times New Roman"/>
          <w:sz w:val="18"/>
          <w:szCs w:val="18"/>
          <w:i w:val="1"/>
          <w:iCs w:val="1"/>
          <w:color w:val="auto"/>
        </w:rPr>
        <w:t>Paying Agent</w:t>
      </w:r>
      <w:r>
        <w:rPr>
          <w:rFonts w:ascii="Times New Roman" w:cs="Times New Roman" w:eastAsia="Times New Roman" w:hAnsi="Times New Roman"/>
          <w:sz w:val="18"/>
          <w:szCs w:val="18"/>
          <w:color w:val="auto"/>
        </w:rPr>
        <w:t>”). The Registrar will keep a register of the Notes and of their transfer and exchange. The Issuer may appoint one or more co-registrars and one or more additional paying agents. The term “Registrar” includes any co-registrar and the term “Paying Agent” includes any additional paying agent. The Issuer may change any Paying Agent or Registrar without notice to any Holder. The Issuer will notify the Trustee in writing of the name and address of any Agent not a party to this Indenture. If the Issuer fails to appoint or maintain another entity as Registrar or Paying Agent, the Trustee shall act as such. The Issuer or any of its Subsidiaries may act as Paying Agent or Registrar.</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Issuer initially appoints The Depository Trust Company (“</w:t>
      </w:r>
      <w:r>
        <w:rPr>
          <w:rFonts w:ascii="Times New Roman" w:cs="Times New Roman" w:eastAsia="Times New Roman" w:hAnsi="Times New Roman"/>
          <w:sz w:val="18"/>
          <w:szCs w:val="18"/>
          <w:i w:val="1"/>
          <w:iCs w:val="1"/>
          <w:color w:val="auto"/>
        </w:rPr>
        <w:t>DTC</w:t>
      </w:r>
      <w:r>
        <w:rPr>
          <w:rFonts w:ascii="Times New Roman" w:cs="Times New Roman" w:eastAsia="Times New Roman" w:hAnsi="Times New Roman"/>
          <w:sz w:val="18"/>
          <w:szCs w:val="18"/>
          <w:color w:val="auto"/>
        </w:rPr>
        <w:t>”) to act as Depositary with respect to the Global Notes.</w:t>
      </w:r>
    </w:p>
    <w:p>
      <w:pPr>
        <w:spacing w:after="0" w:line="160"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00"/>
          </w:cols>
          <w:pgMar w:left="440" w:top="268" w:right="459" w:bottom="1440" w:gutter="0" w:footer="0" w:header="0"/>
        </w:sectPr>
      </w:pPr>
    </w:p>
    <w:bookmarkStart w:id="49" w:name="page50"/>
    <w:bookmarkEnd w:id="49"/>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Issuer initially appoints the Trustee to act as the Registrar and Paying Agent (at its office indicated in the definition of “Corporate Trust Office of the Trustee” in Section 1.01) and to act as Custodian with respect to the Global Notes.</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i w:val="1"/>
          <w:iCs w:val="1"/>
          <w:color w:val="auto"/>
        </w:rPr>
        <w:t>Paying Agent to Hold Money in Trust.</w:t>
      </w:r>
    </w:p>
    <w:p>
      <w:pPr>
        <w:spacing w:after="0" w:line="227"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The Issuer will require each Paying Agent other than the Trustee to agree in writing that the Paying Agent will hold in trust for the benefit of Holders or the Trustee all money held by the Paying Agent for the payment of principal of, premium on, if any, or interest on the Notes, and will notify the Trustee of any default by the Issuer in making any such payment. While any such default continues, the Trustee may require a Paying Agent to pay all money held by it to the Trustee. The Issuer at any time may require a Paying Agent to pay all money held by it to the Trustee. Upon payment over to the Trustee, the Paying Agent (if other than the Issuer or a Subsidiary) will have no further liability for the money. If the Issuer or a Subsidiary acts as Paying Agent, it will segregate and hold in a separate trust fund for the benefit of the Holders all money held by it as Paying Agent. Upon any bankruptcy or reorganization proceedings relating to the Issuer, the Trustee will serve as Paying Agent for the Notes.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i w:val="1"/>
          <w:iCs w:val="1"/>
          <w:color w:val="auto"/>
        </w:rPr>
        <w:t>Holder Lists.</w:t>
      </w:r>
    </w:p>
    <w:p>
      <w:pPr>
        <w:spacing w:after="0" w:line="227"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The Trustee will preserve in as current a form as is reasonably practicable the most recent list available to it of the names and addresses of all Holders. If the Trustee is not the Registrar, the Issuer will furnish to the Trustee at least seven Business Days before each Interest Payment Date and at such other times as the Trustee may request in writing, a list in such form and as of such date as the Trustee may reasonably require of the names and addresses of the Holders of the Notes.</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i w:val="1"/>
          <w:iCs w:val="1"/>
          <w:color w:val="auto"/>
        </w:rPr>
        <w:t>Transfer and Exchange.</w:t>
      </w:r>
    </w:p>
    <w:p>
      <w:pPr>
        <w:spacing w:after="0" w:line="225" w:lineRule="exact"/>
        <w:rPr>
          <w:sz w:val="20"/>
          <w:szCs w:val="20"/>
          <w:color w:val="auto"/>
        </w:rPr>
      </w:pPr>
    </w:p>
    <w:p>
      <w:pPr>
        <w:ind w:firstLine="987"/>
        <w:spacing w:after="0" w:line="267" w:lineRule="auto"/>
        <w:tabs>
          <w:tab w:leader="none" w:pos="1236"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 and Exchange of Global Notes</w:t>
      </w:r>
      <w:r>
        <w:rPr>
          <w:rFonts w:ascii="Times New Roman" w:cs="Times New Roman" w:eastAsia="Times New Roman" w:hAnsi="Times New Roman"/>
          <w:sz w:val="18"/>
          <w:szCs w:val="18"/>
          <w:color w:val="auto"/>
        </w:rPr>
        <w:t>. A Global Note may not be transferred except as a whole by the Depositary to a nominee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Depositary, by a nominee of the Depositary to the Depositary or to another nominee of the Depositary, or by the Depositary or any such nominee to a successor Depositary or a nominee of such successor Depositary. All Global Notes will be exchanged by the Issuer for Definitive Notes if:</w:t>
      </w:r>
    </w:p>
    <w:p>
      <w:pPr>
        <w:spacing w:after="0" w:line="67" w:lineRule="exact"/>
        <w:rPr>
          <w:rFonts w:ascii="Times New Roman" w:cs="Times New Roman" w:eastAsia="Times New Roman" w:hAnsi="Times New Roman"/>
          <w:sz w:val="18"/>
          <w:szCs w:val="18"/>
          <w:color w:val="auto"/>
        </w:rPr>
      </w:pPr>
    </w:p>
    <w:p>
      <w:pPr>
        <w:ind w:left="440" w:right="180" w:firstLine="419"/>
        <w:spacing w:after="0" w:line="266" w:lineRule="auto"/>
        <w:tabs>
          <w:tab w:leader="none" w:pos="111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notifies the Issuer that it is unwilling or unable to continue to act as Depositary or that it is no longer a clearing agency registered under the Exchange Act and, in either case, a successor Depositary is not appointed by the Issuer within 90 days after the date of such notice from the Depositary; or</w:t>
      </w:r>
    </w:p>
    <w:p>
      <w:pPr>
        <w:spacing w:after="0" w:line="67"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11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occurred and is continuing an Event of Default and the Depositary notifies the Trustee of its decision to exchange such Global Note for Definitive Notes.</w:t>
      </w:r>
    </w:p>
    <w:p>
      <w:pPr>
        <w:spacing w:after="0" w:line="162"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Upon the occurrence of the preceding events in clause (1) or (2) above, Definitive Notes shall be issued in such names as the Depositary shall instruct the Trustee. Global Notes also may be exchanged or replaced, in whole or in part, as provided in Sections 2.07 and 2.10. Every Note authenticated and delivered in exchange for, or in lieu of, a Global Note or any portion thereof, pursuant to this Section 2.06 or Section 2.07 or 2.10, shall be authenticated and delivered in the form of, and shall be, a Global Note. A Global Note may not be exchanged for another Note other than as provided in this Section 2.06(a); however, beneficial interests in a Global Note may be transferred and exchanged as provided in Section 2.06(b) or (c). Whenever any provision herein refers to issuance by the Issuer and authentication and delivery by the Trustee of a new Note in exchange for the portion of a surrendered Note that has not been redeemed or repurchased, as the case may be, in lieu of the surrender of any Global Note and the issuance, authentication and delivery of a new Global Note in exchange therefor, the Trustee or the Depositary at the direction of the Trustee may endorse such Global Note to reflect a reduction in the principal amount represented thereby in the amount of Notes so represented that have been so redeemed or repurchased.</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00"/>
          </w:cols>
          <w:pgMar w:left="440" w:top="270" w:right="459" w:bottom="1440" w:gutter="0" w:footer="0" w:header="0"/>
        </w:sectPr>
      </w:pPr>
    </w:p>
    <w:bookmarkStart w:id="50" w:name="page51"/>
    <w:bookmarkEnd w:id="50"/>
    <w:p>
      <w:pPr>
        <w:ind w:right="40" w:firstLine="987"/>
        <w:spacing w:after="0" w:line="253" w:lineRule="auto"/>
        <w:tabs>
          <w:tab w:leader="none" w:pos="1246"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Transfer and Exchange of Beneficial Interests in the Global Notes</w:t>
      </w:r>
      <w:r>
        <w:rPr>
          <w:rFonts w:ascii="Times New Roman" w:cs="Times New Roman" w:eastAsia="Times New Roman" w:hAnsi="Times New Roman"/>
          <w:sz w:val="18"/>
          <w:szCs w:val="18"/>
          <w:color w:val="auto"/>
        </w:rPr>
        <w:t>. The transfer and exchange of beneficial interests in the Global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will be effected through the Depositary, in accordance with the provisions of this Indenture and the Applicable Procedures. Participants and Indirect Participants shall have no rights under this Indenture with respect to any Global Note held on their behalf by the Depositary or by the Trustee as the Custodian with respect to the Global Notes, and the Issuer, the Trustee, any Agent and any agent of the Issuer or the Trustee shall be entitled to treat the Depositary as the absolute owner of such Global Note for all purposes whatsoever. Notwithstanding the foregoing, nothing herein shall prevent the Issuer, the Trustee or any agent of the Issuer or the Trustee from giving effect to any written certification, proxy or other authorization furnished by the Depositary or impair, as between the Depositary and its Participants or the Indirect Participants, the operation of customary practices of such Depositary governing the exercise of the rights of a holder of a beneficial interest in any Global Note. Subject to the provisions of this Section 2.06 and</w:t>
      </w:r>
    </w:p>
    <w:p>
      <w:pPr>
        <w:spacing w:after="0" w:line="2" w:lineRule="exact"/>
        <w:rPr>
          <w:rFonts w:ascii="Times New Roman" w:cs="Times New Roman" w:eastAsia="Times New Roman" w:hAnsi="Times New Roman"/>
          <w:sz w:val="18"/>
          <w:szCs w:val="18"/>
          <w:color w:val="auto"/>
        </w:rPr>
      </w:pPr>
    </w:p>
    <w:p>
      <w:pPr>
        <w:jc w:val="both"/>
        <w:ind w:right="3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12.15, the Holder of a Global Note shall be entitled to grant proxies and otherwise authorize any Person, including Participants and Indirect Participants and Persons that may hold interests through such Persons, to take any action that a Holder is entitled to take under this Indenture or the Notes. Beneficial interests in the Restricted Global Notes will be subject to restrictions on transfer comparable to those set forth herein to the extent required by the Securities Act. Transfers of beneficial interests in the Global Notes also will require compliance with either subparagraph (1) or (2) below, as applicable, as well as one or more of the other following subparagraphs, as applicable:</w:t>
      </w:r>
    </w:p>
    <w:p>
      <w:pPr>
        <w:spacing w:after="0" w:line="76" w:lineRule="exact"/>
        <w:rPr>
          <w:rFonts w:ascii="Times New Roman" w:cs="Times New Roman" w:eastAsia="Times New Roman" w:hAnsi="Times New Roman"/>
          <w:sz w:val="18"/>
          <w:szCs w:val="18"/>
          <w:color w:val="auto"/>
        </w:rPr>
      </w:pPr>
    </w:p>
    <w:p>
      <w:pPr>
        <w:ind w:left="440" w:firstLine="419"/>
        <w:spacing w:after="0" w:line="270" w:lineRule="auto"/>
        <w:tabs>
          <w:tab w:leader="none" w:pos="1118"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Transfer of Beneficial Interests in the Same Global Note</w:t>
      </w:r>
      <w:r>
        <w:rPr>
          <w:rFonts w:ascii="Times New Roman" w:cs="Times New Roman" w:eastAsia="Times New Roman" w:hAnsi="Times New Roman"/>
          <w:sz w:val="17"/>
          <w:szCs w:val="17"/>
          <w:color w:val="auto"/>
        </w:rPr>
        <w:t>. Beneficial interests in any Restricted Global Note may be transferred to Persons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who take delivery thereof in the form of a beneficial interest in the same Restricted Global Note in accordance with the transfer restrictions set forth in the Private Placement Legend and any Applicable Procedures. Beneficial interests in any Unrestricted Global Note may be transferred to Persons who take delivery thereof in the form of a beneficial interest in an Unrestricted Global Note. Except as may be required by any Applicable Procedures, no written orders or instructions shall be required to be delivered to the Registrar to effect the transfers described in this</w:t>
      </w:r>
    </w:p>
    <w:p>
      <w:pPr>
        <w:ind w:left="4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Section 2.06(b)(1).</w:t>
      </w:r>
    </w:p>
    <w:p>
      <w:pPr>
        <w:spacing w:after="0" w:line="96" w:lineRule="exact"/>
        <w:rPr>
          <w:rFonts w:ascii="Times New Roman" w:cs="Times New Roman" w:eastAsia="Times New Roman" w:hAnsi="Times New Roman"/>
          <w:sz w:val="17"/>
          <w:szCs w:val="17"/>
          <w:color w:val="auto"/>
        </w:rPr>
      </w:pPr>
    </w:p>
    <w:p>
      <w:pPr>
        <w:ind w:left="440" w:right="160" w:firstLine="419"/>
        <w:spacing w:after="0" w:line="284" w:lineRule="auto"/>
        <w:tabs>
          <w:tab w:leader="none" w:pos="111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All Other Transfers and Exchanges of Beneficial Interests in Global Notes. </w:t>
      </w:r>
      <w:r>
        <w:rPr>
          <w:rFonts w:ascii="Times New Roman" w:cs="Times New Roman" w:eastAsia="Times New Roman" w:hAnsi="Times New Roman"/>
          <w:sz w:val="18"/>
          <w:szCs w:val="18"/>
          <w:color w:val="auto"/>
        </w:rPr>
        <w:t>In connection with all transfers and exchanges of beneficial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interests that are not subject to Section 2.06(b)(1) above, the transferor of such beneficial interest must deliver to the Registrar either:</w:t>
      </w:r>
    </w:p>
    <w:p>
      <w:pPr>
        <w:spacing w:after="0" w:line="52"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w:t>
      </w:r>
    </w:p>
    <w:p>
      <w:pPr>
        <w:spacing w:after="0" w:line="117" w:lineRule="exact"/>
        <w:rPr>
          <w:rFonts w:ascii="Times New Roman" w:cs="Times New Roman" w:eastAsia="Times New Roman" w:hAnsi="Times New Roman"/>
          <w:sz w:val="18"/>
          <w:szCs w:val="18"/>
          <w:color w:val="auto"/>
        </w:rPr>
      </w:pPr>
    </w:p>
    <w:p>
      <w:pPr>
        <w:ind w:left="1420" w:right="120" w:firstLine="391"/>
        <w:spacing w:after="0" w:line="266" w:lineRule="auto"/>
        <w:tabs>
          <w:tab w:leader="none" w:pos="2018" w:val="left"/>
        </w:tabs>
        <w:numPr>
          <w:ilvl w:val="3"/>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w:t>
      </w:r>
    </w:p>
    <w:p>
      <w:pPr>
        <w:spacing w:after="0" w:line="67" w:lineRule="exact"/>
        <w:rPr>
          <w:rFonts w:ascii="Times New Roman" w:cs="Times New Roman" w:eastAsia="Times New Roman" w:hAnsi="Times New Roman"/>
          <w:sz w:val="18"/>
          <w:szCs w:val="18"/>
          <w:color w:val="auto"/>
        </w:rPr>
      </w:pPr>
    </w:p>
    <w:p>
      <w:pPr>
        <w:ind w:left="1420" w:right="160" w:firstLine="391"/>
        <w:spacing w:after="0" w:line="282" w:lineRule="auto"/>
        <w:tabs>
          <w:tab w:leader="none" w:pos="2068" w:val="left"/>
        </w:tabs>
        <w:numPr>
          <w:ilvl w:val="3"/>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instructions given in accordance with the Applicable Procedures containing information regarding the Participant account to be credited with such increase; or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0"/>
          </w:cols>
          <w:pgMar w:left="440" w:top="268" w:right="459" w:bottom="1440" w:gutter="0" w:footer="0" w:header="0"/>
        </w:sectPr>
      </w:pPr>
    </w:p>
    <w:bookmarkStart w:id="51" w:name="page52"/>
    <w:bookmarkEnd w:id="51"/>
    <w:p>
      <w:pPr>
        <w:ind w:left="1240" w:hanging="292"/>
        <w:spacing w:after="0"/>
        <w:tabs>
          <w:tab w:leader="none" w:pos="12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both:</w:t>
      </w:r>
    </w:p>
    <w:p>
      <w:pPr>
        <w:spacing w:after="0" w:line="117" w:lineRule="exact"/>
        <w:rPr>
          <w:rFonts w:ascii="Times New Roman" w:cs="Times New Roman" w:eastAsia="Times New Roman" w:hAnsi="Times New Roman"/>
          <w:sz w:val="18"/>
          <w:szCs w:val="18"/>
          <w:color w:val="auto"/>
        </w:rPr>
      </w:pPr>
    </w:p>
    <w:p>
      <w:pPr>
        <w:ind w:left="980" w:right="480" w:firstLine="391"/>
        <w:spacing w:after="0" w:line="266" w:lineRule="auto"/>
        <w:tabs>
          <w:tab w:leader="none" w:pos="1578"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order from a Participant or an Indirect Participant given to the Depositary in accordance with the Applicable Procedures directing the Depositary to cause to be issued a Definitive Note in an amount equal to the beneficial interest to be transferred or exchanged; and</w:t>
      </w:r>
    </w:p>
    <w:p>
      <w:pPr>
        <w:spacing w:after="0" w:line="67" w:lineRule="exact"/>
        <w:rPr>
          <w:rFonts w:ascii="Times New Roman" w:cs="Times New Roman" w:eastAsia="Times New Roman" w:hAnsi="Times New Roman"/>
          <w:sz w:val="18"/>
          <w:szCs w:val="18"/>
          <w:color w:val="auto"/>
        </w:rPr>
      </w:pPr>
    </w:p>
    <w:p>
      <w:pPr>
        <w:ind w:left="980" w:right="400" w:firstLine="391"/>
        <w:spacing w:after="0" w:line="282" w:lineRule="auto"/>
        <w:tabs>
          <w:tab w:leader="none" w:pos="1628"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instructions given by the Depositary to the Registrar containing information regarding the Person in whose name such Definitive Note shall be registered to effect the transfer or exchange referred to in (1) above.</w:t>
      </w:r>
    </w:p>
    <w:p>
      <w:pPr>
        <w:spacing w:after="0" w:line="54"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Upon satisfaction of all of the requirements for transfer or exchange of beneficial interests in Global Notes contained in this Indenture and the Notes or otherwise applicable under the Securities Act, the Trustee shall adjust the principal amount of the relevant Global Note(s) pursuant to Section 2.06(h).</w:t>
      </w:r>
    </w:p>
    <w:p>
      <w:pPr>
        <w:spacing w:after="0" w:line="66" w:lineRule="exact"/>
        <w:rPr>
          <w:sz w:val="20"/>
          <w:szCs w:val="20"/>
          <w:color w:val="auto"/>
        </w:rPr>
      </w:pPr>
    </w:p>
    <w:p>
      <w:pPr>
        <w:jc w:val="both"/>
        <w:ind w:right="280" w:firstLine="948"/>
        <w:spacing w:after="0" w:line="267" w:lineRule="auto"/>
        <w:tabs>
          <w:tab w:leader="none" w:pos="120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Transfer of Beneficial Interests to Another Restricted Global Note. </w:t>
      </w:r>
      <w:r>
        <w:rPr>
          <w:rFonts w:ascii="Times New Roman" w:cs="Times New Roman" w:eastAsia="Times New Roman" w:hAnsi="Times New Roman"/>
          <w:sz w:val="18"/>
          <w:szCs w:val="18"/>
          <w:color w:val="auto"/>
        </w:rPr>
        <w:t>A beneficial interest in any Restricted Global Note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transferred to a Person who takes delivery thereof in the form of a beneficial interest in another Restricted Global Note if the transfer complies with the requirements of Section 2.06(b)(2) above and the Registrar receives the following:</w:t>
      </w:r>
    </w:p>
    <w:p>
      <w:pPr>
        <w:spacing w:after="0" w:line="67" w:lineRule="exact"/>
        <w:rPr>
          <w:sz w:val="20"/>
          <w:szCs w:val="20"/>
          <w:color w:val="auto"/>
        </w:rPr>
      </w:pPr>
    </w:p>
    <w:p>
      <w:pPr>
        <w:ind w:left="540" w:right="80" w:firstLine="408"/>
        <w:spacing w:after="0" w:line="282" w:lineRule="auto"/>
        <w:tabs>
          <w:tab w:leader="none" w:pos="1236"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transferee will take delivery in the form of a beneficial interest in the 144A Global Note, then the transferor must deliver a certificate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(1) thereof; and</w:t>
      </w:r>
    </w:p>
    <w:p>
      <w:pPr>
        <w:spacing w:after="0" w:line="53" w:lineRule="exact"/>
        <w:rPr>
          <w:rFonts w:ascii="Times New Roman" w:cs="Times New Roman" w:eastAsia="Times New Roman" w:hAnsi="Times New Roman"/>
          <w:sz w:val="18"/>
          <w:szCs w:val="18"/>
          <w:color w:val="auto"/>
        </w:rPr>
      </w:pPr>
    </w:p>
    <w:p>
      <w:pPr>
        <w:ind w:left="540" w:firstLine="408"/>
        <w:spacing w:after="0" w:line="261" w:lineRule="auto"/>
        <w:tabs>
          <w:tab w:leader="none" w:pos="1226"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transferee shall take delivery in the form of a beneficial interest in the Regulation S Global Note, then the transferor shall deliver a certificate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(2) thereof or, if permitted by the Applicable Procedures, item (3)(a) thereof (if available), then the transferee must hold such interests through Euroclear or Clearstream (as Participants in the Depositary).</w:t>
      </w:r>
    </w:p>
    <w:p>
      <w:pPr>
        <w:spacing w:after="0" w:line="69" w:lineRule="exact"/>
        <w:rPr>
          <w:rFonts w:ascii="Times New Roman" w:cs="Times New Roman" w:eastAsia="Times New Roman" w:hAnsi="Times New Roman"/>
          <w:sz w:val="18"/>
          <w:szCs w:val="18"/>
          <w:color w:val="auto"/>
        </w:rPr>
      </w:pPr>
    </w:p>
    <w:p>
      <w:pPr>
        <w:ind w:right="80" w:firstLine="419"/>
        <w:spacing w:after="0" w:line="261" w:lineRule="auto"/>
        <w:tabs>
          <w:tab w:leader="none" w:pos="67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Transfer and Exchange of Beneficial Interests in a Restricted Global Note for Beneficial Interests in an Unrestricted Global Note. </w:t>
      </w: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beneficial interest in any Restricted Global Note may be exchanged by any holder thereof for a beneficial interest in an Unrestricted Global Note or transferred to a Person who takes delivery thereof in the form of a beneficial interest in an Unrestricted Global Note if the exchange or transfer complies with the requirements of Section 2.06(b)(2) above and:</w:t>
      </w:r>
    </w:p>
    <w:p>
      <w:pPr>
        <w:spacing w:after="0" w:line="73" w:lineRule="exact"/>
        <w:rPr>
          <w:rFonts w:ascii="Times New Roman" w:cs="Times New Roman" w:eastAsia="Times New Roman" w:hAnsi="Times New Roman"/>
          <w:sz w:val="18"/>
          <w:szCs w:val="18"/>
          <w:color w:val="auto"/>
        </w:rPr>
      </w:pPr>
    </w:p>
    <w:p>
      <w:pPr>
        <w:ind w:left="1240" w:hanging="292"/>
        <w:spacing w:after="0"/>
        <w:tabs>
          <w:tab w:leader="none" w:pos="124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1240" w:hanging="292"/>
        <w:spacing w:after="0"/>
        <w:tabs>
          <w:tab w:leader="none" w:pos="124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1240" w:hanging="292"/>
        <w:spacing w:after="0"/>
        <w:tabs>
          <w:tab w:leader="none" w:pos="124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1240" w:hanging="292"/>
        <w:spacing w:after="0"/>
        <w:tabs>
          <w:tab w:leader="none" w:pos="124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Registrar receives the following:</w:t>
      </w:r>
    </w:p>
    <w:p>
      <w:pPr>
        <w:spacing w:after="0" w:line="117" w:lineRule="exact"/>
        <w:rPr>
          <w:rFonts w:ascii="Times New Roman" w:cs="Times New Roman" w:eastAsia="Times New Roman" w:hAnsi="Times New Roman"/>
          <w:sz w:val="18"/>
          <w:szCs w:val="18"/>
          <w:color w:val="auto"/>
        </w:rPr>
      </w:pPr>
    </w:p>
    <w:p>
      <w:pPr>
        <w:ind w:left="980" w:right="480" w:firstLine="391"/>
        <w:spacing w:after="0" w:line="266" w:lineRule="auto"/>
        <w:tabs>
          <w:tab w:leader="none" w:pos="1578" w:val="left"/>
        </w:tabs>
        <w:numPr>
          <w:ilvl w:val="2"/>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holder of such beneficial interest in a Restricted Global Note proposes to exchange such beneficial interest for a beneficial interest in an Unrestricted Global Note, a certificate from such holder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including the certifications in item (1)(a) thereof; or</w:t>
      </w:r>
    </w:p>
    <w:p>
      <w:pPr>
        <w:spacing w:after="0" w:line="67" w:lineRule="exact"/>
        <w:rPr>
          <w:rFonts w:ascii="Times New Roman" w:cs="Times New Roman" w:eastAsia="Times New Roman" w:hAnsi="Times New Roman"/>
          <w:sz w:val="18"/>
          <w:szCs w:val="18"/>
          <w:color w:val="auto"/>
        </w:rPr>
      </w:pPr>
    </w:p>
    <w:p>
      <w:pPr>
        <w:ind w:left="980" w:right="100" w:firstLine="391"/>
        <w:spacing w:after="0" w:line="266" w:lineRule="auto"/>
        <w:tabs>
          <w:tab w:leader="none" w:pos="1628" w:val="left"/>
        </w:tabs>
        <w:numPr>
          <w:ilvl w:val="2"/>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beneficial interest in a Restricted Global Note proposes to transfer such beneficial interest to a Person who shall take delivery thereof in the form of a beneficial interest in an Unrestricted Global Note, a certificate from such holder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(4) thereof;</w:t>
      </w:r>
    </w:p>
    <w:p>
      <w:pPr>
        <w:spacing w:after="0" w:line="10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540"/>
          </w:cols>
          <w:pgMar w:left="880" w:top="270" w:right="479" w:bottom="1440" w:gutter="0" w:footer="0" w:header="0"/>
        </w:sectPr>
      </w:pPr>
    </w:p>
    <w:bookmarkStart w:id="52" w:name="page53"/>
    <w:bookmarkEnd w:id="52"/>
    <w:p>
      <w:pPr>
        <w:ind w:left="14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in each such case set forth in this subparagraph (D),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80" w:lineRule="exact"/>
        <w:rPr>
          <w:sz w:val="20"/>
          <w:szCs w:val="20"/>
          <w:color w:val="auto"/>
        </w:rPr>
      </w:pPr>
    </w:p>
    <w:p>
      <w:pPr>
        <w:ind w:right="260" w:firstLine="440"/>
        <w:spacing w:after="0" w:line="261" w:lineRule="auto"/>
        <w:rPr>
          <w:sz w:val="20"/>
          <w:szCs w:val="20"/>
          <w:color w:val="auto"/>
        </w:rPr>
      </w:pPr>
      <w:r>
        <w:rPr>
          <w:rFonts w:ascii="Times New Roman" w:cs="Times New Roman" w:eastAsia="Times New Roman" w:hAnsi="Times New Roman"/>
          <w:sz w:val="18"/>
          <w:szCs w:val="18"/>
          <w:color w:val="auto"/>
        </w:rPr>
        <w:t>If any such transfer or exchange is effected pursuant to subparagraph (D) above at a time when an Unrestricted Global Note has not yet been issued, the Issuer shall issue and, upon receipt of an Authentication Order in accordance with Section 2.02, the Trustee shall authenticate one or more Unrestricted Global Notes in an aggregate principal amount equal to the aggregate principal amount of beneficial interests transferred or exchanged pursuant to subparagraph (D) above.</w:t>
      </w:r>
    </w:p>
    <w:p>
      <w:pPr>
        <w:spacing w:after="0" w:line="180"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Beneficial interests in an Unrestricted Global Note cannot be exchanged for, or transferred to Persons who take delivery thereof in the form of, a beneficial interest in a Restricted Global Note.</w:t>
      </w:r>
    </w:p>
    <w:p>
      <w:pPr>
        <w:spacing w:after="0" w:line="160" w:lineRule="exact"/>
        <w:rPr>
          <w:sz w:val="20"/>
          <w:szCs w:val="20"/>
          <w:color w:val="auto"/>
        </w:rPr>
      </w:pPr>
    </w:p>
    <w:p>
      <w:pPr>
        <w:ind w:left="1240" w:hanging="253"/>
        <w:spacing w:after="0"/>
        <w:tabs>
          <w:tab w:leader="none" w:pos="124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 or Exchange of Beneficial Interests for Definitive Notes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80" w:firstLine="419"/>
        <w:spacing w:after="0" w:line="267" w:lineRule="auto"/>
        <w:tabs>
          <w:tab w:leader="none" w:pos="111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Beneficial Interests in Restricted Global Notes to Restricted Definitive Notes. </w:t>
      </w:r>
      <w:r>
        <w:rPr>
          <w:rFonts w:ascii="Times New Roman" w:cs="Times New Roman" w:eastAsia="Times New Roman" w:hAnsi="Times New Roman"/>
          <w:sz w:val="18"/>
          <w:szCs w:val="18"/>
          <w:color w:val="auto"/>
        </w:rPr>
        <w:t>If any holder of a beneficial interest in a Restricted Global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 proposes to exchange such beneficial interest for a Restricted Definitive Note or to transfer such beneficial interest to a Person who takes delivery thereof in the form of a Restricted Definitive Note, then, upon receipt by the Registrar of the following documentation:</w:t>
      </w:r>
    </w:p>
    <w:p>
      <w:pPr>
        <w:spacing w:after="0" w:line="67" w:lineRule="exact"/>
        <w:rPr>
          <w:rFonts w:ascii="Times New Roman" w:cs="Times New Roman" w:eastAsia="Times New Roman" w:hAnsi="Times New Roman"/>
          <w:sz w:val="18"/>
          <w:szCs w:val="18"/>
          <w:color w:val="auto"/>
        </w:rPr>
      </w:pPr>
    </w:p>
    <w:p>
      <w:pPr>
        <w:ind w:left="980" w:right="80" w:firstLine="408"/>
        <w:spacing w:after="0" w:line="312" w:lineRule="auto"/>
        <w:tabs>
          <w:tab w:leader="none" w:pos="1676" w:val="left"/>
        </w:tabs>
        <w:numPr>
          <w:ilvl w:val="2"/>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holder of such beneficial interest in a Restricted Global Note proposes to exchange such beneficial interest for a Restricted Definitive Note, a certificate from such holder in the form of </w:t>
      </w:r>
      <w:r>
        <w:rPr>
          <w:rFonts w:ascii="Times New Roman" w:cs="Times New Roman" w:eastAsia="Times New Roman" w:hAnsi="Times New Roman"/>
          <w:sz w:val="17"/>
          <w:szCs w:val="17"/>
          <w:u w:val="single" w:color="auto"/>
          <w:color w:val="auto"/>
        </w:rPr>
        <w:t>Exhibit C</w:t>
      </w:r>
      <w:r>
        <w:rPr>
          <w:rFonts w:ascii="Times New Roman" w:cs="Times New Roman" w:eastAsia="Times New Roman" w:hAnsi="Times New Roman"/>
          <w:sz w:val="17"/>
          <w:szCs w:val="17"/>
          <w:color w:val="auto"/>
        </w:rPr>
        <w:t xml:space="preserve"> hereto, including the certifications in item (2)(a) thereof;</w:t>
      </w:r>
    </w:p>
    <w:p>
      <w:pPr>
        <w:spacing w:after="0" w:line="31" w:lineRule="exact"/>
        <w:rPr>
          <w:rFonts w:ascii="Times New Roman" w:cs="Times New Roman" w:eastAsia="Times New Roman" w:hAnsi="Times New Roman"/>
          <w:sz w:val="17"/>
          <w:szCs w:val="17"/>
          <w:color w:val="auto"/>
        </w:rPr>
      </w:pPr>
    </w:p>
    <w:p>
      <w:pPr>
        <w:ind w:left="980" w:right="520" w:firstLine="408"/>
        <w:spacing w:after="0" w:line="282" w:lineRule="auto"/>
        <w:tabs>
          <w:tab w:leader="none" w:pos="1666" w:val="left"/>
        </w:tabs>
        <w:numPr>
          <w:ilvl w:val="2"/>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beneficial interest is being transferred to a QIB in accordance with Rule 144A, a certificate to the effect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(1) thereof;</w:t>
      </w:r>
    </w:p>
    <w:p>
      <w:pPr>
        <w:spacing w:after="0" w:line="53" w:lineRule="exact"/>
        <w:rPr>
          <w:rFonts w:ascii="Times New Roman" w:cs="Times New Roman" w:eastAsia="Times New Roman" w:hAnsi="Times New Roman"/>
          <w:sz w:val="18"/>
          <w:szCs w:val="18"/>
          <w:color w:val="auto"/>
        </w:rPr>
      </w:pPr>
    </w:p>
    <w:p>
      <w:pPr>
        <w:ind w:left="980" w:right="100" w:firstLine="408"/>
        <w:spacing w:after="0" w:line="266" w:lineRule="auto"/>
        <w:tabs>
          <w:tab w:leader="none" w:pos="1666" w:val="left"/>
        </w:tabs>
        <w:numPr>
          <w:ilvl w:val="2"/>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beneficial interest is being transferred to a Non-U.S. Person in an offshore transaction (as defined in Section 902(h) of Regulation S) in accordance with Rule 903 or Rule 904, a certificate to the effect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(2) thereof;</w:t>
      </w:r>
    </w:p>
    <w:p>
      <w:pPr>
        <w:spacing w:after="0" w:line="67" w:lineRule="exact"/>
        <w:rPr>
          <w:rFonts w:ascii="Times New Roman" w:cs="Times New Roman" w:eastAsia="Times New Roman" w:hAnsi="Times New Roman"/>
          <w:sz w:val="18"/>
          <w:szCs w:val="18"/>
          <w:color w:val="auto"/>
        </w:rPr>
      </w:pPr>
    </w:p>
    <w:p>
      <w:pPr>
        <w:jc w:val="both"/>
        <w:ind w:left="980" w:right="100" w:firstLine="408"/>
        <w:spacing w:after="0" w:line="261" w:lineRule="auto"/>
        <w:tabs>
          <w:tab w:leader="none" w:pos="1676" w:val="left"/>
        </w:tabs>
        <w:numPr>
          <w:ilvl w:val="2"/>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beneficial interest is being transferred pursuant to another exemption from the registration requirements of the Securities Act other than in accordance with Rule 144, a certificate to the effect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(3)</w:t>
      </w:r>
    </w:p>
    <w:p>
      <w:pPr>
        <w:ind w:left="1240" w:hanging="253"/>
        <w:spacing w:after="0"/>
        <w:tabs>
          <w:tab w:leader="none" w:pos="124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thereof;</w:t>
      </w:r>
    </w:p>
    <w:p>
      <w:pPr>
        <w:spacing w:after="0" w:line="98"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00"/>
          </w:cols>
          <w:pgMar w:left="440" w:top="270" w:right="459" w:bottom="1440" w:gutter="0" w:footer="0" w:header="0"/>
        </w:sectPr>
      </w:pPr>
    </w:p>
    <w:bookmarkStart w:id="53" w:name="page54"/>
    <w:bookmarkEnd w:id="53"/>
    <w:p>
      <w:pPr>
        <w:ind w:left="540" w:right="100" w:firstLine="408"/>
        <w:spacing w:after="0" w:line="282" w:lineRule="auto"/>
        <w:tabs>
          <w:tab w:leader="none" w:pos="120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such beneficial interest is being transferred to the Issuer or any of its Subsidiaries, a certificate to the effect set forth in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hereto, including the certifications in item (3)(b) thereof; or</w:t>
      </w:r>
    </w:p>
    <w:p>
      <w:pPr>
        <w:spacing w:after="0" w:line="53" w:lineRule="exact"/>
        <w:rPr>
          <w:rFonts w:ascii="Times New Roman" w:cs="Times New Roman" w:eastAsia="Times New Roman" w:hAnsi="Times New Roman"/>
          <w:sz w:val="18"/>
          <w:szCs w:val="18"/>
          <w:color w:val="auto"/>
        </w:rPr>
      </w:pPr>
    </w:p>
    <w:p>
      <w:pPr>
        <w:ind w:left="540" w:right="20" w:firstLine="408"/>
        <w:spacing w:after="0" w:line="282" w:lineRule="auto"/>
        <w:tabs>
          <w:tab w:leader="none" w:pos="123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beneficial interest is being transferred pursuant to an effective registration statement under the Securities Act, a certificate to the effect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(3)(c) thereof,</w:t>
      </w:r>
    </w:p>
    <w:p>
      <w:pPr>
        <w:spacing w:after="0" w:line="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Trustee shall cause the aggregate principal amount of the applicable Global Note to be reduced accordingly pursuant to Section 2.06(h), and the Issuer shall execute and the Trustee shall authenticate and deliver to the Person designated in the instructions a Definitive Note in the appropriate principal amount. Any Definitive Note issued in exchange for a beneficial interest in a Restricted Global Note pursuant to this Section 2.06(c) shall be registered in such name or names and in such authorized denomination or denominations as the holder of such beneficial interest shall instruct the Registrar through instructions from the Depositary and the Participant or Indirect Participant. The Trustee shall deliver such Definitive Notes to the Persons in whose names such Notes are so registered. Any Definitive Note issued in exchange for a beneficial interest in a Restricted Global Note pursuant to this Section 2.06(c)(1) shall bear the Private Placement Legend and shall be subject to all restrictions on transfer contained therein.</w:t>
      </w:r>
    </w:p>
    <w:p>
      <w:pPr>
        <w:spacing w:after="0" w:line="82" w:lineRule="exact"/>
        <w:rPr>
          <w:sz w:val="20"/>
          <w:szCs w:val="20"/>
          <w:color w:val="auto"/>
        </w:rPr>
      </w:pPr>
    </w:p>
    <w:p>
      <w:pPr>
        <w:ind w:right="200" w:firstLine="419"/>
        <w:spacing w:after="0" w:line="267" w:lineRule="auto"/>
        <w:tabs>
          <w:tab w:leader="none" w:pos="67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Beneficial Interests in Restricted Global Notes to Unrestricted Definitive Notes. </w:t>
      </w:r>
      <w:r>
        <w:rPr>
          <w:rFonts w:ascii="Times New Roman" w:cs="Times New Roman" w:eastAsia="Times New Roman" w:hAnsi="Times New Roman"/>
          <w:sz w:val="18"/>
          <w:szCs w:val="18"/>
          <w:color w:val="auto"/>
        </w:rPr>
        <w:t>A holder of a beneficial interest in a Restricted Global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 may exchange such beneficial interest for an Unrestricted Definitive Note or may transfer such beneficial interest to a Person who takes delivery thereof in the form of an Unrestricted Definitive Note only if:</w:t>
      </w:r>
    </w:p>
    <w:p>
      <w:pPr>
        <w:spacing w:after="0" w:line="67" w:lineRule="exact"/>
        <w:rPr>
          <w:rFonts w:ascii="Times New Roman" w:cs="Times New Roman" w:eastAsia="Times New Roman" w:hAnsi="Times New Roman"/>
          <w:sz w:val="18"/>
          <w:szCs w:val="18"/>
          <w:color w:val="auto"/>
        </w:rPr>
      </w:pPr>
    </w:p>
    <w:p>
      <w:pPr>
        <w:ind w:left="1240" w:hanging="292"/>
        <w:spacing w:after="0"/>
        <w:tabs>
          <w:tab w:leader="none" w:pos="124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1240" w:hanging="292"/>
        <w:spacing w:after="0"/>
        <w:tabs>
          <w:tab w:leader="none" w:pos="124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1240" w:hanging="292"/>
        <w:spacing w:after="0"/>
        <w:tabs>
          <w:tab w:leader="none" w:pos="124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1240" w:hanging="292"/>
        <w:spacing w:after="0"/>
        <w:tabs>
          <w:tab w:leader="none" w:pos="124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Registrar receives the following:</w:t>
      </w:r>
    </w:p>
    <w:p>
      <w:pPr>
        <w:spacing w:after="0" w:line="117" w:lineRule="exact"/>
        <w:rPr>
          <w:rFonts w:ascii="Times New Roman" w:cs="Times New Roman" w:eastAsia="Times New Roman" w:hAnsi="Times New Roman"/>
          <w:sz w:val="18"/>
          <w:szCs w:val="18"/>
          <w:color w:val="auto"/>
        </w:rPr>
      </w:pPr>
    </w:p>
    <w:p>
      <w:pPr>
        <w:ind w:left="980" w:firstLine="391"/>
        <w:spacing w:after="0" w:line="266" w:lineRule="auto"/>
        <w:tabs>
          <w:tab w:leader="none" w:pos="1578" w:val="left"/>
        </w:tabs>
        <w:numPr>
          <w:ilvl w:val="2"/>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beneficial interest in a Restricted Global Note proposes to exchange such beneficial interest for an Unrestricted Definitive Note, a certificate from such holder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including the certifications in item (1)(b) thereof; or</w:t>
      </w:r>
    </w:p>
    <w:p>
      <w:pPr>
        <w:spacing w:after="0" w:line="67" w:lineRule="exact"/>
        <w:rPr>
          <w:rFonts w:ascii="Times New Roman" w:cs="Times New Roman" w:eastAsia="Times New Roman" w:hAnsi="Times New Roman"/>
          <w:sz w:val="18"/>
          <w:szCs w:val="18"/>
          <w:color w:val="auto"/>
        </w:rPr>
      </w:pPr>
    </w:p>
    <w:p>
      <w:pPr>
        <w:ind w:left="980" w:firstLine="391"/>
        <w:spacing w:after="0" w:line="266" w:lineRule="auto"/>
        <w:tabs>
          <w:tab w:leader="none" w:pos="1628" w:val="left"/>
        </w:tabs>
        <w:numPr>
          <w:ilvl w:val="2"/>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beneficial interest in a Restricted Global Note proposes to transfer such beneficial interest to a Person who shall take delivery thereof in the form of an Unrestricted Definitive Note, a certificate from such holder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(4) thereof;</w:t>
      </w:r>
    </w:p>
    <w:p>
      <w:pPr>
        <w:spacing w:after="0" w:line="68" w:lineRule="exact"/>
        <w:rPr>
          <w:sz w:val="20"/>
          <w:szCs w:val="20"/>
          <w:color w:val="auto"/>
        </w:rPr>
      </w:pPr>
    </w:p>
    <w:p>
      <w:pPr>
        <w:ind w:left="540" w:right="20"/>
        <w:spacing w:after="0" w:line="261" w:lineRule="auto"/>
        <w:rPr>
          <w:sz w:val="20"/>
          <w:szCs w:val="20"/>
          <w:color w:val="auto"/>
        </w:rPr>
      </w:pPr>
      <w:r>
        <w:rPr>
          <w:rFonts w:ascii="Times New Roman" w:cs="Times New Roman" w:eastAsia="Times New Roman" w:hAnsi="Times New Roman"/>
          <w:sz w:val="18"/>
          <w:szCs w:val="18"/>
          <w:color w:val="auto"/>
        </w:rPr>
        <w:t>and, in each such case set forth in this subparagraph (D),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560"/>
          </w:cols>
          <w:pgMar w:left="880" w:top="270" w:right="459" w:bottom="1440" w:gutter="0" w:footer="0" w:header="0"/>
        </w:sectPr>
      </w:pPr>
    </w:p>
    <w:bookmarkStart w:id="54" w:name="page55"/>
    <w:bookmarkEnd w:id="54"/>
    <w:p>
      <w:pPr>
        <w:ind w:left="680" w:hanging="261"/>
        <w:spacing w:after="0"/>
        <w:tabs>
          <w:tab w:leader="none" w:pos="6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Beneficial Interests in Unrestricted Global Notes to Unrestricted Definitive Notes. </w:t>
      </w:r>
      <w:r>
        <w:rPr>
          <w:rFonts w:ascii="Times New Roman" w:cs="Times New Roman" w:eastAsia="Times New Roman" w:hAnsi="Times New Roman"/>
          <w:sz w:val="18"/>
          <w:szCs w:val="18"/>
          <w:color w:val="auto"/>
        </w:rPr>
        <w:t>Subject to Section 2.06(a), if any holder of a</w:t>
      </w:r>
    </w:p>
    <w:p>
      <w:pPr>
        <w:spacing w:after="0" w:line="29" w:lineRule="exact"/>
        <w:rPr>
          <w:rFonts w:ascii="Times New Roman" w:cs="Times New Roman" w:eastAsia="Times New Roman" w:hAnsi="Times New Roman"/>
          <w:sz w:val="18"/>
          <w:szCs w:val="18"/>
          <w:color w:val="auto"/>
        </w:rPr>
      </w:pPr>
    </w:p>
    <w:p>
      <w:pPr>
        <w:ind w:right="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interest in an Unrestricted Global Note proposes to exchange such beneficial interest for a Definitive Note or to transfer such beneficial interest to a Person who takes delivery thereof in the form of a Definitive Note, then, upon satisfaction of the conditions set forth in</w:t>
      </w:r>
    </w:p>
    <w:p>
      <w:pPr>
        <w:ind w:right="10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2.06(b)(2), the Trustee will cause the aggregate principal amount of the applicable Global Note to be reduced accordingly pursuant to Section 2.06(h), and the Issuer will execute and the Trustee will authenticate and deliver to the Person designated in the instructions a Definitive Note in the appropriate principal amount. Any Definitive Note issued in exchange for a beneficial interest pursuant to this Section 2.06(c)(3) will be registered in such name or names and in such authorized denomination or denominations as the holder of such beneficial interest requests through instructions to the Registrar from or through the Depositary and the Participant or Indirect Participant. The Trustee will deliver such Definitive Notes to the Persons in whose names such Notes are so registered. Any Definitive Note issued in exchange for a beneficial interest pursuant to this Section 2.06(c)(3) will not bear the Private Placement Legend.</w:t>
      </w:r>
    </w:p>
    <w:p>
      <w:pPr>
        <w:spacing w:after="0" w:line="186" w:lineRule="exact"/>
        <w:rPr>
          <w:rFonts w:ascii="Times New Roman" w:cs="Times New Roman" w:eastAsia="Times New Roman" w:hAnsi="Times New Roman"/>
          <w:sz w:val="18"/>
          <w:szCs w:val="18"/>
          <w:color w:val="auto"/>
        </w:rPr>
      </w:pPr>
    </w:p>
    <w:p>
      <w:pPr>
        <w:ind w:left="800" w:hanging="253"/>
        <w:spacing w:after="0"/>
        <w:tabs>
          <w:tab w:leader="none" w:pos="80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 and Exchange of Definitive Notes for Beneficial Interests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60" w:firstLine="419"/>
        <w:spacing w:after="0" w:line="261" w:lineRule="auto"/>
        <w:tabs>
          <w:tab w:leader="none" w:pos="678"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Restricted Definitive Notes to Beneficial Interests in Restricted Global Notes. </w:t>
      </w:r>
      <w:r>
        <w:rPr>
          <w:rFonts w:ascii="Times New Roman" w:cs="Times New Roman" w:eastAsia="Times New Roman" w:hAnsi="Times New Roman"/>
          <w:sz w:val="18"/>
          <w:szCs w:val="18"/>
          <w:color w:val="auto"/>
        </w:rPr>
        <w:t>If any Holder of a Restricted Definitive Note proposes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such Note for a beneficial interest in a Restricted Global Note or to transfer such Restricted Definitive Notes to a Person who takes delivery thereof in the form of a beneficial interest in a Restricted Global Note, then, upon receipt by the Registrar of the following documentation:</w:t>
      </w:r>
    </w:p>
    <w:p>
      <w:pPr>
        <w:spacing w:after="0" w:line="73" w:lineRule="exact"/>
        <w:rPr>
          <w:rFonts w:ascii="Times New Roman" w:cs="Times New Roman" w:eastAsia="Times New Roman" w:hAnsi="Times New Roman"/>
          <w:sz w:val="18"/>
          <w:szCs w:val="18"/>
          <w:color w:val="auto"/>
        </w:rPr>
      </w:pPr>
    </w:p>
    <w:p>
      <w:pPr>
        <w:ind w:left="540" w:right="180" w:firstLine="408"/>
        <w:spacing w:after="0" w:line="282" w:lineRule="auto"/>
        <w:tabs>
          <w:tab w:leader="none" w:pos="1236"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Restricted Definitive Note proposes to exchange such Note for a beneficial interest in a Restricted Global Note, a certificate from such Holder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including the certifications in item (2)(b) thereof;</w:t>
      </w:r>
    </w:p>
    <w:p>
      <w:pPr>
        <w:spacing w:after="0" w:line="53" w:lineRule="exact"/>
        <w:rPr>
          <w:rFonts w:ascii="Times New Roman" w:cs="Times New Roman" w:eastAsia="Times New Roman" w:hAnsi="Times New Roman"/>
          <w:sz w:val="18"/>
          <w:szCs w:val="18"/>
          <w:color w:val="auto"/>
        </w:rPr>
      </w:pPr>
    </w:p>
    <w:p>
      <w:pPr>
        <w:ind w:left="540" w:right="80" w:firstLine="408"/>
        <w:spacing w:after="0" w:line="282" w:lineRule="auto"/>
        <w:tabs>
          <w:tab w:leader="none" w:pos="1226"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Restricted Definitive Note is being transferred to a QIB in accordance with Rule 144A, a certificate to the effect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(1) thereof;</w:t>
      </w:r>
    </w:p>
    <w:p>
      <w:pPr>
        <w:spacing w:after="0" w:line="53" w:lineRule="exact"/>
        <w:rPr>
          <w:rFonts w:ascii="Times New Roman" w:cs="Times New Roman" w:eastAsia="Times New Roman" w:hAnsi="Times New Roman"/>
          <w:sz w:val="18"/>
          <w:szCs w:val="18"/>
          <w:color w:val="auto"/>
        </w:rPr>
      </w:pPr>
    </w:p>
    <w:p>
      <w:pPr>
        <w:ind w:left="540" w:right="60" w:firstLine="408"/>
        <w:spacing w:after="0" w:line="266" w:lineRule="auto"/>
        <w:tabs>
          <w:tab w:leader="none" w:pos="1226"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Restricted Definitive Note is being transferred to a Non-U.S. Person in an offshore transaction (as defined in Rule 902(h) of Regulation S) in accordance with Rule 903 or Rule 904, a certificate to the effect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(2) thereof;</w:t>
      </w:r>
    </w:p>
    <w:p>
      <w:pPr>
        <w:spacing w:after="0" w:line="67" w:lineRule="exact"/>
        <w:rPr>
          <w:rFonts w:ascii="Times New Roman" w:cs="Times New Roman" w:eastAsia="Times New Roman" w:hAnsi="Times New Roman"/>
          <w:sz w:val="18"/>
          <w:szCs w:val="18"/>
          <w:color w:val="auto"/>
        </w:rPr>
      </w:pPr>
    </w:p>
    <w:p>
      <w:pPr>
        <w:ind w:left="540" w:firstLine="408"/>
        <w:spacing w:after="0" w:line="266" w:lineRule="auto"/>
        <w:tabs>
          <w:tab w:leader="none" w:pos="1236"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Restricted Definitive Note is being transferred pursuant to another exemption from the registration requirements of the Securities Act other than in accordance with Rule 144, a certificate to the effect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(3)(a) thereof;</w:t>
      </w:r>
    </w:p>
    <w:p>
      <w:pPr>
        <w:spacing w:after="0" w:line="67" w:lineRule="exact"/>
        <w:rPr>
          <w:rFonts w:ascii="Times New Roman" w:cs="Times New Roman" w:eastAsia="Times New Roman" w:hAnsi="Times New Roman"/>
          <w:sz w:val="18"/>
          <w:szCs w:val="18"/>
          <w:color w:val="auto"/>
        </w:rPr>
      </w:pPr>
    </w:p>
    <w:p>
      <w:pPr>
        <w:ind w:left="1220" w:hanging="272"/>
        <w:spacing w:after="0"/>
        <w:tabs>
          <w:tab w:leader="none" w:pos="122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540" w:right="40" w:firstLine="408"/>
        <w:spacing w:after="0" w:line="282" w:lineRule="auto"/>
        <w:tabs>
          <w:tab w:leader="none" w:pos="1206"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Restricted Definitive Note is being transferred to the Issuer or any of its Subsidiaries, a certificate to the effect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(3)(b) thereof; or</w:t>
      </w:r>
    </w:p>
    <w:p>
      <w:pPr>
        <w:spacing w:after="0" w:line="9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540"/>
          </w:cols>
          <w:pgMar w:left="880" w:top="268" w:right="479" w:bottom="1440" w:gutter="0" w:footer="0" w:header="0"/>
        </w:sectPr>
      </w:pPr>
    </w:p>
    <w:bookmarkStart w:id="55" w:name="page56"/>
    <w:bookmarkEnd w:id="55"/>
    <w:p>
      <w:pPr>
        <w:ind w:left="540" w:right="160" w:firstLine="408"/>
        <w:spacing w:after="0" w:line="282" w:lineRule="auto"/>
        <w:tabs>
          <w:tab w:leader="none" w:pos="123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such Restricted Definitive Note is being transferred pursuant to an effective registration statement under the Securities Act, a certificate to the effect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(3)(c) thereof,</w:t>
      </w:r>
    </w:p>
    <w:p>
      <w:pPr>
        <w:spacing w:after="0" w:line="54" w:lineRule="exact"/>
        <w:rPr>
          <w:sz w:val="20"/>
          <w:szCs w:val="20"/>
          <w:color w:val="auto"/>
        </w:rPr>
      </w:pPr>
    </w:p>
    <w:p>
      <w:pPr>
        <w:ind w:left="540" w:right="60"/>
        <w:spacing w:after="0" w:line="261" w:lineRule="auto"/>
        <w:rPr>
          <w:sz w:val="20"/>
          <w:szCs w:val="20"/>
          <w:color w:val="auto"/>
        </w:rPr>
      </w:pPr>
      <w:r>
        <w:rPr>
          <w:rFonts w:ascii="Times New Roman" w:cs="Times New Roman" w:eastAsia="Times New Roman" w:hAnsi="Times New Roman"/>
          <w:sz w:val="18"/>
          <w:szCs w:val="18"/>
          <w:color w:val="auto"/>
        </w:rPr>
        <w:t>the Trustee will cancel the Restricted Definitive Note, increase or cause to be increased the aggregate principal amount of, in the case of clause (A) above, the appropriate Restricted Global Note, in the case of clause (B) above, the 144A Global Note, and in the case of clause</w:t>
      </w:r>
    </w:p>
    <w:p>
      <w:pPr>
        <w:ind w:left="840" w:hanging="293"/>
        <w:spacing w:after="0"/>
        <w:tabs>
          <w:tab w:leader="none" w:pos="84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the Regulation S Global Note.</w:t>
      </w:r>
    </w:p>
    <w:p>
      <w:pPr>
        <w:spacing w:after="0" w:line="96" w:lineRule="exact"/>
        <w:rPr>
          <w:rFonts w:ascii="Times New Roman" w:cs="Times New Roman" w:eastAsia="Times New Roman" w:hAnsi="Times New Roman"/>
          <w:sz w:val="18"/>
          <w:szCs w:val="18"/>
          <w:color w:val="auto"/>
        </w:rPr>
      </w:pPr>
    </w:p>
    <w:p>
      <w:pPr>
        <w:ind w:right="80" w:firstLine="419"/>
        <w:spacing w:after="0" w:line="267" w:lineRule="auto"/>
        <w:tabs>
          <w:tab w:leader="none" w:pos="67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Restricted Definitive Notes to Beneficial Interests in Unrestricted Global Notes. </w:t>
      </w:r>
      <w:r>
        <w:rPr>
          <w:rFonts w:ascii="Times New Roman" w:cs="Times New Roman" w:eastAsia="Times New Roman" w:hAnsi="Times New Roman"/>
          <w:sz w:val="18"/>
          <w:szCs w:val="18"/>
          <w:color w:val="auto"/>
        </w:rPr>
        <w:t>A Holder of a Restricted Definitive Note may exchange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Note for a beneficial interest in an Unrestricted Global Note or transfer such Restricted Definitive Note to a Person who takes delivery thereof in the form of a beneficial interest in an Unrestricted Global Note only if:</w:t>
      </w:r>
    </w:p>
    <w:p>
      <w:pPr>
        <w:spacing w:after="0" w:line="67" w:lineRule="exact"/>
        <w:rPr>
          <w:rFonts w:ascii="Times New Roman" w:cs="Times New Roman" w:eastAsia="Times New Roman" w:hAnsi="Times New Roman"/>
          <w:sz w:val="18"/>
          <w:szCs w:val="18"/>
          <w:color w:val="auto"/>
        </w:rPr>
      </w:pPr>
    </w:p>
    <w:p>
      <w:pPr>
        <w:ind w:left="1240" w:hanging="292"/>
        <w:spacing w:after="0"/>
        <w:tabs>
          <w:tab w:leader="none" w:pos="1240"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1240" w:hanging="292"/>
        <w:spacing w:after="0"/>
        <w:tabs>
          <w:tab w:leader="none" w:pos="1240"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1240" w:hanging="292"/>
        <w:spacing w:after="0"/>
        <w:tabs>
          <w:tab w:leader="none" w:pos="1240"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1240" w:hanging="292"/>
        <w:spacing w:after="0"/>
        <w:tabs>
          <w:tab w:leader="none" w:pos="1240"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Registrar receives the following:</w:t>
      </w:r>
    </w:p>
    <w:p>
      <w:pPr>
        <w:spacing w:after="0" w:line="117" w:lineRule="exact"/>
        <w:rPr>
          <w:rFonts w:ascii="Times New Roman" w:cs="Times New Roman" w:eastAsia="Times New Roman" w:hAnsi="Times New Roman"/>
          <w:sz w:val="18"/>
          <w:szCs w:val="18"/>
          <w:color w:val="auto"/>
        </w:rPr>
      </w:pPr>
    </w:p>
    <w:p>
      <w:pPr>
        <w:ind w:left="980" w:right="160" w:firstLine="391"/>
        <w:spacing w:after="0" w:line="282" w:lineRule="auto"/>
        <w:tabs>
          <w:tab w:leader="none" w:pos="1578" w:val="left"/>
        </w:tabs>
        <w:numPr>
          <w:ilvl w:val="3"/>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Definitive Notes proposes to exchange such Notes for a beneficial interest in the Unrestricted Global Note, a certificate from such Holder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including the certifications in item (1)(c) thereof; or</w:t>
      </w:r>
    </w:p>
    <w:p>
      <w:pPr>
        <w:spacing w:after="0" w:line="53" w:lineRule="exact"/>
        <w:rPr>
          <w:rFonts w:ascii="Times New Roman" w:cs="Times New Roman" w:eastAsia="Times New Roman" w:hAnsi="Times New Roman"/>
          <w:sz w:val="18"/>
          <w:szCs w:val="18"/>
          <w:color w:val="auto"/>
        </w:rPr>
      </w:pPr>
    </w:p>
    <w:p>
      <w:pPr>
        <w:ind w:left="980" w:right="300" w:firstLine="391"/>
        <w:spacing w:after="0" w:line="266" w:lineRule="auto"/>
        <w:tabs>
          <w:tab w:leader="none" w:pos="1628" w:val="left"/>
        </w:tabs>
        <w:numPr>
          <w:ilvl w:val="3"/>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Definitive Notes proposes to transfer such Notes to a Person who shall take delivery thereof in the form of a beneficial interest in the Unrestricted Global Note, a certificate from such Holder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(4) thereof;</w:t>
      </w:r>
    </w:p>
    <w:p>
      <w:pPr>
        <w:spacing w:after="0" w:line="68" w:lineRule="exact"/>
        <w:rPr>
          <w:sz w:val="20"/>
          <w:szCs w:val="20"/>
          <w:color w:val="auto"/>
        </w:rPr>
      </w:pPr>
    </w:p>
    <w:p>
      <w:pPr>
        <w:ind w:left="540"/>
        <w:spacing w:after="0" w:line="261" w:lineRule="auto"/>
        <w:rPr>
          <w:sz w:val="20"/>
          <w:szCs w:val="20"/>
          <w:color w:val="auto"/>
        </w:rPr>
      </w:pPr>
      <w:r>
        <w:rPr>
          <w:rFonts w:ascii="Times New Roman" w:cs="Times New Roman" w:eastAsia="Times New Roman" w:hAnsi="Times New Roman"/>
          <w:sz w:val="18"/>
          <w:szCs w:val="18"/>
          <w:color w:val="auto"/>
        </w:rPr>
        <w:t>and, in each such case set forth in this subparagraph (D),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72" w:lineRule="exact"/>
        <w:rPr>
          <w:sz w:val="20"/>
          <w:szCs w:val="20"/>
          <w:color w:val="auto"/>
        </w:rPr>
      </w:pPr>
    </w:p>
    <w:p>
      <w:pPr>
        <w:ind w:right="180" w:firstLine="423"/>
        <w:spacing w:after="0" w:line="282" w:lineRule="auto"/>
        <w:rPr>
          <w:sz w:val="20"/>
          <w:szCs w:val="20"/>
          <w:color w:val="auto"/>
        </w:rPr>
      </w:pPr>
      <w:r>
        <w:rPr>
          <w:rFonts w:ascii="Times New Roman" w:cs="Times New Roman" w:eastAsia="Times New Roman" w:hAnsi="Times New Roman"/>
          <w:sz w:val="18"/>
          <w:szCs w:val="18"/>
          <w:color w:val="auto"/>
        </w:rPr>
        <w:t>Upon satisfaction of the conditions of any of the subparagraphs in this Section 2.06(d)(2), the Trustee will cancel the Definitive Notes and increase or cause to be increased the aggregate principal amount of the Unrestricted Global Note.</w:t>
      </w:r>
    </w:p>
    <w:p>
      <w:pPr>
        <w:spacing w:after="0" w:line="52" w:lineRule="exact"/>
        <w:rPr>
          <w:sz w:val="20"/>
          <w:szCs w:val="20"/>
          <w:color w:val="auto"/>
        </w:rPr>
      </w:pPr>
    </w:p>
    <w:p>
      <w:pPr>
        <w:ind w:right="80" w:firstLine="419"/>
        <w:spacing w:after="0" w:line="258" w:lineRule="auto"/>
        <w:tabs>
          <w:tab w:leader="none" w:pos="67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Unrestricted Definitive Notes to Beneficial Interests in Unrestricted Global Notes. </w:t>
      </w:r>
      <w:r>
        <w:rPr>
          <w:rFonts w:ascii="Times New Roman" w:cs="Times New Roman" w:eastAsia="Times New Roman" w:hAnsi="Times New Roman"/>
          <w:sz w:val="18"/>
          <w:szCs w:val="18"/>
          <w:color w:val="auto"/>
        </w:rPr>
        <w:t>A Holder of an Unrestricted Definitive Note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such Note for a beneficial interest in an Unrestricted Global Note or transfer such Definitive Notes to a Person who takes delivery thereof in the form of a beneficial interest in an Unrestricted Global Note at any time. Upon receipt of a request for such an exchange or transfer, the Trustee will cancel the applicable Unrestricted Definitive Note and increase or cause to be increased the aggregate principal amount of one of the Unrestricted Global Notes.</w:t>
      </w:r>
    </w:p>
    <w:p>
      <w:pPr>
        <w:spacing w:after="0" w:line="11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540"/>
          </w:cols>
          <w:pgMar w:left="880" w:top="270" w:right="479" w:bottom="1440" w:gutter="0" w:footer="0" w:header="0"/>
        </w:sectPr>
      </w:pPr>
    </w:p>
    <w:bookmarkStart w:id="56" w:name="page57"/>
    <w:bookmarkEnd w:id="56"/>
    <w:p>
      <w:pPr>
        <w:ind w:left="440" w:firstLine="419"/>
        <w:spacing w:after="0" w:line="261" w:lineRule="auto"/>
        <w:tabs>
          <w:tab w:leader="none" w:pos="111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any such exchange or transfer from a Definitive Note to a beneficial interest is effected pursuant to subparagraph (2)(D) or (3) above at a time when an Unrestricted Global Note has not yet been issued, the Issuer will issue and, upon receipt of an Authentication Order in accordance with Section 2.02, the Trustee will authenticate one or more Unrestricted Global Notes in an aggregate principal amount equal to the principal amount of Definitive Notes so transferred or exchanged.</w:t>
      </w:r>
    </w:p>
    <w:p>
      <w:pPr>
        <w:spacing w:after="0" w:line="177" w:lineRule="exact"/>
        <w:rPr>
          <w:rFonts w:ascii="Times New Roman" w:cs="Times New Roman" w:eastAsia="Times New Roman" w:hAnsi="Times New Roman"/>
          <w:sz w:val="18"/>
          <w:szCs w:val="18"/>
          <w:color w:val="auto"/>
        </w:rPr>
      </w:pPr>
    </w:p>
    <w:p>
      <w:pPr>
        <w:ind w:firstLine="987"/>
        <w:spacing w:after="0" w:line="257" w:lineRule="auto"/>
        <w:tabs>
          <w:tab w:leader="none" w:pos="1236"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Transfer and Exchange of Definitive Notes for Definitive Notes. </w:t>
      </w:r>
      <w:r>
        <w:rPr>
          <w:rFonts w:ascii="Times New Roman" w:cs="Times New Roman" w:eastAsia="Times New Roman" w:hAnsi="Times New Roman"/>
          <w:sz w:val="18"/>
          <w:szCs w:val="18"/>
          <w:color w:val="auto"/>
        </w:rPr>
        <w:t>Upon request by a Holder of Definitive Notes and such 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with the provisions of this Section 2.06(e), the Registrar will register the transfer or exchange of Definitive Notes. Prior to such registration of transfer or exchange, the requesting Holder must present or surrender to the Registrar the Definitive Notes duly endorsed or accompanied by a written instruction of transfer in form satisfactory to the Registrar duly executed by such Holder or by its attorney, duly authorized in writing. In addition, the requesting Holder must provide any additional certifications, documents and information, as applicable, required pursuant to the following provisions of this Section 2.06(e).</w:t>
      </w:r>
    </w:p>
    <w:p>
      <w:pPr>
        <w:spacing w:after="0" w:line="74" w:lineRule="exact"/>
        <w:rPr>
          <w:sz w:val="20"/>
          <w:szCs w:val="20"/>
          <w:color w:val="auto"/>
        </w:rPr>
      </w:pPr>
    </w:p>
    <w:p>
      <w:pPr>
        <w:ind w:left="440" w:right="340" w:firstLine="419"/>
        <w:spacing w:after="0" w:line="284" w:lineRule="auto"/>
        <w:tabs>
          <w:tab w:leader="none" w:pos="111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Restricted Definitive Notes to Restricted Definitive Notes. </w:t>
      </w:r>
      <w:r>
        <w:rPr>
          <w:rFonts w:ascii="Times New Roman" w:cs="Times New Roman" w:eastAsia="Times New Roman" w:hAnsi="Times New Roman"/>
          <w:sz w:val="18"/>
          <w:szCs w:val="18"/>
          <w:color w:val="auto"/>
        </w:rPr>
        <w:t>Any Restricted Definitive Note may be transferred to and registered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name of Persons who take delivery thereof in the form of a Restricted Definitive Note if:</w:t>
      </w:r>
    </w:p>
    <w:p>
      <w:pPr>
        <w:spacing w:after="0" w:line="52"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Registrar receives the following:</w:t>
      </w:r>
    </w:p>
    <w:p>
      <w:pPr>
        <w:spacing w:after="0" w:line="117" w:lineRule="exact"/>
        <w:rPr>
          <w:rFonts w:ascii="Times New Roman" w:cs="Times New Roman" w:eastAsia="Times New Roman" w:hAnsi="Times New Roman"/>
          <w:sz w:val="18"/>
          <w:szCs w:val="18"/>
          <w:color w:val="auto"/>
        </w:rPr>
      </w:pPr>
    </w:p>
    <w:p>
      <w:pPr>
        <w:ind w:left="980" w:right="140" w:firstLine="408"/>
        <w:spacing w:after="0" w:line="282" w:lineRule="auto"/>
        <w:tabs>
          <w:tab w:leader="none" w:pos="1666"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transfer will be made pursuant to Rule 144A, then the transferor must deliver a certificate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(1) thereof;</w:t>
      </w:r>
    </w:p>
    <w:p>
      <w:pPr>
        <w:spacing w:after="0" w:line="53" w:lineRule="exact"/>
        <w:rPr>
          <w:rFonts w:ascii="Times New Roman" w:cs="Times New Roman" w:eastAsia="Times New Roman" w:hAnsi="Times New Roman"/>
          <w:sz w:val="18"/>
          <w:szCs w:val="18"/>
          <w:color w:val="auto"/>
        </w:rPr>
      </w:pPr>
    </w:p>
    <w:p>
      <w:pPr>
        <w:ind w:left="980" w:right="80" w:firstLine="408"/>
        <w:spacing w:after="0" w:line="282" w:lineRule="auto"/>
        <w:tabs>
          <w:tab w:leader="none" w:pos="1666"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transfer will be made pursuant to Rule 903 or Rule 904, then the transferor must deliver a certificate in the form of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hereto, including the certifications in item (2) thereof; and</w:t>
      </w:r>
    </w:p>
    <w:p>
      <w:pPr>
        <w:spacing w:after="0" w:line="53" w:lineRule="exact"/>
        <w:rPr>
          <w:rFonts w:ascii="Times New Roman" w:cs="Times New Roman" w:eastAsia="Times New Roman" w:hAnsi="Times New Roman"/>
          <w:sz w:val="18"/>
          <w:szCs w:val="18"/>
          <w:color w:val="auto"/>
        </w:rPr>
      </w:pPr>
    </w:p>
    <w:p>
      <w:pPr>
        <w:ind w:left="980" w:right="300" w:firstLine="408"/>
        <w:spacing w:after="0" w:line="266" w:lineRule="auto"/>
        <w:tabs>
          <w:tab w:leader="none" w:pos="1676"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transfer will be made pursuant to any other exemption from the registration requirements of the Securities Act, then the transferor must deliver a certificate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certificates and Opinion of Counsel required by item (3)(d) thereof, if applicable.</w:t>
      </w:r>
    </w:p>
    <w:p>
      <w:pPr>
        <w:spacing w:after="0" w:line="65" w:lineRule="exact"/>
        <w:rPr>
          <w:rFonts w:ascii="Times New Roman" w:cs="Times New Roman" w:eastAsia="Times New Roman" w:hAnsi="Times New Roman"/>
          <w:sz w:val="18"/>
          <w:szCs w:val="18"/>
          <w:color w:val="auto"/>
        </w:rPr>
      </w:pPr>
    </w:p>
    <w:p>
      <w:pPr>
        <w:ind w:left="440" w:right="40" w:firstLine="419"/>
        <w:spacing w:after="0" w:line="315" w:lineRule="auto"/>
        <w:tabs>
          <w:tab w:leader="none" w:pos="1118"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Restricted Definitive Notes to Unrestricted Definitive Notes. </w:t>
      </w:r>
      <w:r>
        <w:rPr>
          <w:rFonts w:ascii="Times New Roman" w:cs="Times New Roman" w:eastAsia="Times New Roman" w:hAnsi="Times New Roman"/>
          <w:sz w:val="17"/>
          <w:szCs w:val="17"/>
          <w:color w:val="auto"/>
        </w:rPr>
        <w:t>Any Restricted Definitive Note may be exchanged by the Holder thereof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 Unrestricted Definitive Note or transferred to a Person or Persons who take delivery thereof in the form of an Unrestricted Definitive Note if:</w:t>
      </w:r>
    </w:p>
    <w:p>
      <w:pPr>
        <w:spacing w:after="0" w:line="28" w:lineRule="exact"/>
        <w:rPr>
          <w:rFonts w:ascii="Times New Roman" w:cs="Times New Roman" w:eastAsia="Times New Roman" w:hAnsi="Times New Roman"/>
          <w:sz w:val="17"/>
          <w:szCs w:val="17"/>
          <w:color w:val="auto"/>
        </w:rPr>
      </w:pPr>
    </w:p>
    <w:p>
      <w:pPr>
        <w:ind w:left="1680" w:hanging="292"/>
        <w:spacing w:after="0"/>
        <w:tabs>
          <w:tab w:leader="none" w:pos="168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 or</w:t>
      </w:r>
    </w:p>
    <w:p>
      <w:pPr>
        <w:spacing w:after="0" w:line="117"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Registrar receives the following:</w:t>
      </w:r>
    </w:p>
    <w:p>
      <w:pPr>
        <w:spacing w:after="0" w:line="117" w:lineRule="exact"/>
        <w:rPr>
          <w:rFonts w:ascii="Times New Roman" w:cs="Times New Roman" w:eastAsia="Times New Roman" w:hAnsi="Times New Roman"/>
          <w:sz w:val="18"/>
          <w:szCs w:val="18"/>
          <w:color w:val="auto"/>
        </w:rPr>
      </w:pPr>
    </w:p>
    <w:p>
      <w:pPr>
        <w:ind w:left="1420" w:right="300" w:firstLine="391"/>
        <w:spacing w:after="0" w:line="282" w:lineRule="auto"/>
        <w:tabs>
          <w:tab w:leader="none" w:pos="2018" w:val="left"/>
        </w:tabs>
        <w:numPr>
          <w:ilvl w:val="2"/>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Restricted Definitive Notes proposes to exchange such Notes for an Unrestricted Definitive Note, a certificate from such Holder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including the certifications in item (1)(d) thereof; or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00"/>
          </w:cols>
          <w:pgMar w:left="440" w:top="270" w:right="459" w:bottom="1440" w:gutter="0" w:footer="0" w:header="0"/>
        </w:sectPr>
      </w:pPr>
    </w:p>
    <w:bookmarkStart w:id="57" w:name="page58"/>
    <w:bookmarkEnd w:id="57"/>
    <w:p>
      <w:pPr>
        <w:ind w:left="1420" w:firstLine="391"/>
        <w:spacing w:after="0" w:line="266" w:lineRule="auto"/>
        <w:tabs>
          <w:tab w:leader="none" w:pos="206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the Holder of such Restricted Definitive Notes proposes to transfer such Notes to a Person who shall take delivery thereof in the form of an Unrestricted Definitive Note, a certificate from such Holder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(4) thereof;</w:t>
      </w:r>
    </w:p>
    <w:p>
      <w:pPr>
        <w:spacing w:after="0" w:line="68" w:lineRule="exact"/>
        <w:rPr>
          <w:sz w:val="20"/>
          <w:szCs w:val="20"/>
          <w:color w:val="auto"/>
        </w:rPr>
      </w:pPr>
    </w:p>
    <w:p>
      <w:pPr>
        <w:ind w:left="980" w:right="40"/>
        <w:spacing w:after="0" w:line="266" w:lineRule="auto"/>
        <w:rPr>
          <w:sz w:val="20"/>
          <w:szCs w:val="20"/>
          <w:color w:val="auto"/>
        </w:rPr>
      </w:pPr>
      <w:r>
        <w:rPr>
          <w:rFonts w:ascii="Times New Roman" w:cs="Times New Roman" w:eastAsia="Times New Roman" w:hAnsi="Times New Roman"/>
          <w:sz w:val="18"/>
          <w:szCs w:val="18"/>
          <w:color w:val="auto"/>
        </w:rPr>
        <w:t>and, in each such case set forth in this subparagraph (D), if the Registrar so requests,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66" w:lineRule="exact"/>
        <w:rPr>
          <w:sz w:val="20"/>
          <w:szCs w:val="20"/>
          <w:color w:val="auto"/>
        </w:rPr>
      </w:pPr>
    </w:p>
    <w:p>
      <w:pPr>
        <w:ind w:left="440" w:right="220" w:firstLine="419"/>
        <w:spacing w:after="0" w:line="267" w:lineRule="auto"/>
        <w:tabs>
          <w:tab w:leader="none" w:pos="111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Unrestricted Definitive Notes to Unrestricted Definitive Notes. </w:t>
      </w:r>
      <w:r>
        <w:rPr>
          <w:rFonts w:ascii="Times New Roman" w:cs="Times New Roman" w:eastAsia="Times New Roman" w:hAnsi="Times New Roman"/>
          <w:sz w:val="18"/>
          <w:szCs w:val="18"/>
          <w:color w:val="auto"/>
        </w:rPr>
        <w:t>A Holder of Unrestricted Definitive Notes may transfer such Notes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 who takes delivery thereof in the form of an Unrestricted Definitive Note. Upon receipt of a request to register such a transfer, the Registrar shall register the Unrestricted Definitive Notes pursuant to the instructions from the Holder thereof.</w:t>
      </w:r>
    </w:p>
    <w:p>
      <w:pPr>
        <w:spacing w:after="0" w:line="173"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[Reserved].</w:t>
      </w:r>
    </w:p>
    <w:p>
      <w:pPr>
        <w:spacing w:after="0" w:line="225" w:lineRule="exact"/>
        <w:rPr>
          <w:rFonts w:ascii="Times New Roman" w:cs="Times New Roman" w:eastAsia="Times New Roman" w:hAnsi="Times New Roman"/>
          <w:sz w:val="18"/>
          <w:szCs w:val="18"/>
          <w:color w:val="auto"/>
        </w:rPr>
      </w:pPr>
    </w:p>
    <w:p>
      <w:pPr>
        <w:ind w:right="240" w:firstLine="987"/>
        <w:spacing w:after="0" w:line="284" w:lineRule="auto"/>
        <w:tabs>
          <w:tab w:leader="none" w:pos="1246"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Legends. </w:t>
      </w:r>
      <w:r>
        <w:rPr>
          <w:rFonts w:ascii="Times New Roman" w:cs="Times New Roman" w:eastAsia="Times New Roman" w:hAnsi="Times New Roman"/>
          <w:sz w:val="18"/>
          <w:szCs w:val="18"/>
          <w:color w:val="auto"/>
        </w:rPr>
        <w:t>The following legends will appear on all Global Notes and Definitive Notes issued under this Indenture unless specifically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stated otherwise in the applicable provisions of this Indenture.</w:t>
      </w:r>
    </w:p>
    <w:p>
      <w:pPr>
        <w:spacing w:after="0" w:line="50" w:lineRule="exact"/>
        <w:rPr>
          <w:sz w:val="20"/>
          <w:szCs w:val="20"/>
          <w:color w:val="auto"/>
        </w:rPr>
      </w:pPr>
    </w:p>
    <w:p>
      <w:pPr>
        <w:ind w:left="1120" w:hanging="261"/>
        <w:spacing w:after="0"/>
        <w:tabs>
          <w:tab w:leader="none" w:pos="11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Private Placement Legend</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980" w:right="240" w:firstLine="408"/>
        <w:spacing w:after="0" w:line="282" w:lineRule="auto"/>
        <w:tabs>
          <w:tab w:leader="none" w:pos="1676"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permitted by subparagraph (B) below, each Global Note and each Definitive Note (and all Notes issued in exchange therefor or substitution thereof) shall bear the legend in substantially the following form:</w:t>
      </w:r>
    </w:p>
    <w:p>
      <w:pPr>
        <w:spacing w:after="0" w:line="5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b w:val="1"/>
          <w:bCs w:val="1"/>
          <w:color w:val="auto"/>
        </w:rPr>
        <w:t>“THIS SECURITY HAS NOT BEEN REGISTERED UNDER THE SECURITIES ACT OF 1933, AS AMENDED, OR THE SECURITIES LAWS OF ANY STATE OR OTHER JURISDICTION. NEITHER THIS SECURITY NOR ANY INTEREST OR PARTICIPATION HEREIN MAY BE REOFFERED, SOLD, ASSIGNED, TRANSFERRED, PLEDGED, ENCUMBERED OR OTHERWISE DISPOSED OF IN THE ABSENCE OF SUCH REGISTRATION OR UNLESS SUCH TRANSACTION IS EXEMPT FROM, OR NOT SUBJECT TO, SUCH REGISTRATION. THE HOLDER OF THIS SECURITY, BY ITS ACCEPTANCE HEREOF, AGREES ON ITS OWN BEHALF AND ON BEHALF OF ANY INVESTOR ACCOUNT FOR WHICH IT HAS PURCHASED SECURITIES, TO OFFER, SELL OR OTHERWISE TRANSFER SUCH SECURITY, PRIOR TO THE DATE (THE “RESALE RESTRICTION TERMINATION DATE”) THAT IS, IN THE CASE OF RULE 144A NOTES: ONE YEAR AFTER THE LATER OF THE ORIGINAL ISSUE DATE HEREOF, THE ORIGINAL ISSUE DATE OF THE ISSUANCE OF ANY ADDITIONAL NOTES AND THE LAST DATE ON WHICH THE ISSUER OR ANY AFFILIATE OF THE ISSUER WAS THE OWNER OF THIS SECURITY (OR ANY PREDECESSOR OF SUCH SECURITY), AND IN THE CASE OF REGULATION S NOTES: 40 DAYS AFTER THE LATER OF THE ORIGINAL ISSUE DATE HEREOF, THE ORIGINAL ISSUE DATE OF THE ISSUANCE OF ANY ADDITIONAL NOTES AND THE DATE ON WHICH THIS SECURITY (OR ANY PREDECESSOR OF SUCH SECURITY) WAS FIRST OFFERED TO PERSONS OTHER THAN DISTRIBUTORS (AS DEFINED IN RULE 902 OF REGULATION S) IN RELIANCE ON REGULATION S, ONLY (A) TO THE ISSUER OR ANY SUBSIDIARY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00"/>
          </w:cols>
          <w:pgMar w:left="440" w:top="270" w:right="459" w:bottom="1440" w:gutter="0" w:footer="0" w:header="0"/>
        </w:sectPr>
      </w:pPr>
    </w:p>
    <w:bookmarkStart w:id="58" w:name="page59"/>
    <w:bookmarkEnd w:id="58"/>
    <w:p>
      <w:pPr>
        <w:spacing w:after="0" w:line="253"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THEREOF, (B) PURSUANT TO A REGISTRATION STATEMENT THAT HAS BEEN DECLARED EFFECTIVE UNDER THE SECURITIES ACT, (C) FOR SO LONG AS THE SECURITIES ARE ELIGIBLE FOR RESALE PURSUANT TO RULE 144A UNDER THE SECURITIES ACT, TO A PERSON IT REASONABLY BELIEVES IS A “QUALIFIED INSTITUTIONAL BUYER” AS DEFINED IN RULE 144A THAT PURCHASES FOR ITS OWN ACCOUNT OR FOR THE ACCOUNT OF A QUALIFIED INSTITUTIONAL BUYER TO WHOM NOTICE IS GIVEN THAT THE TRANSFER IS BEING MADE IN RELIANCE ON RULE 144A, (D) PURSUANT TO OFFERS AND SALES TO NON-U.S. PERSONS THAT OCCUR OUTSIDE OF THE UNITED STATES WITHIN THE MEANING OF REGULATION S UNDER THE SECURITIES ACT, OR (E) PURSUANT TO ANOTHER AVAILABLE EXEMPTION FROM THE REGISTRATION REQUIREMENTS OF THE SECURITIES ACT OTHER THAN RULE 144, SUBJECT TO THE ISSUER’S AND THE TRUSTEE’S RIGHT PRIOR TO ANY SUCH OFFER, SALE OR TRANSFER PURSUANT TO CLAUSE (E) ABOVE TO REQUIRE THE DELIVERY OF AN OPINION OF COUNSEL, CERTIFICATION AND/ OR OTHER INFORMATION SATISFACTORY TO EACH OF THEM. NOTWITHSTANDING ANYTHING TO THE CONTRARY, TRANSFERS PURSUANT TO RULE 144 WILL NOT BE PERMITTED, EVEN IF LEGALLY AVAILABLE. THIS LEGEND WILL BE REMOVED UPON THE REQUEST OF THE HOLDER AFTER THE RESALE RESTRICTION TERMINATION DATE.</w:t>
      </w:r>
    </w:p>
    <w:p>
      <w:pPr>
        <w:spacing w:after="0" w:line="187"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b w:val="1"/>
          <w:bCs w:val="1"/>
          <w:color w:val="auto"/>
        </w:rPr>
        <w:t>BY ITS ACQUISITION OF THIS SECURITY (OR ANY INTEREST HEREIN), THE HOLDER THEREOF WILL BE DEEMED TO HAVE REPRESENTED AND WARRANTED THAT EITHER (1) NO PORTION OF THE ASSETS USED BY SUCH HOLDER TO ACQUIRE OR HOLD THIS SECURITY (OR ANY INTEREST HEREIN) CONSTITUTES THE ASSETS OF (A) ANY EMPLOYEE BENEFIT PLAN THAT IS SUBJECT TO TITLE I OF THE U.S. EMPLOYEE RETIREMENT INCOME SECURITY ACT OF 1974, AS AMENDED (“ERISA”), (B) A PLAN, INDIVIDUAL RETIREMENT ACCOUNT OR OTHER ARRANGEMENT THAT IS SUBJECT TO THE PROHIBITED TRANSACTION PROVISIONS OF SECTION 406 OF ERISA OR SECTION 4975 OF THE U.S. INTERNAL REVENUE CODE OF 1986, AS AMENDED (THE “CODE”) OR PROVISIONS UNDER ANY OTHER U.S. OR NON-U.S. FEDERAL, STATE, LOCAL OR OTHER LAWS OR REGULATIONS THAT ARE SIMILAR TO SUCH PROVISIONS OF ERISA AND/OR THE CODE (COLLECTIVELY, “SIMILAR LAWS”) OR (C) OF AN ENTITY WHOSE UNDERLYING ASSETS ARE CONSIDERED TO INCLUDE “PLAN ASSETS” OF ANY SUCH PLAN, ACCOUNT OR ARRANGEMENT DESCRIBED IN CLAUSE (A) OR (B) OR (2) (A) THE ACQUISITION AND HOLDING OF THIS SECURITY (OR ANY INTEREST HEREIN) WILL NOT CONSTITUTE A NON-EXEMPT PROHIBITED TRANSACTION UNDER SECTION 406 OF ERISA OR SECTION 4975 OF THE CODE OR A SIMILAR VIOLATION UNDER ANY APPLICABLE SIMILAR LAWS.”</w:t>
      </w:r>
    </w:p>
    <w:p>
      <w:pPr>
        <w:spacing w:after="0" w:line="83" w:lineRule="exact"/>
        <w:rPr>
          <w:sz w:val="20"/>
          <w:szCs w:val="20"/>
          <w:color w:val="auto"/>
        </w:rPr>
      </w:pPr>
    </w:p>
    <w:p>
      <w:pPr>
        <w:ind w:left="980" w:firstLine="408"/>
        <w:spacing w:after="0" w:line="266" w:lineRule="auto"/>
        <w:tabs>
          <w:tab w:leader="none" w:pos="166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any Global Note or Definitive Note issued pursuant to subparagraphs (b)(4), (c)(2), (c)(3), (d)(2), (d)(3), (e)(2) or (e)(3) of this Section 2.06 (and all Notes issued in exchange therefor or substitution thereof) will not bear the Private Placement Legend.</w:t>
      </w:r>
    </w:p>
    <w:p>
      <w:pPr>
        <w:spacing w:after="0" w:line="68" w:lineRule="exact"/>
        <w:rPr>
          <w:sz w:val="20"/>
          <w:szCs w:val="20"/>
          <w:color w:val="auto"/>
        </w:rPr>
      </w:pPr>
    </w:p>
    <w:p>
      <w:pPr>
        <w:ind w:left="980" w:firstLine="401"/>
        <w:spacing w:after="0" w:line="256" w:lineRule="auto"/>
        <w:rPr>
          <w:sz w:val="20"/>
          <w:szCs w:val="20"/>
          <w:color w:val="auto"/>
        </w:rPr>
      </w:pPr>
      <w:r>
        <w:rPr>
          <w:rFonts w:ascii="Times New Roman" w:cs="Times New Roman" w:eastAsia="Times New Roman" w:hAnsi="Times New Roman"/>
          <w:sz w:val="18"/>
          <w:szCs w:val="18"/>
          <w:color w:val="auto"/>
        </w:rPr>
        <w:t>In addition, the foregoing legend may be adjusted for future issuances in accordance with applicable law. The Issuer, in its discretion, may remove the Private Placement Legend from any Restricted Global Note at any time on or after the Resale Restriction Termination Date applicable to such Note. Without limiting the generality of the preceding sentence, the Issuer may, subject to Applicable Procedures, effect such removal by issuing and delivering, in exchange for such Note, an Unrestricted Global Note without such legend, registered to the same Holder and in an equal principal amount, and upon receipt by the Trustee of an Authentication Order and an Officer’s Certificate of the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980"/>
          </w:cols>
          <w:pgMar w:left="440" w:top="266" w:right="479" w:bottom="1440" w:gutter="0" w:footer="0" w:header="0"/>
        </w:sectPr>
      </w:pPr>
    </w:p>
    <w:bookmarkStart w:id="59" w:name="page60"/>
    <w:bookmarkEnd w:id="59"/>
    <w:p>
      <w:pPr>
        <w:ind w:left="980"/>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Issuer stating that the Resale Restriction Termination Date applicable to such Note has occurred and requesting the authentication and delivery of an Unrestricted Global Note in exchange therefor (which order shall not be required to be accompanied by any Opinion of Counsel or any other document) given at least three Business Days in advance of the proposed date of exchange specified therein (which shall be no earlier than such Resale Restriction Termination Date), the Trustee shall authenticate and deliver such Unrestricted Global Note to the Depositary or pursuant to such Depositary’s instructions or hold such Unrestricted Global Note as Custodian for the Depositary and shall request the Depositary to, or, if the Trustee is Custodian of such Restricted Global Note, shall itself, surrender such Restricted Global Note in exchange for such Unrestricted Global Note without such legend and thereupon cancel such Restricted Global Note so surrendered, all as directed in such order. For purposes of determining whether the Resale Restriction Termination Date has occurred with respect to any Restricted Global Note or delivering any order pursuant to this Section 2.06(g)(1) with respect to such Restricted Global Notes, (i) only those Restricted Global Notes that a Principal Officer of the Issuer actually knows (after reasonable inquiry) to be or to have been owned by an Affiliate of the Issuer shall be deemed to be or to have been, respectively, owned by an Affiliate of the Issuer; and</w:t>
      </w:r>
    </w:p>
    <w:p>
      <w:pPr>
        <w:spacing w:after="0" w:line="2" w:lineRule="exact"/>
        <w:rPr>
          <w:sz w:val="20"/>
          <w:szCs w:val="20"/>
          <w:color w:val="auto"/>
        </w:rPr>
      </w:pPr>
    </w:p>
    <w:p>
      <w:pPr>
        <w:ind w:left="980" w:right="100" w:firstLine="7"/>
        <w:spacing w:after="0" w:line="253" w:lineRule="auto"/>
        <w:tabs>
          <w:tab w:leader="none" w:pos="124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Officer</w:t>
      </w:r>
      <w:r>
        <w:rPr>
          <w:rFonts w:ascii="Times New Roman" w:cs="Times New Roman" w:eastAsia="Times New Roman" w:hAnsi="Times New Roman"/>
          <w:sz w:val="18"/>
          <w:szCs w:val="18"/>
          <w:color w:val="auto"/>
        </w:rPr>
        <w:t>” means an Officer of the Issuer that is the principal executive officer, the principal financial officer, the treasurer or the principal accounting officer. For purposes of this Section 2.06(g)(1), all provisions relating to the removal of the Private Placement Legend shall relate, if the Resale Restriction Termination Date has occurred only with respect to a portion of the Notes evidenced by a Restricted Global Note, to such portion of the Notes so evidenced as to which the Resale Restriction Termination Date has occurred.</w:t>
      </w:r>
    </w:p>
    <w:p>
      <w:pPr>
        <w:spacing w:after="0" w:line="81" w:lineRule="exact"/>
        <w:rPr>
          <w:sz w:val="20"/>
          <w:szCs w:val="20"/>
          <w:color w:val="auto"/>
        </w:rPr>
      </w:pPr>
    </w:p>
    <w:p>
      <w:pPr>
        <w:ind w:left="980" w:right="60"/>
        <w:spacing w:after="0" w:line="255" w:lineRule="auto"/>
        <w:rPr>
          <w:sz w:val="20"/>
          <w:szCs w:val="20"/>
          <w:color w:val="auto"/>
        </w:rPr>
      </w:pPr>
      <w:r>
        <w:rPr>
          <w:rFonts w:ascii="Times New Roman" w:cs="Times New Roman" w:eastAsia="Times New Roman" w:hAnsi="Times New Roman"/>
          <w:sz w:val="18"/>
          <w:szCs w:val="18"/>
          <w:color w:val="auto"/>
        </w:rPr>
        <w:t>Each Holder of any Note evidenced by any Restricted Global Note, by its acceptance thereof, (A) authorizes and consents to, (B) appoints the Issuer as its agent for the sole purpose of delivering such electronic messages, executing and delivering such instruments and taking such other actions, on such Holder’s behalf, as the Depositary or the Trustee may require to effect, and (C) upon the request of the Issuer, agrees to deliver such electronic messages, execute and deliver such instruments and take such other actions as the Depositary or the Trustee may require, or as shall otherwise be necessary to effect, the removal of the Private Placement Legend (including by means of the exchange of all or the portion of such Restricted Global Note evidencing such Note for a certificate evidencing such Note that does not bear such legend) at any time after the Resale Restriction Termination Date.</w:t>
      </w:r>
    </w:p>
    <w:p>
      <w:pPr>
        <w:spacing w:after="0" w:line="7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i w:val="1"/>
          <w:iCs w:val="1"/>
          <w:color w:val="auto"/>
        </w:rPr>
        <w:t>Global Note Legend</w:t>
      </w:r>
      <w:r>
        <w:rPr>
          <w:rFonts w:ascii="Times New Roman" w:cs="Times New Roman" w:eastAsia="Times New Roman" w:hAnsi="Times New Roman"/>
          <w:sz w:val="18"/>
          <w:szCs w:val="18"/>
          <w:color w:val="auto"/>
        </w:rPr>
        <w:t>. Each Global Note will bear a legend in substantially the following form:</w:t>
      </w:r>
    </w:p>
    <w:p>
      <w:pPr>
        <w:spacing w:after="0" w:line="11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b w:val="1"/>
          <w:bCs w:val="1"/>
          <w:color w:val="auto"/>
        </w:rPr>
        <w:t>“THIS GLOBAL NOTE IS HELD BY THE DEPOSITARY (AS DEFINED IN THE INDENTURE GOVERNING THIS NOTE) OR ITS NOMINEE IN CUSTODY FOR THE BENEFIT OF THE BENEFICIAL OWNERS HEREOF, AND IS NOT TRANSFERABLE TO ANY PERSON UNDER ANY CIRCUMSTANCES EXCEPT THAT (1) THE TRUSTEE MAY MAKE SUCH NOTATIONS HEREON AS MAY BE REQUIRED PURSUANT TO SECTION 2.06 OF THE INDENTURE, (2) THIS GLOBAL NOTE MAY BE EXCHANGED IN WHOLE BUT NOT IN PART PURSUANT TO SECTION 2.06(a) OF THE INDENTURE, (3) THIS GLOBAL NOTE MAY BE DELIVERED TO THE TRUSTEE FOR CANCELLATION PURSUANT TO SECTION 2.11 OF THE INDENTURE AND (4) THIS GLOBAL NOTE MAY BE TRANSFERRED TO A SUCCESSOR DEPOSITARY WITH THE PRIOR WRITTEN CONSENT OF THE ISSUER.</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00"/>
          </w:cols>
          <w:pgMar w:left="440" w:top="270" w:right="459" w:bottom="1440" w:gutter="0" w:footer="0" w:header="0"/>
        </w:sectPr>
      </w:pPr>
    </w:p>
    <w:bookmarkStart w:id="60" w:name="page61"/>
    <w:bookmarkEnd w:id="60"/>
    <w:p>
      <w:pPr>
        <w:spacing w:after="0" w:line="254"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UNLESS AND UNTIL IT IS EXCHANGED IN WHOLE OR IN PART FOR NOTES IN DEFINITIVE FORM,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(55 WATER STREET, NEW YORK, NEW YORK) (“DTC”), TO THE ISSUER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18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i w:val="1"/>
          <w:iCs w:val="1"/>
          <w:color w:val="auto"/>
        </w:rPr>
        <w:t>Regulation S Legend</w:t>
      </w:r>
      <w:r>
        <w:rPr>
          <w:rFonts w:ascii="Times New Roman" w:cs="Times New Roman" w:eastAsia="Times New Roman" w:hAnsi="Times New Roman"/>
          <w:sz w:val="18"/>
          <w:szCs w:val="18"/>
          <w:color w:val="auto"/>
        </w:rPr>
        <w:t>. Each Regulation S Global Note will bear a legend in substantially the following form:</w:t>
      </w:r>
    </w:p>
    <w:p>
      <w:pPr>
        <w:spacing w:after="0" w:line="115"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“BY ITS ACQUISITION HEREOF, THE HOLDER HEREOF REPRESENTS THAT IT IS NOT A U.S. PERSON NOR IS IT PURCHASING FOR THE ACCOUNT OF A U.S. PERSON AND IS ACQUIRING THIS SECURITY IN AN OFFSHORE TRANSACTION IN ACCORDANCE WITH REGULATION S UNDER THE SECURITIES ACT.”</w:t>
      </w:r>
    </w:p>
    <w:p>
      <w:pPr>
        <w:spacing w:after="0" w:line="173" w:lineRule="exact"/>
        <w:rPr>
          <w:sz w:val="20"/>
          <w:szCs w:val="20"/>
          <w:color w:val="auto"/>
        </w:rPr>
      </w:pPr>
    </w:p>
    <w:p>
      <w:pPr>
        <w:ind w:firstLine="987"/>
        <w:spacing w:after="0" w:line="254" w:lineRule="auto"/>
        <w:tabs>
          <w:tab w:leader="none" w:pos="124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Cancellation and/or Adjustment of Global Notes. </w:t>
      </w:r>
      <w:r>
        <w:rPr>
          <w:rFonts w:ascii="Times New Roman" w:cs="Times New Roman" w:eastAsia="Times New Roman" w:hAnsi="Times New Roman"/>
          <w:sz w:val="18"/>
          <w:szCs w:val="18"/>
          <w:color w:val="auto"/>
        </w:rPr>
        <w:t>At such time as all beneficial interests in a particular Global Note have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exchanged for beneficial interests in another Global Note or Definitive Notes, or a particular Global Note has been redeemed, repurchased or canceled in whole and not in part, each such Global Note will be returned to or retained and canceled by the Trustee in accordance with Section 2.11. At any time prior to such cancellation, if any beneficial interest in a Global Note is exchanged for or transferred to a Person who will take delivery thereof in the form of a beneficial interest in another Global Note or for Definitive Notes, the principal amount of Notes represented by such Global Note will be reduced accordingly and an endorsement will be made on such Global Note by the Trustee or by the Depositary at the direction of the Trustee to reflect such reduction; and if the beneficial interest is being exchanged for or transferred to a Person who will take delivery thereof in the form of a beneficial interest in another Global Note, such other Global Note will be increased accordingly and an endorsement will be made on such Global Note by the Trustee or by the Depositary at the direction of the Trustee to reflect such increase.</w:t>
      </w:r>
    </w:p>
    <w:p>
      <w:pPr>
        <w:spacing w:after="0" w:line="188"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Provisions Relating to Transfers and Exchanges</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980" w:right="360" w:firstLine="408"/>
        <w:spacing w:after="0" w:line="282" w:lineRule="auto"/>
        <w:tabs>
          <w:tab w:leader="none" w:pos="1636"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permit registrations of transfers and exchanges, the Issuer will execute and the Trustee will authenticate Global Notes and Definitive Notes upon receipt of an Authentication Order in accordance with Section 2.02 or at the Registrar’s request.</w:t>
      </w:r>
    </w:p>
    <w:p>
      <w:pPr>
        <w:spacing w:after="0" w:line="53" w:lineRule="exact"/>
        <w:rPr>
          <w:rFonts w:ascii="Times New Roman" w:cs="Times New Roman" w:eastAsia="Times New Roman" w:hAnsi="Times New Roman"/>
          <w:sz w:val="18"/>
          <w:szCs w:val="18"/>
          <w:color w:val="auto"/>
        </w:rPr>
      </w:pPr>
    </w:p>
    <w:p>
      <w:pPr>
        <w:ind w:left="980" w:right="200" w:firstLine="408"/>
        <w:spacing w:after="0" w:line="261" w:lineRule="auto"/>
        <w:tabs>
          <w:tab w:leader="none" w:pos="1636"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service charge will be made to a Holder of a beneficial interest in a Global Note or to a Holder of a Definitive Note for any registration of transfer or exchange, but the Issuer or the Registrar may require payment of a sum sufficient to cover any transfer tax or similar governmental charge payable in connection therewith (other than any such transfer taxes or similar governmental charge payable upon exchange pursuant to Sections 2.10, 3.06, 3.10, 4.10, 4.15 and 9.04 not involving any transfer).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00"/>
          </w:cols>
          <w:pgMar w:left="440" w:top="266" w:right="459" w:bottom="1440" w:gutter="0" w:footer="0" w:header="0"/>
        </w:sectPr>
      </w:pPr>
    </w:p>
    <w:bookmarkStart w:id="61" w:name="page62"/>
    <w:bookmarkEnd w:id="61"/>
    <w:p>
      <w:pPr>
        <w:ind w:left="980" w:right="60" w:firstLine="408"/>
        <w:spacing w:after="0" w:line="282" w:lineRule="auto"/>
        <w:tabs>
          <w:tab w:leader="none" w:pos="163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Registrar will not be required to register the transfer of or exchange of any Note selected for redemption in whole or in part, except the unredeemed portion of any Note being redeemed in part.</w:t>
      </w:r>
    </w:p>
    <w:p>
      <w:pPr>
        <w:spacing w:after="0" w:line="53" w:lineRule="exact"/>
        <w:rPr>
          <w:rFonts w:ascii="Times New Roman" w:cs="Times New Roman" w:eastAsia="Times New Roman" w:hAnsi="Times New Roman"/>
          <w:sz w:val="18"/>
          <w:szCs w:val="18"/>
          <w:color w:val="auto"/>
        </w:rPr>
      </w:pPr>
    </w:p>
    <w:p>
      <w:pPr>
        <w:jc w:val="both"/>
        <w:ind w:left="980" w:right="120" w:firstLine="408"/>
        <w:spacing w:after="0" w:line="266" w:lineRule="auto"/>
        <w:tabs>
          <w:tab w:leader="none" w:pos="163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Global Notes and Definitive Notes issued upon any registration of transfer or exchange of Global Notes or Definitive Notes will be the valid obligations of the Issuer, evidencing the same debt, and entitled to the same benefits under this Indenture, as the Global Notes or Definitive Notes surrendered upon such registration of transfer or exchange.</w:t>
      </w:r>
    </w:p>
    <w:p>
      <w:pPr>
        <w:spacing w:after="0" w:line="6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Registrar nor the Issuer will be required:</w:t>
      </w:r>
    </w:p>
    <w:p>
      <w:pPr>
        <w:spacing w:after="0" w:line="117" w:lineRule="exact"/>
        <w:rPr>
          <w:rFonts w:ascii="Times New Roman" w:cs="Times New Roman" w:eastAsia="Times New Roman" w:hAnsi="Times New Roman"/>
          <w:sz w:val="18"/>
          <w:szCs w:val="18"/>
          <w:color w:val="auto"/>
        </w:rPr>
      </w:pPr>
    </w:p>
    <w:p>
      <w:pPr>
        <w:ind w:left="1420" w:right="120" w:firstLine="391"/>
        <w:spacing w:after="0" w:line="266" w:lineRule="auto"/>
        <w:tabs>
          <w:tab w:leader="none" w:pos="2098"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issue, to register the transfer of or to exchange any Notes during a period beginning at the opening of business 15 days before the day of any selection of Notes for redemption under Section 3.02 and ending at the close of business on the day of selection;</w:t>
      </w:r>
    </w:p>
    <w:p>
      <w:pPr>
        <w:spacing w:after="0" w:line="67" w:lineRule="exact"/>
        <w:rPr>
          <w:rFonts w:ascii="Times New Roman" w:cs="Times New Roman" w:eastAsia="Times New Roman" w:hAnsi="Times New Roman"/>
          <w:sz w:val="18"/>
          <w:szCs w:val="18"/>
          <w:color w:val="auto"/>
        </w:rPr>
      </w:pPr>
    </w:p>
    <w:p>
      <w:pPr>
        <w:ind w:left="1420" w:right="400" w:firstLine="391"/>
        <w:spacing w:after="0" w:line="282" w:lineRule="auto"/>
        <w:tabs>
          <w:tab w:leader="none" w:pos="2088"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register the transfer of or to exchange any Note selected for redemption in whole or in part, except the unredeemed portion of any Note being redeemed in part; or</w:t>
      </w:r>
    </w:p>
    <w:p>
      <w:pPr>
        <w:spacing w:after="0" w:line="53" w:lineRule="exact"/>
        <w:rPr>
          <w:rFonts w:ascii="Times New Roman" w:cs="Times New Roman" w:eastAsia="Times New Roman" w:hAnsi="Times New Roman"/>
          <w:sz w:val="18"/>
          <w:szCs w:val="18"/>
          <w:color w:val="auto"/>
        </w:rPr>
      </w:pPr>
    </w:p>
    <w:p>
      <w:pPr>
        <w:ind w:left="2100" w:hanging="289"/>
        <w:spacing w:after="0"/>
        <w:tabs>
          <w:tab w:leader="none" w:pos="210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register the transfer of or to exchange a Note between a record date and the next succeeding Interest Payment Date.</w:t>
      </w:r>
    </w:p>
    <w:p>
      <w:pPr>
        <w:spacing w:after="0" w:line="117" w:lineRule="exact"/>
        <w:rPr>
          <w:rFonts w:ascii="Times New Roman" w:cs="Times New Roman" w:eastAsia="Times New Roman" w:hAnsi="Times New Roman"/>
          <w:sz w:val="18"/>
          <w:szCs w:val="18"/>
          <w:color w:val="auto"/>
        </w:rPr>
      </w:pPr>
    </w:p>
    <w:p>
      <w:pPr>
        <w:jc w:val="both"/>
        <w:ind w:left="980" w:right="100" w:firstLine="408"/>
        <w:spacing w:after="0" w:line="261" w:lineRule="auto"/>
        <w:tabs>
          <w:tab w:leader="none" w:pos="163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due presentment for the registration of a transfer of any Note, the Trustee, any Agent and the Issuer may deem and treat the Person in whose name any Note is registered as the absolute owner of such Note for the purpose of receiving payment of principal of and interest on such Notes and for all other purposes, and none of the Trustee, any Agent or the Issuer shall be affected by notice to the contrary.</w:t>
      </w:r>
    </w:p>
    <w:p>
      <w:pPr>
        <w:spacing w:after="0" w:line="71"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authenticate Global Notes and Definitive Notes in accordance with the provisions of Section 2.02.</w:t>
      </w:r>
    </w:p>
    <w:p>
      <w:pPr>
        <w:spacing w:after="0" w:line="117" w:lineRule="exact"/>
        <w:rPr>
          <w:rFonts w:ascii="Times New Roman" w:cs="Times New Roman" w:eastAsia="Times New Roman" w:hAnsi="Times New Roman"/>
          <w:sz w:val="18"/>
          <w:szCs w:val="18"/>
          <w:color w:val="auto"/>
        </w:rPr>
      </w:pPr>
    </w:p>
    <w:p>
      <w:pPr>
        <w:ind w:left="980" w:right="120" w:firstLine="408"/>
        <w:spacing w:after="0" w:line="282" w:lineRule="auto"/>
        <w:tabs>
          <w:tab w:leader="none" w:pos="163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certifications, certificates and Opinions of Counsel required to be submitted to the Registrar pursuant to this Section 2.06 to effect a registration of transfer or exchange may be submitted by facsimile or electronic image scan.</w:t>
      </w:r>
    </w:p>
    <w:p>
      <w:pPr>
        <w:spacing w:after="0" w:line="53" w:lineRule="exact"/>
        <w:rPr>
          <w:rFonts w:ascii="Times New Roman" w:cs="Times New Roman" w:eastAsia="Times New Roman" w:hAnsi="Times New Roman"/>
          <w:sz w:val="18"/>
          <w:szCs w:val="18"/>
          <w:color w:val="auto"/>
        </w:rPr>
      </w:pPr>
    </w:p>
    <w:p>
      <w:pPr>
        <w:ind w:left="980" w:right="300" w:firstLine="408"/>
        <w:spacing w:after="0" w:line="266" w:lineRule="auto"/>
        <w:tabs>
          <w:tab w:leader="none" w:pos="163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contained herein to the contrary, neither the Trustee nor the Registrar shall be responsible for ascertaining whether any transfer complies with the registration provisions of or exemptions from the Securities Act or state securities laws.</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i w:val="1"/>
          <w:iCs w:val="1"/>
          <w:color w:val="auto"/>
        </w:rPr>
        <w:t>Replacement Notes.</w:t>
      </w:r>
    </w:p>
    <w:p>
      <w:pPr>
        <w:spacing w:after="0" w:line="22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If any mutilated Note is surrendered to the Trustee or either the Issuer or the Trustee receives evidence to its satisfaction of the destruction, loss or theft of any Note, and such other reasonable requirements as may be imposed by the Issuer as permitted by Section 8-405 of the Uniform Commercial Code have been satisfied, then, in the absence of notice to the Issuer or the Trustee that such Note has been acquired by a “protected purchaser” within the meaning of Section 8-405 of the Uniform Commercial Code, the Issuer will issue and the Trustee, upon receipt of an Authentication Order, will authenticate a replacement Note if the Trustee’s requirements are met. If required by the Trustee or the Issuer, an indemnity bond must be supplied by the Holder that is sufficient in the judgment of the Trustee or the Issuer, as applicable, to protect the Issuer, the Trustee, any Agent and any authenticating agent from any loss that any of them may suffer if a Note is replaced. The Issuer may charge the Holder for its expenses in replacing a Note.</w:t>
      </w:r>
    </w:p>
    <w:p>
      <w:pPr>
        <w:spacing w:after="0" w:line="1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940"/>
          </w:cols>
          <w:pgMar w:left="440" w:top="270" w:right="519" w:bottom="1440" w:gutter="0" w:footer="0" w:header="0"/>
        </w:sectPr>
      </w:pPr>
    </w:p>
    <w:bookmarkStart w:id="62" w:name="page63"/>
    <w:bookmarkEnd w:id="62"/>
    <w:p>
      <w:pPr>
        <w:ind w:right="9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Every replacement Note is an additional obligation of the Issuer and will be entitled to all of the benefits of this Indenture equally and proportionately with all other Notes duly issued hereunder.</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i w:val="1"/>
          <w:iCs w:val="1"/>
          <w:color w:val="auto"/>
        </w:rPr>
        <w:t>Outstanding Notes.</w:t>
      </w:r>
    </w:p>
    <w:p>
      <w:pPr>
        <w:spacing w:after="0" w:line="227"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The Notes outstanding at any time are all the Notes authenticated by the Trustee except for those canceled by it, those delivered to it for cancellation, those reductions in the interest in a Global Note effected by the Trustee in accordance with the provisions hereof, and those described in this Section 2.08 as not outstanding. Except as set forth in Section 2.09, a Note does not cease to be outstanding because the Issuer or an Affiliate of the Issuer holds the Note.</w:t>
      </w:r>
    </w:p>
    <w:p>
      <w:pPr>
        <w:spacing w:after="0" w:line="180"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If a Note is replaced pursuant to Section 2.07, it ceases to be outstanding unless the Trustee receives proof satisfactory to it that the replaced Note is held by a protected purchaser within the meaning of Section 8-405 of the Uniform Commercial Code.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the principal amount of any Note is considered paid under Section 4.01, it ceases to be outstanding and interest on it ceases to accrue.</w:t>
      </w:r>
    </w:p>
    <w:p>
      <w:pPr>
        <w:spacing w:after="0" w:line="225"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If the Paying Agent (other than the Issuer, a Subsidiary or an Affiliate of any thereof) holds, by 11:00 a.m., New York City time, on a redemption date or other maturity date, money sufficient to pay Notes payable on that date, then on and after that date such Notes will be deemed to be no longer outstanding and will cease to accrue interest.</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i w:val="1"/>
          <w:iCs w:val="1"/>
          <w:color w:val="auto"/>
        </w:rPr>
        <w:t>Treasury Notes.</w:t>
      </w:r>
    </w:p>
    <w:p>
      <w:pPr>
        <w:spacing w:after="0" w:line="22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In determining whether the Holders of the required principal amount of Notes have concurred in any direction, waiver or consent, Notes owned by the Issuer or any Guarantor, or by any Person directly or indirectly controlling or controlled by or under direct or indirect common control with the Issuer or any Guarantor, will be considered as though not outstanding, except that for the purposes of determining whether the Trustee will be protected in relying on any such direction, waiver or consent, only Notes that the Trustee actually knows are so owned will be so disregarded.</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i w:val="1"/>
          <w:iCs w:val="1"/>
          <w:color w:val="auto"/>
        </w:rPr>
        <w:t>Temporary Notes.</w:t>
      </w:r>
    </w:p>
    <w:p>
      <w:pPr>
        <w:spacing w:after="0" w:line="22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Until certificates representing Notes are ready for delivery, the Issuer may prepare and the Trustee, upon receipt of an Authentication Order, will authenticate temporary Notes. Temporary Notes will be substantially in the form of certificated Notes but may have variations that the Issuer considers appropriate for temporary Notes and as may be reasonably acceptable to the Trustee. Without unreasonable delay, the Issuer will prepare and the Trustee will authenticate definitive Notes in exchange for temporary Notes.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Holders of temporary Notes will be entitled to all of the benefits of this Indenture.</w:t>
      </w:r>
    </w:p>
    <w:p>
      <w:pPr>
        <w:spacing w:after="0" w:line="2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i w:val="1"/>
          <w:iCs w:val="1"/>
          <w:color w:val="auto"/>
        </w:rPr>
        <w:t>Cancellation.</w:t>
      </w:r>
    </w:p>
    <w:p>
      <w:pPr>
        <w:spacing w:after="0" w:line="227"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The Issuer at any time may deliver Notes to the Trustee for cancellation. The Registrar and Paying Agent will forward to the Trustee any Notes surrendered to them for registration of transfer, exchange or payment. The Trustee and no one else will cancel all Notes surrendered for registration of transfer, exchange, payment, replacement or cancellation and will dispose of canceled Notes (subject to the record retention requirement of the Exchange Act and its own policies). Upon written request of the Issuer, certification of the disposition of all canceled Notes shall be delivered to the Issuer. The Issuer may not issue new Notes to replace Notes that it has paid or that have been delivered to the Trustee for cancellation.</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980"/>
          </w:cols>
          <w:pgMar w:left="440" w:top="270" w:right="479" w:bottom="1440" w:gutter="0" w:footer="0" w:header="0"/>
        </w:sectPr>
      </w:pPr>
    </w:p>
    <w:bookmarkStart w:id="63" w:name="page64"/>
    <w:bookmarkEnd w:id="6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2.12 </w:t>
      </w:r>
      <w:r>
        <w:rPr>
          <w:rFonts w:ascii="Times New Roman" w:cs="Times New Roman" w:eastAsia="Times New Roman" w:hAnsi="Times New Roman"/>
          <w:sz w:val="18"/>
          <w:szCs w:val="18"/>
          <w:i w:val="1"/>
          <w:iCs w:val="1"/>
          <w:color w:val="auto"/>
        </w:rPr>
        <w:t>Defaulted Interest.</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If the Issuer defaults in a payment of interest on the Notes, it will pay the defaulted interest in any lawful manner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to the extent lawful, interest payable on the defaulted interest, to the Persons who are Holders on a subsequent special record date, in each case at the rate provided in the Notes and in Section 4.01;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special record date shall not be required with respect to payments of defaulted interest made within the applicable grace period for such payment. The Issuer will notify the Trustee, and the Paying Agent if other than the Trustee, in writing of the amount of defaulted interest proposed to be paid on each Note and the date of the proposed payment. The Issuer will fix or cause to be fixed each such special record date and payment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special record date may be less than 10 days prior to the related payment date for such defaulted interest. For purposes of Sections 2.05, 2.06, 3.05, 3.08, 3.10, 4.10 and 4.15, reference to “Interest Payment Date” shall be deemed to refer to and include any such payment date so fixed. At least 10 days before the special record date, the Issuer (or, upon the written request of the Issuer, the Trustee in the name and at the expense of the Issuer) will mail or cause to be mailed to Holders a notice that states the special record date, the related payment date and the amount of such interest to be paid.</w:t>
      </w:r>
    </w:p>
    <w:p>
      <w:pPr>
        <w:spacing w:after="0" w:line="187"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Notwithstanding the foregoing, any interest which is paid prior to the expiration of the 30-day period set forth in Section 6.01(a) shall be paid to the Holders as of the record day for the Interest Payment Date for which interest has not been paid.</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i w:val="1"/>
          <w:iCs w:val="1"/>
          <w:color w:val="auto"/>
        </w:rPr>
        <w:t>Issuance of Additional Notes.</w:t>
      </w:r>
    </w:p>
    <w:p>
      <w:pPr>
        <w:spacing w:after="0" w:line="227" w:lineRule="exact"/>
        <w:rPr>
          <w:sz w:val="20"/>
          <w:szCs w:val="20"/>
          <w:color w:val="auto"/>
        </w:rPr>
      </w:pPr>
    </w:p>
    <w:p>
      <w:pPr>
        <w:ind w:firstLine="987"/>
        <w:spacing w:after="0" w:line="254" w:lineRule="auto"/>
        <w:tabs>
          <w:tab w:leader="none" w:pos="1236"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Issuer shall be entitled, subject to its compliance with Article 4, to issue Additional Notes under this Indenture. Any Additional Notes shall be part of the same series as the Initial Notes issued on the Issue Date, rank equally with the Initial Notes and have identical terms and conditions to the Initial Notes in all respects other than (a) the date of issuance, (b) the issue price and (c) at the option of the Issuer, (i) as to the payment of interest accruing prior to the issue date of such Additional Notes, and (ii) the first payment of interest following the issue date of such Additional Notes. The Initial Notes and any Additional Notes subsequently issued upon original issue under this Indenture shall be treated as a single class for all purposes under this Indenture, including directions, waivers, amendments, consents, redemptions and offers to purchase, and none of the Holders of any Initial Notes or any Additional Notes shall have the right to vote or consent as a separate class on any matter to which such Holders are entitled to vote or consent;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any Additional Notes are not fungible with the Initial Notes for U.S. federal income tax purposes, such Additional Notes shall have a different CUSIP number (or other applicable identifying number).</w:t>
      </w:r>
    </w:p>
    <w:p>
      <w:pPr>
        <w:spacing w:after="0" w:line="188" w:lineRule="exact"/>
        <w:rPr>
          <w:rFonts w:ascii="Times New Roman" w:cs="Times New Roman" w:eastAsia="Times New Roman" w:hAnsi="Times New Roman"/>
          <w:sz w:val="18"/>
          <w:szCs w:val="18"/>
          <w:color w:val="auto"/>
        </w:rPr>
      </w:pPr>
    </w:p>
    <w:p>
      <w:pPr>
        <w:ind w:right="80" w:firstLine="987"/>
        <w:spacing w:after="0" w:line="282" w:lineRule="auto"/>
        <w:tabs>
          <w:tab w:leader="none" w:pos="1246"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Additional Notes, the Issuer shall set forth in a supplemental indenture or an Officer’s Certificate, a copy of which shall be delivered to the Trustee at or prior to original issuance thereof, the following information:</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such Additional Notes to be authenticated and delivered pursuant to this Indenture;</w:t>
      </w:r>
    </w:p>
    <w:p>
      <w:pPr>
        <w:spacing w:after="0" w:line="117" w:lineRule="exact"/>
        <w:rPr>
          <w:rFonts w:ascii="Times New Roman" w:cs="Times New Roman" w:eastAsia="Times New Roman" w:hAnsi="Times New Roman"/>
          <w:sz w:val="18"/>
          <w:szCs w:val="18"/>
          <w:color w:val="auto"/>
        </w:rPr>
      </w:pPr>
    </w:p>
    <w:p>
      <w:pPr>
        <w:ind w:left="440" w:right="400" w:firstLine="419"/>
        <w:spacing w:after="0" w:line="282" w:lineRule="auto"/>
        <w:tabs>
          <w:tab w:leader="none" w:pos="111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 date (and the corresponding date from which interest shall accrue thereon and the first Interest Payment Date therefor), the CUSIP and/or ISIN number and the issue price of such Additional Notes; and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00"/>
          </w:cols>
          <w:pgMar w:left="440" w:top="268" w:right="459" w:bottom="1440" w:gutter="0" w:footer="0" w:header="0"/>
        </w:sectPr>
      </w:pPr>
    </w:p>
    <w:bookmarkStart w:id="64" w:name="page65"/>
    <w:bookmarkEnd w:id="64"/>
    <w:p>
      <w:pPr>
        <w:ind w:left="440" w:firstLine="419"/>
        <w:spacing w:after="0" w:line="282" w:lineRule="auto"/>
        <w:tabs>
          <w:tab w:leader="none" w:pos="111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whether such Additional Notes shall be subject to the restrictions on transfer set forth in Section 2.06 relating to Restricted Global Notes and Restricted Definitive Notes.</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2.14 </w:t>
      </w:r>
      <w:r>
        <w:rPr>
          <w:rFonts w:ascii="Times New Roman" w:cs="Times New Roman" w:eastAsia="Times New Roman" w:hAnsi="Times New Roman"/>
          <w:sz w:val="18"/>
          <w:szCs w:val="18"/>
          <w:i w:val="1"/>
          <w:iCs w:val="1"/>
          <w:color w:val="auto"/>
        </w:rPr>
        <w:t>Computation of Interest.</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Interest on the Notes shall be computed on the basis of a 360-day year of twelve 30-day months.</w:t>
      </w:r>
    </w:p>
    <w:p>
      <w:pPr>
        <w:spacing w:after="0" w:line="2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2.15 </w:t>
      </w:r>
      <w:r>
        <w:rPr>
          <w:rFonts w:ascii="Times New Roman" w:cs="Times New Roman" w:eastAsia="Times New Roman" w:hAnsi="Times New Roman"/>
          <w:sz w:val="18"/>
          <w:szCs w:val="18"/>
          <w:i w:val="1"/>
          <w:iCs w:val="1"/>
          <w:color w:val="auto"/>
        </w:rPr>
        <w:t>CUSIP Number.</w:t>
      </w:r>
    </w:p>
    <w:p>
      <w:pPr>
        <w:spacing w:after="0" w:line="227"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Issuer in issuing the Notes may use “CUSIP” numbers (if then generally in use), and, if so, the Trustee shall use “CUSIP” numbers in notices of redemption as a convenience to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Trustee shall have no liability for any defect in the CUSIP numbers as they appear on the Notes, in any notice or elsewhere and that any such notice may state that no representation is made as to the correctness of such numbers either as printed on the Notes or as contained in any notice of a redemption and that reliance may be placed only on the other identification numbers printed on the Notes, and any such redemption shall not be affected by any defect in or omission of such numbers. The Issuer will promptly notify the Trustee in writing of any change in the “CUSIP” numbers.</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ARTICLE 3</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REDEMPTION AND PREPAYMENT</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i w:val="1"/>
          <w:iCs w:val="1"/>
          <w:color w:val="auto"/>
        </w:rPr>
        <w:t>Notices to Trustee.</w:t>
      </w:r>
    </w:p>
    <w:p>
      <w:pPr>
        <w:spacing w:after="0" w:line="227"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If the Issuer elects to redeem Notes pursuant to the optional redemption provisions of Section 3.08, the Issuer must furnish to the Trustee, at least five Business Days prior to the giving of notice of a redemption (or such shorter period as shall be acceptable to the Trustee), an Officer’s Certificate setting forth:</w:t>
      </w:r>
    </w:p>
    <w:p>
      <w:pPr>
        <w:spacing w:after="0" w:line="68" w:lineRule="exact"/>
        <w:rPr>
          <w:sz w:val="20"/>
          <w:szCs w:val="20"/>
          <w:color w:val="auto"/>
        </w:rPr>
      </w:pPr>
    </w:p>
    <w:p>
      <w:pPr>
        <w:ind w:left="1240" w:hanging="253"/>
        <w:spacing w:after="0"/>
        <w:tabs>
          <w:tab w:leader="none" w:pos="12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clause of this Indenture pursuant to which the redemption shall occur;</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Notes to be redeemed; and</w:t>
      </w:r>
    </w:p>
    <w:p>
      <w:pPr>
        <w:spacing w:after="0" w:line="225" w:lineRule="exact"/>
        <w:rPr>
          <w:rFonts w:ascii="Times New Roman" w:cs="Times New Roman" w:eastAsia="Times New Roman" w:hAnsi="Times New Roman"/>
          <w:sz w:val="18"/>
          <w:szCs w:val="18"/>
          <w:color w:val="auto"/>
        </w:rPr>
      </w:pPr>
    </w:p>
    <w:p>
      <w:pPr>
        <w:ind w:left="440" w:right="3540" w:firstLine="547"/>
        <w:spacing w:after="0" w:line="499" w:lineRule="auto"/>
        <w:tabs>
          <w:tab w:leader="none" w:pos="124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redemption price (if then determined and otherwise the method of determination). Section 3.02 </w:t>
      </w:r>
      <w:r>
        <w:rPr>
          <w:rFonts w:ascii="Times New Roman" w:cs="Times New Roman" w:eastAsia="Times New Roman" w:hAnsi="Times New Roman"/>
          <w:sz w:val="18"/>
          <w:szCs w:val="18"/>
          <w:i w:val="1"/>
          <w:iCs w:val="1"/>
          <w:color w:val="auto"/>
        </w:rPr>
        <w:t>Selection of Notes to Be Redeemed.</w:t>
      </w:r>
    </w:p>
    <w:p>
      <w:pPr>
        <w:spacing w:after="0" w:line="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If less than all of the Notes are to be redeemed at any time, the Trustee will select Notes for redemption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(or, in the case of Notes issued in global form pursuant to Article 2, based on a method as DTC or its nominee or successor may require or a method that most nearly approximates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selection as the Trustee deems fair and appropriate and is in accordance with the applicable procedures of DTC) unless otherwise required by law or applicable stock exchange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Trustee knows of such listing) or depositary requirements.</w:t>
      </w:r>
    </w:p>
    <w:p>
      <w:pPr>
        <w:spacing w:after="0" w:line="182" w:lineRule="exact"/>
        <w:rPr>
          <w:sz w:val="20"/>
          <w:szCs w:val="20"/>
          <w:color w:val="auto"/>
        </w:rPr>
      </w:pPr>
    </w:p>
    <w:p>
      <w:pPr>
        <w:ind w:right="460" w:firstLine="440"/>
        <w:spacing w:after="0" w:line="261" w:lineRule="auto"/>
        <w:rPr>
          <w:sz w:val="20"/>
          <w:szCs w:val="20"/>
          <w:color w:val="auto"/>
        </w:rPr>
      </w:pPr>
      <w:r>
        <w:rPr>
          <w:rFonts w:ascii="Times New Roman" w:cs="Times New Roman" w:eastAsia="Times New Roman" w:hAnsi="Times New Roman"/>
          <w:sz w:val="18"/>
          <w:szCs w:val="18"/>
          <w:color w:val="auto"/>
        </w:rPr>
        <w:t>The Trustee will promptly notify the Issuer in writing of the Notes selected for redemption and, in the case of any Note selected for partial redemption, the principal amount thereof to be redeemed. Notes and portions of Notes selected will be in minimum amounts of $2,000 or integral multiples of $1,000 in excess thereof. Except as provided in the preceding sentence, provisions of this Indenture that apply to Notes called for redemption also apply to portions of Notes called for redemption.</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940"/>
          </w:cols>
          <w:pgMar w:left="440" w:top="270" w:right="519" w:bottom="1440" w:gutter="0" w:footer="0" w:header="0"/>
        </w:sectPr>
      </w:pPr>
    </w:p>
    <w:bookmarkStart w:id="65" w:name="page66"/>
    <w:bookmarkEnd w:id="6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3.03 </w:t>
      </w:r>
      <w:r>
        <w:rPr>
          <w:rFonts w:ascii="Times New Roman" w:cs="Times New Roman" w:eastAsia="Times New Roman" w:hAnsi="Times New Roman"/>
          <w:sz w:val="18"/>
          <w:szCs w:val="18"/>
          <w:i w:val="1"/>
          <w:iCs w:val="1"/>
          <w:color w:val="auto"/>
        </w:rPr>
        <w:t>Notice of Redemption.</w:t>
      </w:r>
    </w:p>
    <w:p>
      <w:pPr>
        <w:spacing w:after="0" w:line="22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Except as otherwise provided in Section 3.07, at least 10 days but not more than 60 days before a redemption date, the Issuer will send or cause to be sent, by first class mail (or electronically if DTC is the recipient), a notice of redemption to each Holder whose Notes are to be redeemed at its registered address (with a copy to the Trustee), except that redemption notices may be given more than 60 days prior to a redemption date if the notice is issued in connection with a defeasance of the Notes or a satisfaction and discharge of this Indenture pursuant to Article 8 or 11.</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notice will identify the Notes to be redeemed and will state:</w:t>
      </w:r>
    </w:p>
    <w:p>
      <w:pPr>
        <w:spacing w:after="0" w:line="117" w:lineRule="exact"/>
        <w:rPr>
          <w:sz w:val="20"/>
          <w:szCs w:val="20"/>
          <w:color w:val="auto"/>
        </w:rPr>
      </w:pPr>
    </w:p>
    <w:p>
      <w:pPr>
        <w:ind w:left="1240" w:hanging="253"/>
        <w:spacing w:after="0"/>
        <w:tabs>
          <w:tab w:leader="none" w:pos="12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 (if then determined and otherwise the method of determination);</w:t>
      </w:r>
    </w:p>
    <w:p>
      <w:pPr>
        <w:spacing w:after="0" w:line="225" w:lineRule="exact"/>
        <w:rPr>
          <w:rFonts w:ascii="Times New Roman" w:cs="Times New Roman" w:eastAsia="Times New Roman" w:hAnsi="Times New Roman"/>
          <w:sz w:val="18"/>
          <w:szCs w:val="18"/>
          <w:color w:val="auto"/>
        </w:rPr>
      </w:pPr>
    </w:p>
    <w:p>
      <w:pPr>
        <w:ind w:right="200" w:firstLine="987"/>
        <w:spacing w:after="0" w:line="266" w:lineRule="auto"/>
        <w:tabs>
          <w:tab w:leader="none" w:pos="123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Note is being redeemed in part, the portion of the principal amount of such Note to be redeemed and that, after the redemption date upon surrender of such Note, a new Note or Notes in principal amount equal to the unredeemed portion will be issued in the name of the Holder thereof upon cancellation of the original Note;</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Paying Agent;</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Notes called for redemption must be surrendered to the Paying Agent to collect the redemption price;</w:t>
      </w:r>
    </w:p>
    <w:p>
      <w:pPr>
        <w:spacing w:after="0" w:line="225" w:lineRule="exact"/>
        <w:rPr>
          <w:rFonts w:ascii="Times New Roman" w:cs="Times New Roman" w:eastAsia="Times New Roman" w:hAnsi="Times New Roman"/>
          <w:sz w:val="18"/>
          <w:szCs w:val="18"/>
          <w:color w:val="auto"/>
        </w:rPr>
      </w:pPr>
    </w:p>
    <w:p>
      <w:pPr>
        <w:ind w:right="140" w:firstLine="987"/>
        <w:spacing w:after="0" w:line="282" w:lineRule="auto"/>
        <w:tabs>
          <w:tab w:leader="none" w:pos="121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unless the Issuer defaults in making such redemption payment, interest on Notes or portions thereof called for redemption ceases to accrue on and after the redemption date;</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paragraph of the Notes and/or Section of this Indenture pursuant to which the Notes called for redemption are being redeemed;</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no representation is made as to the correctness or accuracy of the CUSIP or ISIN number, if any, listed in such notice or printed on</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 Notes; and</w:t>
      </w:r>
    </w:p>
    <w:p>
      <w:pPr>
        <w:spacing w:after="0" w:line="206" w:lineRule="exact"/>
        <w:rPr>
          <w:rFonts w:ascii="Times New Roman" w:cs="Times New Roman" w:eastAsia="Times New Roman" w:hAnsi="Times New Roman"/>
          <w:sz w:val="17"/>
          <w:szCs w:val="17"/>
          <w:color w:val="auto"/>
        </w:rPr>
      </w:pPr>
    </w:p>
    <w:p>
      <w:pPr>
        <w:ind w:left="1200" w:hanging="213"/>
        <w:spacing w:after="0"/>
        <w:tabs>
          <w:tab w:leader="none" w:pos="12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conditions precedent to such redemption.</w:t>
      </w:r>
    </w:p>
    <w:p>
      <w:pPr>
        <w:spacing w:after="0" w:line="223" w:lineRule="exact"/>
        <w:rPr>
          <w:sz w:val="20"/>
          <w:szCs w:val="20"/>
          <w:color w:val="auto"/>
        </w:rPr>
      </w:pPr>
    </w:p>
    <w:p>
      <w:pPr>
        <w:ind w:right="40" w:firstLine="440"/>
        <w:spacing w:after="0" w:line="267" w:lineRule="auto"/>
        <w:rPr>
          <w:sz w:val="20"/>
          <w:szCs w:val="20"/>
          <w:color w:val="auto"/>
        </w:rPr>
      </w:pPr>
      <w:r>
        <w:rPr>
          <w:rFonts w:ascii="Times New Roman" w:cs="Times New Roman" w:eastAsia="Times New Roman" w:hAnsi="Times New Roman"/>
          <w:sz w:val="18"/>
          <w:szCs w:val="18"/>
          <w:color w:val="auto"/>
        </w:rPr>
        <w:t xml:space="preserve">At the Issuer’s request, the Trustee will give the notice of redemption in the Issuer’s name and at the Issuer’s expense;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Officer’s Certificate delivered to the Trustee pursuant to Section 3.01 requests that the Trustee give such notice and sets forth the information to be stated in such notice as provided in the preceding paragraph.</w:t>
      </w:r>
    </w:p>
    <w:p>
      <w:pPr>
        <w:spacing w:after="0" w:line="175"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A notice of redemption with respect to a redemption described in Section 3.08(b) need not set forth the Applicable Premium but only the manner of calculation thereof. The Issuer shall notify the Trustee of the Applicable Premium with respect to any such redemption promptly after the calculation, and the Trustee shall not be responsible for making, confirming or verifying such calculation.</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980"/>
          </w:cols>
          <w:pgMar w:left="440" w:top="268" w:right="479" w:bottom="1440" w:gutter="0" w:footer="0" w:header="0"/>
        </w:sectPr>
      </w:pPr>
    </w:p>
    <w:bookmarkStart w:id="66" w:name="page67"/>
    <w:bookmarkEnd w:id="6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3.04 </w:t>
      </w:r>
      <w:r>
        <w:rPr>
          <w:rFonts w:ascii="Times New Roman" w:cs="Times New Roman" w:eastAsia="Times New Roman" w:hAnsi="Times New Roman"/>
          <w:sz w:val="18"/>
          <w:szCs w:val="18"/>
          <w:i w:val="1"/>
          <w:iCs w:val="1"/>
          <w:color w:val="auto"/>
        </w:rPr>
        <w:t>Effect of Notice of Redemption.</w:t>
      </w:r>
    </w:p>
    <w:p>
      <w:pPr>
        <w:spacing w:after="0" w:line="227"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Once notice of redemption is given in accordance with Section 3.03, Notes or portions thereof called for redemption become irrevocably due and payable (subject to satisfaction of any conditions to such redemption) on the redemption date at the redemption price. A notice of redemption may, at the Issuer’s discretion, be subject to one or more conditions precedent. If a redemption is subject to the satisfaction of one or more conditions precedent, the related notice shall describe each such condition and, if applicable, shall state that, in the Issuer’s discretion, the date of redemption may be delayed until such time as any or all such conditions shall be satisfied or waived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such date of redemption be delayed to a date later than 60 days after the date on which such notice was sent), or such redemption may not occur and such notice may be rescinded in the event that any or all such conditions shall not have been satisfied or waived by the Issuer by the date of redemption, or by the date of redemption as so delayed.</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i w:val="1"/>
          <w:iCs w:val="1"/>
          <w:color w:val="auto"/>
        </w:rPr>
        <w:t>Deposit of Redemption Price.</w:t>
      </w:r>
    </w:p>
    <w:p>
      <w:pPr>
        <w:spacing w:after="0" w:line="227" w:lineRule="exact"/>
        <w:rPr>
          <w:sz w:val="20"/>
          <w:szCs w:val="20"/>
          <w:color w:val="auto"/>
        </w:rPr>
      </w:pPr>
    </w:p>
    <w:p>
      <w:pPr>
        <w:jc w:val="both"/>
        <w:ind w:right="220" w:firstLine="440"/>
        <w:spacing w:after="0" w:line="261" w:lineRule="auto"/>
        <w:rPr>
          <w:sz w:val="20"/>
          <w:szCs w:val="20"/>
          <w:color w:val="auto"/>
        </w:rPr>
      </w:pPr>
      <w:r>
        <w:rPr>
          <w:rFonts w:ascii="Times New Roman" w:cs="Times New Roman" w:eastAsia="Times New Roman" w:hAnsi="Times New Roman"/>
          <w:sz w:val="18"/>
          <w:szCs w:val="18"/>
          <w:color w:val="auto"/>
        </w:rPr>
        <w:t>No later than 11:00 a.m., New York City time, on the redemption date, the Issuer will deposit with the Trustee or with the Paying Agent money sufficient to pay the redemption price of and accrued interest on all Notes to be redeemed on that date. The Trustee or the Paying Agent will promptly return to the Issuer any money deposited with the Trustee or the Paying Agent by the Issuer in excess of the amounts necessary to pay the redemption price of and accrued interest on all Notes to be redeemed.</w:t>
      </w:r>
    </w:p>
    <w:p>
      <w:pPr>
        <w:spacing w:after="0" w:line="180" w:lineRule="exact"/>
        <w:rPr>
          <w:sz w:val="20"/>
          <w:szCs w:val="20"/>
          <w:color w:val="auto"/>
        </w:rPr>
      </w:pPr>
    </w:p>
    <w:p>
      <w:pPr>
        <w:ind w:right="160" w:firstLine="440"/>
        <w:spacing w:after="0" w:line="256" w:lineRule="auto"/>
        <w:rPr>
          <w:sz w:val="20"/>
          <w:szCs w:val="20"/>
          <w:color w:val="auto"/>
        </w:rPr>
      </w:pPr>
      <w:r>
        <w:rPr>
          <w:rFonts w:ascii="Times New Roman" w:cs="Times New Roman" w:eastAsia="Times New Roman" w:hAnsi="Times New Roman"/>
          <w:sz w:val="18"/>
          <w:szCs w:val="18"/>
          <w:color w:val="auto"/>
        </w:rPr>
        <w:t>If the Issuer complies with the provisions of the preceding paragraph, on and after the redemption date, interest will cease to accrue on the Notes or the portions of Notes called for redemption. If a Note is redeemed on or after an interest record date but on or prior to the related Interest Payment Date, then any accrued and unpaid interest shall be paid to the Person in whose name such Note was registered at the close of business on such record date. If any Note called for redemption is not so paid upon surrender for redemption because of the failure of the Issuer to comply with the preceding paragraph, interest shall be paid on the unpaid principal, from the redemption date until such principal is paid, and to the extent lawful on any interest not paid on such unpaid principal, in each case at the rate provided in the Notes and in Section 4.01.</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i w:val="1"/>
          <w:iCs w:val="1"/>
          <w:color w:val="auto"/>
        </w:rPr>
        <w:t>Notes Redeemed in Part.</w:t>
      </w:r>
    </w:p>
    <w:p>
      <w:pPr>
        <w:spacing w:after="0" w:line="227"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Upon surrender of a Note that is redeemed in part, the Issuer will issue and, upon receipt of an Authentication Order, the Trustee will authenticate for the Holder at the expense of the Issuer a new Note equal in principal amount to the unredeemed portion of the Note surrendered.</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i w:val="1"/>
          <w:iCs w:val="1"/>
          <w:color w:val="auto"/>
        </w:rPr>
        <w:t>Special Mandatory Redemption.</w:t>
      </w:r>
    </w:p>
    <w:p>
      <w:pPr>
        <w:spacing w:after="0" w:line="227" w:lineRule="exact"/>
        <w:rPr>
          <w:sz w:val="20"/>
          <w:szCs w:val="20"/>
          <w:color w:val="auto"/>
        </w:rPr>
      </w:pPr>
    </w:p>
    <w:p>
      <w:pPr>
        <w:ind w:firstLine="987"/>
        <w:spacing w:after="0" w:line="253" w:lineRule="auto"/>
        <w:tabs>
          <w:tab w:leader="none" w:pos="123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(x) the consummation of the Berry Merger does not occur on or before March 14, 2026 (subject to up to two three-month extensions by either the Issuer or Berry upon written notice in certain circumstances) (the “</w:t>
      </w:r>
      <w:r>
        <w:rPr>
          <w:rFonts w:ascii="Times New Roman" w:cs="Times New Roman" w:eastAsia="Times New Roman" w:hAnsi="Times New Roman"/>
          <w:sz w:val="18"/>
          <w:szCs w:val="18"/>
          <w:i w:val="1"/>
          <w:iCs w:val="1"/>
          <w:color w:val="auto"/>
        </w:rPr>
        <w:t>Outside Date</w:t>
      </w:r>
      <w:r>
        <w:rPr>
          <w:rFonts w:ascii="Times New Roman" w:cs="Times New Roman" w:eastAsia="Times New Roman" w:hAnsi="Times New Roman"/>
          <w:sz w:val="18"/>
          <w:szCs w:val="18"/>
          <w:color w:val="auto"/>
        </w:rPr>
        <w:t>”) or (y) prior thereto, the Issuer notifies the Trustee in writing that the Merger Agreement has been terminated or the Issuer will not pursue the consummation of the Berry Merger or has determined in its sole discretion that the Berry Merger cannot or is not reasonably likely to be consummated by the Outside Date (the earlier of the date of delivery of such notice described in clause (y) and the Outside Date, the “</w:t>
      </w:r>
      <w:r>
        <w:rPr>
          <w:rFonts w:ascii="Times New Roman" w:cs="Times New Roman" w:eastAsia="Times New Roman" w:hAnsi="Times New Roman"/>
          <w:sz w:val="18"/>
          <w:szCs w:val="18"/>
          <w:i w:val="1"/>
          <w:iCs w:val="1"/>
          <w:color w:val="auto"/>
        </w:rPr>
        <w:t>Special Mandatory Redemption Trigger Date</w:t>
      </w:r>
      <w:r>
        <w:rPr>
          <w:rFonts w:ascii="Times New Roman" w:cs="Times New Roman" w:eastAsia="Times New Roman" w:hAnsi="Times New Roman"/>
          <w:sz w:val="18"/>
          <w:szCs w:val="18"/>
          <w:color w:val="auto"/>
        </w:rPr>
        <w:t>”), the Issuer will be required to redeem all Notes then outstanding (such redemption, the “</w:t>
      </w:r>
      <w:r>
        <w:rPr>
          <w:rFonts w:ascii="Times New Roman" w:cs="Times New Roman" w:eastAsia="Times New Roman" w:hAnsi="Times New Roman"/>
          <w:sz w:val="18"/>
          <w:szCs w:val="18"/>
          <w:i w:val="1"/>
          <w:iCs w:val="1"/>
          <w:color w:val="auto"/>
        </w:rPr>
        <w:t>Special Mandatory Redemption</w:t>
      </w:r>
      <w:r>
        <w:rPr>
          <w:rFonts w:ascii="Times New Roman" w:cs="Times New Roman" w:eastAsia="Times New Roman" w:hAnsi="Times New Roman"/>
          <w:sz w:val="18"/>
          <w:szCs w:val="18"/>
          <w:color w:val="auto"/>
        </w:rPr>
        <w:t xml:space="preserve">”) at a redemption price equal to 100% of the initial issue price of the Notes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accrued and unpaid interest to, but excluding, the Special Mandatory Redemption Date (as defined below) (the “</w:t>
      </w:r>
      <w:r>
        <w:rPr>
          <w:rFonts w:ascii="Times New Roman" w:cs="Times New Roman" w:eastAsia="Times New Roman" w:hAnsi="Times New Roman"/>
          <w:sz w:val="18"/>
          <w:szCs w:val="18"/>
          <w:i w:val="1"/>
          <w:iCs w:val="1"/>
          <w:color w:val="auto"/>
        </w:rPr>
        <w:t>Special Mandatory Redemption Price</w:t>
      </w:r>
      <w:r>
        <w:rPr>
          <w:rFonts w:ascii="Times New Roman" w:cs="Times New Roman" w:eastAsia="Times New Roman" w:hAnsi="Times New Roman"/>
          <w:sz w:val="18"/>
          <w:szCs w:val="18"/>
          <w:color w:val="auto"/>
        </w:rPr>
        <w:t>”). For purposes of the foregoing, consummation of the Berry Merger refers to the occurrence of the “Effective Time” of the “Merger”, each as defined in the Agreement and Plan of Merger, dated September 14, 2025 (the “</w:t>
      </w:r>
      <w:r>
        <w:rPr>
          <w:rFonts w:ascii="Times New Roman" w:cs="Times New Roman" w:eastAsia="Times New Roman" w:hAnsi="Times New Roman"/>
          <w:sz w:val="18"/>
          <w:szCs w:val="18"/>
          <w:i w:val="1"/>
          <w:iCs w:val="1"/>
          <w:color w:val="auto"/>
        </w:rPr>
        <w:t>Merger Agreement</w:t>
      </w:r>
      <w:r>
        <w:rPr>
          <w:rFonts w:ascii="Times New Roman" w:cs="Times New Roman" w:eastAsia="Times New Roman" w:hAnsi="Times New Roman"/>
          <w:sz w:val="18"/>
          <w:szCs w:val="18"/>
          <w:color w:val="auto"/>
        </w:rPr>
        <w:t>”), among the Issuer, Berry and a certain Subsidiary of the Issuer, as such Merger Agreement shall be amended, modified or waived from time to time, pursuant to which the Issuer will combine with Berry in an all-stock transaction (the “</w:t>
      </w:r>
      <w:r>
        <w:rPr>
          <w:rFonts w:ascii="Times New Roman" w:cs="Times New Roman" w:eastAsia="Times New Roman" w:hAnsi="Times New Roman"/>
          <w:sz w:val="18"/>
          <w:szCs w:val="18"/>
          <w:i w:val="1"/>
          <w:iCs w:val="1"/>
          <w:color w:val="auto"/>
        </w:rPr>
        <w:t>Berry Merger</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00"/>
          </w:cols>
          <w:pgMar w:left="440" w:top="268" w:right="459" w:bottom="1440" w:gutter="0" w:footer="0" w:header="0"/>
        </w:sectPr>
      </w:pPr>
    </w:p>
    <w:bookmarkStart w:id="67" w:name="page68"/>
    <w:bookmarkEnd w:id="67"/>
    <w:p>
      <w:pPr>
        <w:ind w:firstLine="987"/>
        <w:spacing w:after="0" w:line="253" w:lineRule="auto"/>
        <w:tabs>
          <w:tab w:leader="none" w:pos="124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event that the Issuer becomes obligated to redeem the Notes pursuant to the Special Mandatory Redemption, the Issuer will promptly, and in any event not more than ten Business Days after the Special Mandatory Redemption Trigger Date deliver notice to the Trustee of the Special Mandatory Redemption and the date upon which the Notes will be redeemed (the “</w:t>
      </w:r>
      <w:r>
        <w:rPr>
          <w:rFonts w:ascii="Times New Roman" w:cs="Times New Roman" w:eastAsia="Times New Roman" w:hAnsi="Times New Roman"/>
          <w:sz w:val="18"/>
          <w:szCs w:val="18"/>
          <w:i w:val="1"/>
          <w:iCs w:val="1"/>
          <w:color w:val="auto"/>
        </w:rPr>
        <w:t>Special Mandatory Redemption Date</w:t>
      </w:r>
      <w:r>
        <w:rPr>
          <w:rFonts w:ascii="Times New Roman" w:cs="Times New Roman" w:eastAsia="Times New Roman" w:hAnsi="Times New Roman"/>
          <w:sz w:val="18"/>
          <w:szCs w:val="18"/>
          <w:color w:val="auto"/>
        </w:rPr>
        <w:t>,” which date shall be no earlier than the third Business Day or later than the twentieth Business Day following the date of such notice) together with a notice of Special Mandatory Redemption and written instructions to the Trustee instructing the Trustee to deliver such notice to each registered Holder of Notes (which instructions must be delivered to the Trustee at least two Business Days prior to the date such notice of redemption is to be sent or such shorter period as may be acceptable to the Trustee in its sole discretion). The Trustee will then promptly mail, or deliver electronically if such Notes are held by any depositary (including DTC) in accordance with such depositary’s customary procedures, such notice of Special Mandatory Redemption to each registered Holder of Notes to be redeemed. Unless the Issuer defaults in payment of the Special Mandatory Redemption Price, on and after such Special Mandatory Redemption Date interest will cease to accrue on the Notes.</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i w:val="1"/>
          <w:iCs w:val="1"/>
          <w:color w:val="auto"/>
        </w:rPr>
        <w:t>Optional Redemption.</w:t>
      </w:r>
    </w:p>
    <w:p>
      <w:pPr>
        <w:spacing w:after="0" w:line="227" w:lineRule="exact"/>
        <w:rPr>
          <w:sz w:val="20"/>
          <w:szCs w:val="20"/>
          <w:color w:val="auto"/>
        </w:rPr>
      </w:pPr>
    </w:p>
    <w:p>
      <w:pPr>
        <w:ind w:right="40" w:firstLine="987"/>
        <w:spacing w:after="0" w:line="255" w:lineRule="auto"/>
        <w:tabs>
          <w:tab w:leader="none" w:pos="123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prior to January 15, 2029, the Issuer may on any one or more occasions redeem up to 40% of the aggregate principal amount of the Notes (including, without limitation, any Additional Notes) issued under this Indenture, in an amount not greater than the net cash proceeds of one or more Equity Offerings by the Issuer, upon notice as provided in this Indenture, at a redemption price equal to 107.000% of the principal amount of the Notes redeemed,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accrued and unpaid interest, if any, to, but excluding, the date of redemption (subject to the rights of Holders of Notes on the relevant record date to receive interest on the relevant Interest Payment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(1) at least 60% of the aggregate principal amount of Notes originally issued on the Issue Date (excluding Notes held by the Issuer and its Subsidiaries) remains outstanding immediately after the occurrence of such redemption; and (2) the redemption occurs within 180 days of the date of the closing of such Equity Offering.</w:t>
      </w:r>
    </w:p>
    <w:p>
      <w:pPr>
        <w:spacing w:after="0" w:line="188" w:lineRule="exact"/>
        <w:rPr>
          <w:rFonts w:ascii="Times New Roman" w:cs="Times New Roman" w:eastAsia="Times New Roman" w:hAnsi="Times New Roman"/>
          <w:sz w:val="18"/>
          <w:szCs w:val="18"/>
          <w:color w:val="auto"/>
        </w:rPr>
      </w:pPr>
    </w:p>
    <w:p>
      <w:pPr>
        <w:ind w:right="120" w:firstLine="987"/>
        <w:spacing w:after="0" w:line="261" w:lineRule="auto"/>
        <w:tabs>
          <w:tab w:leader="none" w:pos="124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prior to January 15, 2029, the Issuer may on any one or more occasions redeem all or a part of the Notes, upon notice as provided in this Indenture, at a redemption price equal to 100% of the principal amount of the Notes redeemed,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Applicable Premium as of, and accrued and unpaid interest to, but excluding, the date of redemption, subject to the rights of Holders of Notes on the relevant record date to receive interest due on the relevant Interest Payment Date.</w:t>
      </w:r>
    </w:p>
    <w:p>
      <w:pPr>
        <w:spacing w:after="0" w:line="1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pursuant to Section 3.08(a), (b) or (e), the Notes will not be redeemable at the Issuer’s option prior to January 15, 2029.</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00"/>
          </w:cols>
          <w:pgMar w:left="440" w:top="270" w:right="459" w:bottom="1440" w:gutter="0" w:footer="0" w:header="0"/>
        </w:sectPr>
      </w:pPr>
    </w:p>
    <w:bookmarkStart w:id="68" w:name="page69"/>
    <w:bookmarkEnd w:id="68"/>
    <w:p>
      <w:pPr>
        <w:ind w:firstLine="987"/>
        <w:spacing w:after="0" w:line="261" w:lineRule="auto"/>
        <w:tabs>
          <w:tab w:leader="none" w:pos="124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On or after January 15, 2029, the Issuer may on any one or more occasions redeem all or a part of the Notes, upon notice as provided in this Indenture, at the redemption prices (expressed as percentages of principal amount) set forth below,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accrued and unpaid interest, if any, on the Notes redeemed to, but excluding, the applicable date of redemption, subject to the rights of Holders of Notes on the relevant record date to receive interest on the relevant Interest Payment Date, if redeemed during the twelve-month period beginning on January 15 of the years indicated below:</w:t>
      </w:r>
    </w:p>
    <w:p>
      <w:pPr>
        <w:spacing w:after="0" w:line="200" w:lineRule="exact"/>
        <w:rPr>
          <w:sz w:val="20"/>
          <w:szCs w:val="20"/>
          <w:color w:val="auto"/>
        </w:rPr>
      </w:pPr>
    </w:p>
    <w:tbl>
      <w:tblPr>
        <w:tblLayout w:type="fixed"/>
        <w:tblInd w:w="1760" w:type="dxa"/>
        <w:tblCellMar>
          <w:top w:w="0" w:type="dxa"/>
          <w:left w:w="0" w:type="dxa"/>
          <w:bottom w:w="0" w:type="dxa"/>
          <w:right w:w="0" w:type="dxa"/>
        </w:tblCellMar>
      </w:tblPr>
      <w:tr>
        <w:trPr>
          <w:trHeight w:val="173"/>
        </w:trPr>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630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20"/>
        </w:trPr>
        <w:tc>
          <w:tcPr>
            <w:tcW w:w="66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00" w:type="dxa"/>
            <w:vAlign w:val="bottom"/>
            <w:gridSpan w:val="2"/>
            <w:vMerge w:val="continue"/>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103.500%</w:t>
            </w: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2030</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101.750%</w:t>
            </w: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2031 and thereafter</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40" w:hanging="253"/>
        <w:spacing w:after="0"/>
        <w:tabs>
          <w:tab w:leader="none" w:pos="12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may redeem all (but not a portion of) the Notes when permitted by, and pursuant to the conditions in, Section 4.15(f).</w:t>
      </w:r>
    </w:p>
    <w:p>
      <w:pPr>
        <w:spacing w:after="0" w:line="225"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pursuant to this Section 3.08 shall be made pursuant to the provisions of Sections 3.01 through 3.06.</w:t>
      </w:r>
    </w:p>
    <w:p>
      <w:pPr>
        <w:spacing w:after="0" w:line="225" w:lineRule="exact"/>
        <w:rPr>
          <w:rFonts w:ascii="Times New Roman" w:cs="Times New Roman" w:eastAsia="Times New Roman" w:hAnsi="Times New Roman"/>
          <w:sz w:val="18"/>
          <w:szCs w:val="18"/>
          <w:color w:val="auto"/>
        </w:rPr>
      </w:pPr>
    </w:p>
    <w:p>
      <w:pPr>
        <w:ind w:right="40" w:firstLine="987"/>
        <w:spacing w:after="0" w:line="282" w:lineRule="auto"/>
        <w:tabs>
          <w:tab w:leader="none" w:pos="124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may at any time and from time to time purchase Notes in the open market or otherwise, in each case, without any restriction under this Indenture.</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i w:val="1"/>
          <w:iCs w:val="1"/>
          <w:color w:val="auto"/>
        </w:rPr>
        <w:t>Mandatory Redemption.</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Except as provided in Section 3.07, the Issuer is not required to make mandatory redemption or sinking fund payments with respect to the Notes.</w:t>
      </w:r>
    </w:p>
    <w:p>
      <w:pPr>
        <w:spacing w:after="0" w:line="2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i w:val="1"/>
          <w:iCs w:val="1"/>
          <w:color w:val="auto"/>
        </w:rPr>
        <w:t>Offer to Purchase by Application of Excess Proceeds.</w:t>
      </w:r>
    </w:p>
    <w:p>
      <w:pPr>
        <w:spacing w:after="0" w:line="227"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In the event that, pursuant to Section 4.10, the Issuer is required to commence an Asset Sale Offer to all Holders to purchase Notes, it will follow the procedures specified below.</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The Asset Sale Offer shall be made to all Holders and all holders of other Indebtedness that is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Notes containing provisions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similar to those set forth in this Indenture with respect to offers to purchase, prepay or redeem with the proceeds of sales of assets. The Asset Sale Offer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remain open for a period of at least 20 Business Days following its commencement and not more than 30 Business Days, except to the extent that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longer period is required by applicable law (the “</w:t>
      </w:r>
      <w:r>
        <w:rPr>
          <w:rFonts w:ascii="Times New Roman" w:cs="Times New Roman" w:eastAsia="Times New Roman" w:hAnsi="Times New Roman"/>
          <w:sz w:val="18"/>
          <w:szCs w:val="18"/>
          <w:i w:val="1"/>
          <w:iCs w:val="1"/>
          <w:color w:val="auto"/>
        </w:rPr>
        <w:t>Offer Period</w:t>
      </w:r>
      <w:r>
        <w:rPr>
          <w:rFonts w:ascii="Times New Roman" w:cs="Times New Roman" w:eastAsia="Times New Roman" w:hAnsi="Times New Roman"/>
          <w:sz w:val="18"/>
          <w:szCs w:val="18"/>
          <w:color w:val="auto"/>
        </w:rPr>
        <w:t>”). No later than three Business Days after the termination of the Offer Period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Purchase Date</w:t>
      </w:r>
      <w:r>
        <w:rPr>
          <w:rFonts w:ascii="Times New Roman" w:cs="Times New Roman" w:eastAsia="Times New Roman" w:hAnsi="Times New Roman"/>
          <w:sz w:val="18"/>
          <w:szCs w:val="18"/>
          <w:color w:val="auto"/>
        </w:rPr>
        <w:t>”), the Issuer will apply all Excess Proceeds (the “</w:t>
      </w:r>
      <w:r>
        <w:rPr>
          <w:rFonts w:ascii="Times New Roman" w:cs="Times New Roman" w:eastAsia="Times New Roman" w:hAnsi="Times New Roman"/>
          <w:sz w:val="18"/>
          <w:szCs w:val="18"/>
          <w:i w:val="1"/>
          <w:iCs w:val="1"/>
          <w:color w:val="auto"/>
        </w:rPr>
        <w:t>Offer Amount</w:t>
      </w:r>
      <w:r>
        <w:rPr>
          <w:rFonts w:ascii="Times New Roman" w:cs="Times New Roman" w:eastAsia="Times New Roman" w:hAnsi="Times New Roman"/>
          <w:sz w:val="18"/>
          <w:szCs w:val="18"/>
          <w:color w:val="auto"/>
        </w:rPr>
        <w:t xml:space="preserve">”) to the purchase of Notes and such other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Indebtedness (on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pro rata </w:t>
      </w:r>
      <w:r>
        <w:rPr>
          <w:rFonts w:ascii="Times New Roman" w:cs="Times New Roman" w:eastAsia="Times New Roman" w:hAnsi="Times New Roman"/>
          <w:sz w:val="18"/>
          <w:szCs w:val="18"/>
          <w:color w:val="auto"/>
        </w:rPr>
        <w:t>basis based on the principal amount of Notes and such other</w:t>
      </w:r>
      <w:r>
        <w:rPr>
          <w:rFonts w:ascii="Times New Roman" w:cs="Times New Roman" w:eastAsia="Times New Roman" w:hAnsi="Times New Roman"/>
          <w:sz w:val="18"/>
          <w:szCs w:val="18"/>
          <w:i w:val="1"/>
          <w:iCs w:val="1"/>
          <w:color w:val="auto"/>
        </w:rPr>
        <w:t xml:space="preserve"> pari passu </w:t>
      </w:r>
      <w:r>
        <w:rPr>
          <w:rFonts w:ascii="Times New Roman" w:cs="Times New Roman" w:eastAsia="Times New Roman" w:hAnsi="Times New Roman"/>
          <w:sz w:val="18"/>
          <w:szCs w:val="18"/>
          <w:color w:val="auto"/>
        </w:rPr>
        <w:t>Indebtedness surrendered, if applicable) or, if less than the Offer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has been tendered, all Notes and other Indebtedness tendered in response to the Asset Sale Offer. Payment for any Notes so purchased will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made in the same manner specified in the last paragraph of this Section 3.10.</w:t>
      </w:r>
    </w:p>
    <w:p>
      <w:pPr>
        <w:spacing w:after="0" w:line="207"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If the Purchase Date is on or after an interest record date and on or before the related Interest Payment Date, any accrued and unpaid interest will be paid to the Person in whose name a Note is registered at the close of business on such record date, and no additional interest will be payable to Holders who tender Notes pursuant to the Asset Sale Offer.</w:t>
      </w:r>
    </w:p>
    <w:p>
      <w:pPr>
        <w:spacing w:after="0" w:line="176" w:lineRule="exact"/>
        <w:rPr>
          <w:sz w:val="20"/>
          <w:szCs w:val="20"/>
          <w:color w:val="auto"/>
        </w:rPr>
      </w:pPr>
    </w:p>
    <w:p>
      <w:pPr>
        <w:jc w:val="both"/>
        <w:ind w:right="320" w:firstLine="440"/>
        <w:spacing w:after="0" w:line="266" w:lineRule="auto"/>
        <w:rPr>
          <w:sz w:val="20"/>
          <w:szCs w:val="20"/>
          <w:color w:val="auto"/>
        </w:rPr>
      </w:pPr>
      <w:r>
        <w:rPr>
          <w:rFonts w:ascii="Times New Roman" w:cs="Times New Roman" w:eastAsia="Times New Roman" w:hAnsi="Times New Roman"/>
          <w:sz w:val="18"/>
          <w:szCs w:val="18"/>
          <w:color w:val="auto"/>
        </w:rPr>
        <w:t>Upon the commencement of an Asset Sale Offer, the Issuer will deliver, by first class mail, a notice to each of the Holders, with a copy to the Trustee. The notice will contain all instructions and materials necessary to enable such Holders to tender Notes pursuant to the Asset Sale Offer. The notice, which will govern the terms of the Asset Sale Offer, will state:</w:t>
      </w:r>
    </w:p>
    <w:p>
      <w:pPr>
        <w:spacing w:after="0" w:line="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that the Asset Sale Offer is being made pursuant to this Section 3.10 and Section 4.10 and the length of time the Asset Sale Offer will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remain open;</w:t>
      </w:r>
    </w:p>
    <w:p>
      <w:pPr>
        <w:spacing w:after="0" w:line="207" w:lineRule="exact"/>
        <w:rPr>
          <w:sz w:val="20"/>
          <w:szCs w:val="20"/>
          <w:color w:val="auto"/>
        </w:rPr>
      </w:pPr>
    </w:p>
    <w:p>
      <w:pPr>
        <w:jc w:val="right"/>
        <w:ind w:left="5420" w:right="5380" w:hanging="4433"/>
        <w:spacing w:after="0" w:line="367" w:lineRule="auto"/>
        <w:tabs>
          <w:tab w:leader="none" w:pos="1248"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Offer Amount, the purchase price and the Purchase Date; 59</w:t>
      </w:r>
    </w:p>
    <w:p>
      <w:pPr>
        <w:sectPr>
          <w:pgSz w:w="11900" w:h="16838" w:orient="portrait"/>
          <w:cols w:equalWidth="0" w:num="1">
            <w:col w:w="11000"/>
          </w:cols>
          <w:pgMar w:left="440" w:top="270" w:right="459" w:bottom="1440" w:gutter="0" w:footer="0" w:header="0"/>
        </w:sectPr>
      </w:pPr>
    </w:p>
    <w:bookmarkStart w:id="69" w:name="page70"/>
    <w:bookmarkEnd w:id="69"/>
    <w:p>
      <w:pPr>
        <w:ind w:left="1240" w:hanging="253"/>
        <w:spacing w:after="0"/>
        <w:tabs>
          <w:tab w:leader="none" w:pos="12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any Note not tendered or accepted for payment will continue to accrue interest;</w:t>
      </w:r>
    </w:p>
    <w:p>
      <w:pPr>
        <w:spacing w:after="0" w:line="225" w:lineRule="exact"/>
        <w:rPr>
          <w:rFonts w:ascii="Times New Roman" w:cs="Times New Roman" w:eastAsia="Times New Roman" w:hAnsi="Times New Roman"/>
          <w:sz w:val="18"/>
          <w:szCs w:val="18"/>
          <w:color w:val="auto"/>
        </w:rPr>
      </w:pPr>
    </w:p>
    <w:p>
      <w:pPr>
        <w:ind w:right="180" w:firstLine="987"/>
        <w:spacing w:after="0" w:line="282" w:lineRule="auto"/>
        <w:tabs>
          <w:tab w:leader="none" w:pos="124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unless the Issuer defaults in making such payment, any Note accepted for payment pursuant to the Asset Sale Offer will cease to accrue interest on and after the Purchase Date;</w:t>
      </w:r>
    </w:p>
    <w:p>
      <w:pPr>
        <w:spacing w:after="0" w:line="161" w:lineRule="exact"/>
        <w:rPr>
          <w:rFonts w:ascii="Times New Roman" w:cs="Times New Roman" w:eastAsia="Times New Roman" w:hAnsi="Times New Roman"/>
          <w:sz w:val="18"/>
          <w:szCs w:val="18"/>
          <w:color w:val="auto"/>
        </w:rPr>
      </w:pPr>
    </w:p>
    <w:p>
      <w:pPr>
        <w:ind w:right="660" w:firstLine="987"/>
        <w:spacing w:after="0" w:line="282" w:lineRule="auto"/>
        <w:tabs>
          <w:tab w:leader="none" w:pos="123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Holders electing to have a Note purchased pursuant to an Asset Sale Offer may elect to have Notes purchased in minimum denominations of $2,000 and any integral multiple of $1,000 in excess thereof;</w:t>
      </w:r>
    </w:p>
    <w:p>
      <w:pPr>
        <w:spacing w:after="0" w:line="161" w:lineRule="exact"/>
        <w:rPr>
          <w:rFonts w:ascii="Times New Roman" w:cs="Times New Roman" w:eastAsia="Times New Roman" w:hAnsi="Times New Roman"/>
          <w:sz w:val="18"/>
          <w:szCs w:val="18"/>
          <w:color w:val="auto"/>
        </w:rPr>
      </w:pPr>
    </w:p>
    <w:p>
      <w:pPr>
        <w:ind w:right="40" w:firstLine="987"/>
        <w:spacing w:after="0" w:line="266" w:lineRule="auto"/>
        <w:tabs>
          <w:tab w:leader="none" w:pos="121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Holders electing to have Notes purchased pursuant to any Asset Sale Offer will be required to surrender the Note, with the form entitled “Option of Holder to Elect Purchase” attached to the Notes completed, or transfer by book-entry transfer, to the Issuer, a depositary, if appointed by the Issuer, or a Paying Agent at the address specified in the notice at least three days before the Purchase Date;</w:t>
      </w:r>
    </w:p>
    <w:p>
      <w:pPr>
        <w:spacing w:after="0" w:line="175" w:lineRule="exact"/>
        <w:rPr>
          <w:rFonts w:ascii="Times New Roman" w:cs="Times New Roman" w:eastAsia="Times New Roman" w:hAnsi="Times New Roman"/>
          <w:sz w:val="18"/>
          <w:szCs w:val="18"/>
          <w:color w:val="auto"/>
        </w:rPr>
      </w:pPr>
    </w:p>
    <w:p>
      <w:pPr>
        <w:jc w:val="both"/>
        <w:ind w:right="160" w:firstLine="987"/>
        <w:spacing w:after="0" w:line="261" w:lineRule="auto"/>
        <w:tabs>
          <w:tab w:leader="none" w:pos="124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Holders will be entitled to withdraw their election if the Issuer, the Depositary or the Paying Agent, as the case may be, receives, not later than the expiration of the Offer Period, a telegram, electronic image scan, facsimile transmission or letter setting forth the name of the Holder, the principal amount of the Note the Holder delivered for purchase and a statement that such Holder is withdrawing his election to have such Note purchased;</w:t>
      </w:r>
    </w:p>
    <w:p>
      <w:pPr>
        <w:spacing w:after="0" w:line="179" w:lineRule="exact"/>
        <w:rPr>
          <w:rFonts w:ascii="Times New Roman" w:cs="Times New Roman" w:eastAsia="Times New Roman" w:hAnsi="Times New Roman"/>
          <w:sz w:val="18"/>
          <w:szCs w:val="18"/>
          <w:color w:val="auto"/>
        </w:rPr>
      </w:pPr>
    </w:p>
    <w:p>
      <w:pPr>
        <w:ind w:right="120" w:firstLine="987"/>
        <w:spacing w:after="0" w:line="256" w:lineRule="auto"/>
        <w:tabs>
          <w:tab w:leader="none" w:pos="124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if the aggregate principal amount of Notes surrendered by Holders thereof exceeds the Offer Amount allocated to the purchase of Notes in the Asset Sale Offer, the Trustee will select the Notes to be purchased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(except that any Notes represented by a Global Note shall be selected by such method as DTC or its nominee or successor may require or a method that most nearly approximates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selection as the Trustee deems fair and appropriate and is in accordance with DTC’s applicable procedures) based on the principal amount of Notes surrendered (with such adjustments as may be deemed appropriate by the Issuer so that only Notes in minimum denominations of $2,000 and any integral multiple of $1,000 in excess thereof will be purchased; and</w:t>
      </w:r>
    </w:p>
    <w:p>
      <w:pPr>
        <w:spacing w:after="0" w:line="187" w:lineRule="exact"/>
        <w:rPr>
          <w:rFonts w:ascii="Times New Roman" w:cs="Times New Roman" w:eastAsia="Times New Roman" w:hAnsi="Times New Roman"/>
          <w:sz w:val="18"/>
          <w:szCs w:val="18"/>
          <w:color w:val="auto"/>
        </w:rPr>
      </w:pPr>
    </w:p>
    <w:p>
      <w:pPr>
        <w:ind w:right="20" w:firstLine="987"/>
        <w:spacing w:after="0" w:line="282" w:lineRule="auto"/>
        <w:tabs>
          <w:tab w:leader="none" w:pos="120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Holders whose Notes were purchased only in part will be issued new Notes equal in principal amount to the unpurchased portion of the Notes surrendered (or transferred by book-entry transfer).</w:t>
      </w:r>
    </w:p>
    <w:p>
      <w:pPr>
        <w:spacing w:after="0" w:line="160"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On or before the Purchase Date, the Issuer will, to the extent lawful, accept for payment,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to the extent necessary, the Notes or portions thereof tendered pursuant to the Asset Sale Offer and required to be purchased pursuant to this Section 3.10 and Section 4.10, or if Notes in an aggregate principal amount less than the Offer Amount allocated to the purchase of Notes in the Asset Sale Offer have been tendered, all Notes tendered, and will deliver or cause to be delivered to the Trustee the Notes properly accepted together with an Officer’s Certificate stating that such Notes or portions thereof were accepted for payment by the Issuer in accordance with the terms of this Section 3.10. Notes to be purchased shall, on the Purchase Date, become due and payable at the purchase price and from and after such date (unless the Issuer shall default in the payment of the purchase price) such Notes shall cease to accrue interest. The Issuer, the depositary for the Asset Sale Offer or the Paying Agent, as the case may be, will promptly (but in any case not later than five days after the Purchase Date) mail or deliver to each tendering Holder an amount equal to the purchase price of the Notes tendered by such Holder and accepted by the Issuer for purchase (or, if any Notes are then in global form, it will promptly make such payment thereon through the facilities of DTC), and the Issuer will promptly issue a new Note, and the Trustee, upon written request from the Issuer, will authenticate and mail or deliver (or cause to be transferred by book entry) such new Note to such Holder, in a principal amount equal to any unpurchased portion of the Note surrendered. Any Note not so accepted shall be promptly mailed or delivered by the Issuer to the Holder thereof. The Issuer will publicly announce the results of the Asset Sale Offer on the Purchase Date.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20"/>
          </w:cols>
          <w:pgMar w:left="440" w:top="270" w:right="439" w:bottom="1440" w:gutter="0" w:footer="0" w:header="0"/>
        </w:sectPr>
      </w:pPr>
    </w:p>
    <w:bookmarkStart w:id="70" w:name="page71"/>
    <w:bookmarkEnd w:id="70"/>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4</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COVENANTS</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i w:val="1"/>
          <w:iCs w:val="1"/>
          <w:color w:val="auto"/>
        </w:rPr>
        <w:t>Payment of Notes.</w:t>
      </w:r>
    </w:p>
    <w:p>
      <w:pPr>
        <w:spacing w:after="0" w:line="227"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The Issuer will pay or cause to be paid the principal of, premium on, if any, and interest on the Notes on the dates and in the manner provided in the Notes. Principal, interest and premium, if any, will be considered paid on the date due if the Paying Agent, if other than the Issuer or a Subsidiary of the Issuer, holds as of 11:00 a.m., New York City time, on the due date money deposited by the Issuer in immediately available funds and designated for and sufficient to pay all principal, interest and premium, if any, if any, then due.</w:t>
      </w:r>
    </w:p>
    <w:p>
      <w:pPr>
        <w:spacing w:after="0" w:line="180" w:lineRule="exact"/>
        <w:rPr>
          <w:sz w:val="20"/>
          <w:szCs w:val="20"/>
          <w:color w:val="auto"/>
        </w:rPr>
      </w:pPr>
    </w:p>
    <w:p>
      <w:pPr>
        <w:ind w:right="100" w:firstLine="440"/>
        <w:spacing w:after="0" w:line="289" w:lineRule="auto"/>
        <w:rPr>
          <w:sz w:val="20"/>
          <w:szCs w:val="20"/>
          <w:color w:val="auto"/>
        </w:rPr>
      </w:pPr>
      <w:r>
        <w:rPr>
          <w:rFonts w:ascii="Times New Roman" w:cs="Times New Roman" w:eastAsia="Times New Roman" w:hAnsi="Times New Roman"/>
          <w:sz w:val="17"/>
          <w:szCs w:val="17"/>
          <w:color w:val="auto"/>
        </w:rPr>
        <w:t>The Issuer will pay interest (including post-petition interest in any proceeding under any Bankruptcy Law) on overdue principal at a rate that is equal to the then applicable interest rate on the Notes to the extent lawful; the Issuer will pay interest (including post-petition interest in any proceeding under any Bankruptcy Law) on overdue installments of interest (without regard to any applicable grace period), at the same rate to the extent lawful.</w:t>
      </w:r>
    </w:p>
    <w:p>
      <w:pPr>
        <w:spacing w:after="0" w:line="158"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The Issuer may at any time, for the purpose of obtaining satisfaction and discharge with respect to the Notes or for any other purpose, pay, or direct any Paying Agent to pay, to the Trustee all sums held in trust by the Issuer or such Paying Agent, such sums to be held by the Trustee upon the same terms as those upon which such sums were held by the Issuer or such Paying Agent; and, upon such payment by any Paying Agent to the Trustee, such Paying Agent shall be released from all further liability with respect to such money.</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i w:val="1"/>
          <w:iCs w:val="1"/>
          <w:color w:val="auto"/>
        </w:rPr>
        <w:t>Maintenance of Office or Agency.</w:t>
      </w:r>
    </w:p>
    <w:p>
      <w:pPr>
        <w:spacing w:after="0" w:line="227" w:lineRule="exact"/>
        <w:rPr>
          <w:sz w:val="20"/>
          <w:szCs w:val="20"/>
          <w:color w:val="auto"/>
        </w:rPr>
      </w:pPr>
    </w:p>
    <w:p>
      <w:pPr>
        <w:ind w:right="2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Issuer will maintain, an office or agency (which may be an office of the Trustee or an Affiliate of the Trustee) where Notes may be surrendered for registration of transfer or for exchange and where notices and demands to or upon the Issuer in respect of the Notes and this Indenture may be served. The Issuer will give prompt written notice to the Trustee of the location, and any change in the location, of such office or agency. If at any time the Issuer fails to maintain any such required office or agency or fails to furnish the Trustee with the address thereof, such presentations, surrenders, notices and demands may be made or served at the Corporate Trust Office of the Trustee;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Trustee shall not be deemed an agent of the Issuer for service of legal process.</w:t>
      </w:r>
    </w:p>
    <w:p>
      <w:pPr>
        <w:spacing w:after="0" w:line="18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Issuer may also from time to time designate one or more other offices or agencies where the Notes may be presented or surrendered for any or all such purposes and may from time to time rescind such designations;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designation or rescission will in any manner relieve the Issuer of its obligation to maintain an office or agency for such purposes. The Issuer will give prompt written notice to the Trustee of any such designation or rescission and of any change in the location of any such other office or agency.</w:t>
      </w:r>
    </w:p>
    <w:p>
      <w:pPr>
        <w:spacing w:after="0" w:line="180"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The Issuer hereby designates the Corporate Trust Office of the Trustee as one such office or agency of the Issuer in accordance with Section 2.03 of this Indenture.</w:t>
      </w:r>
    </w:p>
    <w:p>
      <w:pPr>
        <w:spacing w:after="0" w:line="162"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With respect to any Global Notes, the Corporate Trust Office of the Trustee shall be the office or agency where such Global Notes may be presented or surrendered for payment or for registration of transfer or exchange, or where successor Notes may be delivered in exchange therefor;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any such presentation, surrender or delivery effected pursuant to the Applicable Procedures of the Depositary shall be deemed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been effected at such office or agency in accordance with the provisions of this Indenture.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00"/>
          </w:cols>
          <w:pgMar w:left="440" w:top="270" w:right="459" w:bottom="1440" w:gutter="0" w:footer="0" w:header="0"/>
        </w:sectPr>
      </w:pPr>
    </w:p>
    <w:bookmarkStart w:id="71" w:name="page72"/>
    <w:bookmarkEnd w:id="7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4.03 </w:t>
      </w:r>
      <w:r>
        <w:rPr>
          <w:rFonts w:ascii="Times New Roman" w:cs="Times New Roman" w:eastAsia="Times New Roman" w:hAnsi="Times New Roman"/>
          <w:sz w:val="18"/>
          <w:szCs w:val="18"/>
          <w:i w:val="1"/>
          <w:iCs w:val="1"/>
          <w:color w:val="auto"/>
        </w:rPr>
        <w:t>Reports.</w:t>
      </w:r>
    </w:p>
    <w:p>
      <w:pPr>
        <w:spacing w:after="0" w:line="227" w:lineRule="exact"/>
        <w:rPr>
          <w:sz w:val="20"/>
          <w:szCs w:val="20"/>
          <w:color w:val="auto"/>
        </w:rPr>
      </w:pPr>
    </w:p>
    <w:p>
      <w:pPr>
        <w:ind w:right="320" w:firstLine="987"/>
        <w:spacing w:after="0" w:line="266" w:lineRule="auto"/>
        <w:tabs>
          <w:tab w:leader="none" w:pos="1236"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required by the rules and regulations of the SEC, so long as any Notes are outstanding, the Issuer will furnish to the Holders of Notes (or file with the SEC for public availability), within the time periods specified in the SEC’s rules and regulations applicable to a non-accelerated filer, after giving effect to all applicable extensions and cure periods:</w:t>
      </w:r>
    </w:p>
    <w:p>
      <w:pPr>
        <w:spacing w:after="0" w:line="67" w:lineRule="exact"/>
        <w:rPr>
          <w:rFonts w:ascii="Times New Roman" w:cs="Times New Roman" w:eastAsia="Times New Roman" w:hAnsi="Times New Roman"/>
          <w:sz w:val="18"/>
          <w:szCs w:val="18"/>
          <w:color w:val="auto"/>
        </w:rPr>
      </w:pPr>
    </w:p>
    <w:p>
      <w:pPr>
        <w:ind w:left="440" w:right="120" w:firstLine="419"/>
        <w:spacing w:after="0" w:line="266" w:lineRule="auto"/>
        <w:tabs>
          <w:tab w:leader="none" w:pos="1118"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quarterly and annual reports that would be required to be filed with the SEC on Forms 10-Q and 10-K if the Issuer were required to file such reports, including a “Management’s Discussion and Analysis of Financial Condition and Results of Operations” and, with respect to the annual report only, a report on the Issuer’s consolidated financial statements by the Issuer’s certified independent accountants; and</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current reports that would be required to be filed with the SEC on Form 8-K if the Issuer were required to file such reports.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availability of the foregoing reports on the SEC’s EDGAR filing system will be deemed to satisfy the foregoing delivery requirements.</w:t>
      </w:r>
    </w:p>
    <w:p>
      <w:pPr>
        <w:spacing w:after="0" w:line="225" w:lineRule="exact"/>
        <w:rPr>
          <w:sz w:val="20"/>
          <w:szCs w:val="20"/>
          <w:color w:val="auto"/>
        </w:rPr>
      </w:pPr>
    </w:p>
    <w:p>
      <w:pPr>
        <w:ind w:right="60" w:firstLine="987"/>
        <w:spacing w:after="0" w:line="255" w:lineRule="auto"/>
        <w:tabs>
          <w:tab w:leader="none" w:pos="124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Issuer has designated as an Unrestricted Subsidiary any of its Subsidiaries that is a Significant Subsidiary (or that, taken together with other Unrestricted Subsidiaries, would be a Significant Subsidiary), then the quarterly and annual financial information required by Section 4.03(a) will include (a) the aggregate amount of total property, plant and equipment, net, total operating revenues and net income represented by such Unrestricted Subsidiaries and (b) to the extent material, a reasonably detailed presentation, either on the face of the financial statements or in the footnotes thereto, and in “Management’s Discussion and Analysis of Financial Condition and Results of Operations,” of the financial condition and results of operations of the Issuer and its Restricted Subsidiaries separate from the financial condition and results of operations of the Unrestricted Subsidiaries of the Issuer.</w:t>
      </w:r>
    </w:p>
    <w:p>
      <w:pPr>
        <w:spacing w:after="0" w:line="188" w:lineRule="exact"/>
        <w:rPr>
          <w:rFonts w:ascii="Times New Roman" w:cs="Times New Roman" w:eastAsia="Times New Roman" w:hAnsi="Times New Roman"/>
          <w:sz w:val="18"/>
          <w:szCs w:val="18"/>
          <w:color w:val="auto"/>
        </w:rPr>
      </w:pPr>
    </w:p>
    <w:p>
      <w:pPr>
        <w:ind w:right="20" w:firstLine="987"/>
        <w:spacing w:after="0" w:line="261" w:lineRule="auto"/>
        <w:tabs>
          <w:tab w:leader="none" w:pos="123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any direct or indirect parent company of the Issuer becomes a guarantor of the Notes, the Issuer may satisfy its obligations under this Section 4.03 with respect to financial and other information relating to the Issuer by furnishing corresponding information relating to such parent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same includes a reasonable summary of the differences between the information relating to such parent, on the one hand, and the information relating to the Issuer and its Restricted Subsidiaries on a standalone basis, on the other hand.</w:t>
      </w:r>
    </w:p>
    <w:p>
      <w:pPr>
        <w:spacing w:after="0" w:line="179" w:lineRule="exact"/>
        <w:rPr>
          <w:rFonts w:ascii="Times New Roman" w:cs="Times New Roman" w:eastAsia="Times New Roman" w:hAnsi="Times New Roman"/>
          <w:sz w:val="18"/>
          <w:szCs w:val="18"/>
          <w:color w:val="auto"/>
        </w:rPr>
      </w:pPr>
    </w:p>
    <w:p>
      <w:pPr>
        <w:ind w:firstLine="987"/>
        <w:spacing w:after="0" w:line="258" w:lineRule="auto"/>
        <w:tabs>
          <w:tab w:leader="none" w:pos="124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and all Defaults or Events of Default arising from a failure to furnish or file in a timely manner a report or information required by this Section 4.03 shall be deemed cured (and the Issuer shall be deemed to be in compliance with this Section 4.03) upon furnishing or filing such report or information as contemplated by this Section 4.03 (but without regard to the date on which such report or information is so furnished or filed);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such cure shall not otherwise affect the rights of the Holders under Article 6 if the principal, interest and premium, if any, have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accelerated in accordance with the terms of this Indenture and such acceleration has not been rescinded or cancelled prior to such cure.</w:t>
      </w:r>
    </w:p>
    <w:p>
      <w:pPr>
        <w:spacing w:after="0" w:line="183" w:lineRule="exact"/>
        <w:rPr>
          <w:rFonts w:ascii="Times New Roman" w:cs="Times New Roman" w:eastAsia="Times New Roman" w:hAnsi="Times New Roman"/>
          <w:sz w:val="18"/>
          <w:szCs w:val="18"/>
          <w:color w:val="auto"/>
        </w:rPr>
      </w:pPr>
    </w:p>
    <w:p>
      <w:pPr>
        <w:ind w:firstLine="987"/>
        <w:spacing w:after="0" w:line="266" w:lineRule="auto"/>
        <w:tabs>
          <w:tab w:leader="none" w:pos="123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any Notes remain outstanding, the Issuer will furnish to the Holders and Beneficial Owners of the Notes and to securities analysts and prospective investors in the Notes, upon their request, the information required to be delivered pursuant to Rule 144A(d)(4) under the Securities Act.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00"/>
          </w:cols>
          <w:pgMar w:left="440" w:top="268" w:right="459" w:bottom="1440" w:gutter="0" w:footer="0" w:header="0"/>
        </w:sectPr>
      </w:pPr>
    </w:p>
    <w:bookmarkStart w:id="72" w:name="page73"/>
    <w:bookmarkEnd w:id="72"/>
    <w:p>
      <w:pPr>
        <w:ind w:right="20" w:firstLine="987"/>
        <w:spacing w:after="0" w:line="256" w:lineRule="auto"/>
        <w:tabs>
          <w:tab w:leader="none" w:pos="121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Section 4.03 does not impose any duty on the Issuer under the Sarbanes Oxley Act of 2002, as amended, and the related SEC rules that would not otherwise be applicable. The Issuer will be deemed to have furnished to the Holders and Beneficial Owners of the Notes and to securities analysts and prospective investors the reports referred to in clauses (1) and (2) of Section 4.03(a) or the information referred to in Section 4.03(e) if the Issuer has posted such reports or information on the Issuer Website. For purposes of this Section 4.03, the term “</w:t>
      </w:r>
      <w:r>
        <w:rPr>
          <w:rFonts w:ascii="Times New Roman" w:cs="Times New Roman" w:eastAsia="Times New Roman" w:hAnsi="Times New Roman"/>
          <w:sz w:val="18"/>
          <w:szCs w:val="18"/>
          <w:i w:val="1"/>
          <w:iCs w:val="1"/>
          <w:color w:val="auto"/>
        </w:rPr>
        <w:t>Issuer Website</w:t>
      </w:r>
      <w:r>
        <w:rPr>
          <w:rFonts w:ascii="Times New Roman" w:cs="Times New Roman" w:eastAsia="Times New Roman" w:hAnsi="Times New Roman"/>
          <w:sz w:val="18"/>
          <w:szCs w:val="18"/>
          <w:color w:val="auto"/>
        </w:rPr>
        <w:t>” means the collection of web pages that may be accessed on the World Wide Web using the URL address http://www.crc.com or such other address as the Issuer may from time to time maintain for public information.</w:t>
      </w:r>
    </w:p>
    <w:p>
      <w:pPr>
        <w:spacing w:after="0" w:line="187" w:lineRule="exact"/>
        <w:rPr>
          <w:rFonts w:ascii="Times New Roman" w:cs="Times New Roman" w:eastAsia="Times New Roman" w:hAnsi="Times New Roman"/>
          <w:sz w:val="18"/>
          <w:szCs w:val="18"/>
          <w:color w:val="auto"/>
        </w:rPr>
      </w:pPr>
    </w:p>
    <w:p>
      <w:pPr>
        <w:jc w:val="both"/>
        <w:ind w:right="40" w:firstLine="987"/>
        <w:spacing w:after="0" w:line="258" w:lineRule="auto"/>
        <w:tabs>
          <w:tab w:leader="none" w:pos="124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such reports, information and documents to the Trustee is for informational purposes only, and the Trustee’s receipt thereof shall not constitute actual or constructive notice of any information contained therein or determinable from information contained therein, including the Issuer’s compliance with any of its covenants under this Indenture (as to which the Trustee is entitled to certificates). The Trustee shall not be obligated to monitor or confirm, on a continuing basis or otherwise, the Issuer’s compliance with the covenants or with respect to any reports or other documents filed with the SEC or EDGAR or any website under this Indenture, or participate in any conference calls.</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i w:val="1"/>
          <w:iCs w:val="1"/>
          <w:color w:val="auto"/>
        </w:rPr>
        <w:t>Compliance Certificate.</w:t>
      </w:r>
    </w:p>
    <w:p>
      <w:pPr>
        <w:spacing w:after="0" w:line="227" w:lineRule="exact"/>
        <w:rPr>
          <w:sz w:val="20"/>
          <w:szCs w:val="20"/>
          <w:color w:val="auto"/>
        </w:rPr>
      </w:pPr>
    </w:p>
    <w:p>
      <w:pPr>
        <w:ind w:firstLine="987"/>
        <w:spacing w:after="0" w:line="255" w:lineRule="auto"/>
        <w:tabs>
          <w:tab w:leader="none" w:pos="123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shall deliver to the Trustee, within 120 days after the end of each fiscal year, beginning with the fiscal year ending December 31, 2025, an Officer’s Certificate stating that a review of the activities of the Issuer and its Subsidiaries during the preceding fiscal year has been made under the supervision of the signing Officers with a view to determining whether the Issuer has kept, observed, performed and fulfilled its obligations under this Indenture, and further stating, as to each such Officer signing such certificate, that to the best of his or her knowledge the Issuer has kept, observed, performed and fulfilled each and every covenant contained in this Indenture and is not in default in the performance or observance of any of the terms, provisions and conditions of this Indenture (or, if a Default or Event of Default has occurred, describing all such Defaults or Events of Default of which he or she may have knowledge and what action the Issuer is taking or proposes to take with respect thereto).</w:t>
      </w:r>
    </w:p>
    <w:p>
      <w:pPr>
        <w:spacing w:after="0" w:line="188" w:lineRule="exact"/>
        <w:rPr>
          <w:rFonts w:ascii="Times New Roman" w:cs="Times New Roman" w:eastAsia="Times New Roman" w:hAnsi="Times New Roman"/>
          <w:sz w:val="18"/>
          <w:szCs w:val="18"/>
          <w:color w:val="auto"/>
        </w:rPr>
      </w:pPr>
    </w:p>
    <w:p>
      <w:pPr>
        <w:ind w:firstLine="987"/>
        <w:spacing w:after="0" w:line="261" w:lineRule="auto"/>
        <w:tabs>
          <w:tab w:leader="none" w:pos="124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any of the Notes are outstanding, upon any Officer of the Issuer becoming aware of any Default or Event of Default, the Issuer shall deliver to the Trustee a written statement specifying such Default or Event of Default and what action the Issuer is taking or proposes to take with respect thereto within 30 days after such Officer becomes aware of the occurrence and continuance of such Default or Event of Default, unless such Default or Event of Default has been cured before the end of the 30-day period.</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i w:val="1"/>
          <w:iCs w:val="1"/>
          <w:color w:val="auto"/>
        </w:rPr>
        <w:t>Taxes.</w:t>
      </w:r>
    </w:p>
    <w:p>
      <w:pPr>
        <w:spacing w:after="0" w:line="227"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The Issuer will pay, and will cause each of its Subsidiaries to pay, prior to delinquency, all material taxes, assessments, and governmental levies except such as are contested in good faith and by appropriate proceedings or where the failure to effect such payment is not adverse in any material respect to the Holders of the Notes.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00"/>
          </w:cols>
          <w:pgMar w:left="440" w:top="270" w:right="459" w:bottom="1440" w:gutter="0" w:footer="0" w:header="0"/>
        </w:sectPr>
      </w:pPr>
    </w:p>
    <w:bookmarkStart w:id="73" w:name="page74"/>
    <w:bookmarkEnd w:id="7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4.06 </w:t>
      </w:r>
      <w:r>
        <w:rPr>
          <w:rFonts w:ascii="Times New Roman" w:cs="Times New Roman" w:eastAsia="Times New Roman" w:hAnsi="Times New Roman"/>
          <w:sz w:val="18"/>
          <w:szCs w:val="18"/>
          <w:i w:val="1"/>
          <w:iCs w:val="1"/>
          <w:color w:val="auto"/>
        </w:rPr>
        <w:t>Stay, Extension and Usury Laws.</w:t>
      </w:r>
    </w:p>
    <w:p>
      <w:pPr>
        <w:spacing w:after="0" w:line="227" w:lineRule="exact"/>
        <w:rPr>
          <w:sz w:val="20"/>
          <w:szCs w:val="20"/>
          <w:color w:val="auto"/>
        </w:rPr>
      </w:pPr>
    </w:p>
    <w:p>
      <w:pPr>
        <w:ind w:right="160" w:firstLine="440"/>
        <w:spacing w:after="0" w:line="256" w:lineRule="auto"/>
        <w:rPr>
          <w:sz w:val="20"/>
          <w:szCs w:val="20"/>
          <w:color w:val="auto"/>
        </w:rPr>
      </w:pPr>
      <w:r>
        <w:rPr>
          <w:rFonts w:ascii="Times New Roman" w:cs="Times New Roman" w:eastAsia="Times New Roman" w:hAnsi="Times New Roman"/>
          <w:sz w:val="18"/>
          <w:szCs w:val="18"/>
          <w:color w:val="auto"/>
        </w:rPr>
        <w:t>The Issuer and each of the Guarantors covenants (to the extent that it may lawfully do so) that it will not at any time insist upon, plead, or in any manner whatsoever claim or take the benefit or advantage of, any stay, extension or usury law wherever enacted, now or at any time hereafter in force, that may affect the covenants or the performance of this Indenture; and the Issuer and each of the Guarantors (to the extent that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4.07 </w:t>
      </w:r>
      <w:r>
        <w:rPr>
          <w:rFonts w:ascii="Times New Roman" w:cs="Times New Roman" w:eastAsia="Times New Roman" w:hAnsi="Times New Roman"/>
          <w:sz w:val="18"/>
          <w:szCs w:val="18"/>
          <w:i w:val="1"/>
          <w:iCs w:val="1"/>
          <w:color w:val="auto"/>
        </w:rPr>
        <w:t>Restricted Payments.</w:t>
      </w:r>
    </w:p>
    <w:p>
      <w:pPr>
        <w:spacing w:after="0" w:line="227" w:lineRule="exact"/>
        <w:rPr>
          <w:sz w:val="20"/>
          <w:szCs w:val="20"/>
          <w:color w:val="auto"/>
        </w:rPr>
      </w:pPr>
    </w:p>
    <w:p>
      <w:pPr>
        <w:ind w:left="1240" w:hanging="253"/>
        <w:spacing w:after="0"/>
        <w:tabs>
          <w:tab w:leader="none" w:pos="124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will not, and will not permit any of its Restricted Subsidiaries to, directly or indirectly:</w:t>
      </w:r>
    </w:p>
    <w:p>
      <w:pPr>
        <w:spacing w:after="0" w:line="117" w:lineRule="exact"/>
        <w:rPr>
          <w:rFonts w:ascii="Times New Roman" w:cs="Times New Roman" w:eastAsia="Times New Roman" w:hAnsi="Times New Roman"/>
          <w:sz w:val="18"/>
          <w:szCs w:val="18"/>
          <w:color w:val="auto"/>
        </w:rPr>
      </w:pPr>
    </w:p>
    <w:p>
      <w:pPr>
        <w:ind w:left="440" w:right="80" w:firstLine="419"/>
        <w:spacing w:after="0" w:line="258" w:lineRule="auto"/>
        <w:tabs>
          <w:tab w:leader="none" w:pos="111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or pay any dividend or make any other payment or distribution on account of the Issuer’s or any of its Restricted Subsidiaries’ Equity Interests (including, without limitation, any payment in connection with any merger or consolidation involving the Issuer or any of its Restricted Subsidiaries) or to the direct or indirect holders of the Issuer’s or any of its Restricted Subsidiaries’ Equity Interests in their capacity as such (other than dividends or other payments or distributions payable in Equity Interests (other than Disqualified Stock) of the Issuer and other than dividends or other payments or distributions payable to the Issuer or a Restricted Subsidiary of the Issuer);</w:t>
      </w:r>
    </w:p>
    <w:p>
      <w:pPr>
        <w:spacing w:after="0" w:line="75" w:lineRule="exact"/>
        <w:rPr>
          <w:rFonts w:ascii="Times New Roman" w:cs="Times New Roman" w:eastAsia="Times New Roman" w:hAnsi="Times New Roman"/>
          <w:sz w:val="18"/>
          <w:szCs w:val="18"/>
          <w:color w:val="auto"/>
        </w:rPr>
      </w:pPr>
    </w:p>
    <w:p>
      <w:pPr>
        <w:jc w:val="both"/>
        <w:ind w:left="440" w:firstLine="419"/>
        <w:spacing w:after="0" w:line="261" w:lineRule="auto"/>
        <w:tabs>
          <w:tab w:leader="none" w:pos="111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redeem or otherwise acquire or retire for value (including, without limitation, in connection with any merger or consolidation involving the Issuer) any Equity Interests of the Issuer or any direct or indirect parent of the Issuer other than through the exchange therefor solely of Equity Interests (other than Disqualified Stock) of the Issuer and other than any acquisition or retirement for value from, or payment to, the Issuer or any Restricted Subsidiary of the Issuer;</w:t>
      </w:r>
    </w:p>
    <w:p>
      <w:pPr>
        <w:spacing w:after="0" w:line="71" w:lineRule="exact"/>
        <w:rPr>
          <w:rFonts w:ascii="Times New Roman" w:cs="Times New Roman" w:eastAsia="Times New Roman" w:hAnsi="Times New Roman"/>
          <w:sz w:val="18"/>
          <w:szCs w:val="18"/>
          <w:color w:val="auto"/>
        </w:rPr>
      </w:pPr>
    </w:p>
    <w:p>
      <w:pPr>
        <w:ind w:left="440" w:right="40" w:firstLine="419"/>
        <w:spacing w:after="0" w:line="258" w:lineRule="auto"/>
        <w:tabs>
          <w:tab w:leader="none" w:pos="111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payment on or with respect to, or repurchase, redeem, defease or otherwise acquire or retire for value any Indebtedness of the Issuer or any Guarantor that is contractually subordinated in right of payment to the Notes or to any Guarantee (excluding (a) any intercompany Indebtedness between or among the Issuer and any of its Restricted Subsidiaries and (b) the repurchase or other acquisition or retirement for value of any such Indebtedness in anticipation of satisfying a sinking fund or other payment obligation due within one year of the date of such repurchase or other acquisition or retirement for value), except a payment of interest or principal at the Stated Maturity thereof; or</w:t>
      </w:r>
    </w:p>
    <w:p>
      <w:pPr>
        <w:spacing w:after="0" w:line="75" w:lineRule="exact"/>
        <w:rPr>
          <w:rFonts w:ascii="Times New Roman" w:cs="Times New Roman" w:eastAsia="Times New Roman" w:hAnsi="Times New Roman"/>
          <w:sz w:val="18"/>
          <w:szCs w:val="18"/>
          <w:color w:val="auto"/>
        </w:rPr>
      </w:pPr>
    </w:p>
    <w:p>
      <w:pPr>
        <w:ind w:left="440" w:right="260" w:firstLine="419"/>
        <w:spacing w:after="0" w:line="282" w:lineRule="auto"/>
        <w:tabs>
          <w:tab w:leader="none" w:pos="111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Restricted Investment (all such payments and other actions set forth in clauses (1) through (4) of this Section 4.07(a), being collectively referred to as “</w:t>
      </w:r>
      <w:r>
        <w:rPr>
          <w:rFonts w:ascii="Times New Roman" w:cs="Times New Roman" w:eastAsia="Times New Roman" w:hAnsi="Times New Roman"/>
          <w:sz w:val="18"/>
          <w:szCs w:val="18"/>
          <w:i w:val="1"/>
          <w:iCs w:val="1"/>
          <w:color w:val="auto"/>
        </w:rPr>
        <w:t>Restricted Payments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at the time of and after giving effect to such Restricted Payment,</w:t>
      </w:r>
    </w:p>
    <w:p>
      <w:pPr>
        <w:spacing w:after="0" w:line="117" w:lineRule="exact"/>
        <w:rPr>
          <w:sz w:val="20"/>
          <w:szCs w:val="20"/>
          <w:color w:val="auto"/>
        </w:rPr>
      </w:pPr>
    </w:p>
    <w:p>
      <w:pPr>
        <w:ind w:left="1680" w:hanging="292"/>
        <w:spacing w:after="0"/>
        <w:tabs>
          <w:tab w:leader="none" w:pos="16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has occurred and is continuing or would occur as a consequence of such Restricted Payment;</w:t>
      </w:r>
    </w:p>
    <w:p>
      <w:pPr>
        <w:spacing w:after="0" w:line="115" w:lineRule="exact"/>
        <w:rPr>
          <w:rFonts w:ascii="Times New Roman" w:cs="Times New Roman" w:eastAsia="Times New Roman" w:hAnsi="Times New Roman"/>
          <w:sz w:val="18"/>
          <w:szCs w:val="18"/>
          <w:color w:val="auto"/>
        </w:rPr>
      </w:pPr>
    </w:p>
    <w:p>
      <w:pPr>
        <w:ind w:left="980" w:right="80" w:firstLine="408"/>
        <w:spacing w:after="0" w:line="267" w:lineRule="auto"/>
        <w:tabs>
          <w:tab w:leader="none" w:pos="166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Issuer would, at the time of such Restricted Payment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and after giving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thereto as if such Restricted Payment had been made at the beginning of the applicable four-quarter period, have been permitted to incur at least $1.00 of additional Indebtedness pursuant to the Fixed Charge Coverage Ratio test set forth in Section 4.09(a); and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00"/>
          </w:cols>
          <w:pgMar w:left="440" w:top="268" w:right="459" w:bottom="1440" w:gutter="0" w:footer="0" w:header="0"/>
        </w:sectPr>
      </w:pPr>
    </w:p>
    <w:bookmarkStart w:id="74" w:name="page75"/>
    <w:bookmarkEnd w:id="74"/>
    <w:p>
      <w:pPr>
        <w:ind w:left="-20" w:right="280" w:firstLine="408"/>
        <w:spacing w:after="0" w:line="258" w:lineRule="auto"/>
        <w:tabs>
          <w:tab w:leader="none" w:pos="66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Restricted Payment, together with the aggregate amount of all other Restricted Payments made by the Issuer and its Restricted Subsidiaries since June 5, 2024 (excluding Restricted Payments permitted by clauses (1) through (14) of Section 4.07(b), but including Restricted Payments made under clause (15) of Section 4.07(b) only to the extent that such Restricted Payments at the time thereof would not reduce the amount available for Restricted Payments under this clause (4)(C) to less than zero) is less than the sum, without duplication, of:</w:t>
      </w:r>
    </w:p>
    <w:p>
      <w:pPr>
        <w:spacing w:after="0" w:line="75" w:lineRule="exact"/>
        <w:rPr>
          <w:rFonts w:ascii="Times New Roman" w:cs="Times New Roman" w:eastAsia="Times New Roman" w:hAnsi="Times New Roman"/>
          <w:sz w:val="18"/>
          <w:szCs w:val="18"/>
          <w:color w:val="auto"/>
        </w:rPr>
      </w:pPr>
    </w:p>
    <w:p>
      <w:pPr>
        <w:ind w:left="420" w:right="120" w:firstLine="391"/>
        <w:spacing w:after="0" w:line="266" w:lineRule="auto"/>
        <w:tabs>
          <w:tab w:leader="none" w:pos="1018"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50% of the Consolidated Net Income of the Issuer for the period (taken as one accounting period) from April 1, 2024 to the end of the Issuer’s most recently ended fiscal quarter for which internal financial statements are available at the time of such Restricted Payment (or, if such Consolidated Net Income for such period is a deficit,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100% of such deficit); </w:t>
      </w:r>
      <w:r>
        <w:rPr>
          <w:rFonts w:ascii="Times New Roman" w:cs="Times New Roman" w:eastAsia="Times New Roman" w:hAnsi="Times New Roman"/>
          <w:sz w:val="18"/>
          <w:szCs w:val="18"/>
          <w:i w:val="1"/>
          <w:iCs w:val="1"/>
          <w:color w:val="auto"/>
        </w:rPr>
        <w:t>plus</w:t>
      </w:r>
    </w:p>
    <w:p>
      <w:pPr>
        <w:spacing w:after="0" w:line="67" w:lineRule="exact"/>
        <w:rPr>
          <w:rFonts w:ascii="Times New Roman" w:cs="Times New Roman" w:eastAsia="Times New Roman" w:hAnsi="Times New Roman"/>
          <w:sz w:val="18"/>
          <w:szCs w:val="18"/>
          <w:color w:val="auto"/>
        </w:rPr>
      </w:pPr>
    </w:p>
    <w:p>
      <w:pPr>
        <w:ind w:left="420" w:right="60" w:firstLine="391"/>
        <w:spacing w:after="0" w:line="253" w:lineRule="auto"/>
        <w:tabs>
          <w:tab w:leader="none" w:pos="1068"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100% of the aggregate net cash proceeds and the Fair Market Value of any Capital Stock of Persons engaged primarily in the Oil and Gas Business or any other assets that are used or useful in the Oil and Gas Business other than cash, in each case received by the Issuer since June 5, 2024 as a contribution to its common equity capital or from the issue or sale of Equity Interests of the Issuer (other than Disqualified Stock) or received by the Issuer from the issue or sale of convertible or exchangeable Disqualified Stock or convertible or exchangeable debt securities of the Issuer that have been converted into or exchanged for such Equity Interests since June 5, 2024 or from the issue or sale of options, warrants or rights to purchase such Equity Interests that have been exercised for such Equity Interests since June 5, 2024 (other than, in either case, Equity Interests (or Disqualified Stock or debt securities) sold to a Restricted Subsidiary of the Issuer or to an employee stock ownership plan, option plan or similar trust to the extent such sale to an employee stock ownership plan, option plan or similar trust is financed by loans from or guaranteed by the Issuer or any Restricted Subsidiary (unless such loans have been repaid with cash on or prior to the date of determination)); </w:t>
      </w:r>
      <w:r>
        <w:rPr>
          <w:rFonts w:ascii="Times New Roman" w:cs="Times New Roman" w:eastAsia="Times New Roman" w:hAnsi="Times New Roman"/>
          <w:sz w:val="18"/>
          <w:szCs w:val="18"/>
          <w:i w:val="1"/>
          <w:iCs w:val="1"/>
          <w:color w:val="auto"/>
        </w:rPr>
        <w:t>plus</w:t>
      </w:r>
    </w:p>
    <w:p>
      <w:pPr>
        <w:spacing w:after="0" w:line="86" w:lineRule="exact"/>
        <w:rPr>
          <w:rFonts w:ascii="Times New Roman" w:cs="Times New Roman" w:eastAsia="Times New Roman" w:hAnsi="Times New Roman"/>
          <w:sz w:val="18"/>
          <w:szCs w:val="18"/>
          <w:color w:val="auto"/>
        </w:rPr>
      </w:pPr>
    </w:p>
    <w:p>
      <w:pPr>
        <w:ind w:left="420" w:right="60" w:firstLine="391"/>
        <w:spacing w:after="0" w:line="256" w:lineRule="auto"/>
        <w:tabs>
          <w:tab w:leader="none" w:pos="1118"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already included in Consolidated Net Income for such period, if any Restricted Investment that was made by the Issuer or any of its Restricted Subsidiaries after June 5, 2024 is sold (other than to the Issuer or any Restricted Subsidiary of the Issuer) or otherwise cancelled, liquidated or repaid, 100% of the aggregate cash, and the Fair Market Value of any property other than cash, constituting the return of capital to the Issuer or any of its Restricted Subsidiaries with respect to such Restricted Investment resulting from such sale, cancellation, liquidation or repayment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any out-of-pocket costs incurred in connection with any such sale); </w:t>
      </w:r>
      <w:r>
        <w:rPr>
          <w:rFonts w:ascii="Times New Roman" w:cs="Times New Roman" w:eastAsia="Times New Roman" w:hAnsi="Times New Roman"/>
          <w:sz w:val="18"/>
          <w:szCs w:val="18"/>
          <w:i w:val="1"/>
          <w:iCs w:val="1"/>
          <w:color w:val="auto"/>
        </w:rPr>
        <w:t>plus</w:t>
      </w:r>
    </w:p>
    <w:p>
      <w:pPr>
        <w:spacing w:after="0" w:line="79" w:lineRule="exact"/>
        <w:rPr>
          <w:rFonts w:ascii="Times New Roman" w:cs="Times New Roman" w:eastAsia="Times New Roman" w:hAnsi="Times New Roman"/>
          <w:sz w:val="18"/>
          <w:szCs w:val="18"/>
          <w:color w:val="auto"/>
        </w:rPr>
      </w:pPr>
    </w:p>
    <w:p>
      <w:pPr>
        <w:ind w:left="420" w:firstLine="391"/>
        <w:spacing w:after="0" w:line="255" w:lineRule="auto"/>
        <w:tabs>
          <w:tab w:leader="none" w:pos="1108"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by which Indebtedness of the Issuer or its Restricted Subsidiaries is reduced on the Issuer’s balance sheet upon the conversion or exchange (other than by a Restricted Subsidiary of the Issuer) subsequent to June 5, 2024 of any such Indebtedness of the Issuer or its Restricted Subsidiaries convertible or exchangeable for Equity Interests (other than Disqualified Stock) of the Issuer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the amount of any cash, or the Fair Market Value of any other property (other than such Equity Interests), distributed by the Issuer upon such conversion or exchange and excluding the net cash proceeds from the conversion or exchange financed, directly or indirectly, using funds borrowed from the Issuer or any Restricted Subsidiary), together with the net proceeds, if any, received by the Issuer or any of its Restricted Subsidiaries upon such conversion or exchange; </w:t>
      </w:r>
      <w:r>
        <w:rPr>
          <w:rFonts w:ascii="Times New Roman" w:cs="Times New Roman" w:eastAsia="Times New Roman" w:hAnsi="Times New Roman"/>
          <w:sz w:val="18"/>
          <w:szCs w:val="18"/>
          <w:i w:val="1"/>
          <w:iCs w:val="1"/>
          <w:color w:val="auto"/>
        </w:rPr>
        <w:t>plus</w:t>
      </w:r>
    </w:p>
    <w:p>
      <w:pPr>
        <w:spacing w:after="0" w:line="12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0020"/>
          </w:cols>
          <w:pgMar w:left="1440" w:top="270" w:right="439" w:bottom="1440" w:gutter="0" w:footer="0" w:header="0"/>
        </w:sectPr>
      </w:pPr>
    </w:p>
    <w:bookmarkStart w:id="75" w:name="page76"/>
    <w:bookmarkEnd w:id="75"/>
    <w:p>
      <w:pPr>
        <w:ind w:left="980" w:right="60" w:firstLine="391"/>
        <w:spacing w:after="0" w:line="255" w:lineRule="auto"/>
        <w:tabs>
          <w:tab w:leader="none" w:pos="1618" w:val="left"/>
        </w:tabs>
        <w:numPr>
          <w:ilvl w:val="2"/>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to the extent that any Unrestricted Subsidiary of the Issuer designated as such after June 5, 2024 is redesignated as a Restricted Subsidiary pursuant to the terms of this Indenture or is merged or consolidated with or into, or transfers or otherwise disposes of all of substantially all of its properties or assets to or is liquidated into, the Issuer or a Restricted Subsidiary after June 5, 2024, the lesser of, as of the date of such redesignation, merger, consolidation, transfer, disposition or liquidation, (A) the Fair Market Value of the Issuer’s Restricted Investment in such Subsidiary (or of the properties or assets disposed of, as applicable) as of the date of such redesignation, merger, consolidation, transfer, disposition or liquidation and (B) such Fair Market Value as of the date on which such Subsidiary was originally designated as an Unrestricted Subsidiary after June 5, 2024; </w:t>
      </w:r>
      <w:r>
        <w:rPr>
          <w:rFonts w:ascii="Times New Roman" w:cs="Times New Roman" w:eastAsia="Times New Roman" w:hAnsi="Times New Roman"/>
          <w:sz w:val="18"/>
          <w:szCs w:val="18"/>
          <w:i w:val="1"/>
          <w:iCs w:val="1"/>
          <w:color w:val="auto"/>
        </w:rPr>
        <w:t>plus</w:t>
      </w:r>
    </w:p>
    <w:p>
      <w:pPr>
        <w:spacing w:after="0" w:line="80" w:lineRule="exact"/>
        <w:rPr>
          <w:rFonts w:ascii="Times New Roman" w:cs="Times New Roman" w:eastAsia="Times New Roman" w:hAnsi="Times New Roman"/>
          <w:sz w:val="18"/>
          <w:szCs w:val="18"/>
          <w:color w:val="auto"/>
        </w:rPr>
      </w:pPr>
    </w:p>
    <w:p>
      <w:pPr>
        <w:ind w:left="980" w:firstLine="391"/>
        <w:spacing w:after="0" w:line="258" w:lineRule="auto"/>
        <w:tabs>
          <w:tab w:leader="none" w:pos="1668" w:val="left"/>
        </w:tabs>
        <w:numPr>
          <w:ilvl w:val="2"/>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equal to the net reduction in Restricted Investments made since June 5, 2024 resulting from dividends, distributions, redemptions or repurchases, proceeds of sales or other dispositions thereof, interest payments, repayments of loans or advances, releases of guarantees or other transfers of assets (including transfers as a result of a merger or liquidation), in each case to the Issuer or any of its Restricted Subsidiaries from any Person (including, without limitation, Unrestricted Subsidiaries) in respect of Restricted Investments; </w:t>
      </w:r>
      <w:r>
        <w:rPr>
          <w:rFonts w:ascii="Times New Roman" w:cs="Times New Roman" w:eastAsia="Times New Roman" w:hAnsi="Times New Roman"/>
          <w:sz w:val="18"/>
          <w:szCs w:val="18"/>
          <w:i w:val="1"/>
          <w:iCs w:val="1"/>
          <w:color w:val="auto"/>
        </w:rPr>
        <w:t>plus</w:t>
      </w:r>
    </w:p>
    <w:p>
      <w:pPr>
        <w:spacing w:after="0" w:line="75" w:lineRule="exact"/>
        <w:rPr>
          <w:rFonts w:ascii="Times New Roman" w:cs="Times New Roman" w:eastAsia="Times New Roman" w:hAnsi="Times New Roman"/>
          <w:sz w:val="18"/>
          <w:szCs w:val="18"/>
          <w:color w:val="auto"/>
        </w:rPr>
      </w:pPr>
    </w:p>
    <w:p>
      <w:pPr>
        <w:ind w:left="980" w:right="140" w:firstLine="391"/>
        <w:spacing w:after="0" w:line="266" w:lineRule="auto"/>
        <w:tabs>
          <w:tab w:leader="none" w:pos="1718" w:val="left"/>
        </w:tabs>
        <w:numPr>
          <w:ilvl w:val="2"/>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not included in clause (vi), any dividends received in cash by the Issuer or any of its Restricted Subsidiaries since June 5, 2024 from an Unrestricted Subsidiary, to the extent such dividends were not otherwise included in the Consolidated Net Income of the Issuer for such period; </w:t>
      </w:r>
      <w:r>
        <w:rPr>
          <w:rFonts w:ascii="Times New Roman" w:cs="Times New Roman" w:eastAsia="Times New Roman" w:hAnsi="Times New Roman"/>
          <w:sz w:val="18"/>
          <w:szCs w:val="18"/>
          <w:i w:val="1"/>
          <w:iCs w:val="1"/>
          <w:color w:val="auto"/>
        </w:rPr>
        <w:t>plus</w:t>
      </w:r>
    </w:p>
    <w:p>
      <w:pPr>
        <w:spacing w:after="0" w:line="67" w:lineRule="exact"/>
        <w:rPr>
          <w:rFonts w:ascii="Times New Roman" w:cs="Times New Roman" w:eastAsia="Times New Roman" w:hAnsi="Times New Roman"/>
          <w:sz w:val="18"/>
          <w:szCs w:val="18"/>
          <w:color w:val="auto"/>
        </w:rPr>
      </w:pPr>
    </w:p>
    <w:p>
      <w:pPr>
        <w:ind w:left="1780" w:hanging="409"/>
        <w:spacing w:after="0"/>
        <w:tabs>
          <w:tab w:leader="none" w:pos="1780" w:val="left"/>
        </w:tabs>
        <w:numPr>
          <w:ilvl w:val="2"/>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 million.</w:t>
      </w:r>
    </w:p>
    <w:p>
      <w:pPr>
        <w:spacing w:after="0" w:line="225" w:lineRule="exact"/>
        <w:rPr>
          <w:rFonts w:ascii="Times New Roman" w:cs="Times New Roman" w:eastAsia="Times New Roman" w:hAnsi="Times New Roman"/>
          <w:sz w:val="18"/>
          <w:szCs w:val="18"/>
          <w:color w:val="auto"/>
        </w:rPr>
      </w:pPr>
    </w:p>
    <w:p>
      <w:pPr>
        <w:ind w:left="800" w:hanging="253"/>
        <w:spacing w:after="0"/>
        <w:tabs>
          <w:tab w:leader="none" w:pos="80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Section 4.07(a) will not prohibit any of the following actions:</w:t>
      </w:r>
    </w:p>
    <w:p>
      <w:pPr>
        <w:spacing w:after="0" w:line="117" w:lineRule="exact"/>
        <w:rPr>
          <w:rFonts w:ascii="Times New Roman" w:cs="Times New Roman" w:eastAsia="Times New Roman" w:hAnsi="Times New Roman"/>
          <w:sz w:val="18"/>
          <w:szCs w:val="18"/>
          <w:color w:val="auto"/>
        </w:rPr>
      </w:pPr>
    </w:p>
    <w:p>
      <w:pPr>
        <w:ind w:right="100" w:firstLine="419"/>
        <w:spacing w:after="0" w:line="266" w:lineRule="auto"/>
        <w:tabs>
          <w:tab w:leader="none" w:pos="678"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any dividend or the consummation of any irrevocable redemption within 60 days after the date of declaration of the dividend or giving of the redemption notice, as the case may be, if at the date of declaration or notice, the dividend or redemption payment would have complied with the provisions of this Indenture;</w:t>
      </w:r>
    </w:p>
    <w:p>
      <w:pPr>
        <w:spacing w:after="0" w:line="67" w:lineRule="exact"/>
        <w:rPr>
          <w:rFonts w:ascii="Times New Roman" w:cs="Times New Roman" w:eastAsia="Times New Roman" w:hAnsi="Times New Roman"/>
          <w:sz w:val="18"/>
          <w:szCs w:val="18"/>
          <w:color w:val="auto"/>
        </w:rPr>
      </w:pPr>
    </w:p>
    <w:p>
      <w:pPr>
        <w:ind w:right="100" w:firstLine="419"/>
        <w:spacing w:after="0" w:line="258" w:lineRule="auto"/>
        <w:tabs>
          <w:tab w:leader="none" w:pos="678"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making of any Restricted Payment in exchange for, or out of or with the net cash proceeds of the substantially concurrent sale (other than to a Subsidiary of the Issuer) of, Equity Interests of the Issuer (other than Disqualified Stock) or from the substantially concurrent contribution of common equity capital to the Issuer;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amount of any such net cash proceeds that are utilized for any such Restricted Payment will not be considered to be net proceeds of Equity Interests for purposes of clause (C)(ii) of Section 4.07(a) above and will not be considered to be net cash proceeds from an Equity Offering for purposes of Section 3.08;</w:t>
      </w:r>
    </w:p>
    <w:p>
      <w:pPr>
        <w:spacing w:after="0" w:line="75" w:lineRule="exact"/>
        <w:rPr>
          <w:rFonts w:ascii="Times New Roman" w:cs="Times New Roman" w:eastAsia="Times New Roman" w:hAnsi="Times New Roman"/>
          <w:sz w:val="18"/>
          <w:szCs w:val="18"/>
          <w:color w:val="auto"/>
        </w:rPr>
      </w:pPr>
    </w:p>
    <w:p>
      <w:pPr>
        <w:jc w:val="both"/>
        <w:ind w:right="420" w:firstLine="419"/>
        <w:spacing w:after="0" w:line="266" w:lineRule="auto"/>
        <w:tabs>
          <w:tab w:leader="none" w:pos="678"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declaration and payment of any dividend or distribution (or, in the case of any partnership or limited liability company, any similar distribution) by a Restricted Subsidiary of the Issuer to the holders of its Equity Interests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(or a basis more favorable to the Issuer);</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0560"/>
          </w:cols>
          <w:pgMar w:left="880" w:top="270" w:right="459" w:bottom="1440" w:gutter="0" w:footer="0" w:header="0"/>
        </w:sectPr>
      </w:pPr>
    </w:p>
    <w:bookmarkStart w:id="76" w:name="page77"/>
    <w:bookmarkEnd w:id="76"/>
    <w:p>
      <w:pPr>
        <w:ind w:left="4" w:right="240" w:firstLine="419"/>
        <w:spacing w:after="0" w:line="289" w:lineRule="auto"/>
        <w:tabs>
          <w:tab w:leader="none" w:pos="681" w:val="left"/>
        </w:tabs>
        <w:numPr>
          <w:ilvl w:val="1"/>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repurchase, redemption, defeasance, satisfaction and discharge or other acquisition or retirement for value of Indebtedness of the Issuer or any Guarantor that is contractually subordinated in right of payment to the Notes or to any Guarantee or any Disqualified Stock of the Issuer out or with the net cash proceeds from a substantially concurrent incurrence of, or in exchange for, Permitted Refinancing Indebtedness;</w:t>
      </w:r>
    </w:p>
    <w:p>
      <w:pPr>
        <w:spacing w:after="0" w:line="49" w:lineRule="exact"/>
        <w:rPr>
          <w:rFonts w:ascii="Times New Roman" w:cs="Times New Roman" w:eastAsia="Times New Roman" w:hAnsi="Times New Roman"/>
          <w:sz w:val="17"/>
          <w:szCs w:val="17"/>
          <w:color w:val="auto"/>
        </w:rPr>
      </w:pPr>
    </w:p>
    <w:p>
      <w:pPr>
        <w:ind w:left="4" w:right="80" w:firstLine="419"/>
        <w:spacing w:after="0" w:line="255" w:lineRule="auto"/>
        <w:tabs>
          <w:tab w:leader="none" w:pos="681"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repurchase, redemption or other acquisition or retirement for value of any Equity Interests of the Issuer or any Restricted Subsidiary of the Issuer held by any current or former officer, director or employee of the Issuer or any of its Restricted Subsidiaries pursuant to any equity subscription agreement, equity option agreement, unitholders’ agreement or similar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price paid for all such repurchased, redeemed, acquired or retired Equity Interests may not exceed $10.0 million in any calendar year (with any portion of such</w:t>
      </w:r>
    </w:p>
    <w:p>
      <w:pPr>
        <w:spacing w:after="0" w:line="2"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$10.0 million amount that is unused in any calendar year to be carried forward to successive calendar years and added to such amount), </w:t>
      </w:r>
      <w:r>
        <w:rPr>
          <w:rFonts w:ascii="Times New Roman" w:cs="Times New Roman" w:eastAsia="Times New Roman" w:hAnsi="Times New Roman"/>
          <w:sz w:val="18"/>
          <w:szCs w:val="18"/>
          <w:i w:val="1"/>
          <w:iCs w:val="1"/>
          <w:color w:val="auto"/>
        </w:rPr>
        <w:t>plus</w:t>
      </w:r>
    </w:p>
    <w:p>
      <w:pPr>
        <w:spacing w:after="0" w:line="9" w:lineRule="exact"/>
        <w:rPr>
          <w:rFonts w:ascii="Times New Roman" w:cs="Times New Roman" w:eastAsia="Times New Roman" w:hAnsi="Times New Roman"/>
          <w:sz w:val="18"/>
          <w:szCs w:val="18"/>
          <w:color w:val="auto"/>
        </w:rPr>
      </w:pPr>
    </w:p>
    <w:p>
      <w:pPr>
        <w:ind w:left="4" w:right="340" w:hanging="4"/>
        <w:spacing w:after="0" w:line="253" w:lineRule="auto"/>
        <w:tabs>
          <w:tab w:leader="none" w:pos="24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cash proceeds received by the Issuer or any of its Restricted Subsidiaries from sales of Equity Interests of the Issuer to employees or directors of the Issuer that occur after the Issue Date (to the extent the cash proceeds from the sale of such Equity Interests have not otherwise been applied to the payment of Restricted Payments by virtue of clause (C)(ii) of Section 4.07(a),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 the cash proceeds of key man life insurance policies received by the Issuer or any of its Restricted Subsidiaries after the Issue Date,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(c) the amount of payments previously effected by using amounts specified in the foregoing clauses (a) and (b);</w:t>
      </w:r>
    </w:p>
    <w:p>
      <w:pPr>
        <w:spacing w:after="0" w:line="78" w:lineRule="exact"/>
        <w:rPr>
          <w:rFonts w:ascii="Times New Roman" w:cs="Times New Roman" w:eastAsia="Times New Roman" w:hAnsi="Times New Roman"/>
          <w:sz w:val="18"/>
          <w:szCs w:val="18"/>
          <w:color w:val="auto"/>
        </w:rPr>
      </w:pPr>
    </w:p>
    <w:p>
      <w:pPr>
        <w:ind w:left="4" w:right="260" w:firstLine="419"/>
        <w:spacing w:after="0" w:line="289" w:lineRule="auto"/>
        <w:tabs>
          <w:tab w:leader="none" w:pos="681" w:val="left"/>
        </w:tabs>
        <w:numPr>
          <w:ilvl w:val="1"/>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loans or advances to employees of the Issuer or employees or directors of any Subsidiary of the Issuer, in each case as permitted by Section 402 of the Sarbanes-Oxley Act of 2002, as amended, the proceeds of which are used to purchase Capital Stock of the Issuer, or to refinance loans or advances made pursuant to this clause (6), in an aggregate amount not in excess of $2.0 million at any one time outstanding;</w:t>
      </w:r>
    </w:p>
    <w:p>
      <w:pPr>
        <w:spacing w:after="0" w:line="49" w:lineRule="exact"/>
        <w:rPr>
          <w:rFonts w:ascii="Times New Roman" w:cs="Times New Roman" w:eastAsia="Times New Roman" w:hAnsi="Times New Roman"/>
          <w:sz w:val="17"/>
          <w:szCs w:val="17"/>
          <w:color w:val="auto"/>
        </w:rPr>
      </w:pPr>
    </w:p>
    <w:p>
      <w:pPr>
        <w:ind w:left="4" w:firstLine="419"/>
        <w:spacing w:after="0" w:line="258" w:lineRule="auto"/>
        <w:tabs>
          <w:tab w:leader="none" w:pos="681"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repurchase or other acquisition or retirement for value of Equity Interests deemed to occur upon the exercise, conversion or exchange of units or other equity options, warrants, incentives or other rights to acquire Equity Interests to the extent such Equity Interests represent a portion of the exercise, conversion or exchange price of those unit or other equity options or other rights and any repurchase or other acquisition or retirement for value of Equity Interests made in lieu of withholding taxes in connection with any exercise, conversion or exchange of units or other equity options, warrants, incentives or other rights to acquire Equity Interests;</w:t>
      </w:r>
    </w:p>
    <w:p>
      <w:pPr>
        <w:spacing w:after="0" w:line="75" w:lineRule="exact"/>
        <w:rPr>
          <w:rFonts w:ascii="Times New Roman" w:cs="Times New Roman" w:eastAsia="Times New Roman" w:hAnsi="Times New Roman"/>
          <w:sz w:val="18"/>
          <w:szCs w:val="18"/>
          <w:color w:val="auto"/>
        </w:rPr>
      </w:pPr>
    </w:p>
    <w:p>
      <w:pPr>
        <w:ind w:left="4" w:right="200" w:firstLine="419"/>
        <w:spacing w:after="0" w:line="266" w:lineRule="auto"/>
        <w:tabs>
          <w:tab w:leader="none" w:pos="681"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repurchase, redemption or other acquisition or retirement for value of Equity Interests of the Issuer or any Restricted Subsidiary of the Issuer representing fractional units of such Equity Interests in connection with a merger or consolidation involving the Issuer or such Restricted Subsidiary or any other transaction permitted by this Indenture;</w:t>
      </w:r>
    </w:p>
    <w:p>
      <w:pPr>
        <w:spacing w:after="0" w:line="67" w:lineRule="exact"/>
        <w:rPr>
          <w:rFonts w:ascii="Times New Roman" w:cs="Times New Roman" w:eastAsia="Times New Roman" w:hAnsi="Times New Roman"/>
          <w:sz w:val="18"/>
          <w:szCs w:val="18"/>
          <w:color w:val="auto"/>
        </w:rPr>
      </w:pPr>
    </w:p>
    <w:p>
      <w:pPr>
        <w:ind w:left="4" w:right="160" w:firstLine="419"/>
        <w:spacing w:after="0" w:line="281" w:lineRule="auto"/>
        <w:tabs>
          <w:tab w:leader="none" w:pos="681" w:val="left"/>
        </w:tabs>
        <w:numPr>
          <w:ilvl w:val="1"/>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the declaration and payment of dividends to holders of any class or series of Disqualified Stock of the Issuer or any Preferred Stock of any Restricted Subsidiary of the Issuer issued in accordance with Section 4.09 or (b) any cash payments due upon conversion of convertible debt securities of the Issuer and any purchase of, or payment under, any bond hedge, capped call or call option and warrant transaction acquired with respect to such convertible debt securities using an amount not greater than the proceeds of such convertible debt securities;</w:t>
      </w:r>
    </w:p>
    <w:p>
      <w:pPr>
        <w:spacing w:after="0" w:line="97"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0544"/>
          </w:cols>
          <w:pgMar w:left="876" w:top="270" w:right="479" w:bottom="1440" w:gutter="0" w:footer="0" w:header="0"/>
        </w:sectPr>
      </w:pPr>
    </w:p>
    <w:bookmarkStart w:id="77" w:name="page78"/>
    <w:bookmarkEnd w:id="77"/>
    <w:p>
      <w:pPr>
        <w:ind w:left="440" w:right="140" w:firstLine="419"/>
        <w:spacing w:after="0" w:line="266" w:lineRule="auto"/>
        <w:tabs>
          <w:tab w:leader="none" w:pos="120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payments of cash, dividends, distributions, advances or other Restricted Payments by the Issuer or any of its Restricted Subsidiaries to allow the payment of cash in lieu of the issuance of fractional units upon (i) the exercise of options or warrants, incentives or other rights to acquire Equity Interests or (ii) the exercise, conversion or exchange of Equity Interests of any such Person;</w:t>
      </w:r>
    </w:p>
    <w:p>
      <w:pPr>
        <w:spacing w:after="0" w:line="67" w:lineRule="exact"/>
        <w:rPr>
          <w:rFonts w:ascii="Times New Roman" w:cs="Times New Roman" w:eastAsia="Times New Roman" w:hAnsi="Times New Roman"/>
          <w:sz w:val="18"/>
          <w:szCs w:val="18"/>
          <w:color w:val="auto"/>
        </w:rPr>
      </w:pPr>
    </w:p>
    <w:p>
      <w:pPr>
        <w:ind w:left="440" w:firstLine="419"/>
        <w:spacing w:after="0" w:line="255" w:lineRule="auto"/>
        <w:tabs>
          <w:tab w:leader="none" w:pos="1201"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purchase, redemption or other acquisition or retirement for value of Indebtedness that is subordinated or junior in right of payment to the Notes or any Guarantee at a purchase price not greater than (i) 101% of the principal amount of such subordinated or junior Indebtedness in the event of a Change of Control or (ii) 100% of the principal amount of such subordinated or junior Indebtedness in the event of an Asset Sale, in each case,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accrued and unpaid interest thereon, in connection with any change of control offer or prepayment offer required by the terms of such Indebtedness, but only if (a) in the case of a Change of Control, the Issuer has first complied with and fully satisfied its obligations in accordance with Section 4.15, or (b) in the case of an Asset Sale, the Issuer has complied with and fully satisfied its obligations in accordance with Section 4.10;</w:t>
      </w:r>
    </w:p>
    <w:p>
      <w:pPr>
        <w:spacing w:after="0" w:line="80" w:lineRule="exact"/>
        <w:rPr>
          <w:rFonts w:ascii="Times New Roman" w:cs="Times New Roman" w:eastAsia="Times New Roman" w:hAnsi="Times New Roman"/>
          <w:sz w:val="18"/>
          <w:szCs w:val="18"/>
          <w:color w:val="auto"/>
        </w:rPr>
      </w:pPr>
    </w:p>
    <w:p>
      <w:pPr>
        <w:ind w:left="440" w:right="160" w:firstLine="419"/>
        <w:spacing w:after="0" w:line="266" w:lineRule="auto"/>
        <w:tabs>
          <w:tab w:leader="none" w:pos="120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conveyance of or other disposition or distribution of Equity Interests or Indebtedness of any Unrestricted Subsidiary (or a Restricted Subsidiary that owns no assets other than the Equity Interests of an Unrestricted Subsidiary) other than an Unrestricted Subsidiary the primary assets of which are cash and/or Cash Equivalents;</w:t>
      </w:r>
    </w:p>
    <w:p>
      <w:pPr>
        <w:spacing w:after="0" w:line="67" w:lineRule="exact"/>
        <w:rPr>
          <w:rFonts w:ascii="Times New Roman" w:cs="Times New Roman" w:eastAsia="Times New Roman" w:hAnsi="Times New Roman"/>
          <w:sz w:val="18"/>
          <w:szCs w:val="18"/>
          <w:color w:val="auto"/>
        </w:rPr>
      </w:pPr>
    </w:p>
    <w:p>
      <w:pPr>
        <w:ind w:left="440" w:right="480" w:firstLine="419"/>
        <w:spacing w:after="0" w:line="282" w:lineRule="auto"/>
        <w:tabs>
          <w:tab w:leader="none" w:pos="120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declaration and payment of dividends on the Issuer’s common stock in an amount not to exceed $0.3875 per share per quarter (subject to proportionate adjustment for stock splits, stock dividends or reclassifications of the Issuer’s common stock);</w:t>
      </w:r>
    </w:p>
    <w:p>
      <w:pPr>
        <w:spacing w:after="0" w:line="53" w:lineRule="exact"/>
        <w:rPr>
          <w:rFonts w:ascii="Times New Roman" w:cs="Times New Roman" w:eastAsia="Times New Roman" w:hAnsi="Times New Roman"/>
          <w:sz w:val="18"/>
          <w:szCs w:val="18"/>
          <w:color w:val="auto"/>
        </w:rPr>
      </w:pPr>
    </w:p>
    <w:p>
      <w:pPr>
        <w:ind w:left="440" w:right="60" w:firstLine="419"/>
        <w:spacing w:after="0" w:line="266" w:lineRule="auto"/>
        <w:tabs>
          <w:tab w:leader="none" w:pos="120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Restricted Payments since the Issue Date which, when combined with the outstanding amount of all other Restricted Payments effected pursuant to this clause (14), does not exceed the greater of (i) $570.0 million and (ii) 5.0% of Adjusted Consolidated Net Tangible Assets (determined at the time of making the Restricted Payment); and</w:t>
      </w:r>
    </w:p>
    <w:p>
      <w:pPr>
        <w:spacing w:after="0" w:line="65" w:lineRule="exact"/>
        <w:rPr>
          <w:rFonts w:ascii="Times New Roman" w:cs="Times New Roman" w:eastAsia="Times New Roman" w:hAnsi="Times New Roman"/>
          <w:sz w:val="18"/>
          <w:szCs w:val="18"/>
          <w:color w:val="auto"/>
        </w:rPr>
      </w:pPr>
    </w:p>
    <w:p>
      <w:pPr>
        <w:ind w:left="440" w:right="120" w:firstLine="419"/>
        <w:spacing w:after="0" w:line="284" w:lineRule="auto"/>
        <w:tabs>
          <w:tab w:leader="none" w:pos="120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Restricted Payments;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this clause (15), at the time of any such Restricted Payment the Total Leverage Ratio is not greater than 1.25 to 1.00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and after giving effect to such Restricted Payment.</w:t>
      </w:r>
    </w:p>
    <w:p>
      <w:pPr>
        <w:spacing w:after="0" w:line="160"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The amount of all Restricted Payments (other than cash) will be the Fair Market Value, on the date of the Restricted Payment, of the Restricted Investment proposed to be made or the asset(s) or securities proposed to be transferred or issued by the Issuer or any of its Restricted Subsidiaries, as the case may be, pursuant to the Restricted Payment, except that the Fair Market Value of any non-cash dividend paid within 60 days after the date of declaration will be determined as of such date of declaration. The Fair Market Value of any Restricted Investment, assets or securities that are required to be valued by this Section 4.07 will be determined in accordance with the definition of that term. For purposes of determining compliance with this Section 4.07, in the event that a Restricted Payment (or payment or other transaction that, except for being a Permitted Investment or Permitted Payment, would constitute a Restricted Payment) meets the criteria of more than one of the categories of Restricted Payments described in the preceding clauses (1) through (15) of Section 4.07(b), or is permitted pursuant to Section 4.07(a) or is a Permitted Investment or Permitted Payment, the Issuer will be permitted to classify (or later classify or reclassify in whole or in part in its sole discretion) such Restricted Payment or other such transaction (or portion thereof) on the date made or later reclassify such Restricted Payment or other such transaction (or portion thereof) in any manner that complies with this Section 4.07. “</w:t>
      </w:r>
      <w:r>
        <w:rPr>
          <w:rFonts w:ascii="Times New Roman" w:cs="Times New Roman" w:eastAsia="Times New Roman" w:hAnsi="Times New Roman"/>
          <w:sz w:val="18"/>
          <w:szCs w:val="18"/>
          <w:i w:val="1"/>
          <w:iCs w:val="1"/>
          <w:color w:val="auto"/>
        </w:rPr>
        <w:t>Permitted Payment</w:t>
      </w:r>
      <w:r>
        <w:rPr>
          <w:rFonts w:ascii="Times New Roman" w:cs="Times New Roman" w:eastAsia="Times New Roman" w:hAnsi="Times New Roman"/>
          <w:sz w:val="18"/>
          <w:szCs w:val="18"/>
          <w:color w:val="auto"/>
        </w:rPr>
        <w:t>” means any transaction expressly excluded from clauses (1), (2) and (3) of Section 4.07(a).</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00"/>
          </w:cols>
          <w:pgMar w:left="440" w:top="270" w:right="459" w:bottom="1440" w:gutter="0" w:footer="0" w:header="0"/>
        </w:sectPr>
      </w:pPr>
    </w:p>
    <w:bookmarkStart w:id="78" w:name="page79"/>
    <w:bookmarkEnd w:id="78"/>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purposes of this Section 4.07 and the definition of “Permitted Investments,” a contribution, sale or incurrence will be deemed to be “substantially concurrent” if the related Restricted Payment or purchase, repurchase, redemption, defeasance, satisfaction and discharge, retirement or other acquisition for value or payment of principal or acquisition of assets or Capital Stock occurs no later than 180 days after such contribution, sale or incurrence.</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4.08 </w:t>
      </w:r>
      <w:r>
        <w:rPr>
          <w:rFonts w:ascii="Times New Roman" w:cs="Times New Roman" w:eastAsia="Times New Roman" w:hAnsi="Times New Roman"/>
          <w:sz w:val="18"/>
          <w:szCs w:val="18"/>
          <w:i w:val="1"/>
          <w:iCs w:val="1"/>
          <w:color w:val="auto"/>
        </w:rPr>
        <w:t>Dividend and Other Payment Restrictions Affecting Restricted Subsidiaries.</w:t>
      </w:r>
    </w:p>
    <w:p>
      <w:pPr>
        <w:spacing w:after="0" w:line="227" w:lineRule="exact"/>
        <w:rPr>
          <w:sz w:val="20"/>
          <w:szCs w:val="20"/>
          <w:color w:val="auto"/>
        </w:rPr>
      </w:pPr>
    </w:p>
    <w:p>
      <w:pPr>
        <w:ind w:right="180" w:firstLine="987"/>
        <w:spacing w:after="0" w:line="282" w:lineRule="auto"/>
        <w:tabs>
          <w:tab w:leader="none" w:pos="1236"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will not, and will not permit any of its Restricted Subsidiaries to, directly or indirectly, create or permit to exist or become effective any consensual encumbrance or restriction on the ability of any Restricted Subsidiary to:</w:t>
      </w:r>
    </w:p>
    <w:p>
      <w:pPr>
        <w:spacing w:after="0" w:line="53" w:lineRule="exact"/>
        <w:rPr>
          <w:rFonts w:ascii="Times New Roman" w:cs="Times New Roman" w:eastAsia="Times New Roman" w:hAnsi="Times New Roman"/>
          <w:sz w:val="18"/>
          <w:szCs w:val="18"/>
          <w:color w:val="auto"/>
        </w:rPr>
      </w:pPr>
    </w:p>
    <w:p>
      <w:pPr>
        <w:ind w:left="440" w:firstLine="419"/>
        <w:spacing w:after="0" w:line="256" w:lineRule="auto"/>
        <w:tabs>
          <w:tab w:leader="none" w:pos="1118"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pay dividends or make any other distributions on its Capital Stock to the Issuer or any of its Restricted Subsidiaries, or pay any indebtedness owed to the Issuer or any of its Restricted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the priority that any series of Preferred Stock of a Restricted Subsidiary has in receiving dividends or liquidating distributions before dividends or liquidating distributions are paid in respect of common stock of such Restricted Subsidiary shall not constitute a restriction on the ability to pay or make dividends or distributions on Capital Stock for purposes of this Section 4.08 and (ii) the subordination of Indebtedness owed to the Issuer or any Restricted Subsidiary to other Indebtedness incurred by any Restricted Subsidiary shall not be deemed a restriction on the ability to pay Indebtedness;</w:t>
      </w:r>
    </w:p>
    <w:p>
      <w:pPr>
        <w:spacing w:after="0" w:line="79" w:lineRule="exact"/>
        <w:rPr>
          <w:rFonts w:ascii="Times New Roman" w:cs="Times New Roman" w:eastAsia="Times New Roman" w:hAnsi="Times New Roman"/>
          <w:sz w:val="18"/>
          <w:szCs w:val="18"/>
          <w:color w:val="auto"/>
        </w:rPr>
      </w:pPr>
    </w:p>
    <w:p>
      <w:pPr>
        <w:ind w:left="440" w:firstLine="419"/>
        <w:spacing w:after="0" w:line="266" w:lineRule="auto"/>
        <w:tabs>
          <w:tab w:leader="none" w:pos="1118"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loans or advances to the Issuer or any of its Restricted Subsidiaries (it being understood that the subordination of loans or advances made to the Issuer or any Restricted Subsidiary to other Indebtedness incurred by the Issuer or any Restricted Subsidiary shall not be deemed a restriction on the ability to make loans or advances); or</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or transfer any of its properties or assets to the Issuer or any of its Restricted Subsidiaries.</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in Section 4.08(a) will not apply to encumbrances or restrictions existing under or by reason of:</w:t>
      </w:r>
    </w:p>
    <w:p>
      <w:pPr>
        <w:spacing w:after="0" w:line="117" w:lineRule="exact"/>
        <w:rPr>
          <w:sz w:val="20"/>
          <w:szCs w:val="20"/>
          <w:color w:val="auto"/>
        </w:rPr>
      </w:pPr>
    </w:p>
    <w:p>
      <w:pPr>
        <w:ind w:left="440" w:right="20" w:firstLine="419"/>
        <w:spacing w:after="0" w:line="258" w:lineRule="auto"/>
        <w:tabs>
          <w:tab w:leader="none" w:pos="1118"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agreements governing Existing Indebtedness and the Credit Agreement as in effect on the Issue Date and any amendments, restatements, modifications, renewals, supplements, refundings, replacements or refinancings of those agreements;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encumbrances or restrictions contained in such amendments, restatements, modifications, renewals, supplements, refundings, replacements or refinancings are not materially more restrictive, taken as a whole, with respect to such dividend and other payment restrictions than those contained in those agreements on the Issue Date, as determined in good faith by the Issuer;</w:t>
      </w:r>
    </w:p>
    <w:p>
      <w:pPr>
        <w:spacing w:after="0" w:line="75"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Indenture, the Notes and the Guarantees;</w:t>
      </w:r>
    </w:p>
    <w:p>
      <w:pPr>
        <w:spacing w:after="0" w:line="117" w:lineRule="exact"/>
        <w:rPr>
          <w:rFonts w:ascii="Times New Roman" w:cs="Times New Roman" w:eastAsia="Times New Roman" w:hAnsi="Times New Roman"/>
          <w:sz w:val="18"/>
          <w:szCs w:val="18"/>
          <w:color w:val="auto"/>
        </w:rPr>
      </w:pPr>
    </w:p>
    <w:p>
      <w:pPr>
        <w:ind w:left="440" w:right="300" w:firstLine="419"/>
        <w:spacing w:after="0" w:line="261" w:lineRule="auto"/>
        <w:tabs>
          <w:tab w:leader="none" w:pos="1118"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agreements governing other Indebtedness permitted to be incurred under the provisions of Section 4.09 and any amendments, restatements, modifications, renewals, supplements, refundings, replacements or refinancings of those agreements;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encumbrances or restrictions contained therein are not materially more restrictive, taken as a whole, than those contained in this Indenture, the Notes and the Guarantees or the Credit Agreement as in effect on the Issue Date, as determined in good faith by the Issuer;</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0980"/>
          </w:cols>
          <w:pgMar w:left="440" w:top="270" w:right="479" w:bottom="1440" w:gutter="0" w:footer="0" w:header="0"/>
        </w:sectPr>
      </w:pPr>
    </w:p>
    <w:bookmarkStart w:id="79" w:name="page80"/>
    <w:bookmarkEnd w:id="79"/>
    <w:p>
      <w:pPr>
        <w:ind w:left="680" w:hanging="261"/>
        <w:spacing w:after="0"/>
        <w:tabs>
          <w:tab w:leader="none" w:pos="6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applicable law, rule, regulation, order, approval, license, permit or similar restriction;</w:t>
      </w:r>
    </w:p>
    <w:p>
      <w:pPr>
        <w:spacing w:after="0" w:line="117" w:lineRule="exact"/>
        <w:rPr>
          <w:rFonts w:ascii="Times New Roman" w:cs="Times New Roman" w:eastAsia="Times New Roman" w:hAnsi="Times New Roman"/>
          <w:sz w:val="18"/>
          <w:szCs w:val="18"/>
          <w:color w:val="auto"/>
        </w:rPr>
      </w:pPr>
    </w:p>
    <w:p>
      <w:pPr>
        <w:ind w:firstLine="419"/>
        <w:spacing w:after="0" w:line="256" w:lineRule="auto"/>
        <w:tabs>
          <w:tab w:leader="none" w:pos="678"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instrument governing Indebtedness or Capital Stock or other agreement of a Person acquired (including by merger or consolidation), or the assets of which are acquired, by the Issuer or any of its Restricted Subsidiaries as in effect at the time of such acquisition (except to the extent such Indebtedness or Capital Stock or other agreement was incurred in connection with or in contemplation of such acquisition), which encumbrance or restriction is not applicable to any Person, or the properties or assets of any Person, other than the Person, or the property or assets of the Person, so acquired;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Indebtedness, such Indebtedness was permitted by the terms of this Indenture to be incurred;</w:t>
      </w:r>
    </w:p>
    <w:p>
      <w:pPr>
        <w:spacing w:after="0" w:line="79" w:lineRule="exact"/>
        <w:rPr>
          <w:rFonts w:ascii="Times New Roman" w:cs="Times New Roman" w:eastAsia="Times New Roman" w:hAnsi="Times New Roman"/>
          <w:sz w:val="18"/>
          <w:szCs w:val="18"/>
          <w:color w:val="auto"/>
        </w:rPr>
      </w:pPr>
    </w:p>
    <w:p>
      <w:pPr>
        <w:ind w:right="40" w:firstLine="419"/>
        <w:spacing w:after="0" w:line="282" w:lineRule="auto"/>
        <w:tabs>
          <w:tab w:leader="none" w:pos="678"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non-assignment provisions in Hydrocarbon purchase and sale or exchange agreements or similar operational agreements or in licenses, easements or leases, in each case, entered into in the ordinary course of business;</w:t>
      </w:r>
    </w:p>
    <w:p>
      <w:pPr>
        <w:spacing w:after="0" w:line="53" w:lineRule="exact"/>
        <w:rPr>
          <w:rFonts w:ascii="Times New Roman" w:cs="Times New Roman" w:eastAsia="Times New Roman" w:hAnsi="Times New Roman"/>
          <w:sz w:val="18"/>
          <w:szCs w:val="18"/>
          <w:color w:val="auto"/>
        </w:rPr>
      </w:pPr>
    </w:p>
    <w:p>
      <w:pPr>
        <w:ind w:right="680" w:firstLine="419"/>
        <w:spacing w:after="0" w:line="282" w:lineRule="auto"/>
        <w:tabs>
          <w:tab w:leader="none" w:pos="678"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money obligations for property acquired in the ordinary course of business and Finance Lease Obligations that impose restrictions on the property purchased or leased of the nature described in clause (3) of Section 4.08(a);</w:t>
      </w:r>
    </w:p>
    <w:p>
      <w:pPr>
        <w:spacing w:after="0" w:line="53" w:lineRule="exact"/>
        <w:rPr>
          <w:rFonts w:ascii="Times New Roman" w:cs="Times New Roman" w:eastAsia="Times New Roman" w:hAnsi="Times New Roman"/>
          <w:sz w:val="18"/>
          <w:szCs w:val="18"/>
          <w:color w:val="auto"/>
        </w:rPr>
      </w:pPr>
    </w:p>
    <w:p>
      <w:pPr>
        <w:ind w:firstLine="419"/>
        <w:spacing w:after="0" w:line="282" w:lineRule="auto"/>
        <w:tabs>
          <w:tab w:leader="none" w:pos="678"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for the sale or other disposition of a Restricted Subsidiary that restricts distributions by that Restricted Subsidiary pending its sale or other disposition;</w:t>
      </w:r>
    </w:p>
    <w:p>
      <w:pPr>
        <w:spacing w:after="0" w:line="51" w:lineRule="exact"/>
        <w:rPr>
          <w:rFonts w:ascii="Times New Roman" w:cs="Times New Roman" w:eastAsia="Times New Roman" w:hAnsi="Times New Roman"/>
          <w:sz w:val="18"/>
          <w:szCs w:val="18"/>
          <w:color w:val="auto"/>
        </w:rPr>
      </w:pPr>
    </w:p>
    <w:p>
      <w:pPr>
        <w:ind w:right="240" w:firstLine="419"/>
        <w:spacing w:after="0" w:line="267" w:lineRule="auto"/>
        <w:tabs>
          <w:tab w:leader="none" w:pos="678"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Permitted Refinancing Indebtedness;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restrictions contained in the agreements governing such Permitted Refinancing Indebtedness are not materially more restrictive, taken as a whole, than those contained in the agreements governing the Indebtedness being refinanced, as determined in good faith by the Issuer;</w:t>
      </w:r>
    </w:p>
    <w:p>
      <w:pPr>
        <w:spacing w:after="0" w:line="67" w:lineRule="exact"/>
        <w:rPr>
          <w:rFonts w:ascii="Times New Roman" w:cs="Times New Roman" w:eastAsia="Times New Roman" w:hAnsi="Times New Roman"/>
          <w:sz w:val="18"/>
          <w:szCs w:val="18"/>
          <w:color w:val="auto"/>
        </w:rPr>
      </w:pPr>
    </w:p>
    <w:p>
      <w:pPr>
        <w:ind w:right="220" w:firstLine="419"/>
        <w:spacing w:after="0" w:line="282" w:lineRule="auto"/>
        <w:tabs>
          <w:tab w:leader="none" w:pos="768"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permitted to be incurred under the provisions of Section 4.12 that limit the right of the debtor to dispose of the assets subject to such Liens;</w:t>
      </w:r>
    </w:p>
    <w:p>
      <w:pPr>
        <w:spacing w:after="0" w:line="53" w:lineRule="exact"/>
        <w:rPr>
          <w:rFonts w:ascii="Times New Roman" w:cs="Times New Roman" w:eastAsia="Times New Roman" w:hAnsi="Times New Roman"/>
          <w:sz w:val="18"/>
          <w:szCs w:val="18"/>
          <w:color w:val="auto"/>
        </w:rPr>
      </w:pPr>
    </w:p>
    <w:p>
      <w:pPr>
        <w:jc w:val="both"/>
        <w:ind w:firstLine="419"/>
        <w:spacing w:after="0" w:line="261" w:lineRule="auto"/>
        <w:tabs>
          <w:tab w:leader="none" w:pos="761"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limiting the disposition or distribution of assets or property in joint venture agreements, asset sale agreements, sale-leaseback agreements, stock sale agreements, shareholders’ agreements, partnership agreements and other similar agreements (including agreements entered into in connection with a Restricted Investment) entered into with the approval of the Board of Directors of the Issuer or in the ordinary course of business, which limitation is applicable only to the assets or property that is the subject of such agreements;</w:t>
      </w:r>
    </w:p>
    <w:p>
      <w:pPr>
        <w:spacing w:after="0" w:line="71" w:lineRule="exact"/>
        <w:rPr>
          <w:rFonts w:ascii="Times New Roman" w:cs="Times New Roman" w:eastAsia="Times New Roman" w:hAnsi="Times New Roman"/>
          <w:sz w:val="18"/>
          <w:szCs w:val="18"/>
          <w:color w:val="auto"/>
        </w:rPr>
      </w:pPr>
    </w:p>
    <w:p>
      <w:pPr>
        <w:ind w:right="80" w:firstLine="419"/>
        <w:spacing w:after="0" w:line="282" w:lineRule="auto"/>
        <w:tabs>
          <w:tab w:leader="none" w:pos="768"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or instrument relating to any property or assets acquired after the Issue Date, so long as such encumbrance or restriction relates only to the property or assets so acquired and is not and was not created in anticipation of such acquisition;</w:t>
      </w:r>
    </w:p>
    <w:p>
      <w:pPr>
        <w:spacing w:after="0" w:line="53" w:lineRule="exact"/>
        <w:rPr>
          <w:rFonts w:ascii="Times New Roman" w:cs="Times New Roman" w:eastAsia="Times New Roman" w:hAnsi="Times New Roman"/>
          <w:sz w:val="18"/>
          <w:szCs w:val="18"/>
          <w:color w:val="auto"/>
        </w:rPr>
      </w:pPr>
    </w:p>
    <w:p>
      <w:pPr>
        <w:ind w:right="260" w:firstLine="419"/>
        <w:spacing w:after="0" w:line="282" w:lineRule="auto"/>
        <w:tabs>
          <w:tab w:leader="none" w:pos="768"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encumbrances or restrictions on cash, Cash Equivalents or other deposits or net worth requirements imposed by customers or lessors under contracts or leases entered into in the ordinary course of business;</w:t>
      </w:r>
    </w:p>
    <w:p>
      <w:pPr>
        <w:spacing w:after="0" w:line="51" w:lineRule="exact"/>
        <w:rPr>
          <w:rFonts w:ascii="Times New Roman" w:cs="Times New Roman" w:eastAsia="Times New Roman" w:hAnsi="Times New Roman"/>
          <w:sz w:val="18"/>
          <w:szCs w:val="18"/>
          <w:color w:val="auto"/>
        </w:rPr>
      </w:pPr>
    </w:p>
    <w:p>
      <w:pPr>
        <w:ind w:firstLine="419"/>
        <w:spacing w:after="0" w:line="261" w:lineRule="auto"/>
        <w:tabs>
          <w:tab w:leader="none" w:pos="768"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Preferred Stock issued by a Restricted Subsidiary of the Issuer;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issuance of such Preferred Stock is permitted pursuant to Section 4.09 and the terms of such Preferred Stock do not expressly restrict the ability of a Restricted Subsidiary of the Issuer to pay dividends or make any other distributions on its Equity Interests (other than requirements to pay dividends or liquidation preferences on such Preferred Stock prior to paying any dividends or making any other distributions on such other Equity Interests);</w:t>
      </w:r>
    </w:p>
    <w:p>
      <w:pPr>
        <w:spacing w:after="0" w:line="11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0560"/>
          </w:cols>
          <w:pgMar w:left="880" w:top="270" w:right="459" w:bottom="1440" w:gutter="0" w:footer="0" w:header="0"/>
        </w:sectPr>
      </w:pPr>
    </w:p>
    <w:bookmarkStart w:id="80" w:name="page81"/>
    <w:bookmarkEnd w:id="80"/>
    <w:p>
      <w:pPr>
        <w:ind w:left="440" w:right="20" w:firstLine="419"/>
        <w:spacing w:after="0" w:line="258" w:lineRule="auto"/>
        <w:tabs>
          <w:tab w:leader="none" w:pos="1208"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encumbrance or restriction contained in the terms of any Indebtedness or any agreement pursuant to which such Indebtedness was incurred if (x) either (a) the encumbrance or restriction applies only in the event of a payment default or a default with respect to a financial covenant in such Indebtedness or agreement or (b) any such encumbrance or restriction will not materially affect the Issuer’s ability to make principal or interest payments on the Notes, as determined in good faith by the Issuer and (y) the encumbrance or restriction is not materially more disadvantageous to the Holders than is customary in comparable financings or agreements, as determined in good faith by the Issuer;</w:t>
      </w:r>
    </w:p>
    <w:p>
      <w:pPr>
        <w:spacing w:after="0" w:line="75" w:lineRule="exact"/>
        <w:rPr>
          <w:rFonts w:ascii="Times New Roman" w:cs="Times New Roman" w:eastAsia="Times New Roman" w:hAnsi="Times New Roman"/>
          <w:sz w:val="18"/>
          <w:szCs w:val="18"/>
          <w:color w:val="auto"/>
        </w:rPr>
      </w:pPr>
    </w:p>
    <w:p>
      <w:pPr>
        <w:ind w:left="1200" w:hanging="341"/>
        <w:spacing w:after="0"/>
        <w:tabs>
          <w:tab w:leader="none" w:pos="12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Hedging Obligations permitted from time to time under this Indenture;</w:t>
      </w:r>
    </w:p>
    <w:p>
      <w:pPr>
        <w:spacing w:after="0" w:line="117" w:lineRule="exact"/>
        <w:rPr>
          <w:rFonts w:ascii="Times New Roman" w:cs="Times New Roman" w:eastAsia="Times New Roman" w:hAnsi="Times New Roman"/>
          <w:sz w:val="18"/>
          <w:szCs w:val="18"/>
          <w:color w:val="auto"/>
        </w:rPr>
      </w:pPr>
    </w:p>
    <w:p>
      <w:pPr>
        <w:ind w:left="440" w:right="60" w:firstLine="419"/>
        <w:spacing w:after="0" w:line="258" w:lineRule="auto"/>
        <w:tabs>
          <w:tab w:leader="none" w:pos="1208"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encumbrances and restrictions contained in contracts entered into in the ordinary course of business, not relating to any Indebtedness, and that do not, taken as a whole, detract from the value of, or from the ability of the Issuer and its Restricted Subsidiaries to realize the value of, property or assets of the Issuer or any Restricted Subsidiary in any manner material to the Issuer or any Restricted Subsidiary, as determined in good faith by the Issuer;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encumbrances or restrictions will not materially affect the Issuer’s ability to make principal or interest payments on the Notes, as determined in good faith by the Issuer;</w:t>
      </w:r>
    </w:p>
    <w:p>
      <w:pPr>
        <w:spacing w:after="0" w:line="75" w:lineRule="exact"/>
        <w:rPr>
          <w:rFonts w:ascii="Times New Roman" w:cs="Times New Roman" w:eastAsia="Times New Roman" w:hAnsi="Times New Roman"/>
          <w:sz w:val="18"/>
          <w:szCs w:val="18"/>
          <w:color w:val="auto"/>
        </w:rPr>
      </w:pPr>
    </w:p>
    <w:p>
      <w:pPr>
        <w:ind w:left="440" w:right="520" w:firstLine="419"/>
        <w:spacing w:after="0" w:line="282" w:lineRule="auto"/>
        <w:tabs>
          <w:tab w:leader="none" w:pos="1208"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encumbrances and restrictions contained in agreements of the types described in the definition of “Permitted Business Investments”; or</w:t>
      </w:r>
    </w:p>
    <w:p>
      <w:pPr>
        <w:spacing w:after="0" w:line="53" w:lineRule="exact"/>
        <w:rPr>
          <w:rFonts w:ascii="Times New Roman" w:cs="Times New Roman" w:eastAsia="Times New Roman" w:hAnsi="Times New Roman"/>
          <w:sz w:val="18"/>
          <w:szCs w:val="18"/>
          <w:color w:val="auto"/>
        </w:rPr>
      </w:pPr>
    </w:p>
    <w:p>
      <w:pPr>
        <w:ind w:left="1200" w:hanging="341"/>
        <w:spacing w:after="0"/>
        <w:tabs>
          <w:tab w:leader="none" w:pos="12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Permitted Investment.</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In each case set forth above, notwithstanding any stated limitation on the assets or property that may be subject to such encumbrance or restriction, an encumbrance or restriction on a specified asset or property or group or type of assets or property may also apply to all improvements, additions, accessions and contractual rights relating primarily thereto and all proceeds thereof (including dividends, distributions and increases in respect thereof).</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4.09 </w:t>
      </w:r>
      <w:r>
        <w:rPr>
          <w:rFonts w:ascii="Times New Roman" w:cs="Times New Roman" w:eastAsia="Times New Roman" w:hAnsi="Times New Roman"/>
          <w:sz w:val="18"/>
          <w:szCs w:val="18"/>
          <w:i w:val="1"/>
          <w:iCs w:val="1"/>
          <w:color w:val="auto"/>
        </w:rPr>
        <w:t>Incurrence of Indebtedness and Issuance of Preferred Stock.</w:t>
      </w:r>
    </w:p>
    <w:p>
      <w:pPr>
        <w:spacing w:after="0" w:line="227" w:lineRule="exact"/>
        <w:rPr>
          <w:sz w:val="20"/>
          <w:szCs w:val="20"/>
          <w:color w:val="auto"/>
        </w:rPr>
      </w:pPr>
    </w:p>
    <w:p>
      <w:pPr>
        <w:ind w:right="20" w:firstLine="987"/>
        <w:spacing w:after="0" w:line="253" w:lineRule="auto"/>
        <w:tabs>
          <w:tab w:leader="none" w:pos="1236"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will not, and will not permit any of its Restricted Subsidiaries to, directly or indirectly, create, incur, issue, assume, guarantee or otherwise become directly or indirectly liable, contingently or otherwise, with respect to (collectively, “</w:t>
      </w:r>
      <w:r>
        <w:rPr>
          <w:rFonts w:ascii="Times New Roman" w:cs="Times New Roman" w:eastAsia="Times New Roman" w:hAnsi="Times New Roman"/>
          <w:sz w:val="18"/>
          <w:szCs w:val="18"/>
          <w:i w:val="1"/>
          <w:iCs w:val="1"/>
          <w:color w:val="auto"/>
        </w:rPr>
        <w:t>incur</w:t>
      </w:r>
      <w:r>
        <w:rPr>
          <w:rFonts w:ascii="Times New Roman" w:cs="Times New Roman" w:eastAsia="Times New Roman" w:hAnsi="Times New Roman"/>
          <w:sz w:val="18"/>
          <w:szCs w:val="18"/>
          <w:color w:val="auto"/>
        </w:rPr>
        <w:t xml:space="preserve">”) any Indebtedness (including Acquired Debt), and the Issuer will not issue any Disqualified Stock and will not permit any of its Restricted Subsidiaries to issue any Preferred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the Issuer may incur Indebtedness (including Acquired Debt) or issue Disqualified Stock, and any Restricted Subsidiary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incur Indebtedness (including Acquired Debt) or issue Preferred Stock, if the Fixed Charge Coverage Ratio for the Issuer’s most recently ended four full fiscal quarters for which internal financial statements are available immediately preceding the date on which such additional Indebtedness is incurred or such Disqualified Stock or such Preferred Stock is issued, as the case may be, would have been at least 2.0 to 1.0, determined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(including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application of the net proceeds therefrom), as if the additional Indebtedness had been incurred or the Disqualified Stock or the Preferred Stock had been issued, as the case may be, at the beginning of such four-quarter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amount of Indebtedness (including Acquired Debt) that may be incurred and Preferred Stock that may be issued by Restricted Subsidiaries that are not Guarantors, in each case, in reliance on the Fixed Charge Coverage Ratio test set forth in this Section 4.09(a) shall not exceed the greater of (i) $570.0 million and (ii) 5% of Adjusted Consolidated Net Tangible Assets determined on the date of such incurrence or issuance.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00"/>
          </w:cols>
          <w:pgMar w:left="440" w:top="270" w:right="459" w:bottom="1440" w:gutter="0" w:footer="0" w:header="0"/>
        </w:sectPr>
      </w:pPr>
    </w:p>
    <w:bookmarkStart w:id="81" w:name="page82"/>
    <w:bookmarkEnd w:id="81"/>
    <w:p>
      <w:pPr>
        <w:ind w:right="360" w:firstLine="987"/>
        <w:spacing w:after="0" w:line="282" w:lineRule="auto"/>
        <w:tabs>
          <w:tab w:leader="none" w:pos="1246"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4.09(a) will not prohibit the incurrence of any of the following items of Indebtedness or issuances of Disqualified Stock or Preferred Stock, as applicable (collectively, “</w:t>
      </w:r>
      <w:r>
        <w:rPr>
          <w:rFonts w:ascii="Times New Roman" w:cs="Times New Roman" w:eastAsia="Times New Roman" w:hAnsi="Times New Roman"/>
          <w:sz w:val="18"/>
          <w:szCs w:val="18"/>
          <w:i w:val="1"/>
          <w:iCs w:val="1"/>
          <w:color w:val="auto"/>
        </w:rPr>
        <w:t>Permitted Debt</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440" w:right="80" w:firstLine="419"/>
        <w:spacing w:after="0" w:line="258" w:lineRule="auto"/>
        <w:tabs>
          <w:tab w:leader="none" w:pos="1118"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by the Issuer or any Restricted Subsidiary (whether as borrower or guarantor) of Indebtedness and letters of credit under one or more Credit Facilities in an aggregate principal amount at any one time outstanding under this clause (1) (with letters of credit being deemed to have a principal amount equal to the maximum potential liability of the Issuer and its Restricted Subsidiaries thereunder) not to exceed the greatest of (i) $1.2 billion, (ii) the Borrowing Base and (iii) 30.0% of Adjusted Consolidated Net Tangible Assets determined on the date of such incurrence;</w:t>
      </w:r>
    </w:p>
    <w:p>
      <w:pPr>
        <w:spacing w:after="0" w:line="75"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by the Issuer and its Restricted Subsidiaries of the Existing Indebtedness;</w:t>
      </w:r>
    </w:p>
    <w:p>
      <w:pPr>
        <w:spacing w:after="0" w:line="117" w:lineRule="exact"/>
        <w:rPr>
          <w:rFonts w:ascii="Times New Roman" w:cs="Times New Roman" w:eastAsia="Times New Roman" w:hAnsi="Times New Roman"/>
          <w:sz w:val="18"/>
          <w:szCs w:val="18"/>
          <w:color w:val="auto"/>
        </w:rPr>
      </w:pPr>
    </w:p>
    <w:p>
      <w:pPr>
        <w:ind w:left="440" w:right="100" w:firstLine="419"/>
        <w:spacing w:after="0" w:line="282" w:lineRule="auto"/>
        <w:tabs>
          <w:tab w:leader="none" w:pos="1118"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by the Issuer and the Guarantors of Indebtedness represented by (a) the Initial Notes issued on the Issue Date and (b) any Guarantees of the Initial Notes issued on the Issue Date;</w:t>
      </w:r>
    </w:p>
    <w:p>
      <w:pPr>
        <w:spacing w:after="0" w:line="53" w:lineRule="exact"/>
        <w:rPr>
          <w:rFonts w:ascii="Times New Roman" w:cs="Times New Roman" w:eastAsia="Times New Roman" w:hAnsi="Times New Roman"/>
          <w:sz w:val="18"/>
          <w:szCs w:val="18"/>
          <w:color w:val="auto"/>
        </w:rPr>
      </w:pPr>
    </w:p>
    <w:p>
      <w:pPr>
        <w:ind w:left="440" w:firstLine="419"/>
        <w:spacing w:after="0" w:line="254" w:lineRule="auto"/>
        <w:tabs>
          <w:tab w:leader="none" w:pos="1118"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by the Issuer or any of its Restricted Subsidiaries of Indebtedness (x) in connection with Sale and Leaseback Transactions, or (y) represented by Finance Lease Obligations, mortgage financings or purchase money obligations or other Indebtedness that in the case of this clause (y) are incurred for the purpose of financing all or any part of the purchase price or other acquisition cost or cost of design, construction, installation, development, repair or improvement of property, plant or equipment used in the business of the Issuer or any of its Restricted Subsidiaries (together with improvements, additions, accessions and contractual rights relating primarily thereto), and any Permitted Refinancing Indebtedness incurred to renew, refund, refinance, replace, defease or discharge any Indebtedness incurred pursuant to this clause (4), in an aggregate principal amount, when taken together with the outstanding amount of all other Indebtedness or Permitted Refinancing Indebtedness incurred pursuant to this clause (4), not to exceed the greater of (a) $570.0 million and (b) 5.0% of Adjusted Consolidated Net Tangible Assets determined at the date of such incurrence;</w:t>
      </w:r>
    </w:p>
    <w:p>
      <w:pPr>
        <w:spacing w:after="0" w:line="80" w:lineRule="exact"/>
        <w:rPr>
          <w:rFonts w:ascii="Times New Roman" w:cs="Times New Roman" w:eastAsia="Times New Roman" w:hAnsi="Times New Roman"/>
          <w:sz w:val="18"/>
          <w:szCs w:val="18"/>
          <w:color w:val="auto"/>
        </w:rPr>
      </w:pPr>
    </w:p>
    <w:p>
      <w:pPr>
        <w:ind w:left="440" w:firstLine="419"/>
        <w:spacing w:after="0" w:line="261" w:lineRule="auto"/>
        <w:tabs>
          <w:tab w:leader="none" w:pos="1118"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by the Issuer or any of its Restricted Subsidiaries of Permitted Refinancing Indebtedness in exchange for, or the net proceeds of which are used to renew, refund, refinance, replace, defease or discharge any Indebtedness (other than intercompany Indebtedness) or Disqualified Stock or Preferred Stock that was permitted by this Indenture to be incurred under Section 4.09(a) or clause (2), (3), (5) or (15) of this Section 4.09(b);</w:t>
      </w:r>
    </w:p>
    <w:p>
      <w:pPr>
        <w:spacing w:after="0" w:line="71" w:lineRule="exact"/>
        <w:rPr>
          <w:rFonts w:ascii="Times New Roman" w:cs="Times New Roman" w:eastAsia="Times New Roman" w:hAnsi="Times New Roman"/>
          <w:sz w:val="18"/>
          <w:szCs w:val="18"/>
          <w:color w:val="auto"/>
        </w:rPr>
      </w:pPr>
    </w:p>
    <w:p>
      <w:pPr>
        <w:ind w:left="440" w:right="160" w:firstLine="419"/>
        <w:spacing w:after="0" w:line="282" w:lineRule="auto"/>
        <w:tabs>
          <w:tab w:leader="none" w:pos="1118"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incurrence by the Issuer or any of its Restricted Subsidiaries of intercompany Indebtedness between or among the Issuer and any of its Restricted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w:t>
      </w:r>
    </w:p>
    <w:p>
      <w:pPr>
        <w:spacing w:after="0" w:line="53" w:lineRule="exact"/>
        <w:rPr>
          <w:rFonts w:ascii="Times New Roman" w:cs="Times New Roman" w:eastAsia="Times New Roman" w:hAnsi="Times New Roman"/>
          <w:sz w:val="18"/>
          <w:szCs w:val="18"/>
          <w:color w:val="auto"/>
        </w:rPr>
      </w:pPr>
    </w:p>
    <w:p>
      <w:pPr>
        <w:ind w:left="980" w:right="80" w:firstLine="408"/>
        <w:spacing w:after="0" w:line="266" w:lineRule="auto"/>
        <w:tabs>
          <w:tab w:leader="none" w:pos="1676" w:val="left"/>
        </w:tabs>
        <w:numPr>
          <w:ilvl w:val="2"/>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Issuer or any Guarantor is the obligor on such Indebtedness and the payee is not the Issuer or a Guarantor, such Indebtedness must be unsecured and expressly subordinated to the prior payment in full in cash of all Obligations then due with respect to the Notes, in the case of the Issuer, or the Guarantee, in the case of a Guarantor; and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00"/>
          </w:cols>
          <w:pgMar w:left="440" w:top="270" w:right="459" w:bottom="1440" w:gutter="0" w:footer="0" w:header="0"/>
        </w:sectPr>
      </w:pPr>
    </w:p>
    <w:bookmarkStart w:id="82" w:name="page83"/>
    <w:bookmarkEnd w:id="82"/>
    <w:p>
      <w:pPr>
        <w:ind w:left="540" w:right="60" w:firstLine="408"/>
        <w:spacing w:after="0" w:line="266" w:lineRule="auto"/>
        <w:tabs>
          <w:tab w:leader="none" w:pos="1226"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any subsequent issuance or transfer of Equity Interests that results in any such Indebtedness being held by a Person other than the Issuer or a Restricted Subsidiary of the Issuer and (ii) any sale or other transfer of any such Indebtedness to a Person that is not either the Issuer or a Restricted Subsidiary of the Issuer,</w:t>
      </w:r>
    </w:p>
    <w:p>
      <w:pPr>
        <w:spacing w:after="0" w:line="6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will be deemed, in each case, to constitute an incurrence of such Indebtedness by the Issuer or such Restricted Subsidiary, as the case may be, that was not permitted by this clause (6);</w:t>
      </w:r>
    </w:p>
    <w:p>
      <w:pPr>
        <w:spacing w:after="0" w:line="54" w:lineRule="exact"/>
        <w:rPr>
          <w:sz w:val="20"/>
          <w:szCs w:val="20"/>
          <w:color w:val="auto"/>
        </w:rPr>
      </w:pPr>
    </w:p>
    <w:p>
      <w:pPr>
        <w:ind w:right="280" w:firstLine="419"/>
        <w:spacing w:after="0" w:line="282" w:lineRule="auto"/>
        <w:tabs>
          <w:tab w:leader="none" w:pos="678"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issuance by any of the Issuer’s Restricted Subsidiaries to the Issuer or to any of its Restricted Subsidiaries of any Preferred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w:t>
      </w:r>
    </w:p>
    <w:p>
      <w:pPr>
        <w:spacing w:after="0" w:line="53" w:lineRule="exact"/>
        <w:rPr>
          <w:rFonts w:ascii="Times New Roman" w:cs="Times New Roman" w:eastAsia="Times New Roman" w:hAnsi="Times New Roman"/>
          <w:sz w:val="18"/>
          <w:szCs w:val="18"/>
          <w:color w:val="auto"/>
        </w:rPr>
      </w:pPr>
    </w:p>
    <w:p>
      <w:pPr>
        <w:ind w:left="540" w:right="80" w:firstLine="408"/>
        <w:spacing w:after="0" w:line="282" w:lineRule="auto"/>
        <w:tabs>
          <w:tab w:leader="none" w:pos="1236"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subsequent issuance or transfer of Equity Interests that results in any such Preferred Stock being held by a Person other than the Issuer or a Restricted Subsidiary of the Issuer; and</w:t>
      </w:r>
    </w:p>
    <w:p>
      <w:pPr>
        <w:spacing w:after="0" w:line="53" w:lineRule="exact"/>
        <w:rPr>
          <w:rFonts w:ascii="Times New Roman" w:cs="Times New Roman" w:eastAsia="Times New Roman" w:hAnsi="Times New Roman"/>
          <w:sz w:val="18"/>
          <w:szCs w:val="18"/>
          <w:color w:val="auto"/>
        </w:rPr>
      </w:pPr>
    </w:p>
    <w:p>
      <w:pPr>
        <w:ind w:left="1240" w:hanging="292"/>
        <w:spacing w:after="0"/>
        <w:tabs>
          <w:tab w:leader="none" w:pos="124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or other transfer of any such Preferred Stock to a Person that is not either the Issuer or a Restricted Subsidiary of the</w:t>
      </w:r>
    </w:p>
    <w:p>
      <w:pPr>
        <w:spacing w:after="0" w:line="27"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w:t>
      </w:r>
    </w:p>
    <w:p>
      <w:pPr>
        <w:spacing w:after="0" w:line="9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will be deemed, in each case, to constitute an issuance of such Preferred Stock by such Restricted Subsidiary that was not permitted by this clause (7);</w:t>
      </w:r>
    </w:p>
    <w:p>
      <w:pPr>
        <w:spacing w:after="0" w:line="54" w:lineRule="exact"/>
        <w:rPr>
          <w:sz w:val="20"/>
          <w:szCs w:val="20"/>
          <w:color w:val="auto"/>
        </w:rPr>
      </w:pPr>
    </w:p>
    <w:p>
      <w:pPr>
        <w:ind w:left="680" w:hanging="261"/>
        <w:spacing w:after="0"/>
        <w:tabs>
          <w:tab w:leader="none" w:pos="6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by the Issuer or any of its Restricted Subsidiaries of Hedging Obligations;</w:t>
      </w:r>
    </w:p>
    <w:p>
      <w:pPr>
        <w:spacing w:after="0" w:line="117" w:lineRule="exact"/>
        <w:rPr>
          <w:rFonts w:ascii="Times New Roman" w:cs="Times New Roman" w:eastAsia="Times New Roman" w:hAnsi="Times New Roman"/>
          <w:sz w:val="18"/>
          <w:szCs w:val="18"/>
          <w:color w:val="auto"/>
        </w:rPr>
      </w:pPr>
    </w:p>
    <w:p>
      <w:pPr>
        <w:ind w:firstLine="419"/>
        <w:spacing w:after="0" w:line="258" w:lineRule="auto"/>
        <w:tabs>
          <w:tab w:leader="none" w:pos="678"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guarantee by the Issuer or any of the Guarantors of Indebtedness of the Issuer or a Restricted Subsidiary of the Issuer to the extent that the guaranteed Indebtedness was permitted to be incurred by another provision of this Section 4.09;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Indebtedness being guaranteed is subordinated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Notes, then the guarantee must be subordinated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as applicable, to the same extent as the Indebtedness guaranteed, and if the guarantee is by a Restricted Subsidiary that is not a Guarantor, the Indebtedness guaranteed could have otherwise been incurred by such Restricted Subsidiary under this Section 4.09;</w:t>
      </w:r>
    </w:p>
    <w:p>
      <w:pPr>
        <w:spacing w:after="0" w:line="75" w:lineRule="exact"/>
        <w:rPr>
          <w:rFonts w:ascii="Times New Roman" w:cs="Times New Roman" w:eastAsia="Times New Roman" w:hAnsi="Times New Roman"/>
          <w:sz w:val="18"/>
          <w:szCs w:val="18"/>
          <w:color w:val="auto"/>
        </w:rPr>
      </w:pPr>
    </w:p>
    <w:p>
      <w:pPr>
        <w:ind w:right="80" w:firstLine="419"/>
        <w:spacing w:after="0" w:line="258" w:lineRule="auto"/>
        <w:tabs>
          <w:tab w:leader="none" w:pos="768"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by the Issuer or any of its Restricted Subsidiaries of Indebtedness in respect of self-insurance obligations or bid, plugging and abandonment, appeal, reimbursement, performance, surety and similar bonds and completion guarantees issued or provided by, or for the account of, the Issuer or a Restricted Subsidiary in the ordinary course of business and any guarantees or obligations with respect to letters of credit functioning as or supporting any of the foregoing bonds or obligations and workers’ compensation claims in the ordinary course of business;</w:t>
      </w:r>
    </w:p>
    <w:p>
      <w:pPr>
        <w:spacing w:after="0" w:line="75" w:lineRule="exact"/>
        <w:rPr>
          <w:rFonts w:ascii="Times New Roman" w:cs="Times New Roman" w:eastAsia="Times New Roman" w:hAnsi="Times New Roman"/>
          <w:sz w:val="18"/>
          <w:szCs w:val="18"/>
          <w:color w:val="auto"/>
        </w:rPr>
      </w:pPr>
    </w:p>
    <w:p>
      <w:pPr>
        <w:ind w:right="100" w:firstLine="419"/>
        <w:spacing w:after="0" w:line="266" w:lineRule="auto"/>
        <w:tabs>
          <w:tab w:leader="none" w:pos="761"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by the Issuer or any of its Restricted Subsidiaries of Indebtedness arising from the honoring by a bank or other financial institution of a check, draft or similar instrument inadvertently drawn against insufficient funds, so long as such Indebtedness is covered within five Business Days;</w:t>
      </w:r>
    </w:p>
    <w:p>
      <w:pPr>
        <w:spacing w:after="0" w:line="67" w:lineRule="exact"/>
        <w:rPr>
          <w:rFonts w:ascii="Times New Roman" w:cs="Times New Roman" w:eastAsia="Times New Roman" w:hAnsi="Times New Roman"/>
          <w:sz w:val="18"/>
          <w:szCs w:val="18"/>
          <w:color w:val="auto"/>
        </w:rPr>
      </w:pPr>
    </w:p>
    <w:p>
      <w:pPr>
        <w:ind w:right="240" w:firstLine="419"/>
        <w:spacing w:after="0" w:line="282" w:lineRule="auto"/>
        <w:tabs>
          <w:tab w:leader="none" w:pos="768"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by the Issuer or any of its Restricted Subsidiaries of in-kind obligations relating to net oil, natural gas liquid or natural gas balancing positions arising in the ordinary course of business;</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0560"/>
          </w:cols>
          <w:pgMar w:left="880" w:top="270" w:right="459" w:bottom="1440" w:gutter="0" w:footer="0" w:header="0"/>
        </w:sectPr>
      </w:pPr>
    </w:p>
    <w:bookmarkStart w:id="83" w:name="page84"/>
    <w:bookmarkEnd w:id="83"/>
    <w:p>
      <w:pPr>
        <w:ind w:left="440" w:right="20" w:firstLine="419"/>
        <w:spacing w:after="0" w:line="258" w:lineRule="auto"/>
        <w:tabs>
          <w:tab w:leader="none" w:pos="1208"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incurrence of any obligation arising from agreements of the Issuer or any Restricted Subsidiary of the Issuer providing for indemnification, guarantees (other than guarantees of Indebtedness), adjustment of purchase price, holdbacks, earn outs or similar obligations, in each case, incurred or assumed in connection with the disposition or acquisition of any business, assets or Capital Stock of a Restricted Subsidiary in a transaction permitted by this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such obligation is not reflected on the face of the balance sheet of the Issuer or any Restricted Subsidiary;</w:t>
      </w:r>
    </w:p>
    <w:p>
      <w:pPr>
        <w:spacing w:after="0" w:line="75" w:lineRule="exact"/>
        <w:rPr>
          <w:rFonts w:ascii="Times New Roman" w:cs="Times New Roman" w:eastAsia="Times New Roman" w:hAnsi="Times New Roman"/>
          <w:sz w:val="18"/>
          <w:szCs w:val="18"/>
          <w:color w:val="auto"/>
        </w:rPr>
      </w:pPr>
    </w:p>
    <w:p>
      <w:pPr>
        <w:ind w:left="440" w:right="260" w:firstLine="419"/>
        <w:spacing w:after="0" w:line="266" w:lineRule="auto"/>
        <w:tabs>
          <w:tab w:leader="none" w:pos="1208"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pledge of (or a guarantee limited in recourse solely to) Equity Interests in an Unrestricted Subsidiary or Joint Venture held by the Issuer or a Restricted Subsidiary to secure Indebtedness of such Unrestricted Subsidiary or Joint Venture and solely to the extent such Indebtedness constitutes Non-Recourse Debt;</w:t>
      </w:r>
    </w:p>
    <w:p>
      <w:pPr>
        <w:spacing w:after="0" w:line="67" w:lineRule="exact"/>
        <w:rPr>
          <w:rFonts w:ascii="Times New Roman" w:cs="Times New Roman" w:eastAsia="Times New Roman" w:hAnsi="Times New Roman"/>
          <w:sz w:val="18"/>
          <w:szCs w:val="18"/>
          <w:color w:val="auto"/>
        </w:rPr>
      </w:pPr>
    </w:p>
    <w:p>
      <w:pPr>
        <w:ind w:left="1200" w:hanging="341"/>
        <w:spacing w:after="0"/>
        <w:tabs>
          <w:tab w:leader="none" w:pos="12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by the Issuer or its Restricted Subsidiaries of Permitted Acquisition Indebtedness;</w:t>
      </w:r>
    </w:p>
    <w:p>
      <w:pPr>
        <w:spacing w:after="0" w:line="117" w:lineRule="exact"/>
        <w:rPr>
          <w:rFonts w:ascii="Times New Roman" w:cs="Times New Roman" w:eastAsia="Times New Roman" w:hAnsi="Times New Roman"/>
          <w:sz w:val="18"/>
          <w:szCs w:val="18"/>
          <w:color w:val="auto"/>
        </w:rPr>
      </w:pPr>
    </w:p>
    <w:p>
      <w:pPr>
        <w:ind w:left="440" w:right="680" w:firstLine="419"/>
        <w:spacing w:after="0" w:line="282" w:lineRule="auto"/>
        <w:tabs>
          <w:tab w:leader="none" w:pos="1208"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by the Issuer or its Restricted Subsidiaries of Indebtedness consisting of the financing of insurance premiums in customary amounts consistent with the operations and business of the Issuer and the Restricted Subsidiaries; and</w:t>
      </w:r>
    </w:p>
    <w:p>
      <w:pPr>
        <w:spacing w:after="0" w:line="53" w:lineRule="exact"/>
        <w:rPr>
          <w:rFonts w:ascii="Times New Roman" w:cs="Times New Roman" w:eastAsia="Times New Roman" w:hAnsi="Times New Roman"/>
          <w:sz w:val="18"/>
          <w:szCs w:val="18"/>
          <w:color w:val="auto"/>
        </w:rPr>
      </w:pPr>
    </w:p>
    <w:p>
      <w:pPr>
        <w:ind w:left="440" w:firstLine="419"/>
        <w:spacing w:after="0" w:line="257" w:lineRule="auto"/>
        <w:tabs>
          <w:tab w:leader="none" w:pos="1208"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by the Issuer or any Restricted Subsidiary of additional Indebtedness or the issuance by the Issuer of any Disqualified Stock or by any Restricted Subsidiary of Preferred Stock in an aggregate principal amount, when taken together with the outstanding amount of all other Indebtedness incurred or Disqualified Stock or Preferred Stock issued pursuant to this clause (17), not to exceed the greater of (i)</w:t>
      </w:r>
    </w:p>
    <w:p>
      <w:pPr>
        <w:spacing w:after="0" w:line="1"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$570.0 million and (ii) 5.0% of Adjusted Consolidated Net Tangible Assets determined on the date of such incurrence or issuance.</w:t>
      </w:r>
    </w:p>
    <w:p>
      <w:pPr>
        <w:spacing w:after="0" w:line="20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Indebtedness permitted by this Section 4.09 need not be permitted solely by reference to one provision permitting such Indebtedness or Disqualified Stock or Preferred Stock but may be permitted in part by one such provision and in part by one or more other provisions of this Section 4.09. For purposes of determining compliance with this Section 4.09, in the event that an item of Indebtedness or Disqualified Stock or Preferred Stock meets the criteria of more than one of the categories of Permitted Debt described in clauses (1) through (17) of Section 4.09(b), or is entitled to be incurred pursuant to Section 4.09(a), the Issuer will be permitted to divide, classify and reclassify such item of Indebtedness or Disqualified Stock or Preferred Stock on the date of its incurrence or issuance, or later redivide or reclassify all or a portion of such item of Indebtedness or Disqualified Stock or Preferred Stock, in any manner (including by dividing and classifying such item of Indebtedness or Disqualified Stock or Preferred Stock in more than one type of Indebtedness or Disqualified Stock or Preferred Stock permitted under this Section 4.09) that complies with this Section 4.09;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Indebtedness outstanding under the Credit Agreement on the Issue Date shall be considered incurred under clause (1) of Section 4.09(b) and may not be reclassified.</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the event an item of Indebtedness, Disqualified Stock or Preferred Stock (or any portion thereof) is incurred or issued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4.09(b) (other than Section 4.09(b)(15)) on the same date that an item of Indebtedness, Disqualified Stock or Preferred Stock (or any portion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 is incurred or issued under Section 4.09(a) or 4.09(b)(15) above, then the Fixed Charge Coverage Ratio will be calculated with respect to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incurrence or issuance under Section 4.09(a) or 4.09(b)(15) without regard to any incurrence or issuance under Section 4.09(b) (other than with respect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any incurrence or issuance under Section 4.09(b)(15)). Unless the Issuer elects otherwise, the incurrence or issuance of Indebtedness, Disqualified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or Preferred Stock will be deemed incurred or issued first under Section 4.09(a) or 4.09(b)(15) to the extent permitted, with the balance incurred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issued under Section 4.09(b) (other than pursuant to Section 4.09(b)(15)).</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000"/>
          </w:cols>
          <w:pgMar w:left="440" w:top="270" w:right="459" w:bottom="1440" w:gutter="0" w:footer="0" w:header="0"/>
        </w:sectPr>
      </w:pPr>
    </w:p>
    <w:bookmarkStart w:id="84" w:name="page85"/>
    <w:bookmarkEnd w:id="84"/>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Indebtedness originally incurred in reliance upon a financial ratio or metric is being refinanced and such refinancing would cause the maximum amount of Indebtedness thereunder to be exceeded at such time, then such refinancing will nevertheless be permitted thereunder and such additional Indebtedness will be deemed to have been incurred under the applicable clause so long as the principal amount of such additional Indebtedness does not exceed the principal amount of Indebtedness being refinanced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aggregate amount of fees, underwriting discounts, accrued and unpaid interest, premiums and other costs and expenses incurred in connection with such refinancing.</w:t>
      </w:r>
    </w:p>
    <w:p>
      <w:pPr>
        <w:spacing w:after="0" w:line="183"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 xml:space="preserve">The dollar equivalent principal amount of any Indebtedness denominated in a foreign currency and incurred pursuant to any dollar-denominated restriction on the incurrence of Indebtedness shall be calculated based on the relevant exchange rates in effect at the time of incurrence, in the case of term Indebtedness, or first committed, in the case of revolving credit Indebtedness;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Indebtedness is incurred to refinance other Indebtedness denominated in a foreign currency, and such refinancing would cause the applicable U.S. dollar-denominated restriction to be exceeded if calculated at the relevant currency exchange rate in effect on the date of such refinancing, such U.S. dollar-denominated restriction shall be deemed not to have been exceeded so long as the principal amount of such refinancing Indebtedness does not exceed the principal amount of such Indebtedness being refinanced.</w:t>
      </w:r>
    </w:p>
    <w:p>
      <w:pPr>
        <w:spacing w:after="0" w:line="189" w:lineRule="exact"/>
        <w:rPr>
          <w:sz w:val="20"/>
          <w:szCs w:val="20"/>
          <w:color w:val="auto"/>
        </w:rPr>
      </w:pPr>
    </w:p>
    <w:p>
      <w:pPr>
        <w:ind w:right="260" w:firstLine="440"/>
        <w:spacing w:after="0" w:line="258" w:lineRule="auto"/>
        <w:rPr>
          <w:sz w:val="20"/>
          <w:szCs w:val="20"/>
          <w:color w:val="auto"/>
        </w:rPr>
      </w:pPr>
      <w:r>
        <w:rPr>
          <w:rFonts w:ascii="Times New Roman" w:cs="Times New Roman" w:eastAsia="Times New Roman" w:hAnsi="Times New Roman"/>
          <w:sz w:val="18"/>
          <w:szCs w:val="18"/>
          <w:color w:val="auto"/>
        </w:rPr>
        <w:t>Notwithstanding any other provision of this Section 4.09, the maximum amount of Indebtedness that the Issuer and the Restricted Subsidiaries may incur pursuant to this Section 4.09 shall not be deemed to be exceeded solely as a result of fluctuations in the exchange rates of currencies. The principal amount of any Indebtedness incurred to refinance other Indebtedness, if incurred in a different currency from the Indebtedness being refinanced, shall be calculated based on the currency exchange rate applicable to the currencies in which such Permitted Refinancing Indebtedness is denominated that is in effect on the date of such refinancing.</w:t>
      </w:r>
    </w:p>
    <w:p>
      <w:pPr>
        <w:spacing w:after="0" w:line="183"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The accrual of interest or Preferred Stock dividends, the accretion or amortization of original issue discount, the payment of interest on any Indebtedness or on the Notes in the form of additional Indebtedness with the same term and the payment of dividends on Preferred Stock or Disqualified Stock in the form of additional securities of the same class of Preferred Stock or Disqualified Stock will not be deemed to be an incurrence of Indebtedness or an issuance of Preferred Stock or Disqualified Stock for purposes of this Section 4.09;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amount thereof is included in Fixed Charges of the Issuer as accrued to the extent required by the definition of such term. For purposes of this Section 4.09, (i) the accrual of an obligation to pay a premium in respect of Indebtedness or Disqualified Stock or Preferred Stock arising in connection with the issuance of a notice of redemption or making of a mandatory offer to purchase such Indebtedness or Disqualified Stock or Preferred Stock, and (ii) unrealized losses or charges in respect of Hedging Agreements (including those resulting from the application of FASB ASC Topic No.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will, in the case of clause (i) or (ii), not be deemed to be an incurrence of Indebtedness or Disqualified Stock or Preferred Stock. Further, the accounting reclassification of any obligation or Disqualified Stock or Preferred Stock of the Issuer or any of its Restricted Subsidiaries as Indebtedness or Disqualified Stock or Preferred Stock will not be deemed an incurrence of Indebtedness or issuance of Disqualified Stock or Preferred Stock for purposes of this Section 4.09.</w:t>
      </w:r>
    </w:p>
    <w:p>
      <w:pPr>
        <w:spacing w:after="0" w:line="190"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The “amount” or “principal amount” of any Indebtedness or Preferred Stock or Disqualified Stock outstanding at any time of determination as used herein shall be as set forth below or, if not set forth below, determined in accordance with GAAP:</w:t>
      </w:r>
    </w:p>
    <w:p>
      <w:pPr>
        <w:spacing w:after="0" w:line="67" w:lineRule="exact"/>
        <w:rPr>
          <w:sz w:val="20"/>
          <w:szCs w:val="20"/>
          <w:color w:val="auto"/>
        </w:rPr>
      </w:pPr>
    </w:p>
    <w:p>
      <w:pPr>
        <w:ind w:left="1420" w:hanging="439"/>
        <w:spacing w:after="0"/>
        <w:tabs>
          <w:tab w:leader="none" w:pos="14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accreted value of the Indebtedness, in the case of any Indebtedness issued with original issue discount;</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the Indebtedness, in the case of any other Indebtedness;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0980"/>
          </w:cols>
          <w:pgMar w:left="440" w:top="270" w:right="479" w:bottom="1440" w:gutter="0" w:footer="0" w:header="0"/>
        </w:sectPr>
      </w:pPr>
    </w:p>
    <w:bookmarkStart w:id="85" w:name="page86"/>
    <w:bookmarkEnd w:id="85"/>
    <w:p>
      <w:pPr>
        <w:ind w:left="1420" w:hanging="439"/>
        <w:spacing w:after="0"/>
        <w:tabs>
          <w:tab w:leader="none" w:pos="14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respect of Indebtedness of another Person secured by a Lien on the assets of the specified Person, the lesser of:</w:t>
      </w:r>
    </w:p>
    <w:p>
      <w:pPr>
        <w:spacing w:after="0" w:line="117" w:lineRule="exact"/>
        <w:rPr>
          <w:rFonts w:ascii="Times New Roman" w:cs="Times New Roman" w:eastAsia="Times New Roman" w:hAnsi="Times New Roman"/>
          <w:sz w:val="18"/>
          <w:szCs w:val="18"/>
          <w:color w:val="auto"/>
        </w:rPr>
      </w:pPr>
    </w:p>
    <w:p>
      <w:pPr>
        <w:ind w:left="2020" w:hanging="209"/>
        <w:spacing w:after="0"/>
        <w:tabs>
          <w:tab w:leader="none" w:pos="202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such assets at the date of determination; and</w:t>
      </w:r>
    </w:p>
    <w:p>
      <w:pPr>
        <w:spacing w:after="0" w:line="117" w:lineRule="exact"/>
        <w:rPr>
          <w:rFonts w:ascii="Times New Roman" w:cs="Times New Roman" w:eastAsia="Times New Roman" w:hAnsi="Times New Roman"/>
          <w:sz w:val="18"/>
          <w:szCs w:val="18"/>
          <w:color w:val="auto"/>
        </w:rPr>
      </w:pPr>
    </w:p>
    <w:p>
      <w:pPr>
        <w:ind w:left="2080" w:hanging="269"/>
        <w:spacing w:after="0"/>
        <w:tabs>
          <w:tab w:leader="none" w:pos="208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Indebtedness of the other Person;</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Finance Lease Obligation, the amount determined in accordance with the definition thereof;</w:t>
      </w:r>
    </w:p>
    <w:p>
      <w:pPr>
        <w:spacing w:after="0" w:line="130" w:lineRule="exact"/>
        <w:rPr>
          <w:rFonts w:ascii="Times New Roman" w:cs="Times New Roman" w:eastAsia="Times New Roman" w:hAnsi="Times New Roman"/>
          <w:sz w:val="18"/>
          <w:szCs w:val="18"/>
          <w:color w:val="auto"/>
        </w:rPr>
      </w:pPr>
    </w:p>
    <w:p>
      <w:pPr>
        <w:ind w:left="1420" w:right="240" w:hanging="439"/>
        <w:spacing w:after="0" w:line="266" w:lineRule="auto"/>
        <w:tabs>
          <w:tab w:leader="none" w:pos="14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Preferred Stock, (x) if other than Disqualified Stock, the greater of its voluntary or involuntary liquidation preference and its maximum fixed redemption price or repurchase price or (y) if Disqualified Stock, as specified in the definition thereof;</w:t>
      </w:r>
    </w:p>
    <w:p>
      <w:pPr>
        <w:spacing w:after="0" w:line="81"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Interest Rate Agreements included in Section 4.09(b), zero;</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all other unconditional obligations, the amount of the liability thereof determined in accordance with GAAP; and</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all other contingent obligations, the maximum liability at such date of such Person.</w:t>
      </w:r>
    </w:p>
    <w:p>
      <w:pPr>
        <w:spacing w:after="0" w:line="225" w:lineRule="exact"/>
        <w:rPr>
          <w:sz w:val="20"/>
          <w:szCs w:val="20"/>
          <w:color w:val="auto"/>
        </w:rPr>
      </w:pPr>
    </w:p>
    <w:p>
      <w:pPr>
        <w:ind w:right="160" w:firstLine="440"/>
        <w:spacing w:after="0" w:line="256" w:lineRule="auto"/>
        <w:rPr>
          <w:sz w:val="20"/>
          <w:szCs w:val="20"/>
          <w:color w:val="auto"/>
        </w:rPr>
      </w:pPr>
      <w:r>
        <w:rPr>
          <w:rFonts w:ascii="Times New Roman" w:cs="Times New Roman" w:eastAsia="Times New Roman" w:hAnsi="Times New Roman"/>
          <w:sz w:val="18"/>
          <w:szCs w:val="18"/>
          <w:color w:val="auto"/>
        </w:rPr>
        <w:t>For purposes of determining any particular amount of Indebtedness, (i) guarantees of, or obligations in respect of letters of credit relating to, Indebtedness otherwise included in the determination of such amount shall not also be included and (ii) if obligations in respect of letters of credit are incurred pursuant to a Credit Facility and are being treated as incurred pursuant to clause (1) of Section 4.09(b) and the letters of credit relate to other Indebtedness, then the amount of such other Indebtedness equal to the face amount of such letters of credit shall not be included. If Indebtedness is secured by a letter of credit that serves only to secure such Indebtedness, then the total amount deemed incurred shall be equal to the greater of (x) the principal of such Indebtedness and (y) the amount that may be drawn under such letter of credit.</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i w:val="1"/>
          <w:iCs w:val="1"/>
          <w:color w:val="auto"/>
        </w:rPr>
        <w:t>Asset Sales.</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Issuer will not, and will not permit any of its Restricted Subsidiaries to, consummate an Asset Sale unless:</w:t>
      </w:r>
    </w:p>
    <w:p>
      <w:pPr>
        <w:spacing w:after="0" w:line="117" w:lineRule="exact"/>
        <w:rPr>
          <w:sz w:val="20"/>
          <w:szCs w:val="20"/>
          <w:color w:val="auto"/>
        </w:rPr>
      </w:pPr>
    </w:p>
    <w:p>
      <w:pPr>
        <w:ind w:right="80" w:firstLine="987"/>
        <w:spacing w:after="0" w:line="266" w:lineRule="auto"/>
        <w:tabs>
          <w:tab w:leader="none" w:pos="1236"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(or a Restricted Subsidiary, as the case may be) receives consideration at the time of the Asset Sale at least equal to the Fair Market Value (measured within 15 days of the definitive agreement with respect to such Asset Sale) of the assets or Equity Interests issued or sold or otherwise disposed of; and</w:t>
      </w:r>
    </w:p>
    <w:p>
      <w:pPr>
        <w:spacing w:after="0" w:line="175" w:lineRule="exact"/>
        <w:rPr>
          <w:rFonts w:ascii="Times New Roman" w:cs="Times New Roman" w:eastAsia="Times New Roman" w:hAnsi="Times New Roman"/>
          <w:sz w:val="18"/>
          <w:szCs w:val="18"/>
          <w:color w:val="auto"/>
        </w:rPr>
      </w:pPr>
    </w:p>
    <w:p>
      <w:pPr>
        <w:ind w:firstLine="987"/>
        <w:spacing w:after="0" w:line="282" w:lineRule="auto"/>
        <w:tabs>
          <w:tab w:leader="none" w:pos="1246"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 of the aggregate consideration received in the Asset Sale by the Issuer or a Restricted Subsidiary and all other Asset Sales since the Issue Date is in the form of cash or Cash Equivalents.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purposes of this provision, each of the following will be deemed to be cash:</w:t>
      </w:r>
    </w:p>
    <w:p>
      <w:pPr>
        <w:spacing w:after="0" w:line="117" w:lineRule="exact"/>
        <w:rPr>
          <w:sz w:val="20"/>
          <w:szCs w:val="20"/>
          <w:color w:val="auto"/>
        </w:rPr>
      </w:pPr>
    </w:p>
    <w:p>
      <w:pPr>
        <w:ind w:left="440" w:right="60" w:firstLine="419"/>
        <w:spacing w:after="0" w:line="258" w:lineRule="auto"/>
        <w:tabs>
          <w:tab w:leader="none" w:pos="1118"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liabilities, as shown on the Issuer’s most recent consolidated balance sheet, of the Issuer or any Restricted Subsidiary (other than contingent liabilities and liabilities that are by their terms subordinated to the Notes or any Guarantee) that are assumed by the transferee of any such assets pursuant to a novation or indemnity agreement that releases the Issuer or such Restricted Subsidiary from or indemnifies against further liability (or in lieu of such absence of liability, the acquiring Person or its parent company agrees to indemnify and hold the Issuer or such Restricted Subsidiary harmless from and against any loss, liability or cost in respect of such assumed liabilities);</w:t>
      </w:r>
    </w:p>
    <w:p>
      <w:pPr>
        <w:spacing w:after="0" w:line="1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0940"/>
          </w:cols>
          <w:pgMar w:left="440" w:top="270" w:right="519" w:bottom="1440" w:gutter="0" w:footer="0" w:header="0"/>
        </w:sectPr>
      </w:pPr>
    </w:p>
    <w:bookmarkStart w:id="86" w:name="page87"/>
    <w:bookmarkEnd w:id="86"/>
    <w:p>
      <w:pPr>
        <w:ind w:left="440" w:right="320" w:firstLine="419"/>
        <w:spacing w:after="0" w:line="261" w:lineRule="auto"/>
        <w:tabs>
          <w:tab w:leader="none" w:pos="1118"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respect to any Asset Sale of oil and gas properties by the Issuer or any of its Restricted Subsidiaries where the Issuer or such Restricted Subsidiary retains an interest in such property, the costs and expenses of the Issuer or such Restricted Subsidiary related to the exploration, development, completion or production of such properties and activities related thereto that the transferee (or an Affiliate thereof) agrees to pay;</w:t>
      </w:r>
    </w:p>
    <w:p>
      <w:pPr>
        <w:spacing w:after="0" w:line="71" w:lineRule="exact"/>
        <w:rPr>
          <w:rFonts w:ascii="Times New Roman" w:cs="Times New Roman" w:eastAsia="Times New Roman" w:hAnsi="Times New Roman"/>
          <w:sz w:val="18"/>
          <w:szCs w:val="18"/>
          <w:color w:val="auto"/>
        </w:rPr>
      </w:pPr>
    </w:p>
    <w:p>
      <w:pPr>
        <w:ind w:left="440" w:right="300" w:firstLine="419"/>
        <w:spacing w:after="0" w:line="312" w:lineRule="auto"/>
        <w:tabs>
          <w:tab w:leader="none" w:pos="1118"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securities, notes or other obligations received by the Issuer or any Restricted Subsidiary from such transferee that are, within 180 days of the Asset Sale, converted by the Issuer or such Restricted Subsidiary into cash, to the extent of the cash received in that conversion;</w:t>
      </w:r>
    </w:p>
    <w:p>
      <w:pPr>
        <w:spacing w:after="0" w:line="31" w:lineRule="exact"/>
        <w:rPr>
          <w:rFonts w:ascii="Times New Roman" w:cs="Times New Roman" w:eastAsia="Times New Roman" w:hAnsi="Times New Roman"/>
          <w:sz w:val="17"/>
          <w:szCs w:val="17"/>
          <w:color w:val="auto"/>
        </w:rPr>
      </w:pPr>
    </w:p>
    <w:p>
      <w:pPr>
        <w:ind w:left="1120" w:hanging="261"/>
        <w:spacing w:after="0"/>
        <w:tabs>
          <w:tab w:leader="none" w:pos="112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Assets; and</w:t>
      </w:r>
    </w:p>
    <w:p>
      <w:pPr>
        <w:spacing w:after="0" w:line="117" w:lineRule="exact"/>
        <w:rPr>
          <w:rFonts w:ascii="Times New Roman" w:cs="Times New Roman" w:eastAsia="Times New Roman" w:hAnsi="Times New Roman"/>
          <w:sz w:val="18"/>
          <w:szCs w:val="18"/>
          <w:color w:val="auto"/>
        </w:rPr>
      </w:pPr>
    </w:p>
    <w:p>
      <w:pPr>
        <w:ind w:left="440" w:right="20" w:firstLine="419"/>
        <w:spacing w:after="0" w:line="258" w:lineRule="auto"/>
        <w:tabs>
          <w:tab w:leader="none" w:pos="1118"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Designated Non-cash Consideration received by the Issuer or such Restricted Subsidiary in such Asset Sale having an aggregate Fair Market Value, taken together with all other Designated Non-cash Consideration received pursuant to this clause (5), not to exceed an amount equal to 5.0% of the Issuer’s Adjusted Consolidated Net Tangible Assets (determined at the time of receipt of such Designated Non-cash Consideration), with the Fair Market Value of each item of Designated Non-cash Consideration being measured at the time received and without giving effect to subsequent changes in value.</w:t>
      </w:r>
    </w:p>
    <w:p>
      <w:pPr>
        <w:spacing w:after="0" w:line="183" w:lineRule="exact"/>
        <w:rPr>
          <w:rFonts w:ascii="Times New Roman" w:cs="Times New Roman" w:eastAsia="Times New Roman" w:hAnsi="Times New Roman"/>
          <w:sz w:val="18"/>
          <w:szCs w:val="18"/>
          <w:color w:val="auto"/>
        </w:rPr>
      </w:pPr>
    </w:p>
    <w:p>
      <w:pPr>
        <w:ind w:right="40" w:firstLine="987"/>
        <w:spacing w:after="0" w:line="282" w:lineRule="auto"/>
        <w:tabs>
          <w:tab w:leader="none" w:pos="1236"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365 days after the receipt of any Net Proceeds from an Asset Sale, the Issuer (or any Restricted Subsidiary) may apply such Net Proceeds at its option to any combination of the following:</w:t>
      </w:r>
    </w:p>
    <w:p>
      <w:pPr>
        <w:spacing w:after="0" w:line="54" w:lineRule="exact"/>
        <w:rPr>
          <w:sz w:val="20"/>
          <w:szCs w:val="20"/>
          <w:color w:val="auto"/>
        </w:rPr>
      </w:pPr>
    </w:p>
    <w:p>
      <w:pPr>
        <w:ind w:left="1120" w:hanging="261"/>
        <w:spacing w:after="0"/>
        <w:tabs>
          <w:tab w:leader="none" w:pos="112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repay, redeem or repurchase any Senior Debt;</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invest in or acquire Additional Assets; or</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capital expenditures in respect of the Issuer’s or any Restricted Subsidiaries’ Oil and Gas Business.</w:t>
      </w:r>
    </w:p>
    <w:p>
      <w:pPr>
        <w:spacing w:after="0" w:line="225" w:lineRule="exact"/>
        <w:rPr>
          <w:rFonts w:ascii="Times New Roman" w:cs="Times New Roman" w:eastAsia="Times New Roman" w:hAnsi="Times New Roman"/>
          <w:sz w:val="18"/>
          <w:szCs w:val="18"/>
          <w:color w:val="auto"/>
        </w:rPr>
      </w:pPr>
    </w:p>
    <w:p>
      <w:pPr>
        <w:ind w:right="20" w:firstLine="987"/>
        <w:spacing w:after="0" w:line="281" w:lineRule="auto"/>
        <w:tabs>
          <w:tab w:leader="none" w:pos="1246" w:val="left"/>
        </w:tabs>
        <w:numPr>
          <w:ilvl w:val="1"/>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requirement of clause (2) or (3) of Section 4.10(c) shall be deemed to be satisfied if a bona fide binding contract committing to make the investment, acquisition or expenditure referred to therein is entered into by the Issuer (or any Restricted Subsidiary) with a Person other than a Restricted Subsidiary within the time period specified in Section 4.10(c) and such Net Proceeds are subsequently applied in accordance with such contract within six months following the later of (x) the date such agreement is entered into and (y) the time period specified in the preceding paragraph.</w:t>
      </w:r>
    </w:p>
    <w:p>
      <w:pPr>
        <w:spacing w:after="0" w:line="164" w:lineRule="exact"/>
        <w:rPr>
          <w:rFonts w:ascii="Times New Roman" w:cs="Times New Roman" w:eastAsia="Times New Roman" w:hAnsi="Times New Roman"/>
          <w:sz w:val="17"/>
          <w:szCs w:val="17"/>
          <w:color w:val="auto"/>
        </w:rPr>
      </w:pPr>
    </w:p>
    <w:p>
      <w:pPr>
        <w:ind w:firstLine="987"/>
        <w:spacing w:after="0" w:line="282" w:lineRule="auto"/>
        <w:tabs>
          <w:tab w:leader="none" w:pos="1236"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the final application of any Net Proceeds, the Issuer (or any Restricted Subsidiary) may temporarily reduce Indebtedness under any Credit Facility or otherwise expend or invest the Net Proceeds in any manner that is not prohibited by this Indenture.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000"/>
          </w:cols>
          <w:pgMar w:left="440" w:top="270" w:right="459" w:bottom="1440" w:gutter="0" w:footer="0" w:header="0"/>
        </w:sectPr>
      </w:pPr>
    </w:p>
    <w:bookmarkStart w:id="87" w:name="page88"/>
    <w:bookmarkEnd w:id="87"/>
    <w:p>
      <w:pPr>
        <w:ind w:right="40" w:firstLine="987"/>
        <w:spacing w:after="0" w:line="252" w:lineRule="auto"/>
        <w:tabs>
          <w:tab w:leader="none" w:pos="1216"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Net Proceeds from Asset Sales that are not applied or invested as provided in Section 4.10(c) will constitute “</w:t>
      </w:r>
      <w:r>
        <w:rPr>
          <w:rFonts w:ascii="Times New Roman" w:cs="Times New Roman" w:eastAsia="Times New Roman" w:hAnsi="Times New Roman"/>
          <w:sz w:val="18"/>
          <w:szCs w:val="18"/>
          <w:i w:val="1"/>
          <w:iCs w:val="1"/>
          <w:color w:val="auto"/>
        </w:rPr>
        <w:t>Excess Proceeds</w:t>
      </w:r>
      <w:r>
        <w:rPr>
          <w:rFonts w:ascii="Times New Roman" w:cs="Times New Roman" w:eastAsia="Times New Roman" w:hAnsi="Times New Roman"/>
          <w:sz w:val="18"/>
          <w:szCs w:val="18"/>
          <w:color w:val="auto"/>
        </w:rPr>
        <w:t>.” When the aggregate amount of Excess Proceeds exceeds $50.0 million, within ten days thereof, the Issuer will make an offer (an “</w:t>
      </w:r>
      <w:r>
        <w:rPr>
          <w:rFonts w:ascii="Times New Roman" w:cs="Times New Roman" w:eastAsia="Times New Roman" w:hAnsi="Times New Roman"/>
          <w:sz w:val="18"/>
          <w:szCs w:val="18"/>
          <w:i w:val="1"/>
          <w:iCs w:val="1"/>
          <w:color w:val="auto"/>
        </w:rPr>
        <w:t>Asset Sale Offer</w:t>
      </w:r>
      <w:r>
        <w:rPr>
          <w:rFonts w:ascii="Times New Roman" w:cs="Times New Roman" w:eastAsia="Times New Roman" w:hAnsi="Times New Roman"/>
          <w:sz w:val="18"/>
          <w:szCs w:val="18"/>
          <w:color w:val="auto"/>
        </w:rPr>
        <w:t xml:space="preserve">”) to all Holders of Notes and all holders of other Indebtedness that is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Notes containing provisions similar to those set forth in this Indenture with respect to offers to purchase, prepay or redeem with the proceeds of sales of assets to purchase, prepay or redeem,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(based on principal amounts of Notes and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Indebtedness (or, in the case of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Indebtedness issued with significant original issue discount, based on the accreted value thereof) tendered), the maximum principal amount of Notes and such other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Indebtedness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all accrued interest on the Indebtedness and the amount of all fees and expenses, including premiums, incurred in connection therewith) that may be purchased, prepaid or redeemed out of the Excess Proceeds. The offer price in any Asset Sale Offer will be equal to 100% of the principal amount,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accrued and unpaid interest, if any, to, but excluding, the date of purchase, prepayment or redemption, subject to the rights of Holders of Notes on the relevant record date to receive interest due on the relevant Interest Payment Date, and will be payable in cash. If any Excess Proceeds remain after consummation of an Asset Sale Offer, the Issuer or any Restricted Subsidiary may use those Excess Proceeds for any purpose not otherwise prohibited by this Indenture. If the aggregate principal amount of Notes tendered in such Asset Sale Offer exceeds the amount of Excess Proceeds allocated to the purchase of Notes, the Trustee will select the Notes to be purchased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(except that any Notes represented by a Note in global form will be selected by such method as DTC or its nominee or successor may require or a method that most nearly approximates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selection as the Trustee deems fair and appropriate and is in accordance with DTC’s applicable procedures), based on the principal amounts tendered (with such adjustments as may be deemed appropriate by the Issuer so that only Notes in minimum denominations of $2,000 and any integral multiple of $1,000 in excess thereof will be purchased). Upon completion of each Asset Sale Offer, the amount of Excess Proceeds will be reset at zero. The Issuer may satisfy the foregoing obligation with respect to any Excess Proceeds by making an Asset Sale Offer prior to the expiration of the relevant 365 day period or with respect to Excess Proceeds of $50.0 million or less.</w:t>
      </w:r>
    </w:p>
    <w:p>
      <w:pPr>
        <w:spacing w:after="0" w:line="192" w:lineRule="exact"/>
        <w:rPr>
          <w:rFonts w:ascii="Times New Roman" w:cs="Times New Roman" w:eastAsia="Times New Roman" w:hAnsi="Times New Roman"/>
          <w:sz w:val="18"/>
          <w:szCs w:val="18"/>
          <w:color w:val="auto"/>
        </w:rPr>
      </w:pPr>
    </w:p>
    <w:p>
      <w:pPr>
        <w:ind w:right="100" w:firstLine="987"/>
        <w:spacing w:after="0" w:line="258" w:lineRule="auto"/>
        <w:tabs>
          <w:tab w:leader="none" w:pos="1246"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will comply with the requirements of Rule 14e-1 under the Exchange Act and any other securities laws and regulations thereunder to the extent those laws and regulations are applicable in connection with each repurchase of Notes pursuant to an Asset Sale Offer. To the extent that the provisions of any securities laws or regulations conflict with Section 3.10 or this Section 4.10, the Issuer will comply with the applicable securities laws and regulations and will not be deemed to have breached its obligations under Section 3.10 or this Section 4.10 by virtue of such compliance.</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4.11 </w:t>
      </w:r>
      <w:r>
        <w:rPr>
          <w:rFonts w:ascii="Times New Roman" w:cs="Times New Roman" w:eastAsia="Times New Roman" w:hAnsi="Times New Roman"/>
          <w:sz w:val="18"/>
          <w:szCs w:val="18"/>
          <w:i w:val="1"/>
          <w:iCs w:val="1"/>
          <w:color w:val="auto"/>
        </w:rPr>
        <w:t>Transactions with Affiliates.</w:t>
      </w:r>
    </w:p>
    <w:p>
      <w:pPr>
        <w:spacing w:after="0" w:line="227" w:lineRule="exact"/>
        <w:rPr>
          <w:sz w:val="20"/>
          <w:szCs w:val="20"/>
          <w:color w:val="auto"/>
        </w:rPr>
      </w:pPr>
    </w:p>
    <w:p>
      <w:pPr>
        <w:ind w:firstLine="987"/>
        <w:spacing w:after="0" w:line="261" w:lineRule="auto"/>
        <w:tabs>
          <w:tab w:leader="none" w:pos="1236"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will not, and will not permit any of its Restricted Subsidiaries to,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of the Issuer (each, an “</w:t>
      </w:r>
      <w:r>
        <w:rPr>
          <w:rFonts w:ascii="Times New Roman" w:cs="Times New Roman" w:eastAsia="Times New Roman" w:hAnsi="Times New Roman"/>
          <w:sz w:val="18"/>
          <w:szCs w:val="18"/>
          <w:i w:val="1"/>
          <w:iCs w:val="1"/>
          <w:color w:val="auto"/>
        </w:rPr>
        <w:t>Affiliate Transaction</w:t>
      </w:r>
      <w:r>
        <w:rPr>
          <w:rFonts w:ascii="Times New Roman" w:cs="Times New Roman" w:eastAsia="Times New Roman" w:hAnsi="Times New Roman"/>
          <w:sz w:val="18"/>
          <w:szCs w:val="18"/>
          <w:color w:val="auto"/>
        </w:rPr>
        <w:t>”) involving aggregate consideration to or from the Issuer or a Restricted Subsidiary in excess of $25.0 million, unless:</w:t>
      </w:r>
    </w:p>
    <w:p>
      <w:pPr>
        <w:spacing w:after="0" w:line="71" w:lineRule="exact"/>
        <w:rPr>
          <w:rFonts w:ascii="Times New Roman" w:cs="Times New Roman" w:eastAsia="Times New Roman" w:hAnsi="Times New Roman"/>
          <w:sz w:val="18"/>
          <w:szCs w:val="18"/>
          <w:color w:val="auto"/>
        </w:rPr>
      </w:pPr>
    </w:p>
    <w:p>
      <w:pPr>
        <w:ind w:left="440" w:right="120" w:firstLine="419"/>
        <w:spacing w:after="0" w:line="261" w:lineRule="auto"/>
        <w:tabs>
          <w:tab w:leader="none" w:pos="1118"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Affiliate Transaction is on terms that are no less favorable to the Issuer or the relevant Restricted Subsidiary than those that could have been obtained in a comparable transaction by the Issuer or such Restricted Subsidiary with an unrelated Person or, if, as determined in good faith by the Issuer, no comparable transaction is available with which to compare such Affiliate Transaction, such Affiliate Transaction is otherwise fair to the Issuer or the relevant Restricted Subsidiary from a financial point of view; and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000"/>
          </w:cols>
          <w:pgMar w:left="440" w:top="268" w:right="459" w:bottom="1440" w:gutter="0" w:footer="0" w:header="0"/>
        </w:sectPr>
      </w:pPr>
    </w:p>
    <w:bookmarkStart w:id="88" w:name="page89"/>
    <w:bookmarkEnd w:id="88"/>
    <w:p>
      <w:pPr>
        <w:ind w:left="440" w:right="100" w:firstLine="419"/>
        <w:spacing w:after="0" w:line="258" w:lineRule="auto"/>
        <w:tabs>
          <w:tab w:leader="none" w:pos="1118"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Issuer delivers to the Trustee, with respect to any Affiliate Transaction or series of related Affiliate Transactions involving aggregate consideration in excess of $50.0 million, an Officer’s Certificate certifying that such Affiliate Transaction or series of related Affiliate Transactions complies with this Section 4.11 and that such Affiliate Transaction or series of related Affiliate Transactions has been approved by a majority of the members of the Board of Directors of the Issuer and by a majority of the disinterested members of the Board of Directors of the Issuer, if any.</w:t>
      </w:r>
    </w:p>
    <w:p>
      <w:pPr>
        <w:spacing w:after="0" w:line="18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items will not be deemed to be Affiliate Transactions and, therefore, will not be subject to the provisions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4.11(a):</w:t>
      </w:r>
    </w:p>
    <w:p>
      <w:pPr>
        <w:spacing w:after="0" w:line="99" w:lineRule="exact"/>
        <w:rPr>
          <w:sz w:val="20"/>
          <w:szCs w:val="20"/>
          <w:color w:val="auto"/>
        </w:rPr>
      </w:pPr>
    </w:p>
    <w:p>
      <w:pPr>
        <w:ind w:left="440" w:right="300" w:firstLine="419"/>
        <w:spacing w:after="0" w:line="282" w:lineRule="auto"/>
        <w:tabs>
          <w:tab w:leader="none" w:pos="1118"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employment agreement, employee benefit plan, officer or director indemnification agreement or any similar arrangement entered into by the Issuer or any of its Restricted Subsidiaries in the ordinary course of business and payments pursuant thereto;</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between or among the Issuer and/or its Restricted Subsidiaries;</w:t>
      </w:r>
    </w:p>
    <w:p>
      <w:pPr>
        <w:spacing w:after="0" w:line="117" w:lineRule="exact"/>
        <w:rPr>
          <w:rFonts w:ascii="Times New Roman" w:cs="Times New Roman" w:eastAsia="Times New Roman" w:hAnsi="Times New Roman"/>
          <w:sz w:val="18"/>
          <w:szCs w:val="18"/>
          <w:color w:val="auto"/>
        </w:rPr>
      </w:pPr>
    </w:p>
    <w:p>
      <w:pPr>
        <w:ind w:left="440" w:right="100" w:firstLine="419"/>
        <w:spacing w:after="0" w:line="282" w:lineRule="auto"/>
        <w:tabs>
          <w:tab w:leader="none" w:pos="1118"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with a Person (other than an Unrestricted Subsidiary of the Issuer) that is an Affiliate of the Issuer solely because the Issuer owns, directly or through a Restricted Subsidiary, an Equity Interest in, and controls, such Person;</w:t>
      </w:r>
    </w:p>
    <w:p>
      <w:pPr>
        <w:spacing w:after="0" w:line="53" w:lineRule="exact"/>
        <w:rPr>
          <w:rFonts w:ascii="Times New Roman" w:cs="Times New Roman" w:eastAsia="Times New Roman" w:hAnsi="Times New Roman"/>
          <w:sz w:val="18"/>
          <w:szCs w:val="18"/>
          <w:color w:val="auto"/>
        </w:rPr>
      </w:pPr>
    </w:p>
    <w:p>
      <w:pPr>
        <w:ind w:left="440" w:right="420" w:firstLine="419"/>
        <w:spacing w:after="0" w:line="266" w:lineRule="auto"/>
        <w:tabs>
          <w:tab w:leader="none" w:pos="1118"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reasonable and customary fees and reimbursement of expenses (pursuant to indemnity agreements or otherwise) of, or provision of directors’ and officers’ liability insurance, compensation, indemnification and other benefits to, officers, directors, employees or consultants of the Issuer or any of its Subsidiaries;</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issuance of Equity Interests (other than Disqualified Stock) of the Issuer to Affiliates of the Issuer;</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Restricted Payments or Permitted Investments or Permitted Payments that are permitted by Section 4.07;</w:t>
      </w:r>
    </w:p>
    <w:p>
      <w:pPr>
        <w:spacing w:after="0" w:line="117" w:lineRule="exact"/>
        <w:rPr>
          <w:rFonts w:ascii="Times New Roman" w:cs="Times New Roman" w:eastAsia="Times New Roman" w:hAnsi="Times New Roman"/>
          <w:sz w:val="18"/>
          <w:szCs w:val="18"/>
          <w:color w:val="auto"/>
        </w:rPr>
      </w:pPr>
    </w:p>
    <w:p>
      <w:pPr>
        <w:ind w:left="440" w:right="280" w:firstLine="419"/>
        <w:spacing w:after="0" w:line="261" w:lineRule="auto"/>
        <w:tabs>
          <w:tab w:leader="none" w:pos="1118"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transactions between the Issuer or any of its Restricted Subsidiaries and any Person that would not otherwise constitute an Affiliate Transaction except for the fact that any director or officer of such other Person is also a director or officer of the Issuer or such Restricted Subsidiary, as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director or officer abstains from voting as a director of the Issuer or such Restricted Subsidiary, as applicable, on any matter involving such other Person;</w:t>
      </w:r>
    </w:p>
    <w:p>
      <w:pPr>
        <w:spacing w:after="0" w:line="71" w:lineRule="exact"/>
        <w:rPr>
          <w:rFonts w:ascii="Times New Roman" w:cs="Times New Roman" w:eastAsia="Times New Roman" w:hAnsi="Times New Roman"/>
          <w:sz w:val="18"/>
          <w:szCs w:val="18"/>
          <w:color w:val="auto"/>
        </w:rPr>
      </w:pPr>
    </w:p>
    <w:p>
      <w:pPr>
        <w:ind w:left="440" w:right="60" w:firstLine="419"/>
        <w:spacing w:after="0" w:line="266" w:lineRule="auto"/>
        <w:tabs>
          <w:tab w:leader="none" w:pos="1118"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 which the Issuer or any of its Restricted Subsidiaries, as the case may be, delivers to the Trustee a letter from an accounting, appraisal, advisory or investment banking firm of national standing stating that such transaction is fair to the Issuer or such Restricted Subsidiary from a financial point of view or that such transaction meets the requirements of Section 4.11(a)(1);</w:t>
      </w:r>
    </w:p>
    <w:p>
      <w:pPr>
        <w:spacing w:after="0" w:line="67" w:lineRule="exact"/>
        <w:rPr>
          <w:rFonts w:ascii="Times New Roman" w:cs="Times New Roman" w:eastAsia="Times New Roman" w:hAnsi="Times New Roman"/>
          <w:sz w:val="18"/>
          <w:szCs w:val="18"/>
          <w:color w:val="auto"/>
        </w:rPr>
      </w:pPr>
    </w:p>
    <w:p>
      <w:pPr>
        <w:ind w:left="440" w:firstLine="419"/>
        <w:spacing w:after="0" w:line="261" w:lineRule="auto"/>
        <w:tabs>
          <w:tab w:leader="none" w:pos="1118"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guarantees by the Issuer or any of its Restricted Subsidiaries of performance of obligations of the Issuer’s Unrestricted Subsidiaries in the ordinary course of business, except for guarantees of Indebtedness in respect of borrowed money, and (b) pledges by the Issuer or any Restricted Subsidiary of the Issuer of (or any guarantee by the Issuer or any Restricted Subsidiary limited in recourse solely to) Equity Interests in Unrestricted Subsidiaries for the benefit of lenders or other creditors of the Issuer’s Unrestricted Subsidiaries;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000"/>
          </w:cols>
          <w:pgMar w:left="440" w:top="270" w:right="459" w:bottom="1440" w:gutter="0" w:footer="0" w:header="0"/>
        </w:sectPr>
      </w:pPr>
    </w:p>
    <w:bookmarkStart w:id="89" w:name="page90"/>
    <w:bookmarkEnd w:id="89"/>
    <w:p>
      <w:pPr>
        <w:ind w:left="440" w:right="80" w:firstLine="419"/>
        <w:spacing w:after="0" w:line="258" w:lineRule="auto"/>
        <w:tabs>
          <w:tab w:leader="none" w:pos="1208"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transactions with Unrestricted Subsidiaries, joint ventures, customers, clients, suppliers or purchasers or sellers of goods or services, or lessors or lessees of property, which are, in the aggregate (taking into account all the costs and benefits associated with such transactions), not materially less favorable to the Issuer and its Restricted Subsidiaries than those that would have been obtained in a comparable transaction by the Issuer or such Restricted Subsidiary with an unrelated Person or are on terms at least as favorable as might reasonably have been obtained at such time from an unaffiliated party, in each case, as determined in good faith by the Issuer;</w:t>
      </w:r>
    </w:p>
    <w:p>
      <w:pPr>
        <w:spacing w:after="0" w:line="75" w:lineRule="exact"/>
        <w:rPr>
          <w:rFonts w:ascii="Times New Roman" w:cs="Times New Roman" w:eastAsia="Times New Roman" w:hAnsi="Times New Roman"/>
          <w:sz w:val="18"/>
          <w:szCs w:val="18"/>
          <w:color w:val="auto"/>
        </w:rPr>
      </w:pPr>
    </w:p>
    <w:p>
      <w:pPr>
        <w:ind w:left="440" w:right="60" w:firstLine="419"/>
        <w:spacing w:after="0" w:line="277" w:lineRule="auto"/>
        <w:tabs>
          <w:tab w:leader="none" w:pos="1201"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transactions (other than purchases or sales of assets) effected in accordance with the terms of (a) any agreements with Affiliates of the Issuer pursuant to agreements in effect on the Issue Date, (b) any amendment or replacement of any of such agreements or (c) any agreement entered into hereafter that is similar to any such agreements, so long as, in the case of clause (b) or (c), the terms of any such amendment or replacement agreement or future agreement, taken as a whole, are no less advantageous to the Issuer or no less favorable to the Holders in any material respect than the agreement so amended or replaced or the similar such agreement, respectively, as determined in good faith by the Issuer;</w:t>
      </w:r>
    </w:p>
    <w:p>
      <w:pPr>
        <w:spacing w:after="0" w:line="59" w:lineRule="exact"/>
        <w:rPr>
          <w:rFonts w:ascii="Times New Roman" w:cs="Times New Roman" w:eastAsia="Times New Roman" w:hAnsi="Times New Roman"/>
          <w:sz w:val="17"/>
          <w:szCs w:val="17"/>
          <w:color w:val="auto"/>
        </w:rPr>
      </w:pPr>
    </w:p>
    <w:p>
      <w:pPr>
        <w:ind w:left="440" w:right="100" w:firstLine="419"/>
        <w:spacing w:after="0" w:line="258" w:lineRule="auto"/>
        <w:tabs>
          <w:tab w:leader="none" w:pos="1208"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any purchases and sales of electric power, steam, water, natural gas or other hydrocarbons and other commercial relationships and transactions, or the provision of payroll, cash management, purchasing, insurance, indemnity and liability sharing, hedging, management, technology and licensing arrangements, marketing, or the granting or of acquiring of rights of way, easements, servitudes or other real property interests, or other sharing of assets or equipment, in each case between the Issuer or any Restricted Subsidiary and any Unrestricted Subsidiary or joint venture, and (b) any transactions entered into in connection with the CMB Transactions; and</w:t>
      </w:r>
    </w:p>
    <w:p>
      <w:pPr>
        <w:spacing w:after="0" w:line="75" w:lineRule="exact"/>
        <w:rPr>
          <w:rFonts w:ascii="Times New Roman" w:cs="Times New Roman" w:eastAsia="Times New Roman" w:hAnsi="Times New Roman"/>
          <w:sz w:val="18"/>
          <w:szCs w:val="18"/>
          <w:color w:val="auto"/>
        </w:rPr>
      </w:pPr>
    </w:p>
    <w:p>
      <w:pPr>
        <w:ind w:left="440" w:right="160" w:firstLine="419"/>
        <w:spacing w:after="0" w:line="281" w:lineRule="auto"/>
        <w:tabs>
          <w:tab w:leader="none" w:pos="1208"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contracts for exploring for, producing, marketing, storing or otherwise handling Hydrocarbons, or activities or services reasonably related or ancillary thereto, or other operational contracts, any such contracts entered into in the ordinary course of business and otherwise in compliance with the terms of this Indenture which are fair to the Issuer and its Restricted Subsidiaries, or are on terms at least as favorable as might reasonably have been obtained at such time from an unaffiliated party, in each case, as determined in good faith by the Issuer.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4.12 </w:t>
      </w:r>
      <w:r>
        <w:rPr>
          <w:rFonts w:ascii="Times New Roman" w:cs="Times New Roman" w:eastAsia="Times New Roman" w:hAnsi="Times New Roman"/>
          <w:sz w:val="18"/>
          <w:szCs w:val="18"/>
          <w:i w:val="1"/>
          <w:iCs w:val="1"/>
          <w:color w:val="auto"/>
        </w:rPr>
        <w:t>Liens.</w:t>
      </w:r>
    </w:p>
    <w:p>
      <w:pPr>
        <w:spacing w:after="0" w:line="22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The Issuer will not and will not permit any of its Restricted Subsidiaries to, directly or indirectly, create, incur, assume or otherwise cause or suffer to exist or become effective any Lien of any kind (other than Permitted Liens) securing Indebtedness upon any of their property or assets, now owned or hereafter acquired, unless the Notes or any Guarantee of such Restricted Subsidiary, as applicable, are secured on an equal and ratable basis with the Indebtedness so secured (or, in the case of Indebtedness subordinated to the Notes or any Guarantee, prior or senior thereto, with the same relative priority as the Notes or Guarantee shall have with respect to such subordinated Indebtedness) until such time as such Indebtedness is no longer secured by a Lien. Any Lien created for the benefit of the Holders of the Notes pursuant to the preceding sentence shall provide by its terms that such Lien shall be automatically and unconditionally released and discharged upon the release and discharge of the initial Lien;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no Event of Default has occurred and is continuing at the time of such release and discharge. In the event of the termination of Section 4.09 of this Indenture pursuant to Section 4.18, all calculations under Section 4.12 (including with respect to the definition of “Permitted Liens”) of this Indenture shall be made as if Section 4.09 had not been terminated.</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000"/>
          </w:cols>
          <w:pgMar w:left="440" w:top="270" w:right="459" w:bottom="1440" w:gutter="0" w:footer="0" w:header="0"/>
        </w:sectPr>
      </w:pPr>
    </w:p>
    <w:bookmarkStart w:id="90" w:name="page91"/>
    <w:bookmarkEnd w:id="90"/>
    <w:p>
      <w:pPr>
        <w:jc w:val="both"/>
        <w:ind w:right="30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purposes of determining compliance with this Section 4.12, in the event that a Lien meets the criteria of more than one of the categories of Permitted Liens, the Issuer will be permitted to classify (or later classify or reclassify in whole or in part in its sole discretion) such Lien (or portion thereof) on the date made or later reclassify such Lien (or portion thereof) in any manner that complies with this Section 4.12.</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4.13 </w:t>
      </w:r>
      <w:r>
        <w:rPr>
          <w:rFonts w:ascii="Times New Roman" w:cs="Times New Roman" w:eastAsia="Times New Roman" w:hAnsi="Times New Roman"/>
          <w:sz w:val="18"/>
          <w:szCs w:val="18"/>
          <w:i w:val="1"/>
          <w:iCs w:val="1"/>
          <w:color w:val="auto"/>
        </w:rPr>
        <w:t>[Reserved].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4.14 </w:t>
      </w:r>
      <w:r>
        <w:rPr>
          <w:rFonts w:ascii="Times New Roman" w:cs="Times New Roman" w:eastAsia="Times New Roman" w:hAnsi="Times New Roman"/>
          <w:sz w:val="18"/>
          <w:szCs w:val="18"/>
          <w:i w:val="1"/>
          <w:iCs w:val="1"/>
          <w:color w:val="auto"/>
        </w:rPr>
        <w:t>Organizational Existence.</w:t>
      </w:r>
    </w:p>
    <w:p>
      <w:pPr>
        <w:spacing w:after="0" w:line="227" w:lineRule="exact"/>
        <w:rPr>
          <w:sz w:val="20"/>
          <w:szCs w:val="20"/>
          <w:color w:val="auto"/>
        </w:rPr>
      </w:pPr>
    </w:p>
    <w:p>
      <w:pPr>
        <w:ind w:right="2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Subject to Article 5, the Issuer shall do or cause to be done all things necessary to preserve and keep in full force and effect the existence, the rights (charter and statutory), licenses and franchises of the Issuer;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Issuer shall not be required to preserve any such right, license or franchise if the Issuer shall determine that the preservation thereof is no longer desirable in the conduct of the business of the Issuer.</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4.15 </w:t>
      </w:r>
      <w:r>
        <w:rPr>
          <w:rFonts w:ascii="Times New Roman" w:cs="Times New Roman" w:eastAsia="Times New Roman" w:hAnsi="Times New Roman"/>
          <w:sz w:val="18"/>
          <w:szCs w:val="18"/>
          <w:i w:val="1"/>
          <w:iCs w:val="1"/>
          <w:color w:val="auto"/>
        </w:rPr>
        <w:t>Offer to Repurchase Upon Change of Control Triggering Event.</w:t>
      </w:r>
    </w:p>
    <w:p>
      <w:pPr>
        <w:spacing w:after="0" w:line="227" w:lineRule="exact"/>
        <w:rPr>
          <w:sz w:val="20"/>
          <w:szCs w:val="20"/>
          <w:color w:val="auto"/>
        </w:rPr>
      </w:pPr>
    </w:p>
    <w:p>
      <w:pPr>
        <w:ind w:right="60" w:firstLine="987"/>
        <w:spacing w:after="0" w:line="256" w:lineRule="auto"/>
        <w:tabs>
          <w:tab w:leader="none" w:pos="1236"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of Control Triggering Event occurs, each Holder of Notes will have the right to require the Issuer to repurchase all or any part (equal to $2,000 or an integral multiple of $1,000 in excess thereof) of that Holder’s Notes pursuant to a cash tender offer (“</w:t>
      </w:r>
      <w:r>
        <w:rPr>
          <w:rFonts w:ascii="Times New Roman" w:cs="Times New Roman" w:eastAsia="Times New Roman" w:hAnsi="Times New Roman"/>
          <w:sz w:val="18"/>
          <w:szCs w:val="18"/>
          <w:i w:val="1"/>
          <w:iCs w:val="1"/>
          <w:color w:val="auto"/>
        </w:rPr>
        <w:t>Change of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Offer</w:t>
      </w:r>
      <w:r>
        <w:rPr>
          <w:rFonts w:ascii="Times New Roman" w:cs="Times New Roman" w:eastAsia="Times New Roman" w:hAnsi="Times New Roman"/>
          <w:sz w:val="18"/>
          <w:szCs w:val="18"/>
          <w:color w:val="auto"/>
        </w:rPr>
        <w:t>”) on the terms set forth in this Section 4.15. In the Change of Control Offer, the Issuer will offer a payment in cash (“</w:t>
      </w:r>
      <w:r>
        <w:rPr>
          <w:rFonts w:ascii="Times New Roman" w:cs="Times New Roman" w:eastAsia="Times New Roman" w:hAnsi="Times New Roman"/>
          <w:sz w:val="18"/>
          <w:szCs w:val="18"/>
          <w:i w:val="1"/>
          <w:iCs w:val="1"/>
          <w:color w:val="auto"/>
        </w:rPr>
        <w:t>Change of Control Payment</w:t>
      </w:r>
      <w:r>
        <w:rPr>
          <w:rFonts w:ascii="Times New Roman" w:cs="Times New Roman" w:eastAsia="Times New Roman" w:hAnsi="Times New Roman"/>
          <w:sz w:val="18"/>
          <w:szCs w:val="18"/>
          <w:color w:val="auto"/>
        </w:rPr>
        <w:t>”) equal to 101% of the aggregate principal amount of Notes repurchased,</w:t>
      </w:r>
      <w:r>
        <w:rPr>
          <w:rFonts w:ascii="Times New Roman" w:cs="Times New Roman" w:eastAsia="Times New Roman" w:hAnsi="Times New Roman"/>
          <w:sz w:val="18"/>
          <w:szCs w:val="18"/>
          <w:i w:val="1"/>
          <w:iCs w:val="1"/>
          <w:color w:val="auto"/>
        </w:rPr>
        <w:t xml:space="preserve"> plus </w:t>
      </w:r>
      <w:r>
        <w:rPr>
          <w:rFonts w:ascii="Times New Roman" w:cs="Times New Roman" w:eastAsia="Times New Roman" w:hAnsi="Times New Roman"/>
          <w:sz w:val="18"/>
          <w:szCs w:val="18"/>
          <w:color w:val="auto"/>
        </w:rPr>
        <w:t>accrued and unpaid interest, if any, on the Notes repurchased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but excluding, the date of purchase (the “</w:t>
      </w:r>
      <w:r>
        <w:rPr>
          <w:rFonts w:ascii="Times New Roman" w:cs="Times New Roman" w:eastAsia="Times New Roman" w:hAnsi="Times New Roman"/>
          <w:sz w:val="18"/>
          <w:szCs w:val="18"/>
          <w:i w:val="1"/>
          <w:iCs w:val="1"/>
          <w:color w:val="auto"/>
        </w:rPr>
        <w:t>Change of Control Purchase Date</w:t>
      </w:r>
      <w:r>
        <w:rPr>
          <w:rFonts w:ascii="Times New Roman" w:cs="Times New Roman" w:eastAsia="Times New Roman" w:hAnsi="Times New Roman"/>
          <w:sz w:val="18"/>
          <w:szCs w:val="18"/>
          <w:color w:val="auto"/>
        </w:rPr>
        <w:t>”), subject to the rights of Holders of Notes on the relevant record date to receive interest due on the relevant Interest Payment Date.</w:t>
      </w:r>
    </w:p>
    <w:p>
      <w:pPr>
        <w:spacing w:after="0" w:line="18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Within 30 days following any Change of Control Triggering Event, the Issuer will send a notice to each Holder (with a copy to the Trustee) describing the transaction or transactions that constitute the Change of Control and offering to repurchase Notes properly tendered prior to the expiration date specified in the notice, which date will be no earlier than 10 days and no later than 60 days from the date such notice is sent, pursuant to the procedures required by this Section 4.15 and described in such notice. The Issuer will comply with the requirements of Rule 14e-1 under the Exchange Act and any other securities laws and regulations thereunder to the extent those laws and regulations are applicable in connection with the repurchase of the Notes as a result of a Change of Control Triggering Event. To the extent that the provisions of any securities laws or regulations conflict with this Section 4.15, the Issuer will comply with the applicable securities laws and regulations and will not be deemed to have breached its obligations under this Section 4.15 by virtue of such compliance.</w:t>
      </w:r>
    </w:p>
    <w:p>
      <w:pPr>
        <w:spacing w:after="0" w:line="192" w:lineRule="exact"/>
        <w:rPr>
          <w:sz w:val="20"/>
          <w:szCs w:val="20"/>
          <w:color w:val="auto"/>
        </w:rPr>
      </w:pPr>
    </w:p>
    <w:p>
      <w:pPr>
        <w:jc w:val="both"/>
        <w:ind w:right="80" w:firstLine="987"/>
        <w:spacing w:after="0" w:line="266" w:lineRule="auto"/>
        <w:tabs>
          <w:tab w:leader="none" w:pos="1246"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the expiration of the Change of Control Offer, the Issuer will, to the extent lawful, accept for payment all Notes or portions of Notes properly tendered pursuant to the Change of Control Offer. Promptly after such acceptance, the Issuer will, on the Change of Control Purchase Date:</w:t>
      </w:r>
    </w:p>
    <w:p>
      <w:pPr>
        <w:spacing w:after="0" w:line="67" w:lineRule="exact"/>
        <w:rPr>
          <w:rFonts w:ascii="Times New Roman" w:cs="Times New Roman" w:eastAsia="Times New Roman" w:hAnsi="Times New Roman"/>
          <w:sz w:val="18"/>
          <w:szCs w:val="18"/>
          <w:color w:val="auto"/>
        </w:rPr>
      </w:pPr>
    </w:p>
    <w:p>
      <w:pPr>
        <w:ind w:left="440" w:right="200" w:firstLine="419"/>
        <w:spacing w:after="0" w:line="282" w:lineRule="auto"/>
        <w:tabs>
          <w:tab w:leader="none" w:pos="1118"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Paying Agent an amount equal to the Change of Control Payment in respect of all Notes or portions of Notes properly tendered; and</w:t>
      </w:r>
    </w:p>
    <w:p>
      <w:pPr>
        <w:spacing w:after="0" w:line="53" w:lineRule="exact"/>
        <w:rPr>
          <w:rFonts w:ascii="Times New Roman" w:cs="Times New Roman" w:eastAsia="Times New Roman" w:hAnsi="Times New Roman"/>
          <w:sz w:val="18"/>
          <w:szCs w:val="18"/>
          <w:color w:val="auto"/>
        </w:rPr>
      </w:pPr>
    </w:p>
    <w:p>
      <w:pPr>
        <w:ind w:left="440" w:right="300" w:firstLine="419"/>
        <w:spacing w:after="0" w:line="282" w:lineRule="auto"/>
        <w:tabs>
          <w:tab w:leader="none" w:pos="1118"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the Notes properly accepted together with an Officer’s Certificate stating the aggregate principal amount of Notes or portions of Notes being purchased by the Issuer.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000"/>
          </w:cols>
          <w:pgMar w:left="440" w:top="270" w:right="459" w:bottom="1440" w:gutter="0" w:footer="0" w:header="0"/>
        </w:sectPr>
      </w:pPr>
    </w:p>
    <w:bookmarkStart w:id="91" w:name="page92"/>
    <w:bookmarkEnd w:id="91"/>
    <w:p>
      <w:pPr>
        <w:ind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Notes to be purchased shall, on the Change of Control Purchase Date, become due and payable at the Change of Control Payment, and from and after such date (unless the Issuer shall default in depositing the Change of Control Payment) such Notes shall cease to accrue interest. The Paying Agent will promptly mail to each Holder of Notes properly tendered the Change of Control Payment for such Notes (or, if such Notes are then in global form, it will make such payment thereon through the facilities of DTC), and the Issuer will promptly issue a new Note, and the Trustee, upon written request from the Issuer, will promptly authenticate and mail or deliver (or cause to be transferred by book entry) to each Holder such new Note in the principal amount equal to any unpurchased portion of the Notes surrendered by such Holder, if any. The Issuer will publicly announce the results of the Change of Control Offer on or as soon as practicable after the Change of Control Purchase Date.</w:t>
      </w:r>
    </w:p>
    <w:p>
      <w:pPr>
        <w:spacing w:after="0" w:line="189" w:lineRule="exact"/>
        <w:rPr>
          <w:sz w:val="20"/>
          <w:szCs w:val="20"/>
          <w:color w:val="auto"/>
        </w:rPr>
      </w:pPr>
    </w:p>
    <w:p>
      <w:pPr>
        <w:ind w:right="260" w:firstLine="987"/>
        <w:spacing w:after="0" w:line="282" w:lineRule="auto"/>
        <w:tabs>
          <w:tab w:leader="none" w:pos="1236"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described above that require the Issuer to make a Change of Control Offer following a Change of Control Triggering Event will be applicable whether or not any other provisions of this Indenture are applicable, except as described in paragraph (d) below.</w:t>
      </w:r>
    </w:p>
    <w:p>
      <w:pPr>
        <w:spacing w:after="0" w:line="161" w:lineRule="exact"/>
        <w:rPr>
          <w:rFonts w:ascii="Times New Roman" w:cs="Times New Roman" w:eastAsia="Times New Roman" w:hAnsi="Times New Roman"/>
          <w:sz w:val="18"/>
          <w:szCs w:val="18"/>
          <w:color w:val="auto"/>
        </w:rPr>
      </w:pPr>
    </w:p>
    <w:p>
      <w:pPr>
        <w:ind w:firstLine="987"/>
        <w:spacing w:after="0" w:line="255" w:lineRule="auto"/>
        <w:tabs>
          <w:tab w:leader="none" w:pos="1246"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Section 4.15, the Issuer will not be required to make a Change of Control Offer upon a Change of Control Triggering Event if (1) a third party makes the Change of Control Offer in the manner, at the time and otherwise in compliance with the requirements set forth in this Section 4.15 applicable to a Change of Control Offer made by the Issuer and purchases all Notes properly tendered and not withdrawn under the Change of Control Offer, (2) notice of redemption of all outstanding Notes has been given pursuant to Section 3.03, unless and until there is a default in payment of the applicable redemption price or (3) in connection with or in contemplation of any Change of Control, the Issuer or a third party has made an offer to purchase (an “</w:t>
      </w:r>
      <w:r>
        <w:rPr>
          <w:rFonts w:ascii="Times New Roman" w:cs="Times New Roman" w:eastAsia="Times New Roman" w:hAnsi="Times New Roman"/>
          <w:sz w:val="18"/>
          <w:szCs w:val="18"/>
          <w:i w:val="1"/>
          <w:iCs w:val="1"/>
          <w:color w:val="auto"/>
        </w:rPr>
        <w:t>Alternate Offer</w:t>
      </w:r>
      <w:r>
        <w:rPr>
          <w:rFonts w:ascii="Times New Roman" w:cs="Times New Roman" w:eastAsia="Times New Roman" w:hAnsi="Times New Roman"/>
          <w:sz w:val="18"/>
          <w:szCs w:val="18"/>
          <w:color w:val="auto"/>
        </w:rPr>
        <w:t>”) any and all Notes validly tendered at a cash price equal to or higher than the Change of Control Payment and has purchased all Notes properly tendered in accordance with the terms of such Alternate Offer.</w:t>
      </w:r>
    </w:p>
    <w:p>
      <w:pPr>
        <w:spacing w:after="0" w:line="188" w:lineRule="exact"/>
        <w:rPr>
          <w:rFonts w:ascii="Times New Roman" w:cs="Times New Roman" w:eastAsia="Times New Roman" w:hAnsi="Times New Roman"/>
          <w:sz w:val="18"/>
          <w:szCs w:val="18"/>
          <w:color w:val="auto"/>
        </w:rPr>
      </w:pPr>
    </w:p>
    <w:p>
      <w:pPr>
        <w:jc w:val="both"/>
        <w:ind w:right="100" w:firstLine="987"/>
        <w:spacing w:after="0" w:line="266" w:lineRule="auto"/>
        <w:tabs>
          <w:tab w:leader="none" w:pos="1236"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Indenture, a Change of Control Offer or an Alternate Offer may be made in advance of a Change of Control, or conditioned upon the consummation of such Change of Control, if a definitive agreement is in place for the Change of Control at the time the Change of Control Offer or Alternate Offer is made.</w:t>
      </w:r>
    </w:p>
    <w:p>
      <w:pPr>
        <w:spacing w:after="0" w:line="175" w:lineRule="exact"/>
        <w:rPr>
          <w:rFonts w:ascii="Times New Roman" w:cs="Times New Roman" w:eastAsia="Times New Roman" w:hAnsi="Times New Roman"/>
          <w:sz w:val="18"/>
          <w:szCs w:val="18"/>
          <w:color w:val="auto"/>
        </w:rPr>
      </w:pPr>
    </w:p>
    <w:p>
      <w:pPr>
        <w:ind w:right="40" w:firstLine="987"/>
        <w:spacing w:after="0" w:line="255" w:lineRule="auto"/>
        <w:tabs>
          <w:tab w:leader="none" w:pos="1216"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this Indenture, in the event that, upon consummation of a Change of Control Offer, Alternate Offer, Asset Sale Offer or other tender offer, less than 10% of the aggregate principal amount of the Notes (including, without limitation, Additional Notes, if any) that were originally issued are outstanding and held by Holders other than the Issuer or Affiliates thereof, the Issuer will have the right, upon not less than 10 nor more than 60 days prior notice, to redeem all of the Notes that remain outstanding following such purchase at a redemption price equal to the price offered in such Change of Control Offer, Alternate Offer, Asset Sale Offer or other tender offer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to the extent not included in such amount, accrued and unpaid interest, if any, on the Notes that remain outstanding, to the date of redemption, subject to the rights of Holders of Notes on the relevant record date to receive interest on the relevant Interest Payment Date.</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4.16 </w:t>
      </w:r>
      <w:r>
        <w:rPr>
          <w:rFonts w:ascii="Times New Roman" w:cs="Times New Roman" w:eastAsia="Times New Roman" w:hAnsi="Times New Roman"/>
          <w:sz w:val="18"/>
          <w:szCs w:val="18"/>
          <w:i w:val="1"/>
          <w:iCs w:val="1"/>
          <w:color w:val="auto"/>
        </w:rPr>
        <w:t>Additional Guarantees.</w:t>
      </w:r>
    </w:p>
    <w:p>
      <w:pPr>
        <w:spacing w:after="0" w:line="22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If, after the Issue Date, any Restricted Subsidiary of the Issuer that is not already a Guarantor guarantees or otherwise becomes an obligor with respect to any other Indebtedness of the Issuer or any Guarantor in excess of the De Minimis Guaranteed Amount, then such Restricted Subsidiary will become a Guarantor by executing a supplemental indenture in substantially the form attached hereto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and delivering it to the Trustee within 20 Business Days of the date on which it guaranteed or became an obligor with respect to such Indebtedness;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preceding shall not apply to Subsidiaries of the Issuer that have properly been designated as Unrestricted Subsidiaries in accordance with this Indenture for so long as they continue to constitute Unrestricted Subsidiaries. Notwithstanding the preceding, any Guarantee of a Restricted Subsidiary that was incurred pursuant to this paragraph shall be subject to all limitations and provisions described in Article 10, including provisions for the release of such Guarantee.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000"/>
          </w:cols>
          <w:pgMar w:left="440" w:top="270" w:right="459" w:bottom="1440" w:gutter="0" w:footer="0" w:header="0"/>
        </w:sectPr>
      </w:pPr>
    </w:p>
    <w:bookmarkStart w:id="92" w:name="page93"/>
    <w:bookmarkEnd w:id="9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4.17 </w:t>
      </w:r>
      <w:r>
        <w:rPr>
          <w:rFonts w:ascii="Times New Roman" w:cs="Times New Roman" w:eastAsia="Times New Roman" w:hAnsi="Times New Roman"/>
          <w:sz w:val="18"/>
          <w:szCs w:val="18"/>
          <w:i w:val="1"/>
          <w:iCs w:val="1"/>
          <w:color w:val="auto"/>
        </w:rPr>
        <w:t>Designation of Restricted and Unrestricted Subsidiaries.</w:t>
      </w:r>
    </w:p>
    <w:p>
      <w:pPr>
        <w:spacing w:after="0" w:line="227"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The Issuer may after the Issue Date designate any Restricted Subsidiary to be an Unrestricted Subsidiary if that designation would not cause a Default. If a Restricted Subsidiary is designated as an Unrestricted Subsidiary after the Issue Date, the aggregate Fair Market Value of all outstanding Investments owned by the Issuer and its Restricted Subsidiaries in the Subsidiary designated as an Unrestricted Subsidiary will be deemed to either be an Investment made as a “Restricted Payment” as of the time of the designation that will reduce the amount available for Restricted Payments under Section 4.07(a) or represent a Permitted Investment under one or more clauses of the definition of “Permitted Investments,” as determined in good faith by the Issuer. That designation will only be permitted if the Investment would be permitted at that time and if the Subsidiary so designated otherwise meets the definition of an “Unrestricted Subsidiary.”</w:t>
      </w:r>
    </w:p>
    <w:p>
      <w:pPr>
        <w:spacing w:after="0" w:line="189"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Any designation of a Subsidiary of the Issuer as an Unrestricted Subsidiary will be evidenced to the Trustee by filing with the Trustee an Officer’s Certificate certifying that such designation complied with the preceding conditions and was permitted by Section 4.07.</w:t>
      </w:r>
    </w:p>
    <w:p>
      <w:pPr>
        <w:spacing w:after="0" w:line="160"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The Issuer may at any time designate any Unrestricted Subsidiary to be a Restricted Subsidiary of the Issuer;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designation will be deemed to be an incurrence of Indebtedness and Liens by a Restricted Subsidiary of the Issuer of any outstanding Indebtedness of such Unrestricted Subsidiary, and such designation will only be permitted if (1) such Indebtedness is permitted under Section 4.09, with the Fixed Charge Coverage Ratio calculated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as if such designation had occurred at the beginning of the applicable reference period; (2) such Indebtedness is permitted under Section 4.12; and (3) no Default or Event of Default would be in existence following such designation. If, at any time, any Unrestricted Subsidiary would fail to meet the preceding requirements as an Unrestricted Subsidiary, it will thereafter cease to be an Unrestricted Subsidiary for purposes of this Indenture and any Indebtedness and Liens of such Subsidiary will be deemed to be incurred by a Restricted Subsidiary of the Issuer as of such date and, if such Indebtedness or Liens are not permitted to be incurred as of such date under Sections 4.09 and/or 4.12, the Issuer will be in default of Section 4.09 and/or Section 4.12, as applicable.</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4.18 </w:t>
      </w:r>
      <w:r>
        <w:rPr>
          <w:rFonts w:ascii="Times New Roman" w:cs="Times New Roman" w:eastAsia="Times New Roman" w:hAnsi="Times New Roman"/>
          <w:sz w:val="18"/>
          <w:szCs w:val="18"/>
          <w:i w:val="1"/>
          <w:iCs w:val="1"/>
          <w:color w:val="auto"/>
        </w:rPr>
        <w:t>Covenant Termination.</w:t>
      </w:r>
    </w:p>
    <w:p>
      <w:pPr>
        <w:spacing w:after="0" w:line="227"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Notwithstanding any provision of this Indenture or of the Notes to the contrary, if at any time following the Issue Date (a) the Notes are rated Baa3 or better by Moody’s, BBB- or better by S&amp;P or BBB- or better by Fitch (or, if either such entity ceases to rate the Notes for reasons outside of the control of the Issuer, the equivalent investment grade credit rating from any other “nationally recognized statistical rating organization” within the meaning of Section 3(a)(62) of the Exchange Act selected by the Issuer as a replacement agency), (b) no Default or Event of Default shall have occurred and be continuing under this Indenture and (c) the Issuer has delivered to the Trustee an Officer’s Certificate certifying to such events, Sections 3.10, 4.07, 4.08, 4.09, 4.10, 4.11 and 4.17 and Section 5.01(a)(4) of this Indenture will thereafter terminate and no Default or Event of Default shall result from any failure to comply with any of the provisions of such Sections.</w:t>
      </w:r>
    </w:p>
    <w:p>
      <w:pPr>
        <w:spacing w:after="0" w:line="189"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The Trustee shall have no duty to monitor the ratings of the Notes, shall not be deemed to have knowledge of the ratings of the Notes and may conclusively rely on any Officer’s Certificate provided by the Issuer with respect to the ratings of the Notes. The Trustee shall have no duty to notify the Holders whether the Issuer and its Restricted Subsidiaries are subject to the covenants described in this Article 4.</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0980"/>
          </w:cols>
          <w:pgMar w:left="440" w:top="268" w:right="47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SUCCESSORS</w:t>
      </w:r>
    </w:p>
    <w:p>
      <w:pPr>
        <w:spacing w:after="0" w:line="20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i w:val="1"/>
          <w:iCs w:val="1"/>
          <w:color w:val="auto"/>
        </w:rPr>
        <w:t>Merger, Consolidation or Sale of Assets.</w:t>
      </w:r>
    </w:p>
    <w:p>
      <w:pPr>
        <w:spacing w:after="0" w:line="227" w:lineRule="exact"/>
        <w:rPr>
          <w:sz w:val="20"/>
          <w:szCs w:val="20"/>
          <w:color w:val="auto"/>
        </w:rPr>
      </w:pPr>
    </w:p>
    <w:p>
      <w:pPr>
        <w:ind w:left="-40" w:right="460" w:firstLine="987"/>
        <w:spacing w:after="0" w:line="266" w:lineRule="auto"/>
        <w:tabs>
          <w:tab w:leader="none" w:pos="1196"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shall not, directly or indirectly, (x) consolidate or merge with or into another Person (whether or not the Issuer is the survivor), or (y) sell, assign, transfer, convey, lease or otherwise dispose of all or substantially all of its properties or assets, in one or more related transactions, to another Person, unless:</w:t>
      </w:r>
    </w:p>
    <w:p>
      <w:pPr>
        <w:spacing w:after="0" w:line="67" w:lineRule="exact"/>
        <w:rPr>
          <w:rFonts w:ascii="Times New Roman" w:cs="Times New Roman" w:eastAsia="Times New Roman" w:hAnsi="Times New Roman"/>
          <w:sz w:val="18"/>
          <w:szCs w:val="18"/>
          <w:color w:val="auto"/>
        </w:rPr>
      </w:pPr>
    </w:p>
    <w:p>
      <w:pPr>
        <w:ind w:left="400" w:firstLine="419"/>
        <w:spacing w:after="0" w:line="258" w:lineRule="auto"/>
        <w:tabs>
          <w:tab w:leader="none" w:pos="1078"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either (a) the Issuer is the surviving Person or (b) the Person formed by or surviving any such consolidation or merger (if other than the Issuer) or to which such sale, assignment, transfer, conveyance, lease or other disposition has been made is a Person organized or existing under the laws of the United States, any state of the United States or the District of Columbia;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at any time such surviving Person is a limited liability company or limited partnership, there shall be a co-issuer of the Notes that is a corporation organized or existing under the laws of the United States, any state of the United States or the District of Columbia;</w:t>
      </w:r>
    </w:p>
    <w:p>
      <w:pPr>
        <w:spacing w:after="0" w:line="75" w:lineRule="exact"/>
        <w:rPr>
          <w:rFonts w:ascii="Times New Roman" w:cs="Times New Roman" w:eastAsia="Times New Roman" w:hAnsi="Times New Roman"/>
          <w:sz w:val="18"/>
          <w:szCs w:val="18"/>
          <w:color w:val="auto"/>
        </w:rPr>
      </w:pPr>
    </w:p>
    <w:p>
      <w:pPr>
        <w:ind w:left="400" w:right="440" w:firstLine="419"/>
        <w:spacing w:after="0" w:line="266" w:lineRule="auto"/>
        <w:tabs>
          <w:tab w:leader="none" w:pos="1078"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formed by or surviving any such consolidation or merger (if other than the Issuer) or the Person to which such sale, assignment, transfer, conveyance, lease or other disposition has been made assumes all the obligations of the Issuer under the Notes and this Indenture pursuant to a supplemental indenture or other agreement in a form reasonably satisfactory to the Trustee;</w:t>
      </w:r>
    </w:p>
    <w:p>
      <w:pPr>
        <w:spacing w:after="0" w:line="67" w:lineRule="exact"/>
        <w:rPr>
          <w:rFonts w:ascii="Times New Roman" w:cs="Times New Roman" w:eastAsia="Times New Roman" w:hAnsi="Times New Roman"/>
          <w:sz w:val="18"/>
          <w:szCs w:val="18"/>
          <w:color w:val="auto"/>
        </w:rPr>
      </w:pPr>
    </w:p>
    <w:p>
      <w:pPr>
        <w:ind w:left="1080" w:hanging="261"/>
        <w:spacing w:after="0"/>
        <w:tabs>
          <w:tab w:leader="none" w:pos="10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such transaction, no Default or Event of Default exists;</w:t>
      </w:r>
    </w:p>
    <w:p>
      <w:pPr>
        <w:spacing w:after="0" w:line="115" w:lineRule="exact"/>
        <w:rPr>
          <w:rFonts w:ascii="Times New Roman" w:cs="Times New Roman" w:eastAsia="Times New Roman" w:hAnsi="Times New Roman"/>
          <w:sz w:val="18"/>
          <w:szCs w:val="18"/>
          <w:color w:val="auto"/>
        </w:rPr>
      </w:pPr>
    </w:p>
    <w:p>
      <w:pPr>
        <w:ind w:left="400" w:firstLine="419"/>
        <w:spacing w:after="0" w:line="284" w:lineRule="auto"/>
        <w:tabs>
          <w:tab w:leader="none" w:pos="1078"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immediately after giving effect to such transaction and any related financing transaction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as if the same had occurred at the beginning of the applicable four-quarter period, either</w:t>
      </w:r>
    </w:p>
    <w:p>
      <w:pPr>
        <w:spacing w:after="0" w:line="52" w:lineRule="exact"/>
        <w:rPr>
          <w:rFonts w:ascii="Times New Roman" w:cs="Times New Roman" w:eastAsia="Times New Roman" w:hAnsi="Times New Roman"/>
          <w:sz w:val="18"/>
          <w:szCs w:val="18"/>
          <w:color w:val="auto"/>
        </w:rPr>
      </w:pPr>
    </w:p>
    <w:p>
      <w:pPr>
        <w:ind w:left="940" w:firstLine="408"/>
        <w:spacing w:after="0" w:line="266" w:lineRule="auto"/>
        <w:tabs>
          <w:tab w:leader="none" w:pos="1636" w:val="left"/>
        </w:tabs>
        <w:numPr>
          <w:ilvl w:val="2"/>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or the Person formed by or surviving any such consolidation or merger (if other than the Issuer), or to which such sale, assignment, transfer, conveyance, lease or other disposition has been made, would be permitted to incur at least $1.00 of additional Indebtedness pursuant to the Fixed Charge Coverage Ratio test set forth in Section 4.09(a); or</w:t>
      </w:r>
    </w:p>
    <w:p>
      <w:pPr>
        <w:spacing w:after="0" w:line="67" w:lineRule="exact"/>
        <w:rPr>
          <w:rFonts w:ascii="Times New Roman" w:cs="Times New Roman" w:eastAsia="Times New Roman" w:hAnsi="Times New Roman"/>
          <w:sz w:val="18"/>
          <w:szCs w:val="18"/>
          <w:color w:val="auto"/>
        </w:rPr>
      </w:pPr>
    </w:p>
    <w:p>
      <w:pPr>
        <w:jc w:val="both"/>
        <w:ind w:left="940" w:right="180" w:firstLine="408"/>
        <w:spacing w:after="0" w:line="266" w:lineRule="auto"/>
        <w:tabs>
          <w:tab w:leader="none" w:pos="1626" w:val="left"/>
        </w:tabs>
        <w:numPr>
          <w:ilvl w:val="2"/>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Fixed Charge Coverage Ratio of the Issuer or the Person formed by or surviving any such consolidation or merger (if other than the Issuer), or to which such sale, assignment, transfer, conveyance, lease or other disposition has been made, is equal to or greater than the Fixed Charge Coverage Ratio of the Issuer immediately prior to such transaction; and</w:t>
      </w:r>
    </w:p>
    <w:p>
      <w:pPr>
        <w:spacing w:after="0" w:line="67" w:lineRule="exact"/>
        <w:rPr>
          <w:rFonts w:ascii="Times New Roman" w:cs="Times New Roman" w:eastAsia="Times New Roman" w:hAnsi="Times New Roman"/>
          <w:sz w:val="18"/>
          <w:szCs w:val="18"/>
          <w:color w:val="auto"/>
        </w:rPr>
      </w:pPr>
    </w:p>
    <w:p>
      <w:pPr>
        <w:ind w:left="400" w:firstLine="419"/>
        <w:spacing w:after="0" w:line="282" w:lineRule="auto"/>
        <w:tabs>
          <w:tab w:leader="none" w:pos="1078"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has delivered to the Trustee an Officer’s Certificate and an Opinion of Counsel, each stating that such consolidation, merger or disposition and such supplemental indenture, if any, comply with this Indenture.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0920"/>
          </w:cols>
          <w:pgMar w:left="480" w:top="270" w:right="499" w:bottom="1440" w:gutter="0" w:footer="0" w:header="0"/>
        </w:sectPr>
      </w:pPr>
    </w:p>
    <w:bookmarkStart w:id="94" w:name="page95"/>
    <w:bookmarkEnd w:id="94"/>
    <w:p>
      <w:pPr>
        <w:ind w:firstLine="987"/>
        <w:spacing w:after="0" w:line="261" w:lineRule="auto"/>
        <w:tabs>
          <w:tab w:leader="none" w:pos="1246"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the restrictions described in Sections 5.01(a)(3), 5.01(a)(4) or 5.01(a)(5), (i) any Restricted Subsidiary of the Issuer may consolidate with or merge into the Issuer and (ii) the Issuer may consolidate with or merge into or dispose all or substantially all of its properties or assets to any Guarantor; and the Issuer, in the case of clause (i) or (ii), will not be required to comply with Sections 5.01(a)(3), 5.01(a)(4) or 5.01(a)(5) in connection with any such consolidation, merger or disposition.</w:t>
      </w:r>
    </w:p>
    <w:p>
      <w:pPr>
        <w:spacing w:after="0" w:line="1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Section 5.01(a), the Issuer may reorganize as any other form of entity in accordance with the following procedures:</w:t>
      </w:r>
    </w:p>
    <w:p>
      <w:pPr>
        <w:spacing w:after="0" w:line="117"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118"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reorganization involves the conversion (by merger, sale, contribution or exchange of assets or otherwise) of the Issuer into a form of entity other than a corporation formed under Delaware law;</w:t>
      </w:r>
    </w:p>
    <w:p>
      <w:pPr>
        <w:spacing w:after="0" w:line="53" w:lineRule="exact"/>
        <w:rPr>
          <w:rFonts w:ascii="Times New Roman" w:cs="Times New Roman" w:eastAsia="Times New Roman" w:hAnsi="Times New Roman"/>
          <w:sz w:val="18"/>
          <w:szCs w:val="18"/>
          <w:color w:val="auto"/>
        </w:rPr>
      </w:pPr>
    </w:p>
    <w:p>
      <w:pPr>
        <w:ind w:left="440" w:right="180" w:firstLine="419"/>
        <w:spacing w:after="0" w:line="282" w:lineRule="auto"/>
        <w:tabs>
          <w:tab w:leader="none" w:pos="1118"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so formed by or resulting from such reorganization is an entity organized or existing under the laws of the United States, any state thereof or the District of Columbia;</w:t>
      </w:r>
    </w:p>
    <w:p>
      <w:pPr>
        <w:spacing w:after="0" w:line="53" w:lineRule="exact"/>
        <w:rPr>
          <w:rFonts w:ascii="Times New Roman" w:cs="Times New Roman" w:eastAsia="Times New Roman" w:hAnsi="Times New Roman"/>
          <w:sz w:val="18"/>
          <w:szCs w:val="18"/>
          <w:color w:val="auto"/>
        </w:rPr>
      </w:pPr>
    </w:p>
    <w:p>
      <w:pPr>
        <w:ind w:left="440" w:right="60" w:firstLine="419"/>
        <w:spacing w:after="0" w:line="282" w:lineRule="auto"/>
        <w:tabs>
          <w:tab w:leader="none" w:pos="1118"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so formed by or resulting from such reorganization assumes all the obligations of the Issuer under the Notes and this Indenture pursuant to a supplemental indenture or other agreement in a form reasonably satisfactory to the Trustee;</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such reorganization no Default or Event of Default exists; and</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reorganization is not materially adverse to the Holders or Beneficial Owners of the Notes (for purposes of this clause (5) a</w:t>
      </w:r>
    </w:p>
    <w:p>
      <w:pPr>
        <w:spacing w:after="0" w:line="27" w:lineRule="exact"/>
        <w:rPr>
          <w:rFonts w:ascii="Times New Roman" w:cs="Times New Roman" w:eastAsia="Times New Roman" w:hAnsi="Times New Roman"/>
          <w:sz w:val="18"/>
          <w:szCs w:val="18"/>
          <w:color w:val="auto"/>
        </w:rPr>
      </w:pPr>
    </w:p>
    <w:p>
      <w:pPr>
        <w:ind w:left="440"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reorganization will not be considered materially adverse to the Holders or Beneficial Owners of the Notes solely because the successor or survivor of such reorganization (a) is subject to federal or state income taxation as an entity or (b) is considered to be an “includible corporation” of an affiliated group of corporations within the meaning of Section 1504(b) of the Code or any similar state or local law).</w:t>
      </w:r>
    </w:p>
    <w:p>
      <w:pPr>
        <w:spacing w:after="0" w:line="185" w:lineRule="exact"/>
        <w:rPr>
          <w:rFonts w:ascii="Times New Roman" w:cs="Times New Roman" w:eastAsia="Times New Roman" w:hAnsi="Times New Roman"/>
          <w:sz w:val="18"/>
          <w:szCs w:val="18"/>
          <w:color w:val="auto"/>
        </w:rPr>
      </w:pPr>
    </w:p>
    <w:p>
      <w:pPr>
        <w:ind w:right="260" w:firstLine="987"/>
        <w:spacing w:after="0" w:line="266" w:lineRule="auto"/>
        <w:tabs>
          <w:tab w:leader="none" w:pos="1246"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Guarantor may not sell or otherwise dispose of, in one or a series of related transactions, all or substantially all of its properties or assets to, or consolidate with or merge with or into (whether or not such Guarantor is the surviving Person) another Person, other than the Issuer or another Guarantor, unless:</w:t>
      </w:r>
    </w:p>
    <w:p>
      <w:pPr>
        <w:spacing w:after="0" w:line="68" w:lineRule="exact"/>
        <w:rPr>
          <w:sz w:val="20"/>
          <w:szCs w:val="20"/>
          <w:color w:val="auto"/>
        </w:rPr>
      </w:pPr>
    </w:p>
    <w:p>
      <w:pPr>
        <w:ind w:left="1120" w:hanging="261"/>
        <w:spacing w:after="0"/>
        <w:tabs>
          <w:tab w:leader="none" w:pos="112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 or series of related transactions, no Default or Event of Default exists; and</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17" w:lineRule="exact"/>
        <w:rPr>
          <w:rFonts w:ascii="Times New Roman" w:cs="Times New Roman" w:eastAsia="Times New Roman" w:hAnsi="Times New Roman"/>
          <w:sz w:val="18"/>
          <w:szCs w:val="18"/>
          <w:color w:val="auto"/>
        </w:rPr>
      </w:pPr>
    </w:p>
    <w:p>
      <w:pPr>
        <w:ind w:left="980" w:right="160" w:firstLine="408"/>
        <w:spacing w:after="0" w:line="266" w:lineRule="auto"/>
        <w:tabs>
          <w:tab w:leader="none" w:pos="1676"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surviving any such consolidation or merger (if other than the Guarantor) unconditionally assumes all the obligations of that Guarantor under its Guarantee and this Indenture pursuant to a supplemental indenture or other agreement in form reasonably satisfactory to the Trustee; or</w:t>
      </w:r>
    </w:p>
    <w:p>
      <w:pPr>
        <w:spacing w:after="0" w:line="67"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transaction or series of transactions does not violate Section 4.10.</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000"/>
          </w:cols>
          <w:pgMar w:left="440" w:top="270" w:right="459" w:bottom="1440" w:gutter="0" w:footer="0" w:header="0"/>
        </w:sectPr>
      </w:pPr>
    </w:p>
    <w:bookmarkStart w:id="95" w:name="page96"/>
    <w:bookmarkEnd w:id="95"/>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case of any such consolidation, merger, sale or other disposition and upon the assumption by the successor Person, by supplemental indenture, executed and delivered to the Trustee and satisfactory in form to the Trustee, of the Guarantee of the Guarantor and the due and punctual performance of all of the covenants and conditions of this Indenture to be performed by the Guarantor, such successor Person will succeed to and be substituted for the Guarantor with the same effect as if it had been named herein as a Guarantor.</w:t>
      </w:r>
    </w:p>
    <w:p>
      <w:pPr>
        <w:spacing w:after="0" w:line="180" w:lineRule="exact"/>
        <w:rPr>
          <w:sz w:val="20"/>
          <w:szCs w:val="20"/>
          <w:color w:val="auto"/>
        </w:rPr>
      </w:pPr>
    </w:p>
    <w:p>
      <w:pPr>
        <w:ind w:right="100" w:firstLine="987"/>
        <w:spacing w:after="0" w:line="261" w:lineRule="auto"/>
        <w:tabs>
          <w:tab w:leader="none" w:pos="123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5.01, the transfer (by lease, assignment, sale or otherwise, in a single transaction or series of transactions) of all or substantially all of the properties or assets of one or more Restricted Subsidiaries of the Issuer, the Capital Stock of which constitutes all or substantially all of the properties or assets of the Issuer, shall be deemed to be the transfer of all or substantially all of the properties or assets of the Issuer.</w:t>
      </w:r>
    </w:p>
    <w:p>
      <w:pPr>
        <w:spacing w:after="0" w:line="179" w:lineRule="exact"/>
        <w:rPr>
          <w:rFonts w:ascii="Times New Roman" w:cs="Times New Roman" w:eastAsia="Times New Roman" w:hAnsi="Times New Roman"/>
          <w:sz w:val="18"/>
          <w:szCs w:val="18"/>
          <w:color w:val="auto"/>
        </w:rPr>
      </w:pPr>
    </w:p>
    <w:p>
      <w:pPr>
        <w:ind w:right="140" w:firstLine="987"/>
        <w:spacing w:after="0" w:line="274" w:lineRule="auto"/>
        <w:tabs>
          <w:tab w:leader="none" w:pos="1216"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reference herein to a merger, consolidation, amalgamation, assignment, sale, disposition or transfer, or similar term, shall be deemed to apply to a division of or by a limited liability company, limited partnership or trust, or an allocation of assets to a series of a limited liability company, limited partnership or trust (or the unwinding of such a division or allocation), as if it were a merger, consolidation, amalgamation, assignment, sale, disposition or transfer, or similar term, as applicable, to, of or with a separate Person. Any division of a limited liability company, limited partnership or trust shall constitute a separate Person hereunder (and each division of any limited liability company, limited partnership or trust that is a Subsidiary, Restricted Subsidiary, Unrestricted Subsidiary, joint venture or any other like term shall also constitute such a Person or entity).</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i w:val="1"/>
          <w:iCs w:val="1"/>
          <w:color w:val="auto"/>
        </w:rPr>
        <w:t>Successor Issuer Substituted.</w:t>
      </w:r>
    </w:p>
    <w:p>
      <w:pPr>
        <w:spacing w:after="0" w:line="227"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Upon any consolidation or merger, or any sale, assignment, transfer, conveyance, lease or other disposition of all or substantially all of the properties or assets of the Issuer in a transaction that is subject to, and that complies with the provisions of, Section 5.01 in which the Issuer is not the surviving or successor Person, the successor Person formed by such consolidation or into or with which the Issuer is merged or to which such sale, assignment, transfer, conveyance, lease or other disposition is made shall succeed to, and be substituted for, and may exercise every right and power of the Issuer under this Indenture with the same effect as if such successor Person had been named as the predecessor Issuer herein and shall be substituted for the Issuer (so that from and after the date of such consolidation, merger, sale, assignment, transfer, lease, conveyance or other disposition, the provisions of this Indenture referring to the “Issuer” shall refer instead to the successor Person and not to the predecessor Issuer) and such predecessor Issuer shall be discharged and released from all of its obligations and covenants under this Indenture and the Notes and the Trustee shall enter into a supplemental indenture to evidence the succession and substitution of such successor and such discharge and release of such predecessor Issuer;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the predecessor Issuer shall not be relieved from the obligation to pay the principal of, or premium or interest, if any,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in the case of a lease of all or substantially all of the Issuer’s properties or assets in a transaction that is subject to, and that complies with the provisions of, Section 5.01.</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6</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DEFAULTS AND REMEDIES</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i w:val="1"/>
          <w:iCs w:val="1"/>
          <w:color w:val="auto"/>
        </w:rPr>
        <w:t>Events of Default.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Each of the following is an “</w:t>
      </w:r>
      <w:r>
        <w:rPr>
          <w:rFonts w:ascii="Times New Roman" w:cs="Times New Roman" w:eastAsia="Times New Roman" w:hAnsi="Times New Roman"/>
          <w:sz w:val="18"/>
          <w:szCs w:val="18"/>
          <w:i w:val="1"/>
          <w:iCs w:val="1"/>
          <w:color w:val="auto"/>
        </w:rPr>
        <w:t>Event of Default</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1240" w:hanging="253"/>
        <w:spacing w:after="0"/>
        <w:tabs>
          <w:tab w:leader="none" w:pos="12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for 30 days in the payment when due of interest on the Notes;</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when due (at Stated Maturity, upon redemption or otherwise) of the principal of, or premium, if any, on,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0980"/>
          </w:cols>
          <w:pgMar w:left="440" w:top="270" w:right="479" w:bottom="1440" w:gutter="0" w:footer="0" w:header="0"/>
        </w:sectPr>
      </w:pPr>
    </w:p>
    <w:bookmarkStart w:id="96" w:name="page97"/>
    <w:bookmarkEnd w:id="96"/>
    <w:p>
      <w:pPr>
        <w:ind w:firstLine="987"/>
        <w:spacing w:after="0" w:line="261" w:lineRule="auto"/>
        <w:tabs>
          <w:tab w:leader="none" w:pos="1236"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failure by the Issuer for 30 days after written notice has been given, by certified mail, (1) to the Issuer by the Trustee at the direction of the Holders of at least 25% in aggregate principal amount of the Notes then outstanding or (2) to the Issuer and the Trustee by the Holders of at least 25% in aggregate principal amount of the Notes then outstanding to comply with its obligations to offer to repurchase or repurchase the Notes described under Section 3.10, 4.10 or 4.15;</w:t>
      </w:r>
    </w:p>
    <w:p>
      <w:pPr>
        <w:spacing w:after="0" w:line="1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Issuer to comply with Section 5.01;</w:t>
      </w:r>
    </w:p>
    <w:p>
      <w:pPr>
        <w:spacing w:after="0" w:line="225" w:lineRule="exact"/>
        <w:rPr>
          <w:rFonts w:ascii="Times New Roman" w:cs="Times New Roman" w:eastAsia="Times New Roman" w:hAnsi="Times New Roman"/>
          <w:sz w:val="18"/>
          <w:szCs w:val="18"/>
          <w:color w:val="auto"/>
        </w:rPr>
      </w:pPr>
    </w:p>
    <w:p>
      <w:pPr>
        <w:jc w:val="both"/>
        <w:ind w:right="80" w:firstLine="987"/>
        <w:spacing w:after="0" w:line="266" w:lineRule="auto"/>
        <w:tabs>
          <w:tab w:leader="none" w:pos="1236"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Issuer for 180 days after written notice has been given, by certified mail, (1) to the Issuer by the Trustee at the direction of the Holders of at least 25% in aggregate principal amount of the Notes then outstanding or (2) to the Issuer and the Trustee by the Holders of at least 25% in aggregate principal amount of the Notes then outstanding to comply with Section 4.03;</w:t>
      </w:r>
    </w:p>
    <w:p>
      <w:pPr>
        <w:spacing w:after="0" w:line="175" w:lineRule="exact"/>
        <w:rPr>
          <w:rFonts w:ascii="Times New Roman" w:cs="Times New Roman" w:eastAsia="Times New Roman" w:hAnsi="Times New Roman"/>
          <w:sz w:val="18"/>
          <w:szCs w:val="18"/>
          <w:color w:val="auto"/>
        </w:rPr>
      </w:pPr>
    </w:p>
    <w:p>
      <w:pPr>
        <w:ind w:right="40" w:firstLine="987"/>
        <w:spacing w:after="0" w:line="266" w:lineRule="auto"/>
        <w:tabs>
          <w:tab w:leader="none" w:pos="1216"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Issuer for 60 days after written notice has been given, by certified mail, (1) to the Issuer by the Trustee at the direction of the Holders of at least 25% in aggregate principal amount of the Notes then outstanding or (2) to the Issuer and the Trustee by the Holders of at least 25% in aggregate principal amount of the Notes then outstanding to comply with any of the other agreements in this Indenture;</w:t>
      </w:r>
    </w:p>
    <w:p>
      <w:pPr>
        <w:spacing w:after="0" w:line="175" w:lineRule="exact"/>
        <w:rPr>
          <w:rFonts w:ascii="Times New Roman" w:cs="Times New Roman" w:eastAsia="Times New Roman" w:hAnsi="Times New Roman"/>
          <w:sz w:val="18"/>
          <w:szCs w:val="18"/>
          <w:color w:val="auto"/>
        </w:rPr>
      </w:pPr>
    </w:p>
    <w:p>
      <w:pPr>
        <w:ind w:right="200" w:firstLine="987"/>
        <w:spacing w:after="0" w:line="266" w:lineRule="auto"/>
        <w:tabs>
          <w:tab w:leader="none" w:pos="1246"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under any mortgage, indenture or instrument under which there is issued or by which there is secured or evidenced any Indebtedness for money borrowed by the Issuer or any of its Restricted Subsidiaries (or the payment of which is guaranteed by the Issuer or any of its Restricted Subsidiaries), whether such Indebtedness or guarantee now exists, or is created after the Issue Date, if that default:</w:t>
      </w:r>
    </w:p>
    <w:p>
      <w:pPr>
        <w:spacing w:after="0" w:line="67" w:lineRule="exact"/>
        <w:rPr>
          <w:rFonts w:ascii="Times New Roman" w:cs="Times New Roman" w:eastAsia="Times New Roman" w:hAnsi="Times New Roman"/>
          <w:sz w:val="18"/>
          <w:szCs w:val="18"/>
          <w:color w:val="auto"/>
        </w:rPr>
      </w:pPr>
    </w:p>
    <w:p>
      <w:pPr>
        <w:ind w:left="440" w:right="60" w:firstLine="419"/>
        <w:spacing w:after="0" w:line="282" w:lineRule="auto"/>
        <w:tabs>
          <w:tab w:leader="none" w:pos="1118"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caused by a failure to pay principal of, or interest or premium, if any, on, such Indebtedness prior to the expiration of the grace period provided in such Indebtedness on the date of such default (a “</w:t>
      </w:r>
      <w:r>
        <w:rPr>
          <w:rFonts w:ascii="Times New Roman" w:cs="Times New Roman" w:eastAsia="Times New Roman" w:hAnsi="Times New Roman"/>
          <w:sz w:val="18"/>
          <w:szCs w:val="18"/>
          <w:i w:val="1"/>
          <w:iCs w:val="1"/>
          <w:color w:val="auto"/>
        </w:rPr>
        <w:t>Payment Default</w:t>
      </w:r>
      <w:r>
        <w:rPr>
          <w:rFonts w:ascii="Times New Roman" w:cs="Times New Roman" w:eastAsia="Times New Roman" w:hAnsi="Times New Roman"/>
          <w:sz w:val="18"/>
          <w:szCs w:val="18"/>
          <w:color w:val="auto"/>
        </w:rPr>
        <w:t>”); or</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 the acceleration of such Indebtedness prior to its express maturity,</w:t>
      </w:r>
    </w:p>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and, in each case, the principal amount of any such Indebtedness, together with the principal amount of any other such Indebtedness under which there has been a Payment Default or the maturity of which has been so accelerated, aggregates $100.0 million and, within 20 Business Days of such Payment Default or acceleration, such Indebtedness has not been discharged or such Payment Default has not been cured or such acceleration has not been rescinded or annulled;</w:t>
      </w:r>
    </w:p>
    <w:p>
      <w:pPr>
        <w:spacing w:after="0" w:line="180" w:lineRule="exact"/>
        <w:rPr>
          <w:sz w:val="20"/>
          <w:szCs w:val="20"/>
          <w:color w:val="auto"/>
        </w:rPr>
      </w:pPr>
    </w:p>
    <w:p>
      <w:pPr>
        <w:jc w:val="both"/>
        <w:ind w:right="140" w:firstLine="987"/>
        <w:spacing w:after="0" w:line="266" w:lineRule="auto"/>
        <w:tabs>
          <w:tab w:leader="none" w:pos="1246"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Issuer or any of its Restricted Subsidiaries to pay final judgments entered by a court or courts of competent jurisdiction aggregating in excess of $100.0 million (to the extent not covered by insurance by a reputable and creditworthy insurer as to which the insurer has not disclaimed coverage), which judgments are not paid, discharged or stayed, for a period of 60 days;</w:t>
      </w:r>
    </w:p>
    <w:p>
      <w:pPr>
        <w:spacing w:after="0" w:line="175" w:lineRule="exact"/>
        <w:rPr>
          <w:rFonts w:ascii="Times New Roman" w:cs="Times New Roman" w:eastAsia="Times New Roman" w:hAnsi="Times New Roman"/>
          <w:sz w:val="18"/>
          <w:szCs w:val="18"/>
          <w:color w:val="auto"/>
        </w:rPr>
      </w:pPr>
    </w:p>
    <w:p>
      <w:pPr>
        <w:ind w:right="240" w:firstLine="987"/>
        <w:spacing w:after="0" w:line="282" w:lineRule="auto"/>
        <w:tabs>
          <w:tab w:leader="none" w:pos="1206"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or any of the Issuer’s Restricted Subsidiaries that is a Significant Subsidiary or any group of Restricted Subsidiaries of the Issuer that, taken together, would constitute a Significant Subsidiary pursuant to or within the meaning of Bankruptcy Law:</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commences a voluntary case,</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entry of an order for relief against it in an involuntary case,</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0960"/>
          </w:cols>
          <w:pgMar w:left="440" w:top="270" w:right="499" w:bottom="1440" w:gutter="0" w:footer="0" w:header="0"/>
        </w:sectPr>
      </w:pPr>
    </w:p>
    <w:bookmarkStart w:id="97" w:name="page98"/>
    <w:bookmarkEnd w:id="97"/>
    <w:p>
      <w:pPr>
        <w:ind w:left="1120" w:hanging="261"/>
        <w:spacing w:after="0"/>
        <w:tabs>
          <w:tab w:leader="none" w:pos="112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consents to the appointment of a custodian of it or for all or substantially all of its property,</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 general assignment for the benefit of its creditors, or</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is not paying its debts as they become due;</w:t>
      </w:r>
    </w:p>
    <w:p>
      <w:pPr>
        <w:spacing w:after="0" w:line="225"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enters an order or decree under any Bankruptcy Law that:</w:t>
      </w:r>
    </w:p>
    <w:p>
      <w:pPr>
        <w:spacing w:after="0" w:line="117" w:lineRule="exact"/>
        <w:rPr>
          <w:sz w:val="20"/>
          <w:szCs w:val="20"/>
          <w:color w:val="auto"/>
        </w:rPr>
      </w:pPr>
    </w:p>
    <w:p>
      <w:pPr>
        <w:ind w:left="440" w:right="340" w:firstLine="419"/>
        <w:spacing w:after="0" w:line="282" w:lineRule="auto"/>
        <w:tabs>
          <w:tab w:leader="none" w:pos="1118"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for relief against the Issuer or any of the Issuer’s Restricted Subsidiaries that is a Significant Subsidiary or any group of Restricted Subsidiaries of the Issuer that, taken together, would constitute a Significant Subsidiary in an involuntary case;</w:t>
      </w:r>
    </w:p>
    <w:p>
      <w:pPr>
        <w:spacing w:after="0" w:line="53" w:lineRule="exact"/>
        <w:rPr>
          <w:rFonts w:ascii="Times New Roman" w:cs="Times New Roman" w:eastAsia="Times New Roman" w:hAnsi="Times New Roman"/>
          <w:sz w:val="18"/>
          <w:szCs w:val="18"/>
          <w:color w:val="auto"/>
        </w:rPr>
      </w:pPr>
    </w:p>
    <w:p>
      <w:pPr>
        <w:ind w:left="440" w:firstLine="419"/>
        <w:spacing w:after="0" w:line="261" w:lineRule="auto"/>
        <w:tabs>
          <w:tab w:leader="none" w:pos="1118"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a custodian of the Issuer or any of the Issuer’s Restricted Subsidiaries that is a Significant Subsidiary or any group of Restricted Subsidiaries of the Issuer that, taken together, would constitute a Significant Subsidiary or for all or substantially all of the property of the Issuer or any of its Restricted Subsidiaries that is a Significant Subsidiary or any group of Restricted Subsidiaries of the Issuer that, taken together, would constitute a Significant Subsidiary; or</w:t>
      </w:r>
    </w:p>
    <w:p>
      <w:pPr>
        <w:spacing w:after="0" w:line="71" w:lineRule="exact"/>
        <w:rPr>
          <w:rFonts w:ascii="Times New Roman" w:cs="Times New Roman" w:eastAsia="Times New Roman" w:hAnsi="Times New Roman"/>
          <w:sz w:val="18"/>
          <w:szCs w:val="18"/>
          <w:color w:val="auto"/>
        </w:rPr>
      </w:pPr>
    </w:p>
    <w:p>
      <w:pPr>
        <w:ind w:left="440" w:right="740" w:firstLine="419"/>
        <w:spacing w:after="0" w:line="282" w:lineRule="auto"/>
        <w:tabs>
          <w:tab w:leader="none" w:pos="1118"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the liquidation of the Issuer or any of the Issuer’s Restricted Subsidiaries that is a Significant Subsidiary or any group of Restricted Subsidiaries of the Issuer that, taken together, would constitute a Significant Subsidiary;</w:t>
      </w:r>
    </w:p>
    <w:p>
      <w:pPr>
        <w:spacing w:after="0" w:line="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and the order or decree remains unstayed and in effect for 60 consecutive days; and</w:t>
      </w:r>
    </w:p>
    <w:p>
      <w:pPr>
        <w:spacing w:after="0" w:line="225" w:lineRule="exact"/>
        <w:rPr>
          <w:sz w:val="20"/>
          <w:szCs w:val="20"/>
          <w:color w:val="auto"/>
        </w:rPr>
      </w:pPr>
    </w:p>
    <w:p>
      <w:pPr>
        <w:ind w:right="60" w:firstLine="987"/>
        <w:spacing w:after="0" w:line="266" w:lineRule="auto"/>
        <w:tabs>
          <w:tab w:leader="none" w:pos="1246"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permitted by this Indenture, any Guarantee is held in any judicial proceeding to be unenforceable or invalid or ceases for any reason to be in full force and effect, or any Guarantor, or any Person acting on behalf of any Guarantor, denies or disaffirms its obligations under its Guarantee, except, in each case, by reason of the release of such Guarantee in accordance with this Indenture.</w:t>
      </w:r>
    </w:p>
    <w:p>
      <w:pPr>
        <w:spacing w:after="0" w:line="176"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Any notice of Default or an Event of Default, notice of acceleration or instruction to the Trustee to provide a notice of Default or an Event of Default, notice of acceleration or to take any other action (a “</w:t>
      </w:r>
      <w:r>
        <w:rPr>
          <w:rFonts w:ascii="Times New Roman" w:cs="Times New Roman" w:eastAsia="Times New Roman" w:hAnsi="Times New Roman"/>
          <w:sz w:val="18"/>
          <w:szCs w:val="18"/>
          <w:i w:val="1"/>
          <w:iCs w:val="1"/>
          <w:color w:val="auto"/>
        </w:rPr>
        <w:t>Noteholder Direction</w:t>
      </w:r>
      <w:r>
        <w:rPr>
          <w:rFonts w:ascii="Times New Roman" w:cs="Times New Roman" w:eastAsia="Times New Roman" w:hAnsi="Times New Roman"/>
          <w:sz w:val="18"/>
          <w:szCs w:val="18"/>
          <w:color w:val="auto"/>
        </w:rPr>
        <w:t>”) provided by any one or more Holders (each, a “</w:t>
      </w:r>
      <w:r>
        <w:rPr>
          <w:rFonts w:ascii="Times New Roman" w:cs="Times New Roman" w:eastAsia="Times New Roman" w:hAnsi="Times New Roman"/>
          <w:sz w:val="18"/>
          <w:szCs w:val="18"/>
          <w:i w:val="1"/>
          <w:iCs w:val="1"/>
          <w:color w:val="auto"/>
        </w:rPr>
        <w:t>Directing Holder</w:t>
      </w:r>
      <w:r>
        <w:rPr>
          <w:rFonts w:ascii="Times New Roman" w:cs="Times New Roman" w:eastAsia="Times New Roman" w:hAnsi="Times New Roman"/>
          <w:sz w:val="18"/>
          <w:szCs w:val="18"/>
          <w:color w:val="auto"/>
        </w:rPr>
        <w:t>”) must be accompanied by a written representation from each such Holder to the Issuer and the Trustee that such Holder is not, or, in the case such Holder is DTC or DTC’s nominee, that such Holder is being instructed solely by beneficial owners that are not, Net Short (a “</w:t>
      </w:r>
      <w:r>
        <w:rPr>
          <w:rFonts w:ascii="Times New Roman" w:cs="Times New Roman" w:eastAsia="Times New Roman" w:hAnsi="Times New Roman"/>
          <w:sz w:val="18"/>
          <w:szCs w:val="18"/>
          <w:i w:val="1"/>
          <w:iCs w:val="1"/>
          <w:color w:val="auto"/>
        </w:rPr>
        <w:t>Position Representation</w:t>
      </w:r>
      <w:r>
        <w:rPr>
          <w:rFonts w:ascii="Times New Roman" w:cs="Times New Roman" w:eastAsia="Times New Roman" w:hAnsi="Times New Roman"/>
          <w:sz w:val="18"/>
          <w:szCs w:val="18"/>
          <w:color w:val="auto"/>
        </w:rPr>
        <w:t>”), which representation, in the case of a Noteholder Direction relating to a notice of Event of Default shall be deemed repeated at all times until the resulting Event of Default is cured or otherwise ceases to exist or the Notes are accelerated. In addition, each Directing Holder must, at the time of providing a Noteholder Direction, provide the Issuer with such other information as the Issuer may reasonably request from time to time in order to verify the accuracy of such Directing Holder’s Position Representation within five Business Days of request therefor (a “</w:t>
      </w:r>
      <w:r>
        <w:rPr>
          <w:rFonts w:ascii="Times New Roman" w:cs="Times New Roman" w:eastAsia="Times New Roman" w:hAnsi="Times New Roman"/>
          <w:sz w:val="18"/>
          <w:szCs w:val="18"/>
          <w:i w:val="1"/>
          <w:iCs w:val="1"/>
          <w:color w:val="auto"/>
        </w:rPr>
        <w:t>Verification Covenant</w:t>
      </w:r>
      <w:r>
        <w:rPr>
          <w:rFonts w:ascii="Times New Roman" w:cs="Times New Roman" w:eastAsia="Times New Roman" w:hAnsi="Times New Roman"/>
          <w:sz w:val="18"/>
          <w:szCs w:val="18"/>
          <w:color w:val="auto"/>
        </w:rPr>
        <w:t>”). In any case in which the Holder is DTC or DTC’s nominee, any Position Representation or Verification Covenant required hereunder shall be provided by the beneficial owner of the Notes in lieu of DTC or DTC’s nominee and DTC or its nominee shall be entitled to conclusively rely on such Position Representation and Verification Covenant in delivering its direction to the Trustee.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000"/>
          </w:cols>
          <w:pgMar w:left="440" w:top="270" w:right="459" w:bottom="1440" w:gutter="0" w:footer="0" w:header="0"/>
        </w:sectPr>
      </w:pPr>
    </w:p>
    <w:bookmarkStart w:id="98" w:name="page99"/>
    <w:bookmarkEnd w:id="9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following the delivery of a Noteholder Direction, but prior to acceleration of the Notes, the Issuer determines in good faith that there is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reasonable basis to believe a Directing Holder was, at any relevant time, in breach of its Position Representation and provides to the Trustee an Officer’s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stating that the Issuer has initiated litigation in a court of competent jurisdiction seeking a determination that such Directing Holder was,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time, in breach of its Position Representation, and seeking to invalidate any Default, Event of Default or acceleration (or notice thereof)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resulted from the applicable Noteholder Direction, the cure period with respect to such Default shall be automatically stayed and the cure period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to such Default or Event of Default shall be automatically reinstituted and any remedy stayed pending a final and non-appealable determination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 court of competent jurisdiction on such matter (a “</w:t>
      </w:r>
      <w:r>
        <w:rPr>
          <w:rFonts w:ascii="Times New Roman" w:cs="Times New Roman" w:eastAsia="Times New Roman" w:hAnsi="Times New Roman"/>
          <w:sz w:val="18"/>
          <w:szCs w:val="18"/>
          <w:i w:val="1"/>
          <w:iCs w:val="1"/>
          <w:color w:val="auto"/>
        </w:rPr>
        <w:t>Final Decision</w:t>
      </w:r>
      <w:r>
        <w:rPr>
          <w:rFonts w:ascii="Times New Roman" w:cs="Times New Roman" w:eastAsia="Times New Roman" w:hAnsi="Times New Roman"/>
          <w:sz w:val="18"/>
          <w:szCs w:val="18"/>
          <w:color w:val="auto"/>
        </w:rPr>
        <w:t>”). Once such Officer’s Certificate has been provided to the Trustee, the Trustee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take no future action pursuant to the related Noteholder Direction until it receives notices of a Final Decision. If, following the delivery of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Noteholder Direction, but prior to acceleration of the Notes, the Issuer provides to the Trustee an Officer’s Certificate stating that a Directing Holder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failed to satisfy its Verification Covenant (a “</w:t>
      </w:r>
      <w:r>
        <w:rPr>
          <w:rFonts w:ascii="Times New Roman" w:cs="Times New Roman" w:eastAsia="Times New Roman" w:hAnsi="Times New Roman"/>
          <w:sz w:val="18"/>
          <w:szCs w:val="18"/>
          <w:i w:val="1"/>
          <w:iCs w:val="1"/>
          <w:color w:val="auto"/>
        </w:rPr>
        <w:t>Verification Officer’s Certificate</w:t>
      </w:r>
      <w:r>
        <w:rPr>
          <w:rFonts w:ascii="Times New Roman" w:cs="Times New Roman" w:eastAsia="Times New Roman" w:hAnsi="Times New Roman"/>
          <w:sz w:val="18"/>
          <w:szCs w:val="18"/>
          <w:color w:val="auto"/>
        </w:rPr>
        <w:t>”), the cure period with respect to such Default shall be automatically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stayed and the cure period with respect to any Default or Event of Default that resulted from the applicable Noteholder Direction shall be automatically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reinstituted and any remedy stayed pending satisfaction of such Verification Covenant, and the Trustee shall take no further action pursuant to the related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Noteholder Direction until the Issuer provide a subsequent Officer’s Certificate to the Trustee that such Verification Covenant has been satisfied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Covenant Satisfaction Officer’s Certificate</w:t>
      </w:r>
      <w:r>
        <w:rPr>
          <w:rFonts w:ascii="Times New Roman" w:cs="Times New Roman" w:eastAsia="Times New Roman" w:hAnsi="Times New Roman"/>
          <w:sz w:val="18"/>
          <w:szCs w:val="18"/>
          <w:color w:val="auto"/>
        </w:rPr>
        <w:t>”). The Issuer shall promptly deliver a Covenant Satisfaction Officer’s Certificate following satisfaction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applicable Directing Holder of its Verification Covenant and then the Trustee shall be permitted to act in accordance with such Noteholder Direction.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breach of the Position Representation shall result in such Holder’s participation in such Noteholder Direction being disregarded, and, if, without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participation of such Holder, the percentage of Notes held by the remaining Holders that provided such Noteholder Direction would have been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insufficient to validly provide such Noteholder Direction, such Noteholder Direction shall be void ab initio (other than any indemnity such Directing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 may have offered the Trustee), with the effect that such Default or Event of Default shall be deemed never to have occurred, acceleration voided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Trustee shall be deemed not to have received such Noteholder Direction or any notice of such Default or Event of Default and shall not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permitted to act thereon. Notwithstanding the above, if such Directing Holder’s participation is not required to achieve the requisite level of consent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required under this Indenture to give such Noteholder Direction, the Trustee shall be permitted to act in accordance with such Noteholder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Direction notwithstanding any action taken or to be taken by the Issuer.</w:t>
      </w:r>
    </w:p>
    <w:p>
      <w:pPr>
        <w:spacing w:after="0" w:line="207" w:lineRule="exact"/>
        <w:rPr>
          <w:sz w:val="20"/>
          <w:szCs w:val="20"/>
          <w:color w:val="auto"/>
        </w:rPr>
      </w:pPr>
    </w:p>
    <w:p>
      <w:pPr>
        <w:ind w:right="60" w:firstLine="440"/>
        <w:spacing w:after="0" w:line="252" w:lineRule="auto"/>
        <w:rPr>
          <w:sz w:val="20"/>
          <w:szCs w:val="20"/>
          <w:color w:val="auto"/>
        </w:rPr>
      </w:pPr>
      <w:r>
        <w:rPr>
          <w:rFonts w:ascii="Times New Roman" w:cs="Times New Roman" w:eastAsia="Times New Roman" w:hAnsi="Times New Roman"/>
          <w:sz w:val="18"/>
          <w:szCs w:val="18"/>
          <w:color w:val="auto"/>
        </w:rPr>
        <w:t>Notwithstanding anything in the preceding two paragraphs to the contrary, any Noteholder Direction delivered to the Trustee during the pendency of an Event of Default as the result of a bankruptcy or similar proceeding shall not require compliance with the foregoing two paragraphs. For the avoidance of doubt, the Trustee shall be entitled to conclusively rely on any Noteholder Direction delivered to it in accordance with this Indenture, shall have no duty to inquire as to or investigate the accuracy of any Position Representation, enforce compliance with any Verification Covenant, verify any statements in any Officer’s Certificate delivered to it, or otherwise make calculations, investigations or determinations with respect to Derivative Instruments, Net Shorts, Long Derivative Instruments, Short Derivative Instruments or otherwise and shall have no liability for ceasing to take any action, staying any remedy or otherwise failing to act in accordance with a Noteholder Direction during the pendency of any litigation or a Noteholder Direction after a Verification Officer’s Certificate has been provided to it but prior to receipt of a Covenant Satisfaction Officer’s Certificate. The Trustee shall have no liability to the Issuer, any Holder or any other person in acting in good faith on a Noteholder Direction. The Trustee shall have no obligation to inquire if the Issuer will seek action to determine if a Directing Holder has breached its Position Representation or monitor any court proceedings undertaken in connection therewith or to monitor or investigate whether any Default or Event of Default has been publicly reported. Each Holder, by accepting a Note, will be deemed to acknowledge and agree that the Trustee (and any agent) shall not be liable to any party for acting or refraining to act in accordance with (i) the foregoing provisions, (ii) any Noteholder Direction, (iii) any Officer’s Certificate or Verification Officer’s Certificate described above or (iv) its duties under this Indenture.</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000"/>
          </w:cols>
          <w:pgMar w:left="440" w:top="270" w:right="459" w:bottom="1440" w:gutter="0" w:footer="0" w:header="0"/>
        </w:sectPr>
      </w:pPr>
    </w:p>
    <w:bookmarkStart w:id="99" w:name="page100"/>
    <w:bookmarkEnd w:id="9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6.02 </w:t>
      </w:r>
      <w:r>
        <w:rPr>
          <w:rFonts w:ascii="Times New Roman" w:cs="Times New Roman" w:eastAsia="Times New Roman" w:hAnsi="Times New Roman"/>
          <w:sz w:val="18"/>
          <w:szCs w:val="18"/>
          <w:i w:val="1"/>
          <w:iCs w:val="1"/>
          <w:color w:val="auto"/>
        </w:rPr>
        <w:t>Acceleration.</w:t>
      </w:r>
    </w:p>
    <w:p>
      <w:pPr>
        <w:spacing w:after="0" w:line="227"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In the case of an Event of Default specified in clause (i) or (j) of Section 6.01, with respect to the Issuer, any Restricted Subsidiary of the Issuer that is a Significant Subsidiary or any group of Restricted Subsidiaries of the Issuer that, taken together, would constitute a Significant Subsidiary, the outstanding principal of, and accrued and unpaid interest, if any, on, all outstanding Notes will become due and payable immediately without further action or notice. If any other Event of Default occurs and is continuing, the Trustee at the direction of the Holders of at least 25% in aggregate principal amount of the then outstanding Notes may declare the outstanding principal of, and accrued and unpaid interest, if any, on, all outstanding Notes to be due and payable immediately.</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Upon any such declaration, the Notes shall become due and payable immediately.</w:t>
      </w:r>
    </w:p>
    <w:p>
      <w:pPr>
        <w:spacing w:after="0" w:line="225" w:lineRule="exact"/>
        <w:rPr>
          <w:sz w:val="20"/>
          <w:szCs w:val="20"/>
          <w:color w:val="auto"/>
        </w:rPr>
      </w:pPr>
    </w:p>
    <w:p>
      <w:pPr>
        <w:jc w:val="both"/>
        <w:ind w:right="480" w:firstLine="440"/>
        <w:spacing w:after="0" w:line="266" w:lineRule="auto"/>
        <w:rPr>
          <w:sz w:val="20"/>
          <w:szCs w:val="20"/>
          <w:color w:val="auto"/>
        </w:rPr>
      </w:pPr>
      <w:r>
        <w:rPr>
          <w:rFonts w:ascii="Times New Roman" w:cs="Times New Roman" w:eastAsia="Times New Roman" w:hAnsi="Times New Roman"/>
          <w:sz w:val="18"/>
          <w:szCs w:val="18"/>
          <w:color w:val="auto"/>
        </w:rPr>
        <w:t>The Holders of a majority in aggregate principal amount of the then outstanding Notes by written notice to the Trustee may, on behalf of the Holders of all of the Notes, rescind an acceleration under this Indenture, if the rescission would not conflict with any judgment or decree, except a continuing Default or Event of Default in the payment of principal of, or interest or premium, if any, on, the Notes.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Notwithstanding the foregoing, in the event of a declaration of acceleration of the Notes solely because an Event of Default described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6.01(g) has occurred and is continuing, the declaration of acceleration of the Notes shall be automatically rescinded and annulled if the Event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Default or Payment Default triggering such Event of Default pursuant to Section 6.01(g) shall be remedied or cured by the Issuer or a Restricted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Subsidiary or waived by the holders of the relevant Indebtedness within 30 Business Days after the declaration of acceleration with respect thereto and if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rescission and annulment of the acceleration of the Notes would not conflict with any judgment or decree of a court of competent jurisdiction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obtained by the Trustee for the payment of amounts due on the Notes.</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i w:val="1"/>
          <w:iCs w:val="1"/>
          <w:color w:val="auto"/>
        </w:rPr>
        <w:t>Other Remedies.</w:t>
      </w:r>
    </w:p>
    <w:p>
      <w:pPr>
        <w:spacing w:after="0" w:line="227"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If an Event of Default occurs and is continuing, and is actually known to a Responsible Officer of the Trustee, the Trustee may pursue any available remedy to collect the payment of principal of, premium on, if any, or interest on, the Notes or to enforce the performance of any provision of the Notes or this Indenture.</w:t>
      </w:r>
    </w:p>
    <w:p>
      <w:pPr>
        <w:spacing w:after="0" w:line="176"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The Trustee may maintain a proceeding even if it does not possess any of the Notes or does not produce any of them in the proceeding. A delay or omission by the Trustee or any Holder of a Note in exercising any right or remedy accruing upon an Event of Default shall not impair the right or remedy or constitute a waiver of or acquiescence in the Event of Default. All remedies are cumulative to the extent permitted by law.</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i w:val="1"/>
          <w:iCs w:val="1"/>
          <w:color w:val="auto"/>
        </w:rPr>
        <w:t>Waiver of Past Defaults.</w:t>
      </w:r>
    </w:p>
    <w:p>
      <w:pPr>
        <w:spacing w:after="0" w:line="227"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The Holders of a majority in aggregate principal amount of the then outstanding Notes by written notice to the Trustee may, on behalf of the Holders of all of the Notes waive any existing Default or Event of Default and its consequences hereunder, except a continuing Default or Event of Default in the payment of principal of, premium on, if any, or interest on, the Notes or as otherwise specified in Section 9.02.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000"/>
          </w:cols>
          <w:pgMar w:left="440" w:top="268" w:right="459" w:bottom="1440" w:gutter="0" w:footer="0" w:header="0"/>
        </w:sectPr>
      </w:pPr>
    </w:p>
    <w:bookmarkStart w:id="100" w:name="page101"/>
    <w:bookmarkEnd w:id="100"/>
    <w:p>
      <w:pPr>
        <w:ind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 Default for a failure to report or failure to deliver a required certificate in connection with another default (the “</w:t>
      </w:r>
      <w:r>
        <w:rPr>
          <w:rFonts w:ascii="Times New Roman" w:cs="Times New Roman" w:eastAsia="Times New Roman" w:hAnsi="Times New Roman"/>
          <w:sz w:val="18"/>
          <w:szCs w:val="18"/>
          <w:i w:val="1"/>
          <w:iCs w:val="1"/>
          <w:color w:val="auto"/>
        </w:rPr>
        <w:t>Initial Default</w:t>
      </w:r>
      <w:r>
        <w:rPr>
          <w:rFonts w:ascii="Times New Roman" w:cs="Times New Roman" w:eastAsia="Times New Roman" w:hAnsi="Times New Roman"/>
          <w:sz w:val="18"/>
          <w:szCs w:val="18"/>
          <w:color w:val="auto"/>
        </w:rPr>
        <w:t xml:space="preserve">”) occurs, then at the time such Initial Default is cured, such Default for a failure to report or failure to deliver a required certificate in connection with another default that resulted solely because of that Initial Default will also be cured without any further 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Issuer did not have actual knowledge of such Initial Default. Further, any Default or Event of Default for the failure to comply with the time periods prescribed in Section 4.03 or otherwise to deliver any notice or certificate pursuant to any other provision of this Indenture shall be deemed to be cured upon the delivery of any such report required by such covenant or such notice or certificate, as applicable, even though such delivery is not within the prescribed period specified in this Indenture. Any time period in this Indenture to cure any actual or alleged Default or Event of Default may be extended or stayed by a court of competent jurisdiction.</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i w:val="1"/>
          <w:iCs w:val="1"/>
          <w:color w:val="auto"/>
        </w:rPr>
        <w:t>Control by Majority.</w:t>
      </w:r>
    </w:p>
    <w:p>
      <w:pPr>
        <w:spacing w:after="0" w:line="227"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Holders of a majority in aggregate principal amount of the then outstanding Notes may direct the time, method and place of conducting any proceeding for exercising any remedy available to the Trustee or exercising any trust or power conferred on it. However, the Trustee may refuse to follow any direction that conflicts with law or this Indenture that the Trustee determines may be unduly prejudicial to the rights of other Holders of Notes or that may involve the Trustee in personal liability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Trustee shall have no affirmative duty to determine whether any direction is prejudicial to any other Holder).</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i w:val="1"/>
          <w:iCs w:val="1"/>
          <w:color w:val="auto"/>
        </w:rPr>
        <w:t>Limitation on Suits.</w:t>
      </w:r>
    </w:p>
    <w:p>
      <w:pPr>
        <w:spacing w:after="0" w:line="227"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Except to enforce the right to receive payment of principal, premium, if any, or interest, if any, when due, no Holder of a Note may pursue any remedy with respect to this Indenture or the Notes unless:</w:t>
      </w:r>
    </w:p>
    <w:p>
      <w:pPr>
        <w:spacing w:after="0" w:line="54" w:lineRule="exact"/>
        <w:rPr>
          <w:sz w:val="20"/>
          <w:szCs w:val="20"/>
          <w:color w:val="auto"/>
        </w:rPr>
      </w:pPr>
    </w:p>
    <w:p>
      <w:pPr>
        <w:ind w:left="1240" w:hanging="253"/>
        <w:spacing w:after="0"/>
        <w:tabs>
          <w:tab w:leader="none" w:pos="12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has previously given the Trustee written notice that an Event of Default is continuing;</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at least 25% in aggregate principal amount of the then outstanding Notes make a written request to the Trustee to pursue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remedy;</w:t>
      </w:r>
    </w:p>
    <w:p>
      <w:pPr>
        <w:spacing w:after="0" w:line="207" w:lineRule="exact"/>
        <w:rPr>
          <w:sz w:val="20"/>
          <w:szCs w:val="20"/>
          <w:color w:val="auto"/>
        </w:rPr>
      </w:pPr>
    </w:p>
    <w:p>
      <w:pPr>
        <w:ind w:right="80" w:firstLine="987"/>
        <w:spacing w:after="0" w:line="282" w:lineRule="auto"/>
        <w:tabs>
          <w:tab w:leader="none" w:pos="123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or Holders offer and, if requested, provide to the Trustee security or indemnity satisfactory to the Trustee against any loss, liability or expense;</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comply with such request within 60 days after receipt of the request and the offer of security or indemnity; and</w:t>
      </w:r>
    </w:p>
    <w:p>
      <w:pPr>
        <w:spacing w:after="0" w:line="225" w:lineRule="exact"/>
        <w:rPr>
          <w:rFonts w:ascii="Times New Roman" w:cs="Times New Roman" w:eastAsia="Times New Roman" w:hAnsi="Times New Roman"/>
          <w:sz w:val="18"/>
          <w:szCs w:val="18"/>
          <w:color w:val="auto"/>
        </w:rPr>
      </w:pPr>
    </w:p>
    <w:p>
      <w:pPr>
        <w:ind w:right="60" w:firstLine="987"/>
        <w:spacing w:after="0" w:line="282" w:lineRule="auto"/>
        <w:tabs>
          <w:tab w:leader="none" w:pos="123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such 60-day period, Holders of a majority in aggregate principal amount of the then outstanding Notes do not give the Trustee a written direction inconsistent with such request.</w:t>
      </w:r>
    </w:p>
    <w:p>
      <w:pPr>
        <w:spacing w:after="0" w:line="162" w:lineRule="exact"/>
        <w:rPr>
          <w:sz w:val="20"/>
          <w:szCs w:val="20"/>
          <w:color w:val="auto"/>
        </w:rPr>
      </w:pPr>
    </w:p>
    <w:p>
      <w:pPr>
        <w:jc w:val="both"/>
        <w:ind w:right="40" w:firstLine="440"/>
        <w:spacing w:after="0" w:line="282" w:lineRule="auto"/>
        <w:rPr>
          <w:sz w:val="20"/>
          <w:szCs w:val="20"/>
          <w:color w:val="auto"/>
        </w:rPr>
      </w:pPr>
      <w:r>
        <w:rPr>
          <w:rFonts w:ascii="Times New Roman" w:cs="Times New Roman" w:eastAsia="Times New Roman" w:hAnsi="Times New Roman"/>
          <w:sz w:val="18"/>
          <w:szCs w:val="18"/>
          <w:color w:val="auto"/>
        </w:rPr>
        <w:t>A Holder of a Note may not use this Indenture to prejudice the rights of another Holder of a Note or to obtain a preference or priority over another Holder of a Note.</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i w:val="1"/>
          <w:iCs w:val="1"/>
          <w:color w:val="auto"/>
        </w:rPr>
        <w:t>Rights of Holders of Notes to Receive Payment.</w:t>
      </w:r>
    </w:p>
    <w:p>
      <w:pPr>
        <w:spacing w:after="0" w:line="227"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of this Indenture, the right of any Holder of a Note to receive payment of principal of, premium on, if any, or interest on, the Note, on or after the respective due dates expressed in the Note, or to bring suit for the enforcement of any such payment on or after such respective dates, shall not be amended or modified in a manner adverse to such Holder without the consent of such Holder.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000"/>
          </w:cols>
          <w:pgMar w:left="440" w:top="268" w:right="459" w:bottom="1440" w:gutter="0" w:footer="0" w:header="0"/>
        </w:sectPr>
      </w:pPr>
    </w:p>
    <w:bookmarkStart w:id="101" w:name="page102"/>
    <w:bookmarkEnd w:id="10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6.08 </w:t>
      </w:r>
      <w:r>
        <w:rPr>
          <w:rFonts w:ascii="Times New Roman" w:cs="Times New Roman" w:eastAsia="Times New Roman" w:hAnsi="Times New Roman"/>
          <w:sz w:val="18"/>
          <w:szCs w:val="18"/>
          <w:i w:val="1"/>
          <w:iCs w:val="1"/>
          <w:color w:val="auto"/>
        </w:rPr>
        <w:t>Collection Suit by Trustee.</w:t>
      </w:r>
    </w:p>
    <w:p>
      <w:pPr>
        <w:spacing w:after="0" w:line="22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If an Event of Default specified in Section 6.01(a) or (b) occurs and is continuing, the Trustee is authorized to recover judgment in its own name and as trustee of an express trust against the Issuer for the whole amount of principal of, premium on, if any, and interest remaining unpaid on, the Notes and interest on overdue principal and, to the extent lawful, interest and such further amount as shall be sufficient to cover the costs and expenses of collection, including the reasonable compensation, expenses, disbursements and advances of the Trustee, its agents and counsel.</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i w:val="1"/>
          <w:iCs w:val="1"/>
          <w:color w:val="auto"/>
        </w:rPr>
        <w:t>Trustee May File Proofs of Claim.</w:t>
      </w:r>
    </w:p>
    <w:p>
      <w:pPr>
        <w:spacing w:after="0" w:line="227"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The Trustee is authorized to file such proofs of claim and other papers or documents as may be necessary or advisable in order to have the claims of the Trustee (including any claim for the reasonable compensation, expenses, disbursements and advances of the Trustee, its agents and counsel) and the Holders of the Notes allowed in any judicial proceedings relative to the Issuer (or any other obligor upon the Notes), its creditors or its property and shall be entitled and empowered to collect, receive and distribute any money or other property payable or deliverable on any such claims and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the Trustee under Section 7.07. To the extent that the payment of any such compensation, expenses, disbursements and advances of the Trustee, its agents and counsel, and any other amounts due the Trustee under Section 7.07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composition affecting the Notes or the rights of any Holder, or to authorize the Trustee to vote in respect of the claim of any Holder in any such proceeding.</w:t>
      </w:r>
    </w:p>
    <w:p>
      <w:pPr>
        <w:spacing w:after="0" w:line="1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i w:val="1"/>
          <w:iCs w:val="1"/>
          <w:color w:val="auto"/>
        </w:rPr>
        <w:t>Priorities.</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the Trustee collects any money pursuant to this Article 6, it shall pay out the money in the following order:</w:t>
      </w:r>
    </w:p>
    <w:p>
      <w:pPr>
        <w:spacing w:after="0" w:line="115" w:lineRule="exact"/>
        <w:rPr>
          <w:sz w:val="20"/>
          <w:szCs w:val="20"/>
          <w:color w:val="auto"/>
        </w:rPr>
      </w:pPr>
    </w:p>
    <w:p>
      <w:pPr>
        <w:ind w:left="440" w:right="260" w:firstLine="423"/>
        <w:spacing w:after="0" w:line="284" w:lineRule="auto"/>
        <w:rPr>
          <w:sz w:val="20"/>
          <w:szCs w:val="20"/>
          <w:color w:val="auto"/>
        </w:rPr>
      </w:pP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to the Trustee, its agents and attorneys for amounts due under this Indenture, including payment of all compensation, expenses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incurred, and all advances made, by the Trustee and the costs and expenses of collection;</w:t>
      </w:r>
    </w:p>
    <w:p>
      <w:pPr>
        <w:spacing w:after="0" w:line="50" w:lineRule="exact"/>
        <w:rPr>
          <w:sz w:val="20"/>
          <w:szCs w:val="20"/>
          <w:color w:val="auto"/>
        </w:rPr>
      </w:pPr>
    </w:p>
    <w:p>
      <w:pPr>
        <w:ind w:left="440" w:firstLine="423"/>
        <w:spacing w:after="0" w:line="267" w:lineRule="auto"/>
        <w:rPr>
          <w:sz w:val="20"/>
          <w:szCs w:val="20"/>
          <w:color w:val="auto"/>
        </w:rPr>
      </w:pP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to Holders of the Notes for amounts due and unpaid on the Notes for principal, interest and premium, if any, ratably, without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preference or priority of any kind, according to the amounts due and payable on the Notes for principal, interest and premium, if any, respectively; and</w:t>
      </w:r>
    </w:p>
    <w:p>
      <w:pPr>
        <w:spacing w:after="0" w:line="6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to the Issuer or to such party as a court of competent jurisdiction shall direct.</w:t>
      </w:r>
    </w:p>
    <w:p>
      <w:pPr>
        <w:spacing w:after="0" w:line="160"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0980"/>
          </w:cols>
          <w:pgMar w:left="440" w:top="268" w:right="479" w:bottom="1440" w:gutter="0" w:footer="0" w:header="0"/>
        </w:sectPr>
      </w:pPr>
    </w:p>
    <w:bookmarkStart w:id="102" w:name="page103"/>
    <w:bookmarkEnd w:id="10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Trustee may fix a record date and payment date for any payment to Holders of the Notes pursuant to this Section 6.10.</w:t>
      </w:r>
    </w:p>
    <w:p>
      <w:pPr>
        <w:spacing w:after="0" w:line="2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i w:val="1"/>
          <w:iCs w:val="1"/>
          <w:color w:val="auto"/>
        </w:rPr>
        <w:t>Undertaking for Costs.</w:t>
      </w:r>
    </w:p>
    <w:p>
      <w:pPr>
        <w:spacing w:after="0" w:line="227"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against any party litigant in the suit, having due regard to the merits and good faith of the claims or defenses made by the party litigant. This Section 6.11 does not apply to a suit by the Trustee, a suit by a Holder of a Note pursuant to Section 6.07, or a suit by Holders of more than 10% in aggregate principal amount of the then outstanding Notes.</w:t>
      </w:r>
    </w:p>
    <w:p>
      <w:pPr>
        <w:spacing w:after="0" w:line="39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ARTICLE 7</w:t>
      </w:r>
    </w:p>
    <w:p>
      <w:pPr>
        <w:spacing w:after="0" w:line="2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TRUSTEE</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i w:val="1"/>
          <w:iCs w:val="1"/>
          <w:color w:val="auto"/>
        </w:rPr>
        <w:t>Duties of Trustee.</w:t>
      </w:r>
    </w:p>
    <w:p>
      <w:pPr>
        <w:spacing w:after="0" w:line="227" w:lineRule="exact"/>
        <w:rPr>
          <w:sz w:val="20"/>
          <w:szCs w:val="20"/>
          <w:color w:val="auto"/>
        </w:rPr>
      </w:pPr>
    </w:p>
    <w:p>
      <w:pPr>
        <w:jc w:val="both"/>
        <w:ind w:right="280" w:firstLine="987"/>
        <w:spacing w:after="0" w:line="266" w:lineRule="auto"/>
        <w:tabs>
          <w:tab w:leader="none" w:pos="1236"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has occurred and is continuing and is actually known to a Responsible Officer of the Trustee, the Trustee will exercise such of the rights and powers vested in it by this Indenture, and use the same degree of care and skill in its exercise, as a prudent man would exercise or use under the circumstances in the conduct of his own affairs under the same circumstances.</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during the continuance of an Event of Default:</w:t>
      </w:r>
    </w:p>
    <w:p>
      <w:pPr>
        <w:spacing w:after="0" w:line="117" w:lineRule="exact"/>
        <w:rPr>
          <w:rFonts w:ascii="Times New Roman" w:cs="Times New Roman" w:eastAsia="Times New Roman" w:hAnsi="Times New Roman"/>
          <w:sz w:val="18"/>
          <w:szCs w:val="18"/>
          <w:color w:val="auto"/>
        </w:rPr>
      </w:pPr>
    </w:p>
    <w:p>
      <w:pPr>
        <w:ind w:left="440" w:right="240" w:firstLine="419"/>
        <w:spacing w:after="0" w:line="266" w:lineRule="auto"/>
        <w:tabs>
          <w:tab w:leader="none" w:pos="1118"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duties of the Trustee will be determined solely by the express provisions of this Indenture and the Trustee need perform only those duties that are specifically set forth in this Indenture and no others, and no implied covenants or obligations shall be read into this Indenture against the Trustee; and</w:t>
      </w:r>
    </w:p>
    <w:p>
      <w:pPr>
        <w:spacing w:after="0" w:line="67" w:lineRule="exact"/>
        <w:rPr>
          <w:rFonts w:ascii="Times New Roman" w:cs="Times New Roman" w:eastAsia="Times New Roman" w:hAnsi="Times New Roman"/>
          <w:sz w:val="18"/>
          <w:szCs w:val="18"/>
          <w:color w:val="auto"/>
        </w:rPr>
      </w:pPr>
    </w:p>
    <w:p>
      <w:pPr>
        <w:ind w:left="440" w:right="100" w:firstLine="419"/>
        <w:spacing w:after="0" w:line="266" w:lineRule="auto"/>
        <w:tabs>
          <w:tab w:leader="none" w:pos="1118"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However, the Trustee will examine the certificates and opinions to determine whether or not they conform to the requirements of this Indenture.</w:t>
      </w:r>
    </w:p>
    <w:p>
      <w:pPr>
        <w:spacing w:after="0" w:line="175" w:lineRule="exact"/>
        <w:rPr>
          <w:rFonts w:ascii="Times New Roman" w:cs="Times New Roman" w:eastAsia="Times New Roman" w:hAnsi="Times New Roman"/>
          <w:sz w:val="18"/>
          <w:szCs w:val="18"/>
          <w:color w:val="auto"/>
        </w:rPr>
      </w:pPr>
    </w:p>
    <w:p>
      <w:pPr>
        <w:ind w:right="80" w:firstLine="987"/>
        <w:spacing w:after="0" w:line="282" w:lineRule="auto"/>
        <w:tabs>
          <w:tab w:leader="none" w:pos="1236"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not be relieved from liabilities for its own grossly negligent action, its own grossly negligent failure to act, or its own willful misconduct, except that:</w:t>
      </w:r>
    </w:p>
    <w:p>
      <w:pPr>
        <w:spacing w:after="0" w:line="54" w:lineRule="exact"/>
        <w:rPr>
          <w:sz w:val="20"/>
          <w:szCs w:val="20"/>
          <w:color w:val="auto"/>
        </w:rPr>
      </w:pPr>
    </w:p>
    <w:p>
      <w:pPr>
        <w:ind w:left="1120" w:hanging="261"/>
        <w:spacing w:after="0"/>
        <w:tabs>
          <w:tab w:leader="none" w:pos="112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paragraph does not limit the effect of paragraph (b) of this Section 7.01;</w:t>
      </w:r>
    </w:p>
    <w:p>
      <w:pPr>
        <w:spacing w:after="0" w:line="117" w:lineRule="exact"/>
        <w:rPr>
          <w:rFonts w:ascii="Times New Roman" w:cs="Times New Roman" w:eastAsia="Times New Roman" w:hAnsi="Times New Roman"/>
          <w:sz w:val="18"/>
          <w:szCs w:val="18"/>
          <w:color w:val="auto"/>
        </w:rPr>
      </w:pPr>
    </w:p>
    <w:p>
      <w:pPr>
        <w:ind w:left="440" w:right="180" w:firstLine="419"/>
        <w:spacing w:after="0" w:line="282" w:lineRule="auto"/>
        <w:tabs>
          <w:tab w:leader="none" w:pos="1118"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not be liable for any error of judgment made in good faith by a Responsible Officer, unless it is proved that the Trustee was grossly negligent in ascertaining the pertinent facts; and</w:t>
      </w:r>
    </w:p>
    <w:p>
      <w:pPr>
        <w:spacing w:after="0" w:line="53" w:lineRule="exact"/>
        <w:rPr>
          <w:rFonts w:ascii="Times New Roman" w:cs="Times New Roman" w:eastAsia="Times New Roman" w:hAnsi="Times New Roman"/>
          <w:sz w:val="18"/>
          <w:szCs w:val="18"/>
          <w:color w:val="auto"/>
        </w:rPr>
      </w:pPr>
    </w:p>
    <w:p>
      <w:pPr>
        <w:ind w:left="440" w:firstLine="419"/>
        <w:spacing w:after="0" w:line="282" w:lineRule="auto"/>
        <w:tabs>
          <w:tab w:leader="none" w:pos="1118"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not be liable with respect to any action it takes or omits to take in good faith in accordance with a direction received by it pursuant to Section 6.05.</w:t>
      </w:r>
    </w:p>
    <w:p>
      <w:pPr>
        <w:spacing w:after="0" w:line="161" w:lineRule="exact"/>
        <w:rPr>
          <w:rFonts w:ascii="Times New Roman" w:cs="Times New Roman" w:eastAsia="Times New Roman" w:hAnsi="Times New Roman"/>
          <w:sz w:val="18"/>
          <w:szCs w:val="18"/>
          <w:color w:val="auto"/>
        </w:rPr>
      </w:pPr>
    </w:p>
    <w:p>
      <w:pPr>
        <w:ind w:right="160" w:firstLine="987"/>
        <w:spacing w:after="0" w:line="282" w:lineRule="auto"/>
        <w:tabs>
          <w:tab w:leader="none" w:pos="1246"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therein expressly so provided, every provision of this Indenture that in any way relates to the Trustee is subject to this Section 7.01 and Section 7.02.</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000"/>
          </w:cols>
          <w:pgMar w:left="440" w:top="270" w:right="459" w:bottom="1440" w:gutter="0" w:footer="0" w:header="0"/>
        </w:sectPr>
      </w:pPr>
    </w:p>
    <w:bookmarkStart w:id="103" w:name="page104"/>
    <w:bookmarkEnd w:id="103"/>
    <w:p>
      <w:pPr>
        <w:ind w:right="140" w:firstLine="987"/>
        <w:spacing w:after="0" w:line="266" w:lineRule="auto"/>
        <w:tabs>
          <w:tab w:leader="none" w:pos="1236"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provision of this Indenture will require the Trustee to expend or risk its own funds or incur any liability. The Trustee will be under no obligation to exercise any of the rights or powers under this Indenture at the request or direction of any Holders of the Notes unless such Holders have offered, and if requested, provided to the Trustee indemnity or security satisfactory to the Trustee against any loss, liability or expense.</w:t>
      </w:r>
    </w:p>
    <w:p>
      <w:pPr>
        <w:spacing w:after="0" w:line="175" w:lineRule="exact"/>
        <w:rPr>
          <w:rFonts w:ascii="Times New Roman" w:cs="Times New Roman" w:eastAsia="Times New Roman" w:hAnsi="Times New Roman"/>
          <w:sz w:val="18"/>
          <w:szCs w:val="18"/>
          <w:color w:val="auto"/>
        </w:rPr>
      </w:pPr>
    </w:p>
    <w:p>
      <w:pPr>
        <w:ind w:right="520" w:firstLine="987"/>
        <w:spacing w:after="0" w:line="282" w:lineRule="auto"/>
        <w:tabs>
          <w:tab w:leader="none" w:pos="1216"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not be liable for interest on any money received by it except as the Trustee may agree in writing with the Issuer. Money held in trust by the Trustee need not be segregated from other funds except to the extent required by law.</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i w:val="1"/>
          <w:iCs w:val="1"/>
          <w:color w:val="auto"/>
        </w:rPr>
        <w:t>Rights of Trustee.</w:t>
      </w:r>
    </w:p>
    <w:p>
      <w:pPr>
        <w:spacing w:after="0" w:line="227" w:lineRule="exact"/>
        <w:rPr>
          <w:sz w:val="20"/>
          <w:szCs w:val="20"/>
          <w:color w:val="auto"/>
        </w:rPr>
      </w:pPr>
    </w:p>
    <w:p>
      <w:pPr>
        <w:ind w:right="20" w:firstLine="987"/>
        <w:spacing w:after="0" w:line="266" w:lineRule="auto"/>
        <w:tabs>
          <w:tab w:leader="none" w:pos="1236"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conclusively rely upon any resolution, certificate, statement, instrument, opinion, report, notice, request, direction, consent, order, bond, debenture, note, other evidence of indebtedness or other paper or document believed by it to be genuine and to have been signed or presented by the proper Person. The Trustee need not investigate any fact or matter stated in the document.</w:t>
      </w:r>
    </w:p>
    <w:p>
      <w:pPr>
        <w:spacing w:after="0" w:line="175" w:lineRule="exact"/>
        <w:rPr>
          <w:rFonts w:ascii="Times New Roman" w:cs="Times New Roman" w:eastAsia="Times New Roman" w:hAnsi="Times New Roman"/>
          <w:sz w:val="18"/>
          <w:szCs w:val="18"/>
          <w:color w:val="auto"/>
        </w:rPr>
      </w:pPr>
    </w:p>
    <w:p>
      <w:pPr>
        <w:jc w:val="both"/>
        <w:ind w:right="200" w:firstLine="987"/>
        <w:spacing w:after="0" w:line="261" w:lineRule="auto"/>
        <w:tabs>
          <w:tab w:leader="none" w:pos="1246"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Trustee acts or refrains from acting, it may require an Officer’s Certificate or an Opinion of Counsel or both. The Trustee will not be liable for any action it takes or omits to take in good faith in reliance on such Officer’s Certificate or Opinion of Counsel. The Trustee may consult with counsel and the advice of such counsel or any Opinion of Counsel will be full and complete authorization and protection from liability in respect of any action taken, suffered or omitted by it hereunder in good faith and in reliance thereon.</w:t>
      </w:r>
    </w:p>
    <w:p>
      <w:pPr>
        <w:spacing w:after="0" w:line="179" w:lineRule="exact"/>
        <w:rPr>
          <w:rFonts w:ascii="Times New Roman" w:cs="Times New Roman" w:eastAsia="Times New Roman" w:hAnsi="Times New Roman"/>
          <w:sz w:val="18"/>
          <w:szCs w:val="18"/>
          <w:color w:val="auto"/>
        </w:rPr>
      </w:pPr>
    </w:p>
    <w:p>
      <w:pPr>
        <w:ind w:right="640" w:firstLine="987"/>
        <w:spacing w:after="0" w:line="282" w:lineRule="auto"/>
        <w:tabs>
          <w:tab w:leader="none" w:pos="1236"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act through its attorneys and agents and will not be responsible for the misconduct or negligence of any agent appointed with due care.</w:t>
      </w:r>
    </w:p>
    <w:p>
      <w:pPr>
        <w:spacing w:after="0" w:line="161" w:lineRule="exact"/>
        <w:rPr>
          <w:rFonts w:ascii="Times New Roman" w:cs="Times New Roman" w:eastAsia="Times New Roman" w:hAnsi="Times New Roman"/>
          <w:sz w:val="18"/>
          <w:szCs w:val="18"/>
          <w:color w:val="auto"/>
        </w:rPr>
      </w:pPr>
    </w:p>
    <w:p>
      <w:pPr>
        <w:ind w:firstLine="987"/>
        <w:spacing w:after="0" w:line="282" w:lineRule="auto"/>
        <w:tabs>
          <w:tab w:leader="none" w:pos="1246"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not be liable for any action it takes or omits to take in good faith that it believes to be authorized or within the rights or powers conferred upon it by this Indenture.</w:t>
      </w:r>
    </w:p>
    <w:p>
      <w:pPr>
        <w:spacing w:after="0" w:line="161" w:lineRule="exact"/>
        <w:rPr>
          <w:rFonts w:ascii="Times New Roman" w:cs="Times New Roman" w:eastAsia="Times New Roman" w:hAnsi="Times New Roman"/>
          <w:sz w:val="18"/>
          <w:szCs w:val="18"/>
          <w:color w:val="auto"/>
        </w:rPr>
      </w:pPr>
    </w:p>
    <w:p>
      <w:pPr>
        <w:ind w:right="220" w:firstLine="987"/>
        <w:spacing w:after="0" w:line="282" w:lineRule="auto"/>
        <w:tabs>
          <w:tab w:leader="none" w:pos="1236"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specifically provided in this Indenture, any demand, request, direction or notice from the Issuer will be sufficient if signed by an Officer of the Issuer.</w:t>
      </w:r>
    </w:p>
    <w:p>
      <w:pPr>
        <w:spacing w:after="0" w:line="161" w:lineRule="exact"/>
        <w:rPr>
          <w:rFonts w:ascii="Times New Roman" w:cs="Times New Roman" w:eastAsia="Times New Roman" w:hAnsi="Times New Roman"/>
          <w:sz w:val="18"/>
          <w:szCs w:val="18"/>
          <w:color w:val="auto"/>
        </w:rPr>
      </w:pPr>
    </w:p>
    <w:p>
      <w:pPr>
        <w:ind w:right="120" w:firstLine="987"/>
        <w:spacing w:after="0" w:line="258" w:lineRule="auto"/>
        <w:tabs>
          <w:tab w:leader="none" w:pos="1216"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be under no obligation to exercise any of the rights or powers vested in it by this Indenture at the request or direction of any of the Holders unless such Holders have offered to the Trustee indemnity or security satisfactory to it against the losses, liabilities and expenses that might be incurred by it in compliance with such request or direction. In no event shall the Trustee be liable to any Person for special, punitive, indirect, incidental, consequential or incidental loss or damage of any kind whatsoever (including, but not limited to, lost profits) for any action it takes or omits to take, even if the Trustee has been advised of the likelihood of such loss or damage.</w:t>
      </w:r>
    </w:p>
    <w:p>
      <w:pPr>
        <w:spacing w:after="0" w:line="183" w:lineRule="exact"/>
        <w:rPr>
          <w:rFonts w:ascii="Times New Roman" w:cs="Times New Roman" w:eastAsia="Times New Roman" w:hAnsi="Times New Roman"/>
          <w:sz w:val="18"/>
          <w:szCs w:val="18"/>
          <w:color w:val="auto"/>
        </w:rPr>
      </w:pPr>
    </w:p>
    <w:p>
      <w:pPr>
        <w:ind w:right="380" w:firstLine="987"/>
        <w:spacing w:after="0" w:line="282" w:lineRule="auto"/>
        <w:tabs>
          <w:tab w:leader="none" w:pos="1246"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deemed to have notice of a Default or an Event of Default unless a Responsible Officer of the Trustee has actual knowledge of such Default or Event of Default.</w:t>
      </w:r>
    </w:p>
    <w:p>
      <w:pPr>
        <w:spacing w:after="0" w:line="161" w:lineRule="exact"/>
        <w:rPr>
          <w:rFonts w:ascii="Times New Roman" w:cs="Times New Roman" w:eastAsia="Times New Roman" w:hAnsi="Times New Roman"/>
          <w:sz w:val="18"/>
          <w:szCs w:val="18"/>
          <w:color w:val="auto"/>
        </w:rPr>
      </w:pPr>
    </w:p>
    <w:p>
      <w:pPr>
        <w:ind w:firstLine="987"/>
        <w:spacing w:after="0" w:line="261" w:lineRule="auto"/>
        <w:tabs>
          <w:tab w:leader="none" w:pos="1246"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7.01(b)(2), the Trustee shall not be bound to make any investigation into the facts or matters stated in any resolution, certificate, statement, instrument, opinion, report, notice, request, direction, consent, order, judgment, bond, debenture, note, other evidence of indebtedness or other paper or document, but the Trustee, in its discretion, may make such further inquiry or investigation into such facts or matters as it may see fit.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000"/>
          </w:cols>
          <w:pgMar w:left="440" w:top="270" w:right="459" w:bottom="1440" w:gutter="0" w:footer="0" w:header="0"/>
        </w:sectPr>
      </w:pPr>
    </w:p>
    <w:bookmarkStart w:id="104" w:name="page105"/>
    <w:bookmarkEnd w:id="104"/>
    <w:p>
      <w:pPr>
        <w:ind w:right="140" w:firstLine="987"/>
        <w:spacing w:after="0" w:line="266" w:lineRule="auto"/>
        <w:tabs>
          <w:tab w:leader="none" w:pos="1206"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rights, privileges, protections, immunities and benefits given to the Trustee, including, without limitation, its right to be indemnified, are extended to, and shall be enforceable by, the Trustee in each of its capacities hereunder, and to each agent, custodian and other Person employed to act hereunder.</w:t>
      </w:r>
    </w:p>
    <w:p>
      <w:pPr>
        <w:spacing w:after="0" w:line="175"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permissive rights of the Trustee enumerated herein shall not be construed as duties.</w:t>
      </w:r>
    </w:p>
    <w:p>
      <w:pPr>
        <w:spacing w:after="0" w:line="225" w:lineRule="exact"/>
        <w:rPr>
          <w:rFonts w:ascii="Times New Roman" w:cs="Times New Roman" w:eastAsia="Times New Roman" w:hAnsi="Times New Roman"/>
          <w:sz w:val="18"/>
          <w:szCs w:val="18"/>
          <w:color w:val="auto"/>
        </w:rPr>
      </w:pPr>
    </w:p>
    <w:p>
      <w:pPr>
        <w:ind w:right="20" w:firstLine="987"/>
        <w:spacing w:after="0" w:line="261" w:lineRule="auto"/>
        <w:tabs>
          <w:tab w:leader="none" w:pos="1246"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recitals contained herein and in the Notes, except for the Trustee’s certificates of authentication, shall be taken as the statements of the Issuer and the Guarantors, as applicable, and shall not be taken as the statements of the Trustee, and the Trustee assumes no responsibility for their correctness. The Trustee makes no representations as to the validity or sufficiency of this Indenture or of the Notes, except that the Trustee represents that it is duly authorized to execute and deliver this Indenture, authenticate the Notes and perform its obligations hereunder.</w:t>
      </w:r>
    </w:p>
    <w:p>
      <w:pPr>
        <w:spacing w:after="0" w:line="179" w:lineRule="exact"/>
        <w:rPr>
          <w:rFonts w:ascii="Times New Roman" w:cs="Times New Roman" w:eastAsia="Times New Roman" w:hAnsi="Times New Roman"/>
          <w:sz w:val="18"/>
          <w:szCs w:val="18"/>
          <w:color w:val="auto"/>
        </w:rPr>
      </w:pPr>
    </w:p>
    <w:p>
      <w:pPr>
        <w:ind w:right="160" w:firstLine="987"/>
        <w:spacing w:after="0" w:line="282" w:lineRule="auto"/>
        <w:tabs>
          <w:tab w:leader="none" w:pos="1206"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have no duty to ascertain or inquire as to the performance or observance of any of the terms of this Indenture or any other documents or agreements entered into in connection with the transactions contemplated hereby by the Issuer or any other party hereto.</w:t>
      </w:r>
    </w:p>
    <w:p>
      <w:pPr>
        <w:spacing w:after="0" w:line="161" w:lineRule="exact"/>
        <w:rPr>
          <w:rFonts w:ascii="Times New Roman" w:cs="Times New Roman" w:eastAsia="Times New Roman" w:hAnsi="Times New Roman"/>
          <w:sz w:val="18"/>
          <w:szCs w:val="18"/>
          <w:color w:val="auto"/>
        </w:rPr>
      </w:pPr>
    </w:p>
    <w:p>
      <w:pPr>
        <w:ind w:right="40" w:firstLine="987"/>
        <w:spacing w:after="0" w:line="277" w:lineRule="auto"/>
        <w:tabs>
          <w:tab w:leader="none" w:pos="1296" w:val="left"/>
        </w:tabs>
        <w:numPr>
          <w:ilvl w:val="0"/>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shall not be responsible or liable for any failure or delay in the performance of its obligations under this Indenture arising out of or caused, directly or indirectly, by circumstances beyond its control, including without limitation, any act or provision of any present or future law or regulation or governmental authority; acts of God; earthquakes; fires; floods; wars; terrorism; civil or military disturbances; sabotage; epidemics; riots; interruptions, loss or malfunctions of utilities, computer (hardware or software) or communications service; accidents; labor disputes; acts of civil or military authority or governmental actions; or the unavailability of the Federal Reserve Bank wire or telex or other wire or communication facility.</w:t>
      </w:r>
    </w:p>
    <w:p>
      <w:pPr>
        <w:spacing w:after="0" w:line="1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i w:val="1"/>
          <w:iCs w:val="1"/>
          <w:color w:val="auto"/>
        </w:rPr>
        <w:t>Individual Rights of Trustee.</w:t>
      </w:r>
    </w:p>
    <w:p>
      <w:pPr>
        <w:spacing w:after="0" w:line="227"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The Trustee in its individual or any other capacity may become the owner or pledgee of Notes and may otherwise deal with the Issuer or any Affiliate of the Issuer with the same rights it would have if it were not Trustee. However, in the event that the Trustee acquires any conflicting interest (as defined in the TIA) after a Default has occurred and is continuing it must eliminate such conflict within 90 days or resign. Any Agent may do the same with like rights and duties. The Trustee is also subject to Section 7.10.</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i w:val="1"/>
          <w:iCs w:val="1"/>
          <w:color w:val="auto"/>
        </w:rPr>
        <w:t>Trustee’s Disclaimer.</w:t>
      </w:r>
    </w:p>
    <w:p>
      <w:pPr>
        <w:spacing w:after="0" w:line="22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Trustee will not be responsible for and makes no representation as to the validity or adequacy of this Indenture or the Notes, it shall not be accountable for the Issuer’s use of the proceeds from the Notes or any money paid to the Issuer or upon the Issuer’s direction under any provision of this Indenture, it will not be responsible for the use or application of any money received by any Paying Agent other than the Trustee, and it will not be responsible for any statement or recital herein or any statement in the Notes or any other document in connection with the sale of the Notes or pursuant to this Indenture other than its certificate of authentication.</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0980"/>
          </w:cols>
          <w:pgMar w:left="440" w:top="270" w:right="479" w:bottom="1440" w:gutter="0" w:footer="0" w:header="0"/>
        </w:sectPr>
      </w:pPr>
    </w:p>
    <w:bookmarkStart w:id="105" w:name="page106"/>
    <w:bookmarkEnd w:id="10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7.05 </w:t>
      </w:r>
      <w:r>
        <w:rPr>
          <w:rFonts w:ascii="Times New Roman" w:cs="Times New Roman" w:eastAsia="Times New Roman" w:hAnsi="Times New Roman"/>
          <w:sz w:val="18"/>
          <w:szCs w:val="18"/>
          <w:i w:val="1"/>
          <w:iCs w:val="1"/>
          <w:color w:val="auto"/>
        </w:rPr>
        <w:t>Notice of Defaults.</w:t>
      </w:r>
    </w:p>
    <w:p>
      <w:pPr>
        <w:spacing w:after="0" w:line="227"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If a Default or Event of Default occurs and is continuing and if it is actually known to a Responsible Officer of the Trustee, the Trustee will send to Holders of the Notes a notice of the Default or Event of Default within 90 days after the Trustee gains knowledge of any such Default or Event of Default unless such Default or Event of Default shall have been cured or waived before the giving of such notice. Except in the case of a Default or Event of Default in payment of principal of, premium on, if any, or interest on, any Note, the Trustee may withhold the notice if and so long as a committee of its Responsible Officers in good faith determines that withholding the notice is in the interests of the Holders of the Notes.</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7.06 </w:t>
      </w:r>
      <w:r>
        <w:rPr>
          <w:rFonts w:ascii="Times New Roman" w:cs="Times New Roman" w:eastAsia="Times New Roman" w:hAnsi="Times New Roman"/>
          <w:sz w:val="18"/>
          <w:szCs w:val="18"/>
          <w:i w:val="1"/>
          <w:iCs w:val="1"/>
          <w:color w:val="auto"/>
        </w:rPr>
        <w:t>[Reserved].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7.07 </w:t>
      </w:r>
      <w:r>
        <w:rPr>
          <w:rFonts w:ascii="Times New Roman" w:cs="Times New Roman" w:eastAsia="Times New Roman" w:hAnsi="Times New Roman"/>
          <w:sz w:val="18"/>
          <w:szCs w:val="18"/>
          <w:i w:val="1"/>
          <w:iCs w:val="1"/>
          <w:color w:val="auto"/>
        </w:rPr>
        <w:t>Compensation and Indemnity.</w:t>
      </w:r>
    </w:p>
    <w:p>
      <w:pPr>
        <w:spacing w:after="0" w:line="227" w:lineRule="exact"/>
        <w:rPr>
          <w:sz w:val="20"/>
          <w:szCs w:val="20"/>
          <w:color w:val="auto"/>
        </w:rPr>
      </w:pPr>
    </w:p>
    <w:p>
      <w:pPr>
        <w:ind w:right="60" w:firstLine="987"/>
        <w:spacing w:after="0" w:line="256" w:lineRule="auto"/>
        <w:tabs>
          <w:tab w:leader="none" w:pos="123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will pay to the Trustee (in its capacity as Trustee, and, to the extent it has been appointed as such, as Paying Agent and Registrar) from time to time reasonable compensation for its acceptance of this Indenture and services hereunder in accordance with a written schedule provided to the Issuer by the Trustee. The Trustee’s compensation will not be limited by any law on compensation of a trustee of an express trust. The Issuer will reimburse the Trustee promptly upon request for all reasonable disbursements, advances and expenses incurred or made by it in addition to the compensation for its services. Such expenses will include the reasonable compensation, disbursements and expenses of the Trustee’s agents and counsel.</w:t>
      </w:r>
    </w:p>
    <w:p>
      <w:pPr>
        <w:spacing w:after="0" w:line="187" w:lineRule="exact"/>
        <w:rPr>
          <w:rFonts w:ascii="Times New Roman" w:cs="Times New Roman" w:eastAsia="Times New Roman" w:hAnsi="Times New Roman"/>
          <w:sz w:val="18"/>
          <w:szCs w:val="18"/>
          <w:color w:val="auto"/>
        </w:rPr>
      </w:pPr>
    </w:p>
    <w:p>
      <w:pPr>
        <w:ind w:firstLine="987"/>
        <w:spacing w:after="0" w:line="271" w:lineRule="auto"/>
        <w:tabs>
          <w:tab w:leader="none" w:pos="1246"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Issuer and the Guarantors will, jointly and severally, indemnify and hold harmless the Trustee against any and all losses, liabilities or expenses incurred by it arising out of or in connection with the acceptance or administration of its duties under this Indenture, including the costs and expenses (including attorneys’ fees) of enforcing this Indenture against the Issuer and the Guarantors (including this Section 7.07) and defending itself against any claim (whether asserted by the Issuer, the Guarantors, any Holder or any other Person) or liability in connection with the exercise or performance of any of its powers or duties hereunder, except to the extent any such loss, liability or expense may be attributable to its gross negligence or willful misconduct. The Trustee will notify the Issuer promptly of any third party claim for which it may seek indemnity. Failure by the Trustee to so notify the Issuer will not relieve the Issuer or any of the Guarantors of their obligations hereunder. The Issuer or such Guarantor will defend the claim and the Trustee will cooperate in the defense. The Trustee may have separate counsel and the Issuer will pay the reasonable fees and expenses of such counsel. Neither the Issuer nor any Guarantor need pay for any settlement made without its consent, which consent will not be unreasonably withheld.</w:t>
      </w:r>
    </w:p>
    <w:p>
      <w:pPr>
        <w:spacing w:after="0" w:line="173" w:lineRule="exact"/>
        <w:rPr>
          <w:rFonts w:ascii="Times New Roman" w:cs="Times New Roman" w:eastAsia="Times New Roman" w:hAnsi="Times New Roman"/>
          <w:sz w:val="17"/>
          <w:szCs w:val="17"/>
          <w:color w:val="auto"/>
        </w:rPr>
      </w:pPr>
    </w:p>
    <w:p>
      <w:pPr>
        <w:ind w:right="240" w:firstLine="987"/>
        <w:spacing w:after="0" w:line="282" w:lineRule="auto"/>
        <w:tabs>
          <w:tab w:leader="none" w:pos="123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Issuer and the Guarantors under this Section 7.07 will survive the satisfaction and discharge of this Indenture and the resignation or removal of the Trustee.</w:t>
      </w:r>
    </w:p>
    <w:p>
      <w:pPr>
        <w:spacing w:after="0" w:line="161" w:lineRule="exact"/>
        <w:rPr>
          <w:rFonts w:ascii="Times New Roman" w:cs="Times New Roman" w:eastAsia="Times New Roman" w:hAnsi="Times New Roman"/>
          <w:sz w:val="18"/>
          <w:szCs w:val="18"/>
          <w:color w:val="auto"/>
        </w:rPr>
      </w:pPr>
    </w:p>
    <w:p>
      <w:pPr>
        <w:jc w:val="both"/>
        <w:ind w:right="100" w:firstLine="987"/>
        <w:spacing w:after="0" w:line="266" w:lineRule="auto"/>
        <w:tabs>
          <w:tab w:leader="none" w:pos="124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the Issuer’s and the Guarantors’ payment obligations in this Section 7.07, the Trustee will have a Lien prior to the Notes on all money or property held or collected by the Trustee, except that held in trust to pay principal of, premium on, if any, or interest on, particular Notes. Such Lien will survive the satisfaction and discharge of this Indenture.</w:t>
      </w:r>
    </w:p>
    <w:p>
      <w:pPr>
        <w:spacing w:after="0" w:line="175" w:lineRule="exact"/>
        <w:rPr>
          <w:rFonts w:ascii="Times New Roman" w:cs="Times New Roman" w:eastAsia="Times New Roman" w:hAnsi="Times New Roman"/>
          <w:sz w:val="18"/>
          <w:szCs w:val="18"/>
          <w:color w:val="auto"/>
        </w:rPr>
      </w:pPr>
    </w:p>
    <w:p>
      <w:pPr>
        <w:jc w:val="both"/>
        <w:ind w:right="100" w:firstLine="987"/>
        <w:spacing w:after="0" w:line="266" w:lineRule="auto"/>
        <w:tabs>
          <w:tab w:leader="none" w:pos="123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Trustee incurs expenses or renders services after an Event of Default specified in Section 6.01(i) or (j) occurs, the expenses and the compensation for the services (including the fees and expenses of its agents and counsel) are intended to constitute administrative expenses for purposes of priority under any Bankruptcy Law.</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7.08 </w:t>
      </w:r>
      <w:r>
        <w:rPr>
          <w:rFonts w:ascii="Times New Roman" w:cs="Times New Roman" w:eastAsia="Times New Roman" w:hAnsi="Times New Roman"/>
          <w:sz w:val="18"/>
          <w:szCs w:val="18"/>
          <w:i w:val="1"/>
          <w:iCs w:val="1"/>
          <w:color w:val="auto"/>
        </w:rPr>
        <w:t>Replacement of Trustee.</w:t>
      </w:r>
    </w:p>
    <w:p>
      <w:pPr>
        <w:spacing w:after="0" w:line="227" w:lineRule="exact"/>
        <w:rPr>
          <w:sz w:val="20"/>
          <w:szCs w:val="20"/>
          <w:color w:val="auto"/>
        </w:rPr>
      </w:pPr>
    </w:p>
    <w:p>
      <w:pPr>
        <w:ind w:right="620" w:firstLine="987"/>
        <w:spacing w:after="0" w:line="282" w:lineRule="auto"/>
        <w:tabs>
          <w:tab w:leader="none" w:pos="1236"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resignation or removal of the Trustee and appointment of a successor Trustee will become effective only upon the successor Trustee’s acceptance of appointment as provided in this Section 7.08.</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0940"/>
          </w:cols>
          <w:pgMar w:left="440" w:top="268" w:right="519" w:bottom="1440" w:gutter="0" w:footer="0" w:header="0"/>
        </w:sectPr>
      </w:pPr>
    </w:p>
    <w:bookmarkStart w:id="106" w:name="page107"/>
    <w:bookmarkEnd w:id="106"/>
    <w:p>
      <w:pPr>
        <w:jc w:val="both"/>
        <w:ind w:right="140" w:firstLine="987"/>
        <w:spacing w:after="0" w:line="266" w:lineRule="auto"/>
        <w:tabs>
          <w:tab w:leader="none" w:pos="1246"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Trustee may resign in writing at any time and be discharged from the trust hereby created by so notifying the Issuer. The Holders of a majority in aggregate principal amount of the then outstanding Notes may remove the Trustee by so notifying the Trustee and the Issuer in writing at least 30 days prior to the requested date of removal. The Issuer may remove the Trustee if:</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fails to comply with Section 7.10;</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is adjudged a bankrupt or an insolvent or an order for relief is entered with respect to the Trustee under any Bankruptcy Law;</w:t>
      </w:r>
    </w:p>
    <w:p>
      <w:pPr>
        <w:spacing w:after="0" w:line="128" w:lineRule="exact"/>
        <w:rPr>
          <w:rFonts w:ascii="Times New Roman" w:cs="Times New Roman" w:eastAsia="Times New Roman" w:hAnsi="Times New Roman"/>
          <w:sz w:val="17"/>
          <w:szCs w:val="17"/>
          <w:color w:val="auto"/>
        </w:rPr>
      </w:pPr>
    </w:p>
    <w:p>
      <w:pPr>
        <w:ind w:left="1120" w:hanging="261"/>
        <w:spacing w:after="0"/>
        <w:tabs>
          <w:tab w:leader="none" w:pos="112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custodian or public officer takes charge of the Trustee or its property; or</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becomes incapable of acting.</w:t>
      </w:r>
    </w:p>
    <w:p>
      <w:pPr>
        <w:spacing w:after="0" w:line="225" w:lineRule="exact"/>
        <w:rPr>
          <w:rFonts w:ascii="Times New Roman" w:cs="Times New Roman" w:eastAsia="Times New Roman" w:hAnsi="Times New Roman"/>
          <w:sz w:val="18"/>
          <w:szCs w:val="18"/>
          <w:color w:val="auto"/>
        </w:rPr>
      </w:pPr>
    </w:p>
    <w:p>
      <w:pPr>
        <w:ind w:right="360" w:firstLine="987"/>
        <w:spacing w:after="0" w:line="266" w:lineRule="auto"/>
        <w:tabs>
          <w:tab w:leader="none" w:pos="1236"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Trustee resigns or is removed or if a vacancy exists in the office of Trustee for any reason, the Issuer will promptly appoint a successor Trustee. Within one year after the successor Trustee takes office, the Holders of a majority in aggregate principal amount of the then outstanding Notes may appoint a successor Trustee to replace the successor Trustee appointed by the Issuer.</w:t>
      </w:r>
    </w:p>
    <w:p>
      <w:pPr>
        <w:spacing w:after="0" w:line="175" w:lineRule="exact"/>
        <w:rPr>
          <w:rFonts w:ascii="Times New Roman" w:cs="Times New Roman" w:eastAsia="Times New Roman" w:hAnsi="Times New Roman"/>
          <w:sz w:val="18"/>
          <w:szCs w:val="18"/>
          <w:color w:val="auto"/>
        </w:rPr>
      </w:pPr>
    </w:p>
    <w:p>
      <w:pPr>
        <w:ind w:right="280" w:firstLine="987"/>
        <w:spacing w:after="0" w:line="266" w:lineRule="auto"/>
        <w:tabs>
          <w:tab w:leader="none" w:pos="1246"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successor Trustee does not take office within 60 days after the retiring Trustee resigns or is removed, the retiring Trustee (at the Issuer’s expense), the Issuer, or the Holders of at least 10% in aggregate principal amount of the then outstanding Notes may petition any court of competent jurisdiction for the appointment of a successor Trustee.</w:t>
      </w:r>
    </w:p>
    <w:p>
      <w:pPr>
        <w:spacing w:after="0" w:line="175" w:lineRule="exact"/>
        <w:rPr>
          <w:rFonts w:ascii="Times New Roman" w:cs="Times New Roman" w:eastAsia="Times New Roman" w:hAnsi="Times New Roman"/>
          <w:sz w:val="18"/>
          <w:szCs w:val="18"/>
          <w:color w:val="auto"/>
        </w:rPr>
      </w:pPr>
    </w:p>
    <w:p>
      <w:pPr>
        <w:ind w:right="320" w:firstLine="987"/>
        <w:spacing w:after="0" w:line="282" w:lineRule="auto"/>
        <w:tabs>
          <w:tab w:leader="none" w:pos="1236"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Trustee, after written request by any Holder who has been a Holder for at least six months, fails to comply with Section 7.10, such Holder may petition any court of competent jurisdiction for the removal of the Trustee and the appointment of a successor Trustee.</w:t>
      </w:r>
    </w:p>
    <w:p>
      <w:pPr>
        <w:spacing w:after="0" w:line="161" w:lineRule="exact"/>
        <w:rPr>
          <w:rFonts w:ascii="Times New Roman" w:cs="Times New Roman" w:eastAsia="Times New Roman" w:hAnsi="Times New Roman"/>
          <w:sz w:val="18"/>
          <w:szCs w:val="18"/>
          <w:color w:val="auto"/>
        </w:rPr>
      </w:pPr>
    </w:p>
    <w:p>
      <w:pPr>
        <w:ind w:right="60" w:firstLine="987"/>
        <w:spacing w:after="0" w:line="256" w:lineRule="auto"/>
        <w:tabs>
          <w:tab w:leader="none" w:pos="1216"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successor Trustee will deliver a written acceptance of its appointment to the retiring Trustee and to the Issuer. Thereupon, the resignation or removal of the retiring Trustee will become effective, and the successor Trustee will have all the rights, powers and duties of the Trustee under this Indenture. The successor Trustee will mail a notice of its succession to Holders. The retiring Trustee will promptly transfer all property held by it as Trustee to the successor Trustee;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all sums owing to the Trustee hereunder have been paid and subject to the Lien provided for in Section 7.07. Notwithstanding replacement of the Trustee pursuant to this Section 7.08, the Issuer’s obligations under Section 7.07 will continue for the benefit of the retiring Trustee.</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7.09 </w:t>
      </w:r>
      <w:r>
        <w:rPr>
          <w:rFonts w:ascii="Times New Roman" w:cs="Times New Roman" w:eastAsia="Times New Roman" w:hAnsi="Times New Roman"/>
          <w:sz w:val="18"/>
          <w:szCs w:val="18"/>
          <w:i w:val="1"/>
          <w:iCs w:val="1"/>
          <w:color w:val="auto"/>
        </w:rPr>
        <w:t>Successor Trustee by Merger, etc.</w:t>
      </w:r>
    </w:p>
    <w:p>
      <w:pPr>
        <w:spacing w:after="0" w:line="227"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If the Trustee consolidates, merges or converts into, or transfers all or substantially all of its corporate trust business to, another corporation, the successor corporation without any further act will be the successor Trustee.</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i w:val="1"/>
          <w:iCs w:val="1"/>
          <w:color w:val="auto"/>
        </w:rPr>
        <w:t>Eligibility; Disqualification.</w:t>
      </w:r>
    </w:p>
    <w:p>
      <w:pPr>
        <w:spacing w:after="0" w:line="227" w:lineRule="exact"/>
        <w:rPr>
          <w:sz w:val="20"/>
          <w:szCs w:val="20"/>
          <w:color w:val="auto"/>
        </w:rPr>
      </w:pPr>
    </w:p>
    <w:p>
      <w:pPr>
        <w:ind w:firstLine="440"/>
        <w:spacing w:after="0" w:line="289" w:lineRule="auto"/>
        <w:rPr>
          <w:sz w:val="20"/>
          <w:szCs w:val="20"/>
          <w:color w:val="auto"/>
        </w:rPr>
      </w:pPr>
      <w:r>
        <w:rPr>
          <w:rFonts w:ascii="Times New Roman" w:cs="Times New Roman" w:eastAsia="Times New Roman" w:hAnsi="Times New Roman"/>
          <w:sz w:val="17"/>
          <w:szCs w:val="17"/>
          <w:color w:val="auto"/>
        </w:rPr>
        <w:t>There will at all times be a Trustee hereunder that is a corporation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$100.0 million as set forth in its most recent published annual report of condition.</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0980"/>
          </w:cols>
          <w:pgMar w:left="440" w:top="270" w:right="479" w:bottom="1440" w:gutter="0" w:footer="0" w:header="0"/>
        </w:sectPr>
      </w:pPr>
    </w:p>
    <w:bookmarkStart w:id="107" w:name="page108"/>
    <w:bookmarkEnd w:id="107"/>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8</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LEGAL DEFEASANCE AND COVENANT DEFEASANCE</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i w:val="1"/>
          <w:iCs w:val="1"/>
          <w:color w:val="auto"/>
        </w:rPr>
        <w:t>Option to Effect Legal Defeasance or Covenant Defeasance.</w:t>
      </w:r>
    </w:p>
    <w:p>
      <w:pPr>
        <w:spacing w:after="0" w:line="227" w:lineRule="exact"/>
        <w:rPr>
          <w:sz w:val="20"/>
          <w:szCs w:val="20"/>
          <w:color w:val="auto"/>
        </w:rPr>
      </w:pPr>
    </w:p>
    <w:p>
      <w:pPr>
        <w:ind w:right="800" w:firstLine="440"/>
        <w:spacing w:after="0" w:line="282" w:lineRule="auto"/>
        <w:rPr>
          <w:sz w:val="20"/>
          <w:szCs w:val="20"/>
          <w:color w:val="auto"/>
        </w:rPr>
      </w:pPr>
      <w:r>
        <w:rPr>
          <w:rFonts w:ascii="Times New Roman" w:cs="Times New Roman" w:eastAsia="Times New Roman" w:hAnsi="Times New Roman"/>
          <w:sz w:val="18"/>
          <w:szCs w:val="18"/>
          <w:color w:val="auto"/>
        </w:rPr>
        <w:t>The Issuer may at any time, at its option as set forth in an Officer’s Certificate, elect to have either Section 8.02 or 8.03 be applied to all outstanding Notes upon compliance with the conditions set forth below in this Article 8.</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i w:val="1"/>
          <w:iCs w:val="1"/>
          <w:color w:val="auto"/>
        </w:rPr>
        <w:t>Legal Defeasance and Discharge.</w:t>
      </w:r>
    </w:p>
    <w:p>
      <w:pPr>
        <w:spacing w:after="0" w:line="227"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Upon the Issuer’s exercise under Section 8.01 of the option applicable to this Section 8.02, the Issuer and each of the Guarantors will, subject to the satisfaction of the conditions set forth in Section 8.04, be deemed to have been discharged from their obligations with respect to all outstanding Notes (including the Guarantees) on the date the conditions set forth below are satisfied (hereinafter, “</w:t>
      </w:r>
      <w:r>
        <w:rPr>
          <w:rFonts w:ascii="Times New Roman" w:cs="Times New Roman" w:eastAsia="Times New Roman" w:hAnsi="Times New Roman"/>
          <w:sz w:val="18"/>
          <w:szCs w:val="18"/>
          <w:i w:val="1"/>
          <w:iCs w:val="1"/>
          <w:color w:val="auto"/>
        </w:rPr>
        <w:t>Legal Defeasance</w:t>
      </w:r>
      <w:r>
        <w:rPr>
          <w:rFonts w:ascii="Times New Roman" w:cs="Times New Roman" w:eastAsia="Times New Roman" w:hAnsi="Times New Roman"/>
          <w:sz w:val="18"/>
          <w:szCs w:val="18"/>
          <w:color w:val="auto"/>
        </w:rPr>
        <w:t>”). For this purpose, Legal Defeasance means that the Issuer and the Guarantors will be deemed to have paid and discharged the entire Indebtedness represented by the outstanding Notes (including the Guarantees), which will thereafter be deemed to be “outstanding” only for the purposes of Section 8.05 and the other Sections of this Indenture referred to in clauses (a) and (b) below, and to have satisfied all their other obligations under such Notes, the Guarantees and this Indenture (and the Trustee, on demand of and at the expense of the Issuer, shall execute proper instruments acknowledging the same), except for the following provisions which will survive until otherwise terminated or discharged hereunder:</w:t>
      </w:r>
    </w:p>
    <w:p>
      <w:pPr>
        <w:spacing w:after="0" w:line="84" w:lineRule="exact"/>
        <w:rPr>
          <w:sz w:val="20"/>
          <w:szCs w:val="20"/>
          <w:color w:val="auto"/>
        </w:rPr>
      </w:pPr>
    </w:p>
    <w:p>
      <w:pPr>
        <w:ind w:right="260" w:firstLine="987"/>
        <w:spacing w:after="0" w:line="282" w:lineRule="auto"/>
        <w:tabs>
          <w:tab w:leader="none" w:pos="1236"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Holders of outstanding Notes to receive payments in respect of the principal of, premium on, if any, or interest on, such Notes when such payments are due from the trust referred to in Section 8.04;</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obligations with respect to such Notes under Article 2 and Section 4.02;</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powers, trusts, duties and immunities of the Trustee hereunder and the Issuer’s and the Guarantors’ obligations in connection</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therewith; and</w:t>
      </w:r>
    </w:p>
    <w:p>
      <w:pPr>
        <w:spacing w:after="0" w:line="206" w:lineRule="exact"/>
        <w:rPr>
          <w:rFonts w:ascii="Times New Roman" w:cs="Times New Roman" w:eastAsia="Times New Roman" w:hAnsi="Times New Roman"/>
          <w:sz w:val="17"/>
          <w:szCs w:val="17"/>
          <w:color w:val="auto"/>
        </w:rPr>
      </w:pPr>
    </w:p>
    <w:p>
      <w:pPr>
        <w:ind w:left="1240" w:hanging="253"/>
        <w:spacing w:after="0"/>
        <w:tabs>
          <w:tab w:leader="none" w:pos="124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Article 8.</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Subject to compliance with this Article 8, the Issuer may exercise its option under this Section 8.02 notwithstanding the prior exercise of its option under Section 8.03.</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i w:val="1"/>
          <w:iCs w:val="1"/>
          <w:color w:val="auto"/>
        </w:rPr>
        <w:t>Covenant Defeasance.</w:t>
      </w:r>
    </w:p>
    <w:p>
      <w:pPr>
        <w:spacing w:after="0" w:line="227"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Upon the Issuer’s exercise under Section 8.01 of the option applicable to this Section 8.03, the Issuer and each of the Guarantors will, subject to the satisfaction of the conditions set forth in Section 8.04, be released from each of their respective obligations under the covenants contained in Sections 3.10, 4.03, 4.04 4.05, 4.07, 4.08, 4.09, 4.10, 4.11, 4.12, 4.13, 4.14, 4.15, 4.16 and 4.17 and clause (4) of Section 5.01(a) with respect to all the outstanding Notes on and after the date the conditions set forth in Section 8.04 are satisfied (hereinafter, “</w:t>
      </w:r>
      <w:r>
        <w:rPr>
          <w:rFonts w:ascii="Times New Roman" w:cs="Times New Roman" w:eastAsia="Times New Roman" w:hAnsi="Times New Roman"/>
          <w:sz w:val="18"/>
          <w:szCs w:val="18"/>
          <w:i w:val="1"/>
          <w:iCs w:val="1"/>
          <w:color w:val="auto"/>
        </w:rPr>
        <w:t>Covenant Defeasance</w:t>
      </w:r>
      <w:r>
        <w:rPr>
          <w:rFonts w:ascii="Times New Roman" w:cs="Times New Roman" w:eastAsia="Times New Roman" w:hAnsi="Times New Roman"/>
          <w:sz w:val="18"/>
          <w:szCs w:val="18"/>
          <w:color w:val="auto"/>
        </w:rPr>
        <w:t>”), and the Notes will thereafter be deemed not “outstanding” for the purposes of any direction, waiver, consent or declaration or act of Holders (and the consequences of any thereof) in connection with such covenants, but will continue to be deemed “outstanding” for all other purposes hereunder (it being understood that such Notes will not be deemed outstanding for accounting purposes to the extent permitted by GAAP). For this purpose, Covenant Defeasance means that, with respect to the outstanding Notes and Guarantees, the Issuer and the Guarantors may omit to comply with</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000"/>
          </w:cols>
          <w:pgMar w:left="440" w:top="270" w:right="459" w:bottom="1440" w:gutter="0" w:footer="0" w:header="0"/>
        </w:sectPr>
      </w:pPr>
    </w:p>
    <w:bookmarkStart w:id="108" w:name="page109"/>
    <w:bookmarkEnd w:id="108"/>
    <w:p>
      <w:pPr>
        <w:ind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will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will not constitute a Default or an Event of Default under Section 6.01, but, except as specified above, the remainder of this Indenture and such Notes and Guarantees will be unaffected thereby. In addition, upon the Issuer’s exercise under Section 8.01 of the option applicable to this Section 8.03, subject to the satisfaction of the conditions set forth in Section 8.04, Sections 6.01(c), (d), (f), (g), (h) and (k) will not constitute Events of Default.</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i w:val="1"/>
          <w:iCs w:val="1"/>
          <w:color w:val="auto"/>
        </w:rPr>
        <w:t>Conditions to Legal or Covenant Defeasance.</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order to exercise either Legal Defeasance or Covenant Defeasance under either Section 8.02 or 8.03:</w:t>
      </w:r>
    </w:p>
    <w:p>
      <w:pPr>
        <w:spacing w:after="0" w:line="117" w:lineRule="exact"/>
        <w:rPr>
          <w:sz w:val="20"/>
          <w:szCs w:val="20"/>
          <w:color w:val="auto"/>
        </w:rPr>
      </w:pPr>
    </w:p>
    <w:p>
      <w:pPr>
        <w:ind w:firstLine="987"/>
        <w:spacing w:after="0" w:line="252" w:lineRule="auto"/>
        <w:tabs>
          <w:tab w:leader="none" w:pos="1236"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Issuer must irrevocably deposit with the Trustee, in trust, for the benefit of the Holders, cash in U.S. dollars, non-callable Government Securities, or a combination thereof, in such amounts as will be sufficient to pay the principal of, premium on, if any, and interest on, the outstanding Notes on the stated date for payment thereof or on the applicable redemption date, as the case may be, and the Issuer must specify whether the Notes are being defeased to such stated date for payment or to a particular redemption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redemption is made as provided in Section 3.08(b) hereof, (x) the amount of cash in U.S. dollars, non-callable Government Securities, or a combination thereof, that must be irrevocably deposited will be determined using an assumed Applicable Premium calculated as of the date of such deposit and (y) the depositor must irrevocably deposit or cause to be deposited additional money in trust on the redemption date as necessary to pay the Applicable Premium as determined on such date. If there is an adjustment to the Applicable Premium, the Issuer must provide notice of such updated redemption amount to the Holders (with a copy to the Trustee) no later than two Business Days prior to such redemption date and the depositor must irrevocably deposit or cause to be deposited additional money in trust on the redemption date as necessary to pay the Applicable Premium as determined by such date (any such amount, the “</w:t>
      </w:r>
      <w:r>
        <w:rPr>
          <w:rFonts w:ascii="Times New Roman" w:cs="Times New Roman" w:eastAsia="Times New Roman" w:hAnsi="Times New Roman"/>
          <w:sz w:val="18"/>
          <w:szCs w:val="18"/>
          <w:i w:val="1"/>
          <w:iCs w:val="1"/>
          <w:color w:val="auto"/>
        </w:rPr>
        <w:t>Applicable Premium Deficit</w:t>
      </w:r>
      <w:r>
        <w:rPr>
          <w:rFonts w:ascii="Times New Roman" w:cs="Times New Roman" w:eastAsia="Times New Roman" w:hAnsi="Times New Roman"/>
          <w:sz w:val="18"/>
          <w:szCs w:val="18"/>
          <w:color w:val="auto"/>
        </w:rPr>
        <w:t xml:space="preserve">”) (it being understood that any satisfaction and discharge shall be subject to the condition subsequent that such Applicable Premium Deficit is in fact paid);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Trustee shall have no liability whatsoever in the event that such Applicable Premium Deficit is not in fact paid after any Legal Defeasance or Covenant Defeasance and that any Applicable Premium Deficit will be set forth in an Officer’s Certificate delivered to the Trustee simultaneously with the deposit of such Applicable Premium Deficit that confirms that such Applicable Premium Deficit will be applied toward such redemption;</w:t>
      </w:r>
    </w:p>
    <w:p>
      <w:pPr>
        <w:spacing w:after="0" w:line="195" w:lineRule="exact"/>
        <w:rPr>
          <w:rFonts w:ascii="Times New Roman" w:cs="Times New Roman" w:eastAsia="Times New Roman" w:hAnsi="Times New Roman"/>
          <w:sz w:val="18"/>
          <w:szCs w:val="18"/>
          <w:color w:val="auto"/>
        </w:rPr>
      </w:pPr>
    </w:p>
    <w:p>
      <w:pPr>
        <w:ind w:right="40" w:firstLine="987"/>
        <w:spacing w:after="0" w:line="282" w:lineRule="auto"/>
        <w:tabs>
          <w:tab w:leader="none" w:pos="1246"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election under Section 8.02, the Issuer must deliver to the Trustee an Opinion of Counsel reasonably acceptable to the Trustee confirming that:</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has received from, or there has been published by, the Internal Revenue Service a ruling; or</w:t>
      </w:r>
    </w:p>
    <w:p>
      <w:pPr>
        <w:spacing w:after="0" w:line="117" w:lineRule="exact"/>
        <w:rPr>
          <w:rFonts w:ascii="Times New Roman" w:cs="Times New Roman" w:eastAsia="Times New Roman" w:hAnsi="Times New Roman"/>
          <w:sz w:val="18"/>
          <w:szCs w:val="18"/>
          <w:color w:val="auto"/>
        </w:rPr>
      </w:pPr>
    </w:p>
    <w:p>
      <w:pPr>
        <w:ind w:left="440" w:right="60" w:firstLine="419"/>
        <w:spacing w:after="0" w:line="261" w:lineRule="auto"/>
        <w:tabs>
          <w:tab w:leader="none" w:pos="1118"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Issue Date, there has been a change in the applicable federal income tax law, in either case to the effect that, and based thereon such Opinion of Counsel will confirm that, the Holders of the outstanding Notes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0980"/>
          </w:cols>
          <w:pgMar w:left="440" w:top="270" w:right="479" w:bottom="1440" w:gutter="0" w:footer="0" w:header="0"/>
        </w:sectPr>
      </w:pPr>
    </w:p>
    <w:bookmarkStart w:id="109" w:name="page110"/>
    <w:bookmarkEnd w:id="109"/>
    <w:p>
      <w:pPr>
        <w:jc w:val="both"/>
        <w:ind w:right="80" w:firstLine="987"/>
        <w:spacing w:after="0" w:line="261" w:lineRule="auto"/>
        <w:tabs>
          <w:tab w:leader="none" w:pos="1236"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case of an election under Section 8.03, the Issuer must deliver to the Trustee an Opinion of Counsel reasonably acceptable to the Trustee confirming that the Holders of the outstanding Notes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79" w:lineRule="exact"/>
        <w:rPr>
          <w:rFonts w:ascii="Times New Roman" w:cs="Times New Roman" w:eastAsia="Times New Roman" w:hAnsi="Times New Roman"/>
          <w:sz w:val="18"/>
          <w:szCs w:val="18"/>
          <w:color w:val="auto"/>
        </w:rPr>
      </w:pPr>
    </w:p>
    <w:p>
      <w:pPr>
        <w:jc w:val="both"/>
        <w:ind w:right="20" w:firstLine="987"/>
        <w:spacing w:after="0" w:line="261" w:lineRule="auto"/>
        <w:tabs>
          <w:tab w:leader="none" w:pos="1246"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must deliver to the Trustee an Officer’s Certificate stating that no Default or Event of Default has occurred and is continuing on the date of such deposit (other than a Default or Event of Default resulting from the borrowing of funds to be applied to such deposit (and any similar concurrent deposit relating to other Indebtedness), and the granting of Liens to secure such borrowings, all or a portion of which are to be applied to such deposit);</w:t>
      </w:r>
    </w:p>
    <w:p>
      <w:pPr>
        <w:spacing w:after="0" w:line="179" w:lineRule="exact"/>
        <w:rPr>
          <w:rFonts w:ascii="Times New Roman" w:cs="Times New Roman" w:eastAsia="Times New Roman" w:hAnsi="Times New Roman"/>
          <w:sz w:val="18"/>
          <w:szCs w:val="18"/>
          <w:color w:val="auto"/>
        </w:rPr>
      </w:pPr>
    </w:p>
    <w:p>
      <w:pPr>
        <w:ind w:firstLine="987"/>
        <w:spacing w:after="0" w:line="261" w:lineRule="auto"/>
        <w:tabs>
          <w:tab w:leader="none" w:pos="1236"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must deliver to the Trustee an Officer’s Certificate stating that such Legal Defeasance or Covenant Defeasance will not result in a breach or violation of, or constitute a default under, any material agreement or instrument (other than this Indenture and the agreements governing any other Indebtedness being defeased, discharged or replaced) to which the Issuer or any Guarantor is a party or by which the Issuer or any Guarantor is bound;</w:t>
      </w:r>
    </w:p>
    <w:p>
      <w:pPr>
        <w:spacing w:after="0" w:line="179" w:lineRule="exact"/>
        <w:rPr>
          <w:rFonts w:ascii="Times New Roman" w:cs="Times New Roman" w:eastAsia="Times New Roman" w:hAnsi="Times New Roman"/>
          <w:sz w:val="18"/>
          <w:szCs w:val="18"/>
          <w:color w:val="auto"/>
        </w:rPr>
      </w:pPr>
    </w:p>
    <w:p>
      <w:pPr>
        <w:ind w:right="160" w:firstLine="987"/>
        <w:spacing w:after="0" w:line="266" w:lineRule="auto"/>
        <w:tabs>
          <w:tab w:leader="none" w:pos="1216"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must deliver to the Trustee an Officer’s Certificate stating that the deposit was not made by the Issuer with the intent of preferring the Holders of the Notes over the other creditors of the Issuer with the intent of defeating, hindering, delaying or defrauding any creditors of the Issuer or others; and</w:t>
      </w:r>
    </w:p>
    <w:p>
      <w:pPr>
        <w:spacing w:after="0" w:line="175" w:lineRule="exact"/>
        <w:rPr>
          <w:rFonts w:ascii="Times New Roman" w:cs="Times New Roman" w:eastAsia="Times New Roman" w:hAnsi="Times New Roman"/>
          <w:sz w:val="18"/>
          <w:szCs w:val="18"/>
          <w:color w:val="auto"/>
        </w:rPr>
      </w:pPr>
    </w:p>
    <w:p>
      <w:pPr>
        <w:ind w:right="380" w:firstLine="987"/>
        <w:spacing w:after="0" w:line="282" w:lineRule="auto"/>
        <w:tabs>
          <w:tab w:leader="none" w:pos="1246"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must deliver to the Trustee an Officer’s Certificate and an Opinion of Counsel, each stating that all conditions precedent relating to the Legal Defeasance or the Covenant Defeasance, as the case may be, have been complied with.</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i w:val="1"/>
          <w:iCs w:val="1"/>
          <w:color w:val="auto"/>
        </w:rPr>
        <w:t>Deposited Money and Government Securities to be Held in Trust; Other Miscellaneous Provisions.</w:t>
      </w:r>
    </w:p>
    <w:p>
      <w:pPr>
        <w:spacing w:after="0" w:line="227"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Subject to Section 8.06, all money and non-callable Government Securities (including the proceeds thereof) deposited with the Trustee (or other qualifying trustee, collectively for purposes of this Section 8.05, the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 pursuant to Section 8.04 in respect of the outstanding Notes will be held in trust and applied by the Trustee, in accordance with the provisions of such Notes and this Indenture, to the payment, either directly or through any Paying Agent (including the Issuer acting as Paying Agent) as the Trustee may determine, to the Holders of such Notes of all sums due and to become due thereon in respect of principal, interest and premium, if any, but such money need not be segregated from other funds except to the extent required by law.</w:t>
      </w:r>
    </w:p>
    <w:p>
      <w:pPr>
        <w:spacing w:after="0" w:line="187"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The Issuer will pay and indemnify the Trustee against any tax, fee or other charge imposed on or assessed against the cash or non-callable Government Securities deposited pursuant to Section 8.04 or the principal and interest received in respect thereof other than any such tax, fee or other charge which by law is for the account of the Holders of the outstanding Notes.</w:t>
      </w:r>
    </w:p>
    <w:p>
      <w:pPr>
        <w:spacing w:after="0" w:line="176"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Notwithstanding anything in this Article 8 to the contrary, the Trustee will deliver or pay to the Issuer from time to time upon the request of the Issuer any money or non-callable Government Securities held by it as provided in Section 8.04 which, in the opinion of a nationally recognized firm of independent public accountants expressed in a written certification thereof delivered to the Trustee (which may be the opinion delivered under Section 8.04(a)), are in excess of the amount thereof that would then be required to be deposited to effect an equivalent Legal Defeasance or Covenant Defeasance.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000"/>
          </w:cols>
          <w:pgMar w:left="440" w:top="270" w:right="459" w:bottom="1440" w:gutter="0" w:footer="0" w:header="0"/>
        </w:sectPr>
      </w:pPr>
    </w:p>
    <w:bookmarkStart w:id="110" w:name="page111"/>
    <w:bookmarkEnd w:id="11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8.06 </w:t>
      </w:r>
      <w:r>
        <w:rPr>
          <w:rFonts w:ascii="Times New Roman" w:cs="Times New Roman" w:eastAsia="Times New Roman" w:hAnsi="Times New Roman"/>
          <w:sz w:val="18"/>
          <w:szCs w:val="18"/>
          <w:i w:val="1"/>
          <w:iCs w:val="1"/>
          <w:color w:val="auto"/>
        </w:rPr>
        <w:t>Repayment to Issuer.</w:t>
      </w:r>
    </w:p>
    <w:p>
      <w:pPr>
        <w:spacing w:after="0" w:line="227"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Subject to applicable law, any money deposited with the Trustee or any Paying Agent, or then held by the Issuer, in trust for the payment of the principal of, premium on, if any, or interest on, any Note and remaining unclaimed for two years after such principal, interest and premium, if any, has become due and payable shall be paid to the Issuer on its request or (if then held by the Issuer) will be discharged from such trust; and the Holder of such Note will thereafter be permitted to look only to the Issuer for payment thereof, and all liability of the Trustee or such Paying Agent with respect to such trust money, and all liability of the Issuer as trustee thereof, will thereupon cease.</w:t>
      </w:r>
    </w:p>
    <w:p>
      <w:pPr>
        <w:spacing w:after="0" w:line="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8.07 </w:t>
      </w:r>
      <w:r>
        <w:rPr>
          <w:rFonts w:ascii="Times New Roman" w:cs="Times New Roman" w:eastAsia="Times New Roman" w:hAnsi="Times New Roman"/>
          <w:sz w:val="18"/>
          <w:szCs w:val="18"/>
          <w:i w:val="1"/>
          <w:iCs w:val="1"/>
          <w:color w:val="auto"/>
        </w:rPr>
        <w:t>Reinstatement.</w:t>
      </w:r>
    </w:p>
    <w:p>
      <w:pPr>
        <w:spacing w:after="0" w:line="227"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 xml:space="preserve">If the Trustee or Paying Agent is unable to apply any U.S. dollars or non-callable Government Securities in accordance with Section 8.02 or 8.03, as the case may be, by reason of any order or judgment of any court or governmental authority enjoining, restraining or otherwise prohibiting such application, then the Issuer’s and the Guarantors’ obligations under this Indenture and the Notes and the Guarantees will be revived and reinstated as though no deposit had occurred pursuant to Section 8.02 or 8.03 until such time as the Trustee or Paying Agent is permitted to apply all such money or Government Securities in accordance with Section 8.02 or 8.03, as the case may be;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Issuer makes any payment of principal of, premium on, if any, or interest on, any Note following the reinstatement of its obligations, the Issuer will be subrogated to the rights of the Holders of such Notes to receive such payment from the money or Government Securities held by the Trustee or Paying Agent.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9</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AMENDMENT, SUPPLEMENT AND WAIVER</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i w:val="1"/>
          <w:iCs w:val="1"/>
          <w:color w:val="auto"/>
        </w:rPr>
        <w:t>Without Consent of Holders of Notes.</w:t>
      </w:r>
    </w:p>
    <w:p>
      <w:pPr>
        <w:spacing w:after="0" w:line="227"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Notwithstanding Section 9.02 of this Indenture, without the consent of any Holder of Notes, the Issuer, the Guarantors and the Trustee may amend or supplement this Indenture, the Notes or the Guarantees:</w:t>
      </w:r>
    </w:p>
    <w:p>
      <w:pPr>
        <w:spacing w:after="0" w:line="54" w:lineRule="exact"/>
        <w:rPr>
          <w:sz w:val="20"/>
          <w:szCs w:val="20"/>
          <w:color w:val="auto"/>
        </w:rPr>
      </w:pPr>
    </w:p>
    <w:p>
      <w:pPr>
        <w:ind w:left="1240" w:hanging="253"/>
        <w:spacing w:after="0"/>
        <w:tabs>
          <w:tab w:leader="none" w:pos="124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Notes in addition to or in place of certificated Notes;</w:t>
      </w:r>
    </w:p>
    <w:p>
      <w:pPr>
        <w:spacing w:after="0" w:line="225" w:lineRule="exact"/>
        <w:rPr>
          <w:rFonts w:ascii="Times New Roman" w:cs="Times New Roman" w:eastAsia="Times New Roman" w:hAnsi="Times New Roman"/>
          <w:sz w:val="18"/>
          <w:szCs w:val="18"/>
          <w:color w:val="auto"/>
        </w:rPr>
      </w:pPr>
    </w:p>
    <w:p>
      <w:pPr>
        <w:ind w:right="540" w:firstLine="987"/>
        <w:spacing w:after="0" w:line="282" w:lineRule="auto"/>
        <w:tabs>
          <w:tab w:leader="none" w:pos="1236"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assumption of the Issuer’s or a Guarantor’s obligations to Holders of the Notes and Guarantees in the case of a merger or consolidation or sale of all or substantially all of the Issuer’s or such Guarantor’s properties or assets, as applicable;</w:t>
      </w:r>
    </w:p>
    <w:p>
      <w:pPr>
        <w:spacing w:after="0" w:line="161" w:lineRule="exact"/>
        <w:rPr>
          <w:rFonts w:ascii="Times New Roman" w:cs="Times New Roman" w:eastAsia="Times New Roman" w:hAnsi="Times New Roman"/>
          <w:sz w:val="18"/>
          <w:szCs w:val="18"/>
          <w:color w:val="auto"/>
        </w:rPr>
      </w:pPr>
    </w:p>
    <w:p>
      <w:pPr>
        <w:ind w:firstLine="987"/>
        <w:spacing w:after="0" w:line="282" w:lineRule="auto"/>
        <w:tabs>
          <w:tab w:leader="none" w:pos="1246"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would provide any additional rights or benefits to the Holders of the Notes or that does not adversely affect the legal rights under this Indenture of any Holder;</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this Indenture under the TIA;</w:t>
      </w:r>
    </w:p>
    <w:p>
      <w:pPr>
        <w:spacing w:after="0" w:line="225" w:lineRule="exact"/>
        <w:rPr>
          <w:rFonts w:ascii="Times New Roman" w:cs="Times New Roman" w:eastAsia="Times New Roman" w:hAnsi="Times New Roman"/>
          <w:sz w:val="18"/>
          <w:szCs w:val="18"/>
          <w:color w:val="auto"/>
        </w:rPr>
      </w:pPr>
    </w:p>
    <w:p>
      <w:pPr>
        <w:ind w:right="60" w:firstLine="987"/>
        <w:spacing w:after="0" w:line="282" w:lineRule="auto"/>
        <w:tabs>
          <w:tab w:leader="none" w:pos="1216"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conform the text of this Indenture, the Notes or the Guarantees to any provision of the “Description of Notes” section of the Offering Memorandum as specified by an Officer’s Certificate;</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Additional Notes in accordance with the limitations set forth in this Indenture as of the date hereof;</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020"/>
          </w:cols>
          <w:pgMar w:left="440" w:top="268" w:right="439" w:bottom="1440" w:gutter="0" w:footer="0" w:header="0"/>
        </w:sectPr>
      </w:pPr>
    </w:p>
    <w:bookmarkStart w:id="111" w:name="page112"/>
    <w:bookmarkEnd w:id="111"/>
    <w:p>
      <w:pPr>
        <w:ind w:left="1240" w:hanging="253"/>
        <w:spacing w:after="0"/>
        <w:tabs>
          <w:tab w:leader="none" w:pos="124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secure the Notes or the Guarantees pursuant to the requirements of Section 4.12 or otherwise;</w:t>
      </w:r>
    </w:p>
    <w:p>
      <w:pPr>
        <w:spacing w:after="0" w:line="225"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release of any Guarantor from its Guarantee, as provided in this Indenture, or add any additional Guarantor or guarantee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Notes;</w:t>
      </w:r>
    </w:p>
    <w:p>
      <w:pPr>
        <w:spacing w:after="0" w:line="207" w:lineRule="exact"/>
        <w:rPr>
          <w:sz w:val="20"/>
          <w:szCs w:val="20"/>
          <w:color w:val="auto"/>
        </w:rPr>
      </w:pPr>
    </w:p>
    <w:p>
      <w:pPr>
        <w:ind w:left="1200" w:hanging="213"/>
        <w:spacing w:after="0"/>
        <w:tabs>
          <w:tab w:leader="none" w:pos="120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or provide for the acceptance of appointment under this Indenture of a successor Trustee; or</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reorganization of the Issuer as any other form of entity in accordance with Section 5.01(c).</w:t>
      </w:r>
    </w:p>
    <w:p>
      <w:pPr>
        <w:spacing w:after="0" w:line="225" w:lineRule="exact"/>
        <w:rPr>
          <w:sz w:val="20"/>
          <w:szCs w:val="20"/>
          <w:color w:val="auto"/>
        </w:rPr>
      </w:pPr>
    </w:p>
    <w:p>
      <w:pPr>
        <w:ind w:right="500" w:firstLine="991"/>
        <w:spacing w:after="0" w:line="282" w:lineRule="auto"/>
        <w:rPr>
          <w:sz w:val="20"/>
          <w:szCs w:val="20"/>
          <w:color w:val="auto"/>
        </w:rPr>
      </w:pPr>
      <w:r>
        <w:rPr>
          <w:rFonts w:ascii="Times New Roman" w:cs="Times New Roman" w:eastAsia="Times New Roman" w:hAnsi="Times New Roman"/>
          <w:sz w:val="18"/>
          <w:szCs w:val="18"/>
          <w:color w:val="auto"/>
        </w:rPr>
        <w:t>Any supplemental indenture authorized by the provisions of this Section 9.01 may be executed by the Issuer, the Guarantors and the Trustee without the consent of the Holders of any of the Notes at the time outstanding, notwithstanding any of the provisions of Section 9.02.</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i w:val="1"/>
          <w:iCs w:val="1"/>
          <w:color w:val="auto"/>
        </w:rPr>
        <w:t>With Consent of Holders of Notes.</w:t>
      </w:r>
    </w:p>
    <w:p>
      <w:pPr>
        <w:spacing w:after="0" w:line="22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Except as provided below in this Section 9.02, the Issuer, the Guarantors and the Trustee may amend or supplement this Indenture (including, without limitation, Sections 3.10, 4.10 and 4.15) and the Notes and the Guarantees with the consent of the Holders of a majority in aggregate principal amount of the then outstanding Notes (including, without limitation, Additional Notes, if any) voting as a single class (including, without limitation, consents obtained in connection with a tender offer or exchange offer for, or purchase of, the Notes), and, subject to Section 6.07, any existing Default or Event of Default or compliance with any provision of this Indenture or the Notes or the Guarantees may be waived, in each case, with the consent of the Holders of a majority in aggregate principal amount of the then outstanding Notes (including, without limitation, Additional Notes, if any) voting as a single class (including, without limitation, consents obtained in connection with a tender offer or exchange offer for, or purchase of, the Notes). Section 2.08 shall determine which Notes are considered to be “outstanding” for purposes of this Section 9.02. However, without the consent of each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 affected, an amendment, supplement or waiver may not (with respect to any Notes held by a non-consenting Holder):</w:t>
      </w:r>
    </w:p>
    <w:p>
      <w:pPr>
        <w:spacing w:after="0" w:line="99" w:lineRule="exact"/>
        <w:rPr>
          <w:sz w:val="20"/>
          <w:szCs w:val="20"/>
          <w:color w:val="auto"/>
        </w:rPr>
      </w:pPr>
    </w:p>
    <w:p>
      <w:pPr>
        <w:ind w:left="1240" w:hanging="253"/>
        <w:spacing w:after="0"/>
        <w:tabs>
          <w:tab w:leader="none" w:pos="124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Notes whose Holders must consent to an amendment, supplement or waiver;</w:t>
      </w:r>
    </w:p>
    <w:p>
      <w:pPr>
        <w:spacing w:after="0" w:line="225" w:lineRule="exact"/>
        <w:rPr>
          <w:rFonts w:ascii="Times New Roman" w:cs="Times New Roman" w:eastAsia="Times New Roman" w:hAnsi="Times New Roman"/>
          <w:sz w:val="18"/>
          <w:szCs w:val="18"/>
          <w:color w:val="auto"/>
        </w:rPr>
      </w:pPr>
    </w:p>
    <w:p>
      <w:pPr>
        <w:ind w:right="340" w:firstLine="987"/>
        <w:spacing w:after="0" w:line="266" w:lineRule="auto"/>
        <w:tabs>
          <w:tab w:leader="none" w:pos="1246"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change the fixed maturity of any Note or alter the redemption date of any Note or reduce any redemption price of any Note (other than provisions relating to minimum notice periods required with respect to redemptions of Notes and provisions under Section 3.03, 3.10, 4.10 or 4.15);</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change the time for payment of interest on any Note;</w:t>
      </w:r>
    </w:p>
    <w:p>
      <w:pPr>
        <w:spacing w:after="0" w:line="225" w:lineRule="exact"/>
        <w:rPr>
          <w:rFonts w:ascii="Times New Roman" w:cs="Times New Roman" w:eastAsia="Times New Roman" w:hAnsi="Times New Roman"/>
          <w:sz w:val="18"/>
          <w:szCs w:val="18"/>
          <w:color w:val="auto"/>
        </w:rPr>
      </w:pPr>
    </w:p>
    <w:p>
      <w:pPr>
        <w:jc w:val="both"/>
        <w:ind w:right="140" w:firstLine="987"/>
        <w:spacing w:after="0" w:line="266" w:lineRule="auto"/>
        <w:tabs>
          <w:tab w:leader="none" w:pos="1246"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or Event of Default in the payment of principal of, premium on, if any, or interest on, the Notes (except (i) a payment required by Section 3.10, 4.10 or 4.15 or (ii) a rescission of acceleration of the Notes by the Holders of a majority in aggregate principal amount of the then outstanding Notes and a waiver of the payment default that resulted from such acceleration);</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Note payable in money other than that stated in the Notes;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000"/>
          </w:cols>
          <w:pgMar w:left="440" w:top="270" w:right="459" w:bottom="1440" w:gutter="0" w:footer="0" w:header="0"/>
        </w:sectPr>
      </w:pPr>
    </w:p>
    <w:bookmarkStart w:id="112" w:name="page113"/>
    <w:bookmarkEnd w:id="112"/>
    <w:p>
      <w:pPr>
        <w:ind w:left="4" w:right="100" w:firstLine="987"/>
        <w:spacing w:after="0" w:line="282" w:lineRule="auto"/>
        <w:tabs>
          <w:tab w:leader="none" w:pos="122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make any change in the provisions of this Indenture relating to waivers of past Defaults or the rights of Holders of the Notes to receive payments of principal of, premium on, if any, or interest on, the Notes (other than a payment required by Section 3.10, 4.10 or 4.15);</w:t>
      </w:r>
    </w:p>
    <w:p>
      <w:pPr>
        <w:spacing w:after="0" w:line="161" w:lineRule="exact"/>
        <w:rPr>
          <w:rFonts w:ascii="Times New Roman" w:cs="Times New Roman" w:eastAsia="Times New Roman" w:hAnsi="Times New Roman"/>
          <w:sz w:val="18"/>
          <w:szCs w:val="18"/>
          <w:color w:val="auto"/>
        </w:rPr>
      </w:pPr>
    </w:p>
    <w:p>
      <w:pPr>
        <w:ind w:left="4" w:right="380" w:firstLine="987"/>
        <w:spacing w:after="0" w:line="282" w:lineRule="auto"/>
        <w:tabs>
          <w:tab w:leader="none" w:pos="125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or repurchase payment with respect to any Note (for the avoidance of doubt, other than a payment required by Section 3.10, 4.10 or 4.15);</w:t>
      </w:r>
    </w:p>
    <w:p>
      <w:pPr>
        <w:spacing w:after="0" w:line="16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any Guarantor from any of its material obligations under its Guarantee or this Indenture, except in accordance with the terms of</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Indenture; or</w:t>
      </w:r>
    </w:p>
    <w:p>
      <w:pPr>
        <w:spacing w:after="0" w:line="206" w:lineRule="exact"/>
        <w:rPr>
          <w:rFonts w:ascii="Times New Roman" w:cs="Times New Roman" w:eastAsia="Times New Roman" w:hAnsi="Times New Roman"/>
          <w:sz w:val="18"/>
          <w:szCs w:val="18"/>
          <w:color w:val="auto"/>
        </w:rPr>
      </w:pPr>
    </w:p>
    <w:p>
      <w:pPr>
        <w:ind w:left="1204" w:hanging="213"/>
        <w:spacing w:after="0"/>
        <w:tabs>
          <w:tab w:leader="none" w:pos="1204"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preceding amendment, supplement and waiver provisions.</w:t>
      </w:r>
    </w:p>
    <w:p>
      <w:pPr>
        <w:spacing w:after="0" w:line="225" w:lineRule="exact"/>
        <w:rPr>
          <w:sz w:val="20"/>
          <w:szCs w:val="20"/>
          <w:color w:val="auto"/>
        </w:rPr>
      </w:pPr>
    </w:p>
    <w:p>
      <w:pPr>
        <w:ind w:left="4" w:right="220" w:firstLine="440"/>
        <w:spacing w:after="0" w:line="258" w:lineRule="auto"/>
        <w:rPr>
          <w:sz w:val="20"/>
          <w:szCs w:val="20"/>
          <w:color w:val="auto"/>
        </w:rPr>
      </w:pPr>
      <w:r>
        <w:rPr>
          <w:rFonts w:ascii="Times New Roman" w:cs="Times New Roman" w:eastAsia="Times New Roman" w:hAnsi="Times New Roman"/>
          <w:sz w:val="18"/>
          <w:szCs w:val="18"/>
          <w:color w:val="auto"/>
        </w:rPr>
        <w:t>The consent of the Holders is not necessary under this Section 9.02 to approve the particular form of any proposed amendment, supplement or waiver. It is sufficient if such consent approves the substance of the proposed amendment, supplement or waiver. After an amendment, supplement or waiver under this Indenture requiring the approval of the Holders becomes effective, the Issuer will send to the Holders a notice briefly describing the amendment, supplement or waiver. However, the failure to give such notice, or any defect in the notice, will not impair or affect the validity of the amendment, supplement or waiver.</w:t>
      </w:r>
    </w:p>
    <w:p>
      <w:pPr>
        <w:spacing w:after="0" w:line="18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i w:val="1"/>
          <w:iCs w:val="1"/>
          <w:color w:val="auto"/>
        </w:rPr>
        <w:t>Revocation and Effect of Consents.</w:t>
      </w:r>
    </w:p>
    <w:p>
      <w:pPr>
        <w:spacing w:after="0" w:line="227" w:lineRule="exact"/>
        <w:rPr>
          <w:sz w:val="20"/>
          <w:szCs w:val="20"/>
          <w:color w:val="auto"/>
        </w:rPr>
      </w:pPr>
    </w:p>
    <w:p>
      <w:pPr>
        <w:ind w:left="4" w:right="200" w:firstLine="440"/>
        <w:spacing w:after="0" w:line="269" w:lineRule="auto"/>
        <w:rPr>
          <w:sz w:val="20"/>
          <w:szCs w:val="20"/>
          <w:color w:val="auto"/>
        </w:rPr>
      </w:pPr>
      <w:r>
        <w:rPr>
          <w:rFonts w:ascii="Times New Roman" w:cs="Times New Roman" w:eastAsia="Times New Roman" w:hAnsi="Times New Roman"/>
          <w:sz w:val="17"/>
          <w:szCs w:val="17"/>
          <w:color w:val="auto"/>
        </w:rPr>
        <w:t>Until an amendment, supplement or waiver becomes effective, a consent to it by a Holder of a Note is a continuing consent by the Holder of a Note and every subsequent Holder of a Note or portion of a Note that evidences the same debt as the consenting Holder’s Note, even if notation of the consent is not made on any Note. However, any such Holder of a Note or subsequent Holder of a Note may revoke the consent as to its Note if the Trustee receives written notice of revocation before the date the amendment, supplement or waiver becomes effective. An amendment, supplement or waiver becomes effective in accordance with its terms and thereafter binds every Holder unless it makes a change described in any of clauses</w:t>
      </w:r>
    </w:p>
    <w:p>
      <w:pPr>
        <w:spacing w:after="0" w:line="3" w:lineRule="exact"/>
        <w:rPr>
          <w:sz w:val="20"/>
          <w:szCs w:val="20"/>
          <w:color w:val="auto"/>
        </w:rPr>
      </w:pPr>
    </w:p>
    <w:p>
      <w:pPr>
        <w:ind w:left="4" w:right="280" w:hanging="4"/>
        <w:spacing w:after="0" w:line="255" w:lineRule="auto"/>
        <w:tabs>
          <w:tab w:leader="none" w:pos="249"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(i) of the first paragraph of Section 9.02, in which case, the amendment, supplement or waiver shall bind only each Holder of a Note who has consented to such amendment, supplement or waiver and every subsequent Holder of a Note or portion of a Note that evidences the same indebtedness as the consenting Holder’s Note.</w:t>
      </w:r>
    </w:p>
    <w:p>
      <w:pPr>
        <w:spacing w:after="0" w:line="18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i w:val="1"/>
          <w:iCs w:val="1"/>
          <w:color w:val="auto"/>
        </w:rPr>
        <w:t>Notation on or Exchange of Notes.</w:t>
      </w:r>
    </w:p>
    <w:p>
      <w:pPr>
        <w:spacing w:after="0" w:line="227" w:lineRule="exact"/>
        <w:rPr>
          <w:sz w:val="20"/>
          <w:szCs w:val="20"/>
          <w:color w:val="auto"/>
        </w:rPr>
      </w:pPr>
    </w:p>
    <w:p>
      <w:pPr>
        <w:ind w:left="4" w:right="60" w:firstLine="440"/>
        <w:spacing w:after="0" w:line="266" w:lineRule="auto"/>
        <w:rPr>
          <w:sz w:val="20"/>
          <w:szCs w:val="20"/>
          <w:color w:val="auto"/>
        </w:rPr>
      </w:pPr>
      <w:r>
        <w:rPr>
          <w:rFonts w:ascii="Times New Roman" w:cs="Times New Roman" w:eastAsia="Times New Roman" w:hAnsi="Times New Roman"/>
          <w:sz w:val="18"/>
          <w:szCs w:val="18"/>
          <w:color w:val="auto"/>
        </w:rPr>
        <w:t>The Trustee, at the written direction of the Issuer, may place an appropriate notation about an amendment, supplement or waiver on any Note thereafter authenticated. The Issuer in exchange for all Notes may issue and the Trustee shall, upon receipt of an Authentication Order, authenticate new Notes that reflect the amendment, supplement or waiver.</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Failure to make the appropriate notation or issue a new Note will not affect the validity and effect of such amendment, supplement or waiver.</w:t>
      </w:r>
    </w:p>
    <w:p>
      <w:pPr>
        <w:spacing w:after="0" w:line="22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i w:val="1"/>
          <w:iCs w:val="1"/>
          <w:color w:val="auto"/>
        </w:rPr>
        <w:t>Trustee to Sign Amendments, etc.</w:t>
      </w:r>
    </w:p>
    <w:p>
      <w:pPr>
        <w:spacing w:after="0" w:line="227"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The Trustee will sign any amended or supplemental indenture authorized pursuant to this Article 9 if the amendment or supplement does not adversely affect the rights, duties, protections, indemnities, liabilities or immunities of the Trustee. In executing any amended or supplemental indenture, the Trustee will be entitled to receive and (subject to Section 7.01) will be fully protected in relying upon, in addition to the documents required by Section 12.04, an Officer’s Certificate and an Opinion of Counsel stating that the execution of such amended or supplemental indenture is authorized or permitted by this Indenture and, with respect to the Opinion of Counsel, that such amendment, supplement or waiver is the legal, valid and binding obligation of the Issuer, enforceable against it in accordance with its terms, subject to customary qualifications.</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004"/>
          </w:cols>
          <w:pgMar w:left="436" w:top="270" w:right="459" w:bottom="1440" w:gutter="0" w:footer="0" w:header="0"/>
        </w:sectPr>
      </w:pPr>
    </w:p>
    <w:bookmarkStart w:id="113" w:name="page114"/>
    <w:bookmarkEnd w:id="11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9.06 </w:t>
      </w:r>
      <w:r>
        <w:rPr>
          <w:rFonts w:ascii="Times New Roman" w:cs="Times New Roman" w:eastAsia="Times New Roman" w:hAnsi="Times New Roman"/>
          <w:sz w:val="18"/>
          <w:szCs w:val="18"/>
          <w:i w:val="1"/>
          <w:iCs w:val="1"/>
          <w:color w:val="auto"/>
        </w:rPr>
        <w:t>Effect of Supplemental Indentures.</w:t>
      </w:r>
    </w:p>
    <w:p>
      <w:pPr>
        <w:spacing w:after="0" w:line="227"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Upon the execution of any amended or supplemental indenture under this Article 9, this Indenture shall be modified in accordance therewith, and such amended or supplemental indenture shall form a part of this Indenture for all purposes; and every Holder of Notes theretofore or thereafter authenticated and delivered hereunder shall be bound thereby.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GUARANTEES</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i w:val="1"/>
          <w:iCs w:val="1"/>
          <w:color w:val="auto"/>
        </w:rPr>
        <w:t>Guarantee.</w:t>
      </w:r>
    </w:p>
    <w:p>
      <w:pPr>
        <w:spacing w:after="0" w:line="227" w:lineRule="exact"/>
        <w:rPr>
          <w:sz w:val="20"/>
          <w:szCs w:val="20"/>
          <w:color w:val="auto"/>
        </w:rPr>
      </w:pPr>
    </w:p>
    <w:p>
      <w:pPr>
        <w:ind w:right="280" w:firstLine="987"/>
        <w:spacing w:after="0" w:line="266" w:lineRule="auto"/>
        <w:tabs>
          <w:tab w:leader="none" w:pos="1236"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this Article 10, each of the Guarantors hereby, jointly and severally, unconditionally Guarantees to each Holder of a Note authenticated and delivered by the Trustee and to the Trustee and its successors and assigns, irrespective of the validity and enforceability of this Indenture, the Notes or the obligations of the Issuer hereunder or thereunder, that:</w:t>
      </w:r>
    </w:p>
    <w:p>
      <w:pPr>
        <w:spacing w:after="0" w:line="67" w:lineRule="exact"/>
        <w:rPr>
          <w:rFonts w:ascii="Times New Roman" w:cs="Times New Roman" w:eastAsia="Times New Roman" w:hAnsi="Times New Roman"/>
          <w:sz w:val="18"/>
          <w:szCs w:val="18"/>
          <w:color w:val="auto"/>
        </w:rPr>
      </w:pPr>
    </w:p>
    <w:p>
      <w:pPr>
        <w:jc w:val="both"/>
        <w:ind w:left="440" w:right="160" w:firstLine="419"/>
        <w:spacing w:after="0" w:line="261" w:lineRule="auto"/>
        <w:tabs>
          <w:tab w:leader="none" w:pos="1118"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of, premium on, if any, and interest on, the Notes will be promptly paid in full when due, whether at Stated Maturity, by acceleration, redemption or otherwise, and interest on the overdue principal of, premium on, if any, and interest on, the Notes, if lawful, and all other obligations of the Issuer to the Holders or the Trustee hereunder or thereunder will be promptly paid in full or performed, all in accordance with the terms hereof and thereof; and</w:t>
      </w:r>
    </w:p>
    <w:p>
      <w:pPr>
        <w:spacing w:after="0" w:line="71" w:lineRule="exact"/>
        <w:rPr>
          <w:rFonts w:ascii="Times New Roman" w:cs="Times New Roman" w:eastAsia="Times New Roman" w:hAnsi="Times New Roman"/>
          <w:sz w:val="18"/>
          <w:szCs w:val="18"/>
          <w:color w:val="auto"/>
        </w:rPr>
      </w:pPr>
    </w:p>
    <w:p>
      <w:pPr>
        <w:ind w:left="440" w:right="80" w:firstLine="419"/>
        <w:spacing w:after="0" w:line="282" w:lineRule="auto"/>
        <w:tabs>
          <w:tab w:leader="none" w:pos="1118"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any extension of time of payment or renewal of any Notes or any of such other obligations, that same will be promptly paid in full when due or performed in accordance with the terms of the extension or renewal, whether at Stated Maturity, by acceleration or otherwise.</w:t>
      </w:r>
    </w:p>
    <w:p>
      <w:pPr>
        <w:spacing w:after="0" w:line="162" w:lineRule="exact"/>
        <w:rPr>
          <w:sz w:val="20"/>
          <w:szCs w:val="20"/>
          <w:color w:val="auto"/>
        </w:rPr>
      </w:pPr>
    </w:p>
    <w:p>
      <w:pPr>
        <w:ind w:right="280" w:firstLine="440"/>
        <w:spacing w:after="0" w:line="312" w:lineRule="auto"/>
        <w:rPr>
          <w:sz w:val="20"/>
          <w:szCs w:val="20"/>
          <w:color w:val="auto"/>
        </w:rPr>
      </w:pPr>
      <w:r>
        <w:rPr>
          <w:rFonts w:ascii="Times New Roman" w:cs="Times New Roman" w:eastAsia="Times New Roman" w:hAnsi="Times New Roman"/>
          <w:sz w:val="17"/>
          <w:szCs w:val="17"/>
          <w:color w:val="auto"/>
        </w:rPr>
        <w:t>Failing payment when due of any amount so Guaranteed or any performance so Guaranteed for whatever reason, the Guarantors will be jointly and severally obligated to pay the same immediately. Each Guarantor agrees that this is a Guarantee of payment and not a Guarantee of collection.</w:t>
      </w:r>
    </w:p>
    <w:p>
      <w:pPr>
        <w:spacing w:after="0" w:line="140" w:lineRule="exact"/>
        <w:rPr>
          <w:sz w:val="20"/>
          <w:szCs w:val="20"/>
          <w:color w:val="auto"/>
        </w:rPr>
      </w:pPr>
    </w:p>
    <w:p>
      <w:pPr>
        <w:ind w:firstLine="987"/>
        <w:spacing w:after="0" w:line="255" w:lineRule="auto"/>
        <w:tabs>
          <w:tab w:leader="none" w:pos="1246"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Guarantors hereby agree that their obligations hereunder are unconditional, irrespective of the validity, regularity or enforceability of the Notes or this Indenture, the absence of any action to enforce the same, any waiver or consent by any Holder of the Notes with respect to any provisions hereof or thereof, the recovery of any judgment against the Issuer, any action to enforce the same or any other circumstance which might otherwise constitute a legal or equitable discharge or defense of a guarantor. Each Guarantor hereby waives diligence, presentment, demand of payment, filing of claims with a court in the event of insolvency or bankruptcy of the Issuer, any right to require a proceeding first against the Issuer, protest, notice and all demands whatsoever and covenant that this Guarantee will not be discharged except by complete performance of the obligations contained in the Notes and this Indenture.</w:t>
      </w:r>
    </w:p>
    <w:p>
      <w:pPr>
        <w:spacing w:after="0" w:line="188" w:lineRule="exact"/>
        <w:rPr>
          <w:rFonts w:ascii="Times New Roman" w:cs="Times New Roman" w:eastAsia="Times New Roman" w:hAnsi="Times New Roman"/>
          <w:sz w:val="18"/>
          <w:szCs w:val="18"/>
          <w:color w:val="auto"/>
        </w:rPr>
      </w:pPr>
    </w:p>
    <w:p>
      <w:pPr>
        <w:ind w:right="40" w:firstLine="987"/>
        <w:spacing w:after="0" w:line="266" w:lineRule="auto"/>
        <w:tabs>
          <w:tab w:leader="none" w:pos="1236"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Holder or the Trustee is required by any court or otherwise to return to the Issuer, the Guarantors or any custodian, trustee, liquidator or other similar official acting in relation to either the Issuer or the Guarantors, any amount paid by any of them to the Trustee or such Holder, this Guarantee, to the extent theretofore discharged, will be reinstated in full force and effect.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000"/>
          </w:cols>
          <w:pgMar w:left="440" w:top="268" w:right="459" w:bottom="1440" w:gutter="0" w:footer="0" w:header="0"/>
        </w:sectPr>
      </w:pPr>
    </w:p>
    <w:bookmarkStart w:id="114" w:name="page115"/>
    <w:bookmarkEnd w:id="114"/>
    <w:p>
      <w:pPr>
        <w:ind w:right="40" w:firstLine="987"/>
        <w:spacing w:after="0" w:line="254" w:lineRule="auto"/>
        <w:tabs>
          <w:tab w:leader="none" w:pos="1246"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Guarantor agrees that it will not be entitled to any right of subrogation in relation to the Holders in respect of any obligations Guaranteed hereby until payment in full of all obligations Guaranteed hereby. Each Guarantor further agrees that, as between the Guarantors, on the one hand, and the Holders and the Trustee, on the other hand, (1) the maturity of the obligations Guaranteed hereby may be accelerated as provided in Article 6 for the purposes of this Guarantee, notwithstanding any stay, injunction or other prohibition preventing such acceleration in respect of the obligations Guaranteed hereby, and (2) in the event of any declaration of acceleration of such obligations as provided in Article 6, such obligations (whether or not due and payable) will forthwith become due and payable by the Guarantors for the purpose of this Guarantee. The Guarantors will have the right to seek contribution from any non-paying Guarantor so long as the exercise of such right does not impair the rights of the Holders under the Guarantee.</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10.02 </w:t>
      </w:r>
      <w:r>
        <w:rPr>
          <w:rFonts w:ascii="Times New Roman" w:cs="Times New Roman" w:eastAsia="Times New Roman" w:hAnsi="Times New Roman"/>
          <w:sz w:val="18"/>
          <w:szCs w:val="18"/>
          <w:i w:val="1"/>
          <w:iCs w:val="1"/>
          <w:color w:val="auto"/>
        </w:rPr>
        <w:t>Limitation on Guarantor Liability.</w:t>
      </w:r>
    </w:p>
    <w:p>
      <w:pPr>
        <w:spacing w:after="0" w:line="22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Each Guarantor and, by its acceptance of Notes, each Holder hereby confirm that it is the intention of all such parties that the Guarantee of such Guarantor not constitute a fraudulent transfer or conveyance for purposes of Bankruptcy Law, the Uniform Fraudulent Conveyance Act, the Uniform Fraudulent Transfer Act or any similar federal or state law to the extent applicable to any Guarantee. To effectuate the foregoing intention, the Trustee, the Holders and the Guarantors hereby irrevocably agree that the obligations of such Guarantor will be limited to the maximum amount that will, after giving effect to such maximum amount and all other contingent and fixed liabilities of such Guarantor that are relevant under such laws, and after giving effect to any collections from, rights to receive contribution from or payments made by or on behalf of any other Guarantor in respect of the obligations of such other Guarantor under this Article 10, result in the obligations of such Guarantor under its Guarantee not constituting a fraudulent transfer or conveyance. Until such time as the Notes are paid in full, each Guarantor hereby waives all rights of subrogation or contribution, whether arising by contract or operation of law (including any such right arising under federal Bankruptcy Law) or otherwise by reason of any payment by it pursuant to the provisions of this Article 10.</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10.03 </w:t>
      </w:r>
      <w:r>
        <w:rPr>
          <w:rFonts w:ascii="Times New Roman" w:cs="Times New Roman" w:eastAsia="Times New Roman" w:hAnsi="Times New Roman"/>
          <w:sz w:val="18"/>
          <w:szCs w:val="18"/>
          <w:i w:val="1"/>
          <w:iCs w:val="1"/>
          <w:color w:val="auto"/>
        </w:rPr>
        <w:t>Guarantee Evidenced by Indenture.</w:t>
      </w:r>
    </w:p>
    <w:p>
      <w:pPr>
        <w:spacing w:after="0" w:line="227"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The Guarantee of any Guarantor shall be evidenced solely by its execution and delivery of this Indenture (or, in the case of any Guarantor that is not party to this Indenture on the Issue Date, a supplemental indenture hereto) and not by an endorsement on, or attachment to, any Note or any Guarantee or notation thereof.</w:t>
      </w:r>
    </w:p>
    <w:p>
      <w:pPr>
        <w:spacing w:after="0" w:line="176"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Each Guarantor hereby agrees that its Guarantee set forth in Section 10.01 will remain in full force and effect notwithstanding any failure to endorse on each Note a notation of such Guarantee.</w:t>
      </w:r>
    </w:p>
    <w:p>
      <w:pPr>
        <w:spacing w:after="0" w:line="162"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The delivery of any Note by the Trustee, after the authentication thereof hereunder, will constitute due delivery of the Guarantee set forth in this Indenture on behalf of the Guarantors.</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10.04 </w:t>
      </w:r>
      <w:r>
        <w:rPr>
          <w:rFonts w:ascii="Times New Roman" w:cs="Times New Roman" w:eastAsia="Times New Roman" w:hAnsi="Times New Roman"/>
          <w:sz w:val="18"/>
          <w:szCs w:val="18"/>
          <w:i w:val="1"/>
          <w:iCs w:val="1"/>
          <w:color w:val="auto"/>
        </w:rPr>
        <w:t>Releases.</w:t>
      </w:r>
    </w:p>
    <w:p>
      <w:pPr>
        <w:spacing w:after="0" w:line="227"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in this Indenture, the Guarantee of a Guarantor shall be released, and such Guarantor deemed automatically and unconditionally released and discharged from all of its obligations under this Indenture, in each case, without any further action on the part of the Trustee or any Holder of the Notes:</w:t>
      </w:r>
    </w:p>
    <w:p>
      <w:pPr>
        <w:spacing w:after="0" w:line="68" w:lineRule="exact"/>
        <w:rPr>
          <w:sz w:val="20"/>
          <w:szCs w:val="20"/>
          <w:color w:val="auto"/>
        </w:rPr>
      </w:pPr>
    </w:p>
    <w:p>
      <w:pPr>
        <w:ind w:firstLine="987"/>
        <w:spacing w:after="0" w:line="266" w:lineRule="auto"/>
        <w:tabs>
          <w:tab w:leader="none" w:pos="1236"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sale or other disposition of all or substantially all of the properties or assets of that Guarantor, by way of merger, consolidation or otherwise, to a Person that is not (either before or after giving effect to such transaction) the Issuer or a Restricted Subsidiary of the Issuer, if the sale or other disposition does not violate Section 4.10;</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000"/>
          </w:cols>
          <w:pgMar w:left="440" w:top="270" w:right="459" w:bottom="1440" w:gutter="0" w:footer="0" w:header="0"/>
        </w:sectPr>
      </w:pPr>
    </w:p>
    <w:bookmarkStart w:id="115" w:name="page116"/>
    <w:bookmarkEnd w:id="115"/>
    <w:p>
      <w:pPr>
        <w:ind w:right="160" w:firstLine="987"/>
        <w:spacing w:after="0" w:line="266" w:lineRule="auto"/>
        <w:tabs>
          <w:tab w:leader="none" w:pos="1246"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connection with any sale or other disposition of Capital Stock of that Guarantor to a Person that is not (either before or after giving effect to such transaction) the Issuer or a Restricted Subsidiary of the Issuer, if the sale or other disposition does not violate Section 4.10 and such Guarantor ceases to be a Restricted Subsidiary of the Issuer as a result of the sale or other disposition;</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Issuer designates such Guarantor to be an Unrestricted Subsidiary in accordance with the terms of this Indenture;</w:t>
      </w:r>
    </w:p>
    <w:p>
      <w:pPr>
        <w:spacing w:after="0" w:line="225" w:lineRule="exact"/>
        <w:rPr>
          <w:rFonts w:ascii="Times New Roman" w:cs="Times New Roman" w:eastAsia="Times New Roman" w:hAnsi="Times New Roman"/>
          <w:sz w:val="18"/>
          <w:szCs w:val="18"/>
          <w:color w:val="auto"/>
        </w:rPr>
      </w:pPr>
    </w:p>
    <w:p>
      <w:pPr>
        <w:ind w:right="660" w:firstLine="987"/>
        <w:spacing w:after="0" w:line="282" w:lineRule="auto"/>
        <w:tabs>
          <w:tab w:leader="none" w:pos="1246"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Legal Defeasance or Covenant Defeasance in accordance with Article 8 or satisfaction and discharge of this Indenture in accordance with Article 11;</w:t>
      </w:r>
    </w:p>
    <w:p>
      <w:pPr>
        <w:spacing w:after="0" w:line="15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liquidation or dissolution of such Guarantor,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no Default or Event of Default has occurred that is continuing;</w:t>
      </w:r>
    </w:p>
    <w:p>
      <w:pPr>
        <w:spacing w:after="0" w:line="227" w:lineRule="exact"/>
        <w:rPr>
          <w:rFonts w:ascii="Times New Roman" w:cs="Times New Roman" w:eastAsia="Times New Roman" w:hAnsi="Times New Roman"/>
          <w:sz w:val="18"/>
          <w:szCs w:val="18"/>
          <w:color w:val="auto"/>
        </w:rPr>
      </w:pPr>
    </w:p>
    <w:p>
      <w:pPr>
        <w:ind w:right="240" w:firstLine="987"/>
        <w:spacing w:after="0" w:line="282" w:lineRule="auto"/>
        <w:tabs>
          <w:tab w:leader="none" w:pos="1216"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such Guarantor consolidating with, merging into or transferring all of its properties or assets to the Issuer or another Guarantor, and as a result of, or in connection with, such transaction such Guarantor dissolving or otherwise ceasing to exist; or</w:t>
      </w:r>
    </w:p>
    <w:p>
      <w:pPr>
        <w:spacing w:after="0" w:line="161" w:lineRule="exact"/>
        <w:rPr>
          <w:rFonts w:ascii="Times New Roman" w:cs="Times New Roman" w:eastAsia="Times New Roman" w:hAnsi="Times New Roman"/>
          <w:sz w:val="18"/>
          <w:szCs w:val="18"/>
          <w:color w:val="auto"/>
        </w:rPr>
      </w:pPr>
    </w:p>
    <w:p>
      <w:pPr>
        <w:ind w:right="240" w:firstLine="987"/>
        <w:spacing w:after="0" w:line="282" w:lineRule="auto"/>
        <w:tabs>
          <w:tab w:leader="none" w:pos="1246"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such time as such Guarantor ceases to guarantee or otherwise be an obligor with respect to any other Indebtedness of the Issuer or any other Guarantor in excess of the De Minimis Guaranteed Amount;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no Event of Default has occurred that is continuing.</w:t>
      </w:r>
    </w:p>
    <w:p>
      <w:pPr>
        <w:spacing w:after="0" w:line="162" w:lineRule="exact"/>
        <w:rPr>
          <w:sz w:val="20"/>
          <w:szCs w:val="20"/>
          <w:color w:val="auto"/>
        </w:rPr>
      </w:pPr>
    </w:p>
    <w:p>
      <w:pPr>
        <w:ind w:right="340" w:firstLine="440"/>
        <w:spacing w:after="0" w:line="266" w:lineRule="auto"/>
        <w:rPr>
          <w:sz w:val="20"/>
          <w:szCs w:val="20"/>
          <w:color w:val="auto"/>
        </w:rPr>
      </w:pPr>
      <w:r>
        <w:rPr>
          <w:rFonts w:ascii="Times New Roman" w:cs="Times New Roman" w:eastAsia="Times New Roman" w:hAnsi="Times New Roman"/>
          <w:sz w:val="18"/>
          <w:szCs w:val="18"/>
          <w:color w:val="auto"/>
        </w:rPr>
        <w:t>Any Guarantor not released from its obligations under its Guarantee as provided in this Section 10.04 will remain liable for the full amount of principal of, premium on, if any, and interest on the Notes and for the other obligations of such Guarantor under this Indenture as provided in this Article 10.</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SATISFACTION AND DISCHARGE</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11.01 </w:t>
      </w:r>
      <w:r>
        <w:rPr>
          <w:rFonts w:ascii="Times New Roman" w:cs="Times New Roman" w:eastAsia="Times New Roman" w:hAnsi="Times New Roman"/>
          <w:sz w:val="18"/>
          <w:szCs w:val="18"/>
          <w:i w:val="1"/>
          <w:iCs w:val="1"/>
          <w:color w:val="auto"/>
        </w:rPr>
        <w:t>Satisfaction and Discharge.</w:t>
      </w:r>
    </w:p>
    <w:p>
      <w:pPr>
        <w:spacing w:after="0" w:line="227"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This Indenture will be discharged and will cease to be of further effect as to all Notes issued hereunder (except as to surviving rights of registration of transfer or exchange of the Notes and as otherwise specified in this Article 11), and the Trustee, at the expense of the Issuer, shall execute proper instruments acknowledging such satisfaction and discharge of this Indenture, when:</w:t>
      </w:r>
    </w:p>
    <w:p>
      <w:pPr>
        <w:spacing w:after="0" w:line="68" w:lineRule="exact"/>
        <w:rPr>
          <w:sz w:val="20"/>
          <w:szCs w:val="20"/>
          <w:color w:val="auto"/>
        </w:rPr>
      </w:pPr>
    </w:p>
    <w:p>
      <w:pPr>
        <w:ind w:left="1240" w:hanging="253"/>
        <w:spacing w:after="0"/>
        <w:tabs>
          <w:tab w:leader="none" w:pos="1240"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17" w:lineRule="exact"/>
        <w:rPr>
          <w:rFonts w:ascii="Times New Roman" w:cs="Times New Roman" w:eastAsia="Times New Roman" w:hAnsi="Times New Roman"/>
          <w:sz w:val="18"/>
          <w:szCs w:val="18"/>
          <w:color w:val="auto"/>
        </w:rPr>
      </w:pPr>
    </w:p>
    <w:p>
      <w:pPr>
        <w:ind w:left="440" w:right="540" w:firstLine="419"/>
        <w:spacing w:after="0" w:line="312" w:lineRule="auto"/>
        <w:tabs>
          <w:tab w:leader="none" w:pos="1118" w:val="left"/>
        </w:tabs>
        <w:numPr>
          <w:ilvl w:val="0"/>
          <w:numId w:val="1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Notes that have been authenticated, except lost, stolen or destroyed Notes that have been replaced or paid and Notes for whose payment money has been deposited in trust and thereafter repaid to the Issuer, have been delivered to the Trustee for cancellation; or</w:t>
      </w:r>
    </w:p>
    <w:p>
      <w:pPr>
        <w:spacing w:after="0" w:line="31" w:lineRule="exact"/>
        <w:rPr>
          <w:rFonts w:ascii="Times New Roman" w:cs="Times New Roman" w:eastAsia="Times New Roman" w:hAnsi="Times New Roman"/>
          <w:sz w:val="17"/>
          <w:szCs w:val="17"/>
          <w:color w:val="auto"/>
        </w:rPr>
      </w:pPr>
    </w:p>
    <w:p>
      <w:pPr>
        <w:ind w:left="440" w:firstLine="419"/>
        <w:spacing w:after="0" w:line="281" w:lineRule="auto"/>
        <w:tabs>
          <w:tab w:leader="none" w:pos="1118" w:val="left"/>
        </w:tabs>
        <w:numPr>
          <w:ilvl w:val="0"/>
          <w:numId w:val="1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Notes that have not been delivered to the Trustee for cancellation have become due and payable or will become due and payable within one year by reason of the mailing of a notice of redemption or otherwise and either the Issuer or any Guarantor has irrevocably deposited or caused to be deposited with the Trustee as trust funds in trust solely for the benefit of the Holders, cash in U.S. dollars, non-callable Government Securities, or a combination thereof, in such amounts as will be sufficient, without consideration of any reinvestment of interest, to pay</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000"/>
          </w:cols>
          <w:pgMar w:left="440" w:top="270" w:right="459" w:bottom="1440" w:gutter="0" w:footer="0" w:header="0"/>
        </w:sectPr>
      </w:pPr>
    </w:p>
    <w:bookmarkStart w:id="116" w:name="page117"/>
    <w:bookmarkEnd w:id="116"/>
    <w:p>
      <w:pPr>
        <w:ind w:left="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discharge the entire Indebtedness on the Notes not delivered to the Trustee for cancellation for principal, interest and premium, if any, on the Notes to the date of Stated Maturity or redemption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redemption is made as provided in Section 3.08(b) hereof, (x) the amount of cash in U.S. dollars, non-callable Government Securities, or a combination thereof, that must be irrevocably deposited will be determined using an assumed Applicable Premium calculated as of the date of such deposit and (y) the depositor must irrevocably deposit or cause to be deposited additional money in trust on the redemption date as necessary to pay the Applicable Premium as determined by such date). If there is an adjustment to the Applicable Premium, the Issuer must provide notice of such updated redemption amount to the Holders (with a copy to the Trustee) no later than two Business Days prior to such redemption date and the depositor must irrevocably deposit or cause to be deposited additional money in trust on the redemption date as necessary to pay the Applicable Premium as determined by such date (any such amount, the “</w:t>
      </w:r>
      <w:r>
        <w:rPr>
          <w:rFonts w:ascii="Times New Roman" w:cs="Times New Roman" w:eastAsia="Times New Roman" w:hAnsi="Times New Roman"/>
          <w:sz w:val="18"/>
          <w:szCs w:val="18"/>
          <w:i w:val="1"/>
          <w:iCs w:val="1"/>
          <w:color w:val="auto"/>
        </w:rPr>
        <w:t>Applicable Premium Deficit</w:t>
      </w:r>
      <w:r>
        <w:rPr>
          <w:rFonts w:ascii="Times New Roman" w:cs="Times New Roman" w:eastAsia="Times New Roman" w:hAnsi="Times New Roman"/>
          <w:sz w:val="18"/>
          <w:szCs w:val="18"/>
          <w:color w:val="auto"/>
        </w:rPr>
        <w:t xml:space="preserve">”) (it being understood that any satisfaction and discharge shall be subject to the condition subsequent that such Applicable Premium Deficit is in fact paid);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Trustee shall have no liability whatsoever in the event that such Applicable Premium Deficit is not in fact paid after any satisfaction and discharge of this Indenture and that any Applicable Premium Deficit will be set forth in an Officer’s Certificate delivered to the Trustee simultaneously with the deposit of such Applicable Premium Deficit that confirms that such Applicable Premium Deficit will be applied toward such redemption;</w:t>
      </w:r>
    </w:p>
    <w:p>
      <w:pPr>
        <w:spacing w:after="0" w:line="187" w:lineRule="exact"/>
        <w:rPr>
          <w:sz w:val="20"/>
          <w:szCs w:val="20"/>
          <w:color w:val="auto"/>
        </w:rPr>
      </w:pPr>
    </w:p>
    <w:p>
      <w:pPr>
        <w:ind w:left="1240" w:hanging="253"/>
        <w:spacing w:after="0"/>
        <w:tabs>
          <w:tab w:leader="none" w:pos="124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has paid or caused to be paid all other sums payable by the Issuer under this Indenture; and</w:t>
      </w:r>
    </w:p>
    <w:p>
      <w:pPr>
        <w:spacing w:after="0" w:line="225" w:lineRule="exact"/>
        <w:rPr>
          <w:rFonts w:ascii="Times New Roman" w:cs="Times New Roman" w:eastAsia="Times New Roman" w:hAnsi="Times New Roman"/>
          <w:sz w:val="18"/>
          <w:szCs w:val="18"/>
          <w:color w:val="auto"/>
        </w:rPr>
      </w:pPr>
    </w:p>
    <w:p>
      <w:pPr>
        <w:ind w:right="220" w:firstLine="987"/>
        <w:spacing w:after="0" w:line="282" w:lineRule="auto"/>
        <w:tabs>
          <w:tab w:leader="none" w:pos="1236"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Issuer has delivered irrevocable instructions to the Trustee to apply the deposited money toward the payment of the Notes at Stated Maturity or on the redemption date, as the case may be.</w:t>
      </w:r>
    </w:p>
    <w:p>
      <w:pPr>
        <w:spacing w:after="0" w:line="162"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In addition, the Issuer must deliver an Officer’s Certificate and an Opinion of Counsel to the Trustee stating that all conditions precedent to satisfaction and discharge have been satisfied.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Notwithstanding the satisfaction and discharge of this Indenture, if money or Government Securities have been deposited with the Trustee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subclause (2) of clause (a) of this Section 11.01, the provisions of Sections 11.02 and 8.06 will survive. In addition, nothing in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11.01 will be deemed to discharge those provisions of Section 7.07, that, by their terms, survive the satisfaction and discharge of this Indenture.</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11.02 </w:t>
      </w:r>
      <w:r>
        <w:rPr>
          <w:rFonts w:ascii="Times New Roman" w:cs="Times New Roman" w:eastAsia="Times New Roman" w:hAnsi="Times New Roman"/>
          <w:sz w:val="18"/>
          <w:szCs w:val="18"/>
          <w:i w:val="1"/>
          <w:iCs w:val="1"/>
          <w:color w:val="auto"/>
        </w:rPr>
        <w:t>Application of Trust Money.</w:t>
      </w:r>
    </w:p>
    <w:p>
      <w:pPr>
        <w:spacing w:after="0" w:line="227"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Subject to the provisions of Section 8.06, all money or Government Securities deposited with the Trustee pursuant to Section 11.01 shall be held in trust and applied by it, in accordance with the provisions of the Notes and this Indenture, to the payment, either directly or through any Paying Agent (including the Issuer acting as its own Paying Agent) as the Trustee may determine, to the Persons entitled thereto, of the principal, interest and premium, if any, for whose payment such money or Government Securities have been deposited with the Trustee; but such money or Government Securities need not be segregated from other funds except to the extent required by law.</w:t>
      </w:r>
    </w:p>
    <w:p>
      <w:pPr>
        <w:spacing w:after="0" w:line="183" w:lineRule="exact"/>
        <w:rPr>
          <w:sz w:val="20"/>
          <w:szCs w:val="20"/>
          <w:color w:val="auto"/>
        </w:rPr>
      </w:pPr>
    </w:p>
    <w:p>
      <w:pPr>
        <w:ind w:right="1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If the Trustee or Paying Agent is unable to apply any money or Government Securities in accordance with Section 11.01 by reason of any legal proceeding or by reason of any order or judgment of any court or governmental authority enjoining, restraining or otherwise prohibiting such application, the Issuer’s and any Guarantor’s obligations under this Indenture and the Notes shall be revived and reinstated as though no deposit had occurred pursuant to Section 11.01;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Issuer has made any payment of principal of, premium on, if any, or interest on, any Notes because of the reinstatement of their obligations, the Issuer shall be subrogated to the rights of the Holders of such Notes to receive such payment from the money or Government Securities held by the Trustee or Paying Agent.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000"/>
          </w:cols>
          <w:pgMar w:left="440" w:top="270" w:right="459" w:bottom="1440" w:gutter="0" w:footer="0" w:header="0"/>
        </w:sectPr>
      </w:pPr>
    </w:p>
    <w:bookmarkStart w:id="117" w:name="page118"/>
    <w:bookmarkEnd w:id="117"/>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the above, the Trustee shall pay to the Issuer from time to time upon its request any money or Government Securities held by it as provided in this Section 11.02 which, in the opinion of a nationally recognized firm of independent public accountants expressed in a written certification delivered to the Trustee, are in excess of the amount thereof that would then be required to be deposited to effect satisfaction and discharge under this Article 11.</w:t>
      </w:r>
    </w:p>
    <w:p>
      <w:pPr>
        <w:spacing w:after="0" w:line="18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Subject to applicable law, any money or Government Securities deposited with the Trustee or any Paying Agent, or then held by the Issuer, in trust for the payment of the principal of, premium or interest on any Note and remaining unclaimed for two years after such principal, and premium, if any, or interest has become due and payable shall be paid to the Issuer on its request or (if then held by the Issuer) shall be discharged from such trust; and the Holder of such Note shall thereafter look only to the Issuer for payment thereof, and all liability of the Trustee or such Paying Agent with respect to such trust money, and all liability of the Issuer as trustee thereof, shall thereupon cease.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12.01 </w:t>
      </w:r>
      <w:r>
        <w:rPr>
          <w:rFonts w:ascii="Times New Roman" w:cs="Times New Roman" w:eastAsia="Times New Roman" w:hAnsi="Times New Roman"/>
          <w:sz w:val="18"/>
          <w:szCs w:val="18"/>
          <w:i w:val="1"/>
          <w:iCs w:val="1"/>
          <w:color w:val="auto"/>
        </w:rPr>
        <w:t>[Reserved].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12.02 </w:t>
      </w:r>
      <w:r>
        <w:rPr>
          <w:rFonts w:ascii="Times New Roman" w:cs="Times New Roman" w:eastAsia="Times New Roman" w:hAnsi="Times New Roman"/>
          <w:sz w:val="18"/>
          <w:szCs w:val="18"/>
          <w:i w:val="1"/>
          <w:iCs w:val="1"/>
          <w:color w:val="auto"/>
        </w:rPr>
        <w:t>Notices.</w:t>
      </w:r>
    </w:p>
    <w:p>
      <w:pPr>
        <w:spacing w:after="0" w:line="227"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Any notice or communication by the Issuer, any Guarantor or the Trustee to the others is duly given if in writing in the English language and delivered in Person or by first class mail (registered or certified, return receipt requested), electronic image scan, facsimile transmission or overnight air courier guaranteeing next day delivery, to the others’ address:</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any of the Issuer and the Guarantors: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California Resources Corporation</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 World Trade Center, Suite 1500</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Long Beach, California 90831</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Facsimile No.: (818) 661-3750</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Chief Financial Officer</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the Trustee:</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Wilmington Trust, National Association</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50 South Sixth Street, Suite 1290</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Minneapolis, Minnesota 55402</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Facsimile No.: (612) 217-5651</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California Resources Corporation, Administrator</w:t>
      </w:r>
    </w:p>
    <w:p>
      <w:pPr>
        <w:spacing w:after="0" w:line="207" w:lineRule="exact"/>
        <w:rPr>
          <w:sz w:val="20"/>
          <w:szCs w:val="20"/>
          <w:color w:val="auto"/>
        </w:rPr>
      </w:pPr>
    </w:p>
    <w:p>
      <w:pPr>
        <w:ind w:right="640" w:firstLine="440"/>
        <w:spacing w:after="0" w:line="282" w:lineRule="auto"/>
        <w:rPr>
          <w:sz w:val="20"/>
          <w:szCs w:val="20"/>
          <w:color w:val="auto"/>
        </w:rPr>
      </w:pPr>
      <w:r>
        <w:rPr>
          <w:rFonts w:ascii="Times New Roman" w:cs="Times New Roman" w:eastAsia="Times New Roman" w:hAnsi="Times New Roman"/>
          <w:sz w:val="18"/>
          <w:szCs w:val="18"/>
          <w:color w:val="auto"/>
        </w:rPr>
        <w:t>The Issuer, any Guarantor or the Trustee, by notice to the others, may designate additional or different addresses for subsequent notices or communications. Notices given by publication will be deemed given on the first date on which publication is made.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000"/>
          </w:cols>
          <w:pgMar w:left="440" w:top="270" w:right="459" w:bottom="1440" w:gutter="0" w:footer="0" w:header="0"/>
        </w:sectPr>
      </w:pPr>
    </w:p>
    <w:bookmarkStart w:id="118" w:name="page119"/>
    <w:bookmarkEnd w:id="118"/>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notices and communications (other than those sent to Holders) will be deemed to have been duly given: at the time delivered by hand, if personally delivered; five Business Days after being deposited in the mail, postage prepaid, if mailed; when receipt acknowledged, if transmitted by electronic image scan or facsimile; and the next Business Day after timely delivery to the courier, if sent by overnight air courier guaranteeing next day delivery.</w:t>
      </w:r>
    </w:p>
    <w:p>
      <w:pPr>
        <w:spacing w:after="0" w:line="180"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Any notice or communication to a Holder will be mailed by first class mail, certified or registered, return receipt requested, or by overnight air courier guaranteeing next day delivery, to its address shown on the register kept by the Registrar. Failure to mail a notice or communication to a Holder or any defect in it will not affect its sufficiency with respect to other Holders.</w:t>
      </w:r>
    </w:p>
    <w:p>
      <w:pPr>
        <w:spacing w:after="0" w:line="176"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If a notice or communication is mailed in the manner provided above within the time prescribed, it is duly given, whether or not the addressee receives it.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the Issuer mails a notice or communication to Holders, the Issuer will mail a copy to the Trustee and each Agent at the same time.</w:t>
      </w:r>
    </w:p>
    <w:p>
      <w:pPr>
        <w:spacing w:after="0" w:line="225"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In case by reason of the suspension of regular mail service or by reason of any other cause it shall be impracticable to give such notice by mail, then such notification as shall be made with the approval of the Trustee shall constitute a sufficient notification for every purpose hereunder.</w:t>
      </w:r>
    </w:p>
    <w:p>
      <w:pPr>
        <w:spacing w:after="0" w:line="16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Where this Indenture provides for notice in any manner, such notice may be waived in writing by the Person entitled to receive such notice, either before or after the event, and such waiver shall be the equivalent of such notice. Waivers of notice by the Holders shall be filed with the Trustee, but such filing shall not be a condition precedent to the validity of any action taken in reliance upon such waiver.</w:t>
      </w:r>
    </w:p>
    <w:p>
      <w:pPr>
        <w:spacing w:after="0" w:line="176"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Where this Indenture provides for notice of any event to a Holder of a Global Note, such notice shall be sufficiently given if given to the Depositary for such Note (or its designee), pursuant to its Applicable Procedures, not later than the latest date (if any), and not earlier than the earliest date (if any), prescribed for the giving of such notice.</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12.03 </w:t>
      </w:r>
      <w:r>
        <w:rPr>
          <w:rFonts w:ascii="Times New Roman" w:cs="Times New Roman" w:eastAsia="Times New Roman" w:hAnsi="Times New Roman"/>
          <w:sz w:val="18"/>
          <w:szCs w:val="18"/>
          <w:i w:val="1"/>
          <w:iCs w:val="1"/>
          <w:color w:val="auto"/>
        </w:rPr>
        <w:t>Benefit of Indenture.</w:t>
      </w:r>
    </w:p>
    <w:p>
      <w:pPr>
        <w:spacing w:after="0" w:line="227"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Nothing in this Indenture or in the Notes, express or implied, shall give to any Person, other than the parties hereto, any Paying Agent, any Registrar and their successors hereunder, and the Holders, any benefit or any legal or equitable right, remedy or claim under this Indenture.</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12.04 </w:t>
      </w:r>
      <w:r>
        <w:rPr>
          <w:rFonts w:ascii="Times New Roman" w:cs="Times New Roman" w:eastAsia="Times New Roman" w:hAnsi="Times New Roman"/>
          <w:sz w:val="18"/>
          <w:szCs w:val="18"/>
          <w:i w:val="1"/>
          <w:iCs w:val="1"/>
          <w:color w:val="auto"/>
        </w:rPr>
        <w:t>Certificate and Opinion as to Conditions Precedent.</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Upon any request or application by the Issuer to the Trustee to take any action under this Indenture, the Issuer shall furnish to the Trustee:</w:t>
      </w:r>
    </w:p>
    <w:p>
      <w:pPr>
        <w:spacing w:after="0" w:line="117" w:lineRule="exact"/>
        <w:rPr>
          <w:sz w:val="20"/>
          <w:szCs w:val="20"/>
          <w:color w:val="auto"/>
        </w:rPr>
      </w:pPr>
    </w:p>
    <w:p>
      <w:pPr>
        <w:jc w:val="both"/>
        <w:ind w:right="280" w:firstLine="987"/>
        <w:spacing w:after="0" w:line="266" w:lineRule="auto"/>
        <w:tabs>
          <w:tab w:leader="none" w:pos="1236"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in form and substance reasonably satisfactory to the Trustee (which must include the statements set forth in Section 12.05) stating that, in the opinion of the signers, all conditions precedent and covenants, if any, provided for in this Indenture relating to the proposed action have been satisfied; and</w:t>
      </w:r>
    </w:p>
    <w:p>
      <w:pPr>
        <w:spacing w:after="0" w:line="175" w:lineRule="exact"/>
        <w:rPr>
          <w:rFonts w:ascii="Times New Roman" w:cs="Times New Roman" w:eastAsia="Times New Roman" w:hAnsi="Times New Roman"/>
          <w:sz w:val="18"/>
          <w:szCs w:val="18"/>
          <w:color w:val="auto"/>
        </w:rPr>
      </w:pPr>
    </w:p>
    <w:p>
      <w:pPr>
        <w:ind w:right="300" w:firstLine="987"/>
        <w:spacing w:after="0" w:line="282" w:lineRule="auto"/>
        <w:tabs>
          <w:tab w:leader="none" w:pos="1246"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of Counsel in form and substance reasonably satisfactory to the Trustee (which must include the statements set forth in Section 12.05) stating that, in the opinion of such counsel, all such conditions precedent and covenants have been satisfied.</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0940"/>
          </w:cols>
          <w:pgMar w:left="440" w:top="270" w:right="519" w:bottom="1440" w:gutter="0" w:footer="0" w:header="0"/>
        </w:sectPr>
      </w:pPr>
    </w:p>
    <w:bookmarkStart w:id="119" w:name="page120"/>
    <w:bookmarkEnd w:id="11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12.05 </w:t>
      </w:r>
      <w:r>
        <w:rPr>
          <w:rFonts w:ascii="Times New Roman" w:cs="Times New Roman" w:eastAsia="Times New Roman" w:hAnsi="Times New Roman"/>
          <w:sz w:val="18"/>
          <w:szCs w:val="18"/>
          <w:i w:val="1"/>
          <w:iCs w:val="1"/>
          <w:color w:val="auto"/>
        </w:rPr>
        <w:t>Statements Required in Certificate or Opinion.</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Each certificate or opinion with respect to compliance with a condition or covenant provided for in this Indenture must include:</w:t>
      </w:r>
    </w:p>
    <w:p>
      <w:pPr>
        <w:spacing w:after="0" w:line="117" w:lineRule="exact"/>
        <w:rPr>
          <w:sz w:val="20"/>
          <w:szCs w:val="20"/>
          <w:color w:val="auto"/>
        </w:rPr>
      </w:pPr>
    </w:p>
    <w:p>
      <w:pPr>
        <w:ind w:left="1240" w:hanging="253"/>
        <w:spacing w:after="0"/>
        <w:tabs>
          <w:tab w:leader="none" w:pos="124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the person making such certificate or opinion has read such covenant or condition;</w:t>
      </w:r>
    </w:p>
    <w:p>
      <w:pPr>
        <w:spacing w:after="0" w:line="225" w:lineRule="exact"/>
        <w:rPr>
          <w:rFonts w:ascii="Times New Roman" w:cs="Times New Roman" w:eastAsia="Times New Roman" w:hAnsi="Times New Roman"/>
          <w:sz w:val="18"/>
          <w:szCs w:val="18"/>
          <w:color w:val="auto"/>
        </w:rPr>
      </w:pPr>
    </w:p>
    <w:p>
      <w:pPr>
        <w:ind w:right="320" w:firstLine="987"/>
        <w:spacing w:after="0" w:line="282" w:lineRule="auto"/>
        <w:tabs>
          <w:tab w:leader="none" w:pos="1246"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statement as to the nature and scope of the examination or investigation upon which the statements or opinions contained in such certificate or opinion are based;</w:t>
      </w:r>
    </w:p>
    <w:p>
      <w:pPr>
        <w:spacing w:after="0" w:line="161" w:lineRule="exact"/>
        <w:rPr>
          <w:rFonts w:ascii="Times New Roman" w:cs="Times New Roman" w:eastAsia="Times New Roman" w:hAnsi="Times New Roman"/>
          <w:sz w:val="18"/>
          <w:szCs w:val="18"/>
          <w:color w:val="auto"/>
        </w:rPr>
      </w:pPr>
    </w:p>
    <w:p>
      <w:pPr>
        <w:ind w:right="180" w:firstLine="987"/>
        <w:spacing w:after="0" w:line="282" w:lineRule="auto"/>
        <w:tabs>
          <w:tab w:leader="none" w:pos="1236"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in the opinion of such person, he or she has made such examination or investigation as is necessary to enable him or her to express an informed opinion as to whether or not such covenant or condition has been satisfied; and</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as to whether or not, in the opinion of such person, such condition or covenant has been satisfied.</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80"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Any certificate or opinion of an Officer with respect to any Person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certificate or opinion is based are erroneous. Any such certificate or opinion of, or representation by, counsel may be based, insofar as it relates to factual matters, upon certificates of public officials or upon a certificate or opinion of, or representations by, an Officer or Officers with respect to any Person stating that the information with respect to such factual matters is in the possession of such Person (or, if such Person is a limited partnership, such Person’s general partner) unless such counsel knows, or in the exercise of reasonable care should know, that the certificate or opinion or representations with respect to such matters are erroneous.</w:t>
      </w:r>
    </w:p>
    <w:p>
      <w:pPr>
        <w:spacing w:after="0" w:line="189"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12.06 </w:t>
      </w:r>
      <w:r>
        <w:rPr>
          <w:rFonts w:ascii="Times New Roman" w:cs="Times New Roman" w:eastAsia="Times New Roman" w:hAnsi="Times New Roman"/>
          <w:sz w:val="18"/>
          <w:szCs w:val="18"/>
          <w:i w:val="1"/>
          <w:iCs w:val="1"/>
          <w:color w:val="auto"/>
        </w:rPr>
        <w:t>Rules by Trustee and Agents.</w:t>
      </w:r>
    </w:p>
    <w:p>
      <w:pPr>
        <w:spacing w:after="0" w:line="227"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The Trustee may make reasonable rules for action by or at a meeting of Holders. The Registrar or Paying Agent may make reasonable rules and set reasonable requirements for its functions.</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12.07 </w:t>
      </w:r>
      <w:r>
        <w:rPr>
          <w:rFonts w:ascii="Times New Roman" w:cs="Times New Roman" w:eastAsia="Times New Roman" w:hAnsi="Times New Roman"/>
          <w:sz w:val="18"/>
          <w:szCs w:val="18"/>
          <w:i w:val="1"/>
          <w:iCs w:val="1"/>
          <w:color w:val="auto"/>
        </w:rPr>
        <w:t>No Personal Liability of Directors, Officers, Employees and Members.</w:t>
      </w:r>
    </w:p>
    <w:p>
      <w:pPr>
        <w:spacing w:after="0" w:line="227" w:lineRule="exact"/>
        <w:rPr>
          <w:sz w:val="20"/>
          <w:szCs w:val="20"/>
          <w:color w:val="auto"/>
        </w:rPr>
      </w:pPr>
    </w:p>
    <w:p>
      <w:pPr>
        <w:ind w:right="360" w:firstLine="440"/>
        <w:spacing w:after="0" w:line="261" w:lineRule="auto"/>
        <w:rPr>
          <w:sz w:val="20"/>
          <w:szCs w:val="20"/>
          <w:color w:val="auto"/>
        </w:rPr>
      </w:pPr>
      <w:r>
        <w:rPr>
          <w:rFonts w:ascii="Times New Roman" w:cs="Times New Roman" w:eastAsia="Times New Roman" w:hAnsi="Times New Roman"/>
          <w:sz w:val="18"/>
          <w:szCs w:val="18"/>
          <w:color w:val="auto"/>
        </w:rPr>
        <w:t>No past, present or future director, officer, partner, employee, incorporator, member, manager, stockholder, unitholder or other owner of the Capital Stock of the Issuer or any Guarantor, as such, will have any liability for any obligations of the Issuer or the Guarantors under the Notes, this Indenture or the Guarantees or for any claim based on, in respect of, or by reason of, such obligations or their creation. Each Holder of Notes by accepting a Note waives and releases all such liability. The waiver and release are part of the consideration for issuance of the Notes.</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0980"/>
          </w:cols>
          <w:pgMar w:left="440" w:top="268" w:right="479" w:bottom="1440" w:gutter="0" w:footer="0" w:header="0"/>
        </w:sectPr>
      </w:pPr>
    </w:p>
    <w:bookmarkStart w:id="120" w:name="page121"/>
    <w:bookmarkEnd w:id="12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12.08 </w:t>
      </w:r>
      <w:r>
        <w:rPr>
          <w:rFonts w:ascii="Times New Roman" w:cs="Times New Roman" w:eastAsia="Times New Roman" w:hAnsi="Times New Roman"/>
          <w:sz w:val="18"/>
          <w:szCs w:val="18"/>
          <w:i w:val="1"/>
          <w:iCs w:val="1"/>
          <w:color w:val="auto"/>
        </w:rPr>
        <w:t>Governing Law; Jurisdiction.</w:t>
      </w:r>
    </w:p>
    <w:p>
      <w:pPr>
        <w:spacing w:after="0" w:line="227"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THIS INDENTURE, THE NOTES AND THE GUARANTEES, AND ANY CLAIM, CONTROVERSY OR DISPUTE ARISING UNDER OR RELATED TO THIS INDENTURE, THE NOTES AND THE GUARANTEES, WILL BE GOVERNED BY, AND CONSTRUED IN ACCORDANCE WITH, THE LAWS OF THE STATE OF NEW YORK.</w:t>
      </w:r>
    </w:p>
    <w:p>
      <w:pPr>
        <w:spacing w:after="0" w:line="176"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The parties hereby (a) irrevocably submit to the non-exclusive jurisdiction of any federal or state court sitting in the Borough of Manhattan, the City of New York, (b) waive any objection to laying of venue in any such action or proceeding in such courts, and (c) waive any objection that such courts are an inconvenient forum or do not have jurisdiction over any party.</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12.09 </w:t>
      </w:r>
      <w:r>
        <w:rPr>
          <w:rFonts w:ascii="Times New Roman" w:cs="Times New Roman" w:eastAsia="Times New Roman" w:hAnsi="Times New Roman"/>
          <w:sz w:val="18"/>
          <w:szCs w:val="18"/>
          <w:i w:val="1"/>
          <w:iCs w:val="1"/>
          <w:color w:val="auto"/>
        </w:rPr>
        <w:t>No Adverse Interpretation of Other Agreements.</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Indenture may not be used to interpret any other indenture, loan or debt agreement of the Issuer or its Subsidiaries or of any other Person.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such indenture, loan or debt agreement may not be used to interpret this Indenture.</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12.10 </w:t>
      </w:r>
      <w:r>
        <w:rPr>
          <w:rFonts w:ascii="Times New Roman" w:cs="Times New Roman" w:eastAsia="Times New Roman" w:hAnsi="Times New Roman"/>
          <w:sz w:val="18"/>
          <w:szCs w:val="18"/>
          <w:i w:val="1"/>
          <w:iCs w:val="1"/>
          <w:color w:val="auto"/>
        </w:rPr>
        <w:t>Successors.</w:t>
      </w:r>
    </w:p>
    <w:p>
      <w:pPr>
        <w:spacing w:after="0" w:line="227"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All agreements of the Issuer in this Indenture and the Notes will bind its successors. All agreements of the Trustee in this Indenture will bind its successors. All agreements of each Guarantor in this Indenture will bind its successors, except as otherwise provided in Section 10.04.</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12.11 </w:t>
      </w:r>
      <w:r>
        <w:rPr>
          <w:rFonts w:ascii="Times New Roman" w:cs="Times New Roman" w:eastAsia="Times New Roman" w:hAnsi="Times New Roman"/>
          <w:sz w:val="18"/>
          <w:szCs w:val="18"/>
          <w:i w:val="1"/>
          <w:iCs w:val="1"/>
          <w:color w:val="auto"/>
        </w:rPr>
        <w:t>Severability; Entire Agreement.</w:t>
      </w:r>
    </w:p>
    <w:p>
      <w:pPr>
        <w:spacing w:after="0" w:line="227"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In case any provision in this Indenture or in the Notes is invalid, illegal or unenforceable, the validity, legality and enforceability of the remaining provisions will not in any way be affected or impaired thereby. This Indenture and the Exhibits hereto set forth the entire agreement and understanding of the parties related to this transaction and supersedes all prior agreements and understandings, oral and written.</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12.12 </w:t>
      </w:r>
      <w:r>
        <w:rPr>
          <w:rFonts w:ascii="Times New Roman" w:cs="Times New Roman" w:eastAsia="Times New Roman" w:hAnsi="Times New Roman"/>
          <w:sz w:val="18"/>
          <w:szCs w:val="18"/>
          <w:i w:val="1"/>
          <w:iCs w:val="1"/>
          <w:color w:val="auto"/>
        </w:rPr>
        <w:t>Counterpart Originals.</w:t>
      </w:r>
    </w:p>
    <w:p>
      <w:pPr>
        <w:spacing w:after="0" w:line="22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The parties may sign any number of copies of this Indenture, and each party hereto may sign any number of separate copies of this Indenture. Each signed copy shall be an original, but all of them together represent the same agreement.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 other than authentication of the Notes by the Trustee. The words “execution,” “signed,” “signature,” “delivery,” and words of like import in or relating to this Indenture, other than the certificate of authentication of the Notes by the Trustee, or any document to be signed in connection with this Indenture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anything to the contrary set forth herein, the Trustee is under no obligation to agree to accept electronic signatures in any form or format unless expressly agreed to by the Trustee pursuant to procedures approved by the Trustee.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000"/>
          </w:cols>
          <w:pgMar w:left="440" w:top="268" w:right="459" w:bottom="1440" w:gutter="0" w:footer="0" w:header="0"/>
        </w:sectPr>
      </w:pPr>
    </w:p>
    <w:bookmarkStart w:id="121" w:name="page122"/>
    <w:bookmarkEnd w:id="12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12.13 </w:t>
      </w:r>
      <w:r>
        <w:rPr>
          <w:rFonts w:ascii="Times New Roman" w:cs="Times New Roman" w:eastAsia="Times New Roman" w:hAnsi="Times New Roman"/>
          <w:sz w:val="18"/>
          <w:szCs w:val="18"/>
          <w:i w:val="1"/>
          <w:iCs w:val="1"/>
          <w:color w:val="auto"/>
        </w:rPr>
        <w:t>Table of Contents, Headings, etc.</w:t>
      </w:r>
    </w:p>
    <w:p>
      <w:pPr>
        <w:spacing w:after="0" w:line="227"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The Table of Contents and headings of the Articles and Sections of this Indenture have been inserted for convenience of reference only, are not to be considered a part of this Indenture and will in no way modify or restrict any of the terms or provisions hereof.</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12.14 </w:t>
      </w:r>
      <w:r>
        <w:rPr>
          <w:rFonts w:ascii="Times New Roman" w:cs="Times New Roman" w:eastAsia="Times New Roman" w:hAnsi="Times New Roman"/>
          <w:sz w:val="18"/>
          <w:szCs w:val="18"/>
          <w:i w:val="1"/>
          <w:iCs w:val="1"/>
          <w:color w:val="auto"/>
        </w:rPr>
        <w:t>Payment Date Other Than a Business Day.</w:t>
      </w:r>
    </w:p>
    <w:p>
      <w:pPr>
        <w:spacing w:after="0" w:line="227"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If any payment with respect to any principal of, premium on, if any, or interest on, any Note is due on a day which is not a Business Day, then the payment need not be made on such date, but may be made on the next Business Day with the same force and effect as if made on such date, and no interest will accrue for the intervening period.</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12.15 </w:t>
      </w:r>
      <w:r>
        <w:rPr>
          <w:rFonts w:ascii="Times New Roman" w:cs="Times New Roman" w:eastAsia="Times New Roman" w:hAnsi="Times New Roman"/>
          <w:sz w:val="18"/>
          <w:szCs w:val="18"/>
          <w:i w:val="1"/>
          <w:iCs w:val="1"/>
          <w:color w:val="auto"/>
        </w:rPr>
        <w:t>Action by Holders.</w:t>
      </w:r>
    </w:p>
    <w:p>
      <w:pPr>
        <w:spacing w:after="0" w:line="227" w:lineRule="exact"/>
        <w:rPr>
          <w:sz w:val="20"/>
          <w:szCs w:val="20"/>
          <w:color w:val="auto"/>
        </w:rPr>
      </w:pPr>
    </w:p>
    <w:p>
      <w:pPr>
        <w:ind w:right="100" w:firstLine="987"/>
        <w:spacing w:after="0" w:line="254" w:lineRule="auto"/>
        <w:tabs>
          <w:tab w:leader="none" w:pos="1236"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demand, authorization, direction, notice, consent, waiver or other action provided by this Indenture to be given, made or taken by the Holders may be embodied in and evidenced by one or more instruments of substantially similar tenor signed by such Holders in person or by agents duly appointed in writing, and may be given, made or taken in connection with a purchase of, or tender offer or exchange offer for, outstanding Notes; and, except as herein otherwise expressly provided, such action shall become effective when such instrument or instruments are delivered to the Trustee and, where it is hereby expressly required, to the Issuer. Such instrument or instruments (and the action embodied therein and evidenced thereby) are herein sometimes referred to as the “</w:t>
      </w:r>
      <w:r>
        <w:rPr>
          <w:rFonts w:ascii="Times New Roman" w:cs="Times New Roman" w:eastAsia="Times New Roman" w:hAnsi="Times New Roman"/>
          <w:sz w:val="18"/>
          <w:szCs w:val="18"/>
          <w:i w:val="1"/>
          <w:iCs w:val="1"/>
          <w:color w:val="auto"/>
        </w:rPr>
        <w:t>Act</w:t>
      </w:r>
      <w:r>
        <w:rPr>
          <w:rFonts w:ascii="Times New Roman" w:cs="Times New Roman" w:eastAsia="Times New Roman" w:hAnsi="Times New Roman"/>
          <w:sz w:val="18"/>
          <w:szCs w:val="18"/>
          <w:color w:val="auto"/>
        </w:rPr>
        <w:t>” of the Holders signing such instrument or instruments. Proof of execution of any such instrument or of a writing appointing any such agent shall be sufficient for any purpose of this Indenture and conclusive in favor of the Trustee and the Issuer if made in the manner provided in this Section 12.15.</w:t>
      </w:r>
    </w:p>
    <w:p>
      <w:pPr>
        <w:spacing w:after="0" w:line="192" w:lineRule="exact"/>
        <w:rPr>
          <w:sz w:val="20"/>
          <w:szCs w:val="20"/>
          <w:color w:val="auto"/>
        </w:rPr>
      </w:pPr>
    </w:p>
    <w:p>
      <w:pPr>
        <w:ind w:firstLine="440"/>
        <w:spacing w:after="0" w:line="271" w:lineRule="auto"/>
        <w:rPr>
          <w:sz w:val="20"/>
          <w:szCs w:val="20"/>
          <w:color w:val="auto"/>
        </w:rPr>
      </w:pPr>
      <w:r>
        <w:rPr>
          <w:rFonts w:ascii="Times New Roman" w:cs="Times New Roman" w:eastAsia="Times New Roman" w:hAnsi="Times New Roman"/>
          <w:sz w:val="17"/>
          <w:szCs w:val="17"/>
          <w:color w:val="auto"/>
        </w:rPr>
        <w:t>Without limiting the generality of this Section 12.15, unless otherwise provided in or pursuant to this Indenture, (i) a Holder, including a Depositary or its nominee that is a Holder of a Global Note, may give, make or take, by an agent or agents duly appointed in writing, any request, demand, authorization, direction, notice, consent, waiver or other Act provided in or pursuant to this Indenture to be given, made or taken by the Holders, and a Depositary or its nominee that is a Holder of a Global Note may duly appoint in writing as its agent or agents members of, or participants in, such Depositary holding interests in such Global Note in the records of such Depositary; and (ii) with respect to any Global Note the Depositary for which is DTC, any consent or other action given, made or taken by an “agent member” of DTC by electronic means in accordance with the Automated Tender Offer Procedures system or other customary procedures of, and pursuant to authorization by, DTC shall be deemed to constitute the “</w:t>
      </w:r>
      <w:r>
        <w:rPr>
          <w:rFonts w:ascii="Times New Roman" w:cs="Times New Roman" w:eastAsia="Times New Roman" w:hAnsi="Times New Roman"/>
          <w:sz w:val="17"/>
          <w:szCs w:val="17"/>
          <w:i w:val="1"/>
          <w:iCs w:val="1"/>
          <w:color w:val="auto"/>
        </w:rPr>
        <w:t>Act</w:t>
      </w:r>
      <w:r>
        <w:rPr>
          <w:rFonts w:ascii="Times New Roman" w:cs="Times New Roman" w:eastAsia="Times New Roman" w:hAnsi="Times New Roman"/>
          <w:sz w:val="17"/>
          <w:szCs w:val="17"/>
          <w:color w:val="auto"/>
        </w:rPr>
        <w:t>” of the Holder of such Global Note, and such Act shall be deemed to have been delivered to the Issuer and the Trustee upon the delivery by DTC of an “agent’s message” or other notice of such consent or other action having been so given, made or taken in accordance with the customary procedures of DTC.</w:t>
      </w:r>
    </w:p>
    <w:p>
      <w:pPr>
        <w:spacing w:after="0" w:line="173" w:lineRule="exact"/>
        <w:rPr>
          <w:sz w:val="20"/>
          <w:szCs w:val="20"/>
          <w:color w:val="auto"/>
        </w:rPr>
      </w:pPr>
    </w:p>
    <w:p>
      <w:pPr>
        <w:ind w:right="20" w:firstLine="987"/>
        <w:spacing w:after="0" w:line="256" w:lineRule="auto"/>
        <w:tabs>
          <w:tab w:leader="none" w:pos="1246"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such witness, notary or officer the execution thereof. Where such execution is by a signer acting in a capacity other than his individual capacity, such certificate or affidavit shall also constitute sufficient proof of authority. The fact and date of the execution of any such instrument or writing, or the authority of the Person executing the same, may also be proved in any other manner which the Trustee deems sufficient.</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0960"/>
          </w:cols>
          <w:pgMar w:left="440" w:top="268" w:right="499" w:bottom="1440" w:gutter="0" w:footer="0" w:header="0"/>
        </w:sectPr>
      </w:pPr>
    </w:p>
    <w:bookmarkStart w:id="122" w:name="page123"/>
    <w:bookmarkEnd w:id="122"/>
    <w:p>
      <w:pPr>
        <w:ind w:right="20" w:firstLine="987"/>
        <w:spacing w:after="0" w:line="266" w:lineRule="auto"/>
        <w:tabs>
          <w:tab w:leader="none" w:pos="1236"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anything to the contrary contained in this Section 12.15 or elsewhere in this Indenture, the principal amount and serial numbers of Notes held by any Holder, and the date of holding the same, shall be proved by the register of the Notes maintained by the Registrar as provided in Section 2.03.</w:t>
      </w:r>
    </w:p>
    <w:p>
      <w:pPr>
        <w:spacing w:after="0" w:line="175" w:lineRule="exact"/>
        <w:rPr>
          <w:rFonts w:ascii="Times New Roman" w:cs="Times New Roman" w:eastAsia="Times New Roman" w:hAnsi="Times New Roman"/>
          <w:sz w:val="18"/>
          <w:szCs w:val="18"/>
          <w:color w:val="auto"/>
        </w:rPr>
      </w:pPr>
    </w:p>
    <w:p>
      <w:pPr>
        <w:ind w:firstLine="987"/>
        <w:spacing w:after="0" w:line="253" w:lineRule="auto"/>
        <w:tabs>
          <w:tab w:leader="none" w:pos="1246"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Issuer shall solicit from the Holders of the Notes any request, demand, authorization, direction, notice, consent, waiver or other Act, the Issuer may, at its option, by or pursuant to a resolution of its Board of Directors, fix in advance a record date for the determination of the Holders entitled to give, make or take such request, demand, authorization, direction, notice, consent, waiver or other Act, but the Issuer shall have no obligation to do so. Such record date shall be the record date specified in or pursuant to such resolution, which shall be a date not earlier than the date 30 days prior to the first solicitation of the Holders generally in connection therewith or the date of the most recent list of the Holders forwarded to the Trustee prior to such solicitation pursuant to Section 2.05 and not later than the date such solicitation is completed. If such a record date is fixed, then notwithstanding the second sentence of Section 9.04, any instrument embodying and evidencing such request, demand, authorization, direction, notice, consent, waiver or other Act may be executed before or after such record date, but only the Holders of record at the close of business on such record date (whether or not such Persons were Holders before, or continue to be Holders after, such record date) shall be deemed to be Holders for the purposes of determining whether Holders of the requisite proportion of the then outstanding Notes have given, made or taken such request, demand, authorization, direction, notice, consent, waiver or other Act, and for that purpose the then outstanding Notes shall be computed as of such record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Act by the Holders of record on any record date shall be deemed effective unless it shall become effective pursuant to the provisions of this Indenture not later than eleven months after such record date.</w:t>
      </w:r>
    </w:p>
    <w:p>
      <w:pPr>
        <w:spacing w:after="0" w:line="187" w:lineRule="exact"/>
        <w:rPr>
          <w:rFonts w:ascii="Times New Roman" w:cs="Times New Roman" w:eastAsia="Times New Roman" w:hAnsi="Times New Roman"/>
          <w:sz w:val="18"/>
          <w:szCs w:val="18"/>
          <w:color w:val="auto"/>
        </w:rPr>
      </w:pPr>
    </w:p>
    <w:p>
      <w:pPr>
        <w:ind w:firstLine="987"/>
        <w:spacing w:after="0" w:line="261" w:lineRule="auto"/>
        <w:tabs>
          <w:tab w:leader="none" w:pos="1236"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9.04, any request, demand, authorization, direction, notice, consent, waiver or other Act of the Holder of any Note shall bind every future Holder of the same Note and the Holder of every Note issued upon the registration or transfer thereof or in exchange therefor or in lieu thereof in respect of anything done, omitted or suffered to be done by the Trustee or the Issuer in reliance thereon, whether or not notation of such action is made upon such Note.</w:t>
      </w:r>
    </w:p>
    <w:p>
      <w:pPr>
        <w:spacing w:after="0" w:line="179" w:lineRule="exact"/>
        <w:rPr>
          <w:rFonts w:ascii="Times New Roman" w:cs="Times New Roman" w:eastAsia="Times New Roman" w:hAnsi="Times New Roman"/>
          <w:sz w:val="18"/>
          <w:szCs w:val="18"/>
          <w:color w:val="auto"/>
        </w:rPr>
      </w:pPr>
    </w:p>
    <w:p>
      <w:pPr>
        <w:ind w:right="80" w:firstLine="987"/>
        <w:spacing w:after="0" w:line="266" w:lineRule="auto"/>
        <w:tabs>
          <w:tab w:leader="none" w:pos="1216"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foregoing, a Holder entitled hereunder to give, make or take any action hereunder with regard to any particular Note may do so itself with regard to all or any part of the principal amount of such Note or by one or more duly appointed agents each of which may do so pursuant to such appointment with regard to all or any part of such principal amount.</w:t>
      </w:r>
    </w:p>
    <w:p>
      <w:pPr>
        <w:spacing w:after="0" w:line="175" w:lineRule="exact"/>
        <w:rPr>
          <w:rFonts w:ascii="Times New Roman" w:cs="Times New Roman" w:eastAsia="Times New Roman" w:hAnsi="Times New Roman"/>
          <w:sz w:val="18"/>
          <w:szCs w:val="18"/>
          <w:color w:val="auto"/>
        </w:rPr>
      </w:pPr>
    </w:p>
    <w:p>
      <w:pPr>
        <w:ind w:right="540" w:firstLine="987"/>
        <w:spacing w:after="0" w:line="282" w:lineRule="auto"/>
        <w:tabs>
          <w:tab w:leader="none" w:pos="1246"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Indenture, any action by the Holders which may be taken in writing may be taken by electronic means or as otherwise reasonably acceptable to the Trustee.</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12.16 </w:t>
      </w:r>
      <w:r>
        <w:rPr>
          <w:rFonts w:ascii="Times New Roman" w:cs="Times New Roman" w:eastAsia="Times New Roman" w:hAnsi="Times New Roman"/>
          <w:sz w:val="18"/>
          <w:szCs w:val="18"/>
          <w:i w:val="1"/>
          <w:iCs w:val="1"/>
          <w:color w:val="auto"/>
        </w:rPr>
        <w:t>Waiver of Jury Trial</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340" w:firstLine="440"/>
        <w:spacing w:after="0" w:line="261" w:lineRule="auto"/>
        <w:rPr>
          <w:sz w:val="20"/>
          <w:szCs w:val="20"/>
          <w:color w:val="auto"/>
        </w:rPr>
      </w:pPr>
      <w:r>
        <w:rPr>
          <w:rFonts w:ascii="Times New Roman" w:cs="Times New Roman" w:eastAsia="Times New Roman" w:hAnsi="Times New Roman"/>
          <w:sz w:val="18"/>
          <w:szCs w:val="18"/>
          <w:color w:val="auto"/>
        </w:rPr>
        <w:t>EACH OF THE ISSUER, THE GUARANTORS, THE HOLDERS AND THE TRUSTEE HEREBY IRREVOCABLY WAIVES, TO THE FULLEST EXTENT PERMITTED BY APPLICABLE LAW, ANY AND ALL RIGHT TO TRIAL BY JURY IN ANY LEGAL PROCEEDING ARISING OUT OF OR RELATING TO THIS INDENTURE, THE NOTES, THE GUARANTEES OR THE TRANSACTION CONTEMPLATED HEREBY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000"/>
          </w:cols>
          <w:pgMar w:left="440" w:top="270" w:right="459" w:bottom="1440" w:gutter="0" w:footer="0" w:header="0"/>
        </w:sectPr>
      </w:pPr>
    </w:p>
    <w:bookmarkStart w:id="123" w:name="page124"/>
    <w:bookmarkEnd w:id="12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12.17 </w:t>
      </w:r>
      <w:r>
        <w:rPr>
          <w:rFonts w:ascii="Times New Roman" w:cs="Times New Roman" w:eastAsia="Times New Roman" w:hAnsi="Times New Roman"/>
          <w:sz w:val="18"/>
          <w:szCs w:val="18"/>
          <w:i w:val="1"/>
          <w:iCs w:val="1"/>
          <w:color w:val="auto"/>
        </w:rPr>
        <w:t>Electronic Delivery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The Trustee shall have the right to accept and act upon instructions, including funds transfer instructions (“</w:t>
      </w:r>
      <w:r>
        <w:rPr>
          <w:rFonts w:ascii="Times New Roman" w:cs="Times New Roman" w:eastAsia="Times New Roman" w:hAnsi="Times New Roman"/>
          <w:sz w:val="18"/>
          <w:szCs w:val="18"/>
          <w:i w:val="1"/>
          <w:iCs w:val="1"/>
          <w:color w:val="auto"/>
        </w:rPr>
        <w:t>Instructions</w:t>
      </w:r>
      <w:r>
        <w:rPr>
          <w:rFonts w:ascii="Times New Roman" w:cs="Times New Roman" w:eastAsia="Times New Roman" w:hAnsi="Times New Roman"/>
          <w:sz w:val="18"/>
          <w:szCs w:val="18"/>
          <w:color w:val="auto"/>
        </w:rPr>
        <w:t xml:space="preserve">”) given pursuant to this Indenture and delivered using Electronic Means;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Issuer and/or any Guarantor shall provide to the an incumbency certificate listing officers with the authority to provide such Instructions (“</w:t>
      </w:r>
      <w:r>
        <w:rPr>
          <w:rFonts w:ascii="Times New Roman" w:cs="Times New Roman" w:eastAsia="Times New Roman" w:hAnsi="Times New Roman"/>
          <w:sz w:val="18"/>
          <w:szCs w:val="18"/>
          <w:i w:val="1"/>
          <w:iCs w:val="1"/>
          <w:color w:val="auto"/>
        </w:rPr>
        <w:t>Authorized Officers</w:t>
      </w:r>
      <w:r>
        <w:rPr>
          <w:rFonts w:ascii="Times New Roman" w:cs="Times New Roman" w:eastAsia="Times New Roman" w:hAnsi="Times New Roman"/>
          <w:sz w:val="18"/>
          <w:szCs w:val="18"/>
          <w:color w:val="auto"/>
        </w:rPr>
        <w:t>”) and containing specimen signatures of such Authorized Officers, which incumbency certificate shall be amended by the Issuer and/or any Guarantor whenever a Person is to be added or deleted from the listing. If the Issuer and/or any Guarantor elects to give the Trustee Instructions using Electronic Means and the Trustee in its discretion elects to act upon such Instructions, the Trustee’s understanding of such Instructions shall be deemed controlling. The Issuer and the Guarantors understand and agree that the Trustee cannot determine the identity of the actual sender of such Instructions and that the Trustee shall conclusively presume that directions that purport to have been sent by an Authorized Officer listed on the incumbency certificate provided to the Trustee have been sent by such Authorized Officer. The Issuer and the Guarantors shall be responsible for ensuring that only Authorized Officers transmit such Instructions to the Trustee and that the Issuer, the Guarantors and all Authorized Officers are solely responsible to safeguard the use and confidentiality of applicable user and authorization codes, passwords and/or authentication keys upon receipt by the Issuer and the Guarantors. The Trustee shall not be liable for any losses, costs or expenses arising directly or indirectly from the Trustee’s reliance upon and compliance with such Instructions notwithstanding such directions conflict or are inconsistent with a subsequent written instruction. The Issuer and the Guarantors agree: (i) to assume all risks arising out of the use of Electronic Means to submit Instructions to the Trustee, including without limitation the risk of the Trustee acting on unauthorized Instructions, and the risk of interception and misuse by third parties; (ii) that it is fully informed of the protections and risks associated with the various methods of transmitting Instructions to the Trustee and that there may be more secure methods of transmitting Instructions than the method(s) selected by the Issuer or the Guarantors; (iii) that the security procedures (if any) to be followed in connection with its transmission of Instructions provide to it a commercially reasonable degree of protection in light of its particular needs and circumstances; and (iv) to notify the Trustee immediately upon learning of any compromise or unauthorized use of the security procedures.</w:t>
      </w:r>
    </w:p>
    <w:p>
      <w:pPr>
        <w:spacing w:after="0" w:line="193"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Notwithstanding any other provision of this Indenture or any Note, where this Indenture or any Note provides for notice of any event or any other communication (including any notice of redemption or repurchase) to a holder of a Global Note (whether by mail or otherwise), such notice shall be sufficiently given if given to the Depositary (or its designee) pursuant to the standing instructions from the Depositary or its designee, including by electronic mail in accordance with accepted practices at the Depositary.</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12.18 </w:t>
      </w:r>
      <w:r>
        <w:rPr>
          <w:rFonts w:ascii="Times New Roman" w:cs="Times New Roman" w:eastAsia="Times New Roman" w:hAnsi="Times New Roman"/>
          <w:sz w:val="18"/>
          <w:szCs w:val="18"/>
          <w:i w:val="1"/>
          <w:iCs w:val="1"/>
          <w:color w:val="auto"/>
        </w:rPr>
        <w:t>Language of Notices, Etc.</w:t>
      </w:r>
    </w:p>
    <w:p>
      <w:pPr>
        <w:spacing w:after="0" w:line="227"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Any request, demand, authorization, direction, notice, consent, waiver or Act required or permitted under this Indenture shall be in the English language, except that any published notice may be in an official language of the country of publication.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[Signatures on following pages]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020"/>
          </w:cols>
          <w:pgMar w:left="440" w:top="268" w:right="439" w:bottom="1440" w:gutter="0" w:footer="0" w:header="0"/>
        </w:sectPr>
      </w:pPr>
    </w:p>
    <w:bookmarkStart w:id="124" w:name="page125"/>
    <w:bookmarkEnd w:id="124"/>
    <w:p>
      <w:pPr>
        <w:jc w:val="center"/>
        <w:ind w:right="-19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as of October 8, 2025</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ALIFORNIA</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ESOURCES</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ORPORATION</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the Issuer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Clio C. Crespy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17145</wp:posOffset>
            </wp:positionV>
            <wp:extent cx="260604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Clio C. Crespy</w:t>
      </w:r>
    </w:p>
    <w:p>
      <w:pPr>
        <w:spacing w:after="0" w:line="23" w:lineRule="exact"/>
        <w:rPr>
          <w:sz w:val="20"/>
          <w:szCs w:val="20"/>
          <w:color w:val="auto"/>
        </w:rPr>
      </w:pPr>
    </w:p>
    <w:p>
      <w:pPr>
        <w:jc w:val="both"/>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Executive Vice President and Chief Financial</w:t>
      </w:r>
    </w:p>
    <w:p>
      <w:pPr>
        <w:spacing w:after="0" w:line="9"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Officer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GUARANTORS:</w:t>
      </w: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ALIFORNIA</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ESOURCES</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LK</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ILLS</w:t>
      </w:r>
      <w:r>
        <w:rPr>
          <w:rFonts w:ascii="Times New Roman" w:cs="Times New Roman" w:eastAsia="Times New Roman" w:hAnsi="Times New Roman"/>
          <w:sz w:val="18"/>
          <w:szCs w:val="18"/>
          <w:b w:val="1"/>
          <w:bCs w:val="1"/>
          <w:color w:val="auto"/>
        </w:rPr>
        <w:t>, LLC</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ALIFORNIA</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ESOURCES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EAL</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STATE</w:t>
      </w:r>
      <w:r>
        <w:rPr>
          <w:rFonts w:ascii="Times New Roman" w:cs="Times New Roman" w:eastAsia="Times New Roman" w:hAnsi="Times New Roman"/>
          <w:sz w:val="18"/>
          <w:szCs w:val="18"/>
          <w:b w:val="1"/>
          <w:bCs w:val="1"/>
          <w:color w:val="auto"/>
        </w:rPr>
        <w:t xml:space="preserve"> V</w:t>
      </w:r>
      <w:r>
        <w:rPr>
          <w:rFonts w:ascii="Times New Roman" w:cs="Times New Roman" w:eastAsia="Times New Roman" w:hAnsi="Times New Roman"/>
          <w:sz w:val="14"/>
          <w:szCs w:val="14"/>
          <w:b w:val="1"/>
          <w:bCs w:val="1"/>
          <w:color w:val="auto"/>
        </w:rPr>
        <w:t>ENTURES</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LLC</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ALIFORNIA</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ESOURCES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OYALTY</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OLDINGS</w:t>
      </w:r>
      <w:r>
        <w:rPr>
          <w:rFonts w:ascii="Times New Roman" w:cs="Times New Roman" w:eastAsia="Times New Roman" w:hAnsi="Times New Roman"/>
          <w:sz w:val="18"/>
          <w:szCs w:val="18"/>
          <w:b w:val="1"/>
          <w:bCs w:val="1"/>
          <w:color w:val="auto"/>
        </w:rPr>
        <w:t>, LLC</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CRC C</w:t>
      </w:r>
      <w:r>
        <w:rPr>
          <w:rFonts w:ascii="Times New Roman" w:cs="Times New Roman" w:eastAsia="Times New Roman" w:hAnsi="Times New Roman"/>
          <w:sz w:val="14"/>
          <w:szCs w:val="14"/>
          <w:b w:val="1"/>
          <w:bCs w:val="1"/>
          <w:color w:val="auto"/>
        </w:rPr>
        <w:t>ONSTRUCTION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ERVICES</w:t>
      </w:r>
      <w:r>
        <w:rPr>
          <w:rFonts w:ascii="Times New Roman" w:cs="Times New Roman" w:eastAsia="Times New Roman" w:hAnsi="Times New Roman"/>
          <w:sz w:val="18"/>
          <w:szCs w:val="18"/>
          <w:b w:val="1"/>
          <w:bCs w:val="1"/>
          <w:color w:val="auto"/>
        </w:rPr>
        <w:t>, LLC</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CRC S</w:t>
      </w:r>
      <w:r>
        <w:rPr>
          <w:rFonts w:ascii="Times New Roman" w:cs="Times New Roman" w:eastAsia="Times New Roman" w:hAnsi="Times New Roman"/>
          <w:sz w:val="14"/>
          <w:szCs w:val="14"/>
          <w:b w:val="1"/>
          <w:bCs w:val="1"/>
          <w:color w:val="auto"/>
        </w:rPr>
        <w:t>ERVICES</w:t>
      </w:r>
      <w:r>
        <w:rPr>
          <w:rFonts w:ascii="Times New Roman" w:cs="Times New Roman" w:eastAsia="Times New Roman" w:hAnsi="Times New Roman"/>
          <w:sz w:val="18"/>
          <w:szCs w:val="18"/>
          <w:b w:val="1"/>
          <w:bCs w:val="1"/>
          <w:color w:val="auto"/>
        </w:rPr>
        <w:t>, LLC</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OCAL</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OLDING</w:t>
      </w:r>
      <w:r>
        <w:rPr>
          <w:rFonts w:ascii="Times New Roman" w:cs="Times New Roman" w:eastAsia="Times New Roman" w:hAnsi="Times New Roman"/>
          <w:sz w:val="18"/>
          <w:szCs w:val="18"/>
          <w:b w:val="1"/>
          <w:bCs w:val="1"/>
          <w:color w:val="auto"/>
        </w:rPr>
        <w:t>, LLC</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C</w:t>
      </w:r>
      <w:r>
        <w:rPr>
          <w:rFonts w:ascii="Times New Roman" w:cs="Times New Roman" w:eastAsia="Times New Roman" w:hAnsi="Times New Roman"/>
          <w:sz w:val="14"/>
          <w:szCs w:val="14"/>
          <w:color w:val="auto"/>
        </w:rPr>
        <w:t>ALIFORNIA</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ESOURCES</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ORPORATION</w:t>
      </w:r>
      <w:r>
        <w:rPr>
          <w:rFonts w:ascii="Times New Roman" w:cs="Times New Roman" w:eastAsia="Times New Roman" w:hAnsi="Times New Roman"/>
          <w:sz w:val="18"/>
          <w:szCs w:val="18"/>
          <w:color w:val="auto"/>
        </w:rPr>
        <w:t>, as sole</w:t>
      </w:r>
    </w:p>
    <w:p>
      <w:pPr>
        <w:spacing w:after="0" w:line="27"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member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Clio C. Crespy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17145</wp:posOffset>
            </wp:positionV>
            <wp:extent cx="260604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Clio C. Crespy</w:t>
      </w:r>
    </w:p>
    <w:p>
      <w:pPr>
        <w:spacing w:after="0" w:line="23" w:lineRule="exact"/>
        <w:rPr>
          <w:sz w:val="20"/>
          <w:szCs w:val="20"/>
          <w:color w:val="auto"/>
        </w:rPr>
      </w:pPr>
    </w:p>
    <w:p>
      <w:pPr>
        <w:jc w:val="both"/>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Executive Vice President and Chief Financial</w:t>
      </w:r>
    </w:p>
    <w:p>
      <w:pPr>
        <w:spacing w:after="0" w:line="9"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Officer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ALIFORNIA</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ESOURCES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ILMINGTON</w:t>
      </w:r>
      <w:r>
        <w:rPr>
          <w:rFonts w:ascii="Times New Roman" w:cs="Times New Roman" w:eastAsia="Times New Roman" w:hAnsi="Times New Roman"/>
          <w:sz w:val="18"/>
          <w:szCs w:val="18"/>
          <w:b w:val="1"/>
          <w:bCs w:val="1"/>
          <w:color w:val="auto"/>
        </w:rPr>
        <w:t>, LLC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C</w:t>
      </w:r>
      <w:r>
        <w:rPr>
          <w:rFonts w:ascii="Times New Roman" w:cs="Times New Roman" w:eastAsia="Times New Roman" w:hAnsi="Times New Roman"/>
          <w:sz w:val="14"/>
          <w:szCs w:val="14"/>
          <w:color w:val="auto"/>
        </w:rPr>
        <w:t>ALIFORNIA</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ESOURCES</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IDELANDS</w:t>
      </w:r>
      <w:r>
        <w:rPr>
          <w:rFonts w:ascii="Times New Roman" w:cs="Times New Roman" w:eastAsia="Times New Roman" w:hAnsi="Times New Roman"/>
          <w:sz w:val="18"/>
          <w:szCs w:val="18"/>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18"/>
          <w:szCs w:val="18"/>
          <w:color w:val="auto"/>
        </w:rPr>
        <w:t>., as sole</w:t>
      </w:r>
    </w:p>
    <w:p>
      <w:pPr>
        <w:spacing w:after="0" w:line="27"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member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Clio C. Crespy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17145</wp:posOffset>
            </wp:positionV>
            <wp:extent cx="260604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Clio C. Crespy</w:t>
      </w:r>
    </w:p>
    <w:p>
      <w:pPr>
        <w:spacing w:after="0" w:line="23" w:lineRule="exact"/>
        <w:rPr>
          <w:sz w:val="20"/>
          <w:szCs w:val="20"/>
          <w:color w:val="auto"/>
        </w:rPr>
      </w:pPr>
    </w:p>
    <w:p>
      <w:pPr>
        <w:jc w:val="both"/>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Executive Vice President and Chief Financial</w:t>
      </w:r>
    </w:p>
    <w:p>
      <w:pPr>
        <w:spacing w:after="0" w:line="9"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Officer</w:t>
      </w:r>
    </w:p>
    <w:p>
      <w:pPr>
        <w:spacing w:after="0" w:line="13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i w:val="1"/>
          <w:iCs w:val="1"/>
          <w:color w:val="auto"/>
        </w:rPr>
        <w:t>[Signature Page to Indenture]</w:t>
      </w:r>
    </w:p>
    <w:p>
      <w:pPr>
        <w:sectPr>
          <w:pgSz w:w="11900" w:h="16838" w:orient="portrait"/>
          <w:cols w:equalWidth="0" w:num="1">
            <w:col w:w="10820"/>
          </w:cols>
          <w:pgMar w:left="440" w:top="270" w:right="639" w:bottom="1440" w:gutter="0" w:footer="0" w:header="0"/>
        </w:sectPr>
      </w:pPr>
    </w:p>
    <w:bookmarkStart w:id="125" w:name="page126"/>
    <w:bookmarkEnd w:id="125"/>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w:t>
      </w:r>
      <w:r>
        <w:rPr>
          <w:rFonts w:ascii="Times New Roman" w:cs="Times New Roman" w:eastAsia="Times New Roman" w:hAnsi="Times New Roman"/>
          <w:sz w:val="14"/>
          <w:szCs w:val="14"/>
          <w:b w:val="1"/>
          <w:bCs w:val="1"/>
          <w:color w:val="auto"/>
        </w:rPr>
        <w:t>ALIFORNIA</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EAVY</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IL</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Clio C. Crespy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17145</wp:posOffset>
            </wp:positionV>
            <wp:extent cx="260604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Clio C. Crespy</w:t>
      </w:r>
    </w:p>
    <w:p>
      <w:pPr>
        <w:spacing w:after="0" w:line="23"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Executive Vice President and Chief Financial</w:t>
      </w:r>
    </w:p>
    <w:p>
      <w:pPr>
        <w:spacing w:after="0" w:line="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Officer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ALIFORNIA</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ESOURCES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ETROLEUM</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ORPORATION</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Clio C. Crespy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17145</wp:posOffset>
            </wp:positionV>
            <wp:extent cx="260604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Clio C. Crespy</w:t>
      </w:r>
    </w:p>
    <w:p>
      <w:pPr>
        <w:spacing w:after="0" w:line="23"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Executive Vice President and Chief Financial</w:t>
      </w:r>
    </w:p>
    <w:p>
      <w:pPr>
        <w:spacing w:after="0" w:line="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Officer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ALIFORNIA</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ESOURCES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RODUCTION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ORPORATION</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Clio C. Crespy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17145</wp:posOffset>
            </wp:positionV>
            <wp:extent cx="260604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Clio C. Crespy</w:t>
      </w:r>
    </w:p>
    <w:p>
      <w:pPr>
        <w:spacing w:after="0" w:line="23"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Executive Vice President and Chief Financial</w:t>
      </w:r>
    </w:p>
    <w:p>
      <w:pPr>
        <w:spacing w:after="0" w:line="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Officer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CRC M</w:t>
      </w:r>
      <w:r>
        <w:rPr>
          <w:rFonts w:ascii="Times New Roman" w:cs="Times New Roman" w:eastAsia="Times New Roman" w:hAnsi="Times New Roman"/>
          <w:sz w:val="14"/>
          <w:szCs w:val="14"/>
          <w:b w:val="1"/>
          <w:bCs w:val="1"/>
          <w:color w:val="auto"/>
        </w:rPr>
        <w:t>ARKETING</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Clio C. Crespy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17145</wp:posOffset>
            </wp:positionV>
            <wp:extent cx="260604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Clio C. Crespy</w:t>
      </w:r>
    </w:p>
    <w:p>
      <w:pPr>
        <w:spacing w:after="0" w:line="23"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Executive Vice President and Chief Financial</w:t>
      </w:r>
    </w:p>
    <w:p>
      <w:pPr>
        <w:spacing w:after="0" w:line="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Officer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OUTHERN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AN</w:t>
      </w:r>
      <w:r>
        <w:rPr>
          <w:rFonts w:ascii="Times New Roman" w:cs="Times New Roman" w:eastAsia="Times New Roman" w:hAnsi="Times New Roman"/>
          <w:sz w:val="18"/>
          <w:szCs w:val="18"/>
          <w:b w:val="1"/>
          <w:bCs w:val="1"/>
          <w:color w:val="auto"/>
        </w:rPr>
        <w:t xml:space="preserve"> J</w:t>
      </w:r>
      <w:r>
        <w:rPr>
          <w:rFonts w:ascii="Times New Roman" w:cs="Times New Roman" w:eastAsia="Times New Roman" w:hAnsi="Times New Roman"/>
          <w:sz w:val="14"/>
          <w:szCs w:val="14"/>
          <w:b w:val="1"/>
          <w:bCs w:val="1"/>
          <w:color w:val="auto"/>
        </w:rPr>
        <w:t>OAQUIN</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RODUCTION</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Clio C. Crespy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17145</wp:posOffset>
            </wp:positionV>
            <wp:extent cx="260604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Clio C. Crespy</w:t>
      </w:r>
    </w:p>
    <w:p>
      <w:pPr>
        <w:spacing w:after="0" w:line="23"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Executive Vice President and Chief Financial</w:t>
      </w:r>
    </w:p>
    <w:p>
      <w:pPr>
        <w:spacing w:after="0" w:line="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Officer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ALIFORNIA</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ESOURCES</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IDELANDS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Clio C. Crespy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17145</wp:posOffset>
            </wp:positionV>
            <wp:extent cx="260604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Clio C. Crespy</w:t>
      </w:r>
    </w:p>
    <w:p>
      <w:pPr>
        <w:spacing w:after="0" w:line="23"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Executive Vice President and Chief Financial</w:t>
      </w:r>
    </w:p>
    <w:p>
      <w:pPr>
        <w:spacing w:after="0" w:line="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Officer</w:t>
      </w:r>
    </w:p>
    <w:p>
      <w:pPr>
        <w:spacing w:after="0" w:line="13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i w:val="1"/>
          <w:iCs w:val="1"/>
          <w:color w:val="auto"/>
        </w:rPr>
        <w:t>[Signature Page to Indenture]</w:t>
      </w:r>
    </w:p>
    <w:p>
      <w:pPr>
        <w:sectPr>
          <w:pgSz w:w="11900" w:h="16838" w:orient="portrait"/>
          <w:cols w:equalWidth="0" w:num="1">
            <w:col w:w="9860"/>
          </w:cols>
          <w:pgMar w:left="1440" w:top="266" w:right="599" w:bottom="1440" w:gutter="0" w:footer="0" w:header="0"/>
        </w:sectPr>
      </w:pPr>
    </w:p>
    <w:bookmarkStart w:id="126" w:name="page127"/>
    <w:bookmarkEnd w:id="126"/>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w:t>
      </w:r>
      <w:r>
        <w:rPr>
          <w:rFonts w:ascii="Times New Roman" w:cs="Times New Roman" w:eastAsia="Times New Roman" w:hAnsi="Times New Roman"/>
          <w:sz w:val="14"/>
          <w:szCs w:val="14"/>
          <w:b w:val="1"/>
          <w:bCs w:val="1"/>
          <w:color w:val="auto"/>
        </w:rPr>
        <w:t>LK</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ILLS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OWER</w:t>
      </w:r>
      <w:r>
        <w:rPr>
          <w:rFonts w:ascii="Times New Roman" w:cs="Times New Roman" w:eastAsia="Times New Roman" w:hAnsi="Times New Roman"/>
          <w:sz w:val="18"/>
          <w:szCs w:val="18"/>
          <w:b w:val="1"/>
          <w:bCs w:val="1"/>
          <w:color w:val="auto"/>
        </w:rPr>
        <w:t>, LLC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C</w:t>
      </w:r>
      <w:r>
        <w:rPr>
          <w:rFonts w:ascii="Times New Roman" w:cs="Times New Roman" w:eastAsia="Times New Roman" w:hAnsi="Times New Roman"/>
          <w:sz w:val="14"/>
          <w:szCs w:val="14"/>
          <w:color w:val="auto"/>
        </w:rPr>
        <w:t>ALIFORNIA</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ESOURCES</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4"/>
          <w:szCs w:val="14"/>
          <w:color w:val="auto"/>
        </w:rPr>
        <w:t>LK</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ILLS</w:t>
      </w:r>
      <w:r>
        <w:rPr>
          <w:rFonts w:ascii="Times New Roman" w:cs="Times New Roman" w:eastAsia="Times New Roman" w:hAnsi="Times New Roman"/>
          <w:sz w:val="18"/>
          <w:szCs w:val="18"/>
          <w:color w:val="auto"/>
        </w:rPr>
        <w:t>, LLC, as sole</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member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Clio C. Crespy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17145</wp:posOffset>
            </wp:positionV>
            <wp:extent cx="260604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Clio C. Crespy</w:t>
      </w:r>
    </w:p>
    <w:p>
      <w:pPr>
        <w:spacing w:after="0" w:line="23" w:lineRule="exact"/>
        <w:rPr>
          <w:sz w:val="20"/>
          <w:szCs w:val="20"/>
          <w:color w:val="auto"/>
        </w:rPr>
      </w:pPr>
    </w:p>
    <w:p>
      <w:pPr>
        <w:jc w:val="both"/>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Executive Vice President and Chief Financial</w:t>
      </w:r>
    </w:p>
    <w:p>
      <w:pPr>
        <w:spacing w:after="0" w:line="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Officer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ERA</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NERGY</w:t>
      </w:r>
      <w:r>
        <w:rPr>
          <w:rFonts w:ascii="Times New Roman" w:cs="Times New Roman" w:eastAsia="Times New Roman" w:hAnsi="Times New Roman"/>
          <w:sz w:val="18"/>
          <w:szCs w:val="18"/>
          <w:b w:val="1"/>
          <w:bCs w:val="1"/>
          <w:color w:val="auto"/>
        </w:rPr>
        <w:t xml:space="preserve"> LLC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Clio C. Crespy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17145</wp:posOffset>
            </wp:positionV>
            <wp:extent cx="260604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Clio C. Crespy</w:t>
      </w:r>
    </w:p>
    <w:p>
      <w:pPr>
        <w:spacing w:after="0" w:line="23" w:lineRule="exact"/>
        <w:rPr>
          <w:sz w:val="20"/>
          <w:szCs w:val="20"/>
          <w:color w:val="auto"/>
        </w:rPr>
      </w:pPr>
    </w:p>
    <w:p>
      <w:pPr>
        <w:jc w:val="both"/>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Executive Vice President and Chief Financial</w:t>
      </w:r>
    </w:p>
    <w:p>
      <w:pPr>
        <w:spacing w:after="0" w:line="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Officer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ERA</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NERGY</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ERVICES</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OMPANY</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Clio C. Crespy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17145</wp:posOffset>
            </wp:positionV>
            <wp:extent cx="260604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Clio C. Crespy</w:t>
      </w:r>
    </w:p>
    <w:p>
      <w:pPr>
        <w:spacing w:after="0" w:line="23" w:lineRule="exact"/>
        <w:rPr>
          <w:sz w:val="20"/>
          <w:szCs w:val="20"/>
          <w:color w:val="auto"/>
        </w:rPr>
      </w:pPr>
    </w:p>
    <w:p>
      <w:pPr>
        <w:jc w:val="both"/>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Executive Vice President and Chief Financial</w:t>
      </w:r>
    </w:p>
    <w:p>
      <w:pPr>
        <w:spacing w:after="0" w:line="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Officer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ERA</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EDERAL</w:t>
      </w:r>
      <w:r>
        <w:rPr>
          <w:rFonts w:ascii="Times New Roman" w:cs="Times New Roman" w:eastAsia="Times New Roman" w:hAnsi="Times New Roman"/>
          <w:sz w:val="18"/>
          <w:szCs w:val="18"/>
          <w:b w:val="1"/>
          <w:bCs w:val="1"/>
          <w:color w:val="auto"/>
        </w:rPr>
        <w:t xml:space="preserve"> LLC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Clio C. Crespy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17145</wp:posOffset>
            </wp:positionV>
            <wp:extent cx="260604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Clio C. Crespy</w:t>
      </w:r>
    </w:p>
    <w:p>
      <w:pPr>
        <w:spacing w:after="0" w:line="23" w:lineRule="exact"/>
        <w:rPr>
          <w:sz w:val="20"/>
          <w:szCs w:val="20"/>
          <w:color w:val="auto"/>
        </w:rPr>
      </w:pPr>
    </w:p>
    <w:p>
      <w:pPr>
        <w:jc w:val="both"/>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Executive Vice President and Chief Financial</w:t>
      </w:r>
    </w:p>
    <w:p>
      <w:pPr>
        <w:spacing w:after="0" w:line="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Officer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4"/>
          <w:szCs w:val="14"/>
          <w:b w:val="1"/>
          <w:bCs w:val="1"/>
          <w:color w:val="auto"/>
        </w:rPr>
        <w:t>ELRIDGE</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ARMS</w:t>
      </w:r>
      <w:r>
        <w:rPr>
          <w:rFonts w:ascii="Times New Roman" w:cs="Times New Roman" w:eastAsia="Times New Roman" w:hAnsi="Times New Roman"/>
          <w:sz w:val="18"/>
          <w:szCs w:val="18"/>
          <w:b w:val="1"/>
          <w:bCs w:val="1"/>
          <w:color w:val="auto"/>
        </w:rPr>
        <w:t xml:space="preserve"> &amp; P</w:t>
      </w:r>
      <w:r>
        <w:rPr>
          <w:rFonts w:ascii="Times New Roman" w:cs="Times New Roman" w:eastAsia="Times New Roman" w:hAnsi="Times New Roman"/>
          <w:sz w:val="14"/>
          <w:szCs w:val="14"/>
          <w:b w:val="1"/>
          <w:bCs w:val="1"/>
          <w:color w:val="auto"/>
        </w:rPr>
        <w:t>ACKING</w:t>
      </w:r>
      <w:r>
        <w:rPr>
          <w:rFonts w:ascii="Times New Roman" w:cs="Times New Roman" w:eastAsia="Times New Roman" w:hAnsi="Times New Roman"/>
          <w:sz w:val="18"/>
          <w:szCs w:val="18"/>
          <w:b w:val="1"/>
          <w:bCs w:val="1"/>
          <w:color w:val="auto"/>
        </w:rPr>
        <w:t xml:space="preserve"> LLC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Clio C. Crespy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17145</wp:posOffset>
            </wp:positionV>
            <wp:extent cx="260604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Clio C. Crespy</w:t>
      </w:r>
    </w:p>
    <w:p>
      <w:pPr>
        <w:spacing w:after="0" w:line="23" w:lineRule="exact"/>
        <w:rPr>
          <w:sz w:val="20"/>
          <w:szCs w:val="20"/>
          <w:color w:val="auto"/>
        </w:rPr>
      </w:pPr>
    </w:p>
    <w:p>
      <w:pPr>
        <w:jc w:val="both"/>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Executive Vice President and Chief Financial</w:t>
      </w:r>
    </w:p>
    <w:p>
      <w:pPr>
        <w:spacing w:after="0" w:line="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Officer</w:t>
      </w:r>
    </w:p>
    <w:p>
      <w:pPr>
        <w:spacing w:after="0" w:line="13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i w:val="1"/>
          <w:iCs w:val="1"/>
          <w:color w:val="auto"/>
        </w:rPr>
        <w:t>[Signature Page to Indenture]</w:t>
      </w:r>
    </w:p>
    <w:p>
      <w:pPr>
        <w:sectPr>
          <w:pgSz w:w="11900" w:h="16838" w:orient="portrait"/>
          <w:cols w:equalWidth="0" w:num="1">
            <w:col w:w="9820"/>
          </w:cols>
          <w:pgMar w:left="1440" w:top="266" w:right="639" w:bottom="1440" w:gutter="0" w:footer="0" w:header="0"/>
        </w:sectPr>
      </w:pPr>
    </w:p>
    <w:bookmarkStart w:id="127" w:name="page128"/>
    <w:bookmarkEnd w:id="127"/>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w:t>
      </w:r>
      <w:r>
        <w:rPr>
          <w:rFonts w:ascii="Times New Roman" w:cs="Times New Roman" w:eastAsia="Times New Roman" w:hAnsi="Times New Roman"/>
          <w:sz w:val="14"/>
          <w:szCs w:val="14"/>
          <w:b w:val="1"/>
          <w:bCs w:val="1"/>
          <w:color w:val="auto"/>
        </w:rPr>
        <w:t>REEN</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ATE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NTERMEDIATE</w:t>
      </w:r>
      <w:r>
        <w:rPr>
          <w:rFonts w:ascii="Times New Roman" w:cs="Times New Roman" w:eastAsia="Times New Roman" w:hAnsi="Times New Roman"/>
          <w:sz w:val="18"/>
          <w:szCs w:val="18"/>
          <w:b w:val="1"/>
          <w:bCs w:val="1"/>
          <w:color w:val="auto"/>
        </w:rPr>
        <w:t xml:space="preserve"> LLC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Clio C. Crespy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17145</wp:posOffset>
            </wp:positionV>
            <wp:extent cx="260604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Clio C. Crespy</w:t>
      </w:r>
    </w:p>
    <w:p>
      <w:pPr>
        <w:spacing w:after="0" w:line="23" w:lineRule="exact"/>
        <w:rPr>
          <w:sz w:val="20"/>
          <w:szCs w:val="20"/>
          <w:color w:val="auto"/>
        </w:rPr>
      </w:pPr>
    </w:p>
    <w:p>
      <w:pPr>
        <w:jc w:val="both"/>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Executive Vice President and Chief Financial</w:t>
      </w:r>
    </w:p>
    <w:p>
      <w:pPr>
        <w:spacing w:after="0" w:line="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Officer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REEN</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ATE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AN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RDO</w:t>
      </w:r>
      <w:r>
        <w:rPr>
          <w:rFonts w:ascii="Times New Roman" w:cs="Times New Roman" w:eastAsia="Times New Roman" w:hAnsi="Times New Roman"/>
          <w:sz w:val="18"/>
          <w:szCs w:val="18"/>
          <w:b w:val="1"/>
          <w:bCs w:val="1"/>
          <w:color w:val="auto"/>
        </w:rPr>
        <w:t xml:space="preserve"> LLC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Clio C. Crespy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17145</wp:posOffset>
            </wp:positionV>
            <wp:extent cx="260604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Clio C. Crespy</w:t>
      </w:r>
    </w:p>
    <w:p>
      <w:pPr>
        <w:spacing w:after="0" w:line="23" w:lineRule="exact"/>
        <w:rPr>
          <w:sz w:val="20"/>
          <w:szCs w:val="20"/>
          <w:color w:val="auto"/>
        </w:rPr>
      </w:pPr>
    </w:p>
    <w:p>
      <w:pPr>
        <w:jc w:val="both"/>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Executive Vice President and Chief Financial</w:t>
      </w:r>
    </w:p>
    <w:p>
      <w:pPr>
        <w:spacing w:after="0" w:line="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Officer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REEN</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ATE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ESOURCES</w:t>
      </w:r>
      <w:r>
        <w:rPr>
          <w:rFonts w:ascii="Times New Roman" w:cs="Times New Roman" w:eastAsia="Times New Roman" w:hAnsi="Times New Roman"/>
          <w:sz w:val="18"/>
          <w:szCs w:val="18"/>
          <w:b w:val="1"/>
          <w:bCs w:val="1"/>
          <w:color w:val="auto"/>
        </w:rPr>
        <w:t xml:space="preserve"> E LLC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Clio C. Crespy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17145</wp:posOffset>
            </wp:positionV>
            <wp:extent cx="260604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Clio C. Crespy</w:t>
      </w:r>
    </w:p>
    <w:p>
      <w:pPr>
        <w:spacing w:after="0" w:line="23" w:lineRule="exact"/>
        <w:rPr>
          <w:sz w:val="20"/>
          <w:szCs w:val="20"/>
          <w:color w:val="auto"/>
        </w:rPr>
      </w:pPr>
    </w:p>
    <w:p>
      <w:pPr>
        <w:jc w:val="both"/>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Executive Vice President and Chief Financial</w:t>
      </w:r>
    </w:p>
    <w:p>
      <w:pPr>
        <w:spacing w:after="0" w:line="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Officer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REEN</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ATE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ESOURCES</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OLDINGS</w:t>
      </w:r>
      <w:r>
        <w:rPr>
          <w:rFonts w:ascii="Times New Roman" w:cs="Times New Roman" w:eastAsia="Times New Roman" w:hAnsi="Times New Roman"/>
          <w:sz w:val="18"/>
          <w:szCs w:val="18"/>
          <w:b w:val="1"/>
          <w:bCs w:val="1"/>
          <w:color w:val="auto"/>
        </w:rPr>
        <w:t xml:space="preserve"> LLC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Clio C. Crespy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17145</wp:posOffset>
            </wp:positionV>
            <wp:extent cx="260604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Clio C. Crespy</w:t>
      </w:r>
    </w:p>
    <w:p>
      <w:pPr>
        <w:spacing w:after="0" w:line="23" w:lineRule="exact"/>
        <w:rPr>
          <w:sz w:val="20"/>
          <w:szCs w:val="20"/>
          <w:color w:val="auto"/>
        </w:rPr>
      </w:pPr>
    </w:p>
    <w:p>
      <w:pPr>
        <w:jc w:val="both"/>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Executive Vice President and Chief Financial</w:t>
      </w:r>
    </w:p>
    <w:p>
      <w:pPr>
        <w:spacing w:after="0" w:line="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Officer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REEN</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ATE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ESOURCES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ARENT</w:t>
      </w:r>
      <w:r>
        <w:rPr>
          <w:rFonts w:ascii="Times New Roman" w:cs="Times New Roman" w:eastAsia="Times New Roman" w:hAnsi="Times New Roman"/>
          <w:sz w:val="18"/>
          <w:szCs w:val="18"/>
          <w:b w:val="1"/>
          <w:bCs w:val="1"/>
          <w:color w:val="auto"/>
        </w:rPr>
        <w:t xml:space="preserve"> LLC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Clio C. Crespy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17145</wp:posOffset>
            </wp:positionV>
            <wp:extent cx="260604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Clio C. Crespy</w:t>
      </w:r>
    </w:p>
    <w:p>
      <w:pPr>
        <w:spacing w:after="0" w:line="23" w:lineRule="exact"/>
        <w:rPr>
          <w:sz w:val="20"/>
          <w:szCs w:val="20"/>
          <w:color w:val="auto"/>
        </w:rPr>
      </w:pPr>
    </w:p>
    <w:p>
      <w:pPr>
        <w:jc w:val="both"/>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Executive Vice President and Chief Financial</w:t>
      </w:r>
    </w:p>
    <w:p>
      <w:pPr>
        <w:spacing w:after="0" w:line="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Officer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REEN</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ATE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ESOURCES</w:t>
      </w:r>
      <w:r>
        <w:rPr>
          <w:rFonts w:ascii="Times New Roman" w:cs="Times New Roman" w:eastAsia="Times New Roman" w:hAnsi="Times New Roman"/>
          <w:sz w:val="18"/>
          <w:szCs w:val="18"/>
          <w:b w:val="1"/>
          <w:bCs w:val="1"/>
          <w:color w:val="auto"/>
        </w:rPr>
        <w:t xml:space="preserve"> S LLC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Clio C. Crespy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17145</wp:posOffset>
            </wp:positionV>
            <wp:extent cx="260604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Clio C. Crespy</w:t>
      </w:r>
    </w:p>
    <w:p>
      <w:pPr>
        <w:spacing w:after="0" w:line="23" w:lineRule="exact"/>
        <w:rPr>
          <w:sz w:val="20"/>
          <w:szCs w:val="20"/>
          <w:color w:val="auto"/>
        </w:rPr>
      </w:pPr>
    </w:p>
    <w:p>
      <w:pPr>
        <w:jc w:val="both"/>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Executive Vice President and Chief Financial</w:t>
      </w:r>
    </w:p>
    <w:p>
      <w:pPr>
        <w:spacing w:after="0" w:line="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Officer</w:t>
      </w:r>
    </w:p>
    <w:p>
      <w:pPr>
        <w:spacing w:after="0" w:line="13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i w:val="1"/>
          <w:iCs w:val="1"/>
          <w:color w:val="auto"/>
        </w:rPr>
        <w:t>[Signature Page to Indenture]</w:t>
      </w:r>
    </w:p>
    <w:p>
      <w:pPr>
        <w:sectPr>
          <w:pgSz w:w="11900" w:h="16838" w:orient="portrait"/>
          <w:cols w:equalWidth="0" w:num="1">
            <w:col w:w="9820"/>
          </w:cols>
          <w:pgMar w:left="1440" w:top="266" w:right="639" w:bottom="1440" w:gutter="0" w:footer="0" w:header="0"/>
        </w:sectPr>
      </w:pPr>
    </w:p>
    <w:bookmarkStart w:id="128" w:name="page129"/>
    <w:bookmarkEnd w:id="128"/>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w:t>
      </w:r>
      <w:r>
        <w:rPr>
          <w:rFonts w:ascii="Times New Roman" w:cs="Times New Roman" w:eastAsia="Times New Roman" w:hAnsi="Times New Roman"/>
          <w:sz w:val="14"/>
          <w:szCs w:val="14"/>
          <w:b w:val="1"/>
          <w:bCs w:val="1"/>
          <w:color w:val="auto"/>
        </w:rPr>
        <w:t>ETRA</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ERGER</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UB</w:t>
      </w:r>
      <w:r>
        <w:rPr>
          <w:rFonts w:ascii="Times New Roman" w:cs="Times New Roman" w:eastAsia="Times New Roman" w:hAnsi="Times New Roman"/>
          <w:sz w:val="18"/>
          <w:szCs w:val="18"/>
          <w:b w:val="1"/>
          <w:bCs w:val="1"/>
          <w:color w:val="auto"/>
        </w:rPr>
        <w:t xml:space="preserve"> S, LLC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Clio C. Crespy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17145</wp:posOffset>
            </wp:positionV>
            <wp:extent cx="260604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Clio C. Crespy</w:t>
      </w:r>
    </w:p>
    <w:p>
      <w:pPr>
        <w:spacing w:after="0" w:line="23" w:lineRule="exact"/>
        <w:rPr>
          <w:sz w:val="20"/>
          <w:szCs w:val="20"/>
          <w:color w:val="auto"/>
        </w:rPr>
      </w:pPr>
    </w:p>
    <w:p>
      <w:pPr>
        <w:jc w:val="both"/>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Executive Vice President and Chief Financial</w:t>
      </w:r>
    </w:p>
    <w:p>
      <w:pPr>
        <w:spacing w:after="0" w:line="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Officer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ERRAIN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ECHNOLOGY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Clio C. Crespy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17145</wp:posOffset>
            </wp:positionV>
            <wp:extent cx="260604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Clio C. Crespy</w:t>
      </w:r>
    </w:p>
    <w:p>
      <w:pPr>
        <w:spacing w:after="0" w:line="23" w:lineRule="exact"/>
        <w:rPr>
          <w:sz w:val="20"/>
          <w:szCs w:val="20"/>
          <w:color w:val="auto"/>
        </w:rPr>
      </w:pPr>
    </w:p>
    <w:p>
      <w:pPr>
        <w:jc w:val="both"/>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Executive Vice President and Chief Financial</w:t>
      </w:r>
    </w:p>
    <w:p>
      <w:pPr>
        <w:spacing w:after="0" w:line="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Officer</w:t>
      </w:r>
    </w:p>
    <w:p>
      <w:pPr>
        <w:spacing w:after="0" w:line="13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i w:val="1"/>
          <w:iCs w:val="1"/>
          <w:color w:val="auto"/>
        </w:rPr>
        <w:t>[Signature Page to Indenture]</w:t>
      </w:r>
    </w:p>
    <w:p>
      <w:pPr>
        <w:sectPr>
          <w:pgSz w:w="11900" w:h="16838" w:orient="portrait"/>
          <w:cols w:equalWidth="0" w:num="1">
            <w:col w:w="9820"/>
          </w:cols>
          <w:pgMar w:left="1440" w:top="266" w:right="639" w:bottom="1440" w:gutter="0" w:footer="0" w:header="0"/>
        </w:sectPr>
      </w:pPr>
    </w:p>
    <w:bookmarkStart w:id="129" w:name="page130"/>
    <w:bookmarkEnd w:id="129"/>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WILMINGTON TRUST, NATIONAL ASSOCIATION,</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Trustee</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Barry D. Somrock</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Barry D. Somrock</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2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i w:val="1"/>
          <w:iCs w:val="1"/>
          <w:color w:val="auto"/>
        </w:rPr>
        <w:t>[Signature Page to Indenture]</w:t>
      </w:r>
    </w:p>
    <w:p>
      <w:pPr>
        <w:sectPr>
          <w:pgSz w:w="11900" w:h="16838" w:orient="portrait"/>
          <w:cols w:equalWidth="0" w:num="1">
            <w:col w:w="10020"/>
          </w:cols>
          <w:pgMar w:left="1440" w:top="266" w:right="4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NOTE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[Insert the Global Note Legend, if applicable pursuant to the provisions of the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[Insert the Private Placement Legend, if applicable pursuant to the provisions of the Indenture]</w:t>
      </w:r>
    </w:p>
    <w:p>
      <w:pPr>
        <w:spacing w:after="0" w:line="225" w:lineRule="exact"/>
        <w:rPr>
          <w:sz w:val="20"/>
          <w:szCs w:val="20"/>
          <w:color w:val="auto"/>
        </w:rPr>
      </w:pPr>
    </w:p>
    <w:p>
      <w:pPr>
        <w:ind w:left="5360" w:right="4560" w:hanging="5367"/>
        <w:spacing w:after="0" w:line="456" w:lineRule="auto"/>
        <w:rPr>
          <w:sz w:val="20"/>
          <w:szCs w:val="20"/>
          <w:color w:val="auto"/>
        </w:rPr>
      </w:pPr>
      <w:r>
        <w:rPr>
          <w:rFonts w:ascii="Times New Roman" w:cs="Times New Roman" w:eastAsia="Times New Roman" w:hAnsi="Times New Roman"/>
          <w:sz w:val="18"/>
          <w:szCs w:val="18"/>
          <w:i w:val="1"/>
          <w:iCs w:val="1"/>
          <w:color w:val="auto"/>
        </w:rPr>
        <w:t xml:space="preserve">[Insert the Regulation S Legend, if applicable pursuant to the provisions of the Indenture] </w:t>
      </w:r>
      <w:r>
        <w:rPr>
          <w:rFonts w:ascii="Times New Roman" w:cs="Times New Roman" w:eastAsia="Times New Roman" w:hAnsi="Times New Roman"/>
          <w:sz w:val="18"/>
          <w:szCs w:val="18"/>
          <w:color w:val="auto"/>
        </w:rPr>
        <w:t>A-1</w:t>
      </w:r>
    </w:p>
    <w:p>
      <w:pPr>
        <w:sectPr>
          <w:pgSz w:w="11900" w:h="16838" w:orient="portrait"/>
          <w:cols w:equalWidth="0" w:num="1">
            <w:col w:w="11020"/>
          </w:cols>
          <w:pgMar w:left="440" w:top="270" w:right="439" w:bottom="1440" w:gutter="0" w:footer="0" w:header="0"/>
        </w:sectPr>
      </w:pPr>
    </w:p>
    <w:bookmarkStart w:id="131" w:name="page132"/>
    <w:bookmarkEnd w:id="131"/>
    <w:tbl>
      <w:tblPr>
        <w:tblLayout w:type="fixed"/>
        <w:tblInd w:w="4" w:type="dxa"/>
        <w:tblCellMar>
          <w:top w:w="0" w:type="dxa"/>
          <w:left w:w="0" w:type="dxa"/>
          <w:bottom w:w="0" w:type="dxa"/>
          <w:right w:w="0" w:type="dxa"/>
        </w:tblCellMar>
      </w:tblPr>
      <w:tr>
        <w:trPr>
          <w:trHeight w:val="234"/>
        </w:trPr>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80" w:type="dxa"/>
            <w:vAlign w:val="bottom"/>
          </w:tcPr>
          <w:p>
            <w:pPr>
              <w:jc w:val="center"/>
              <w:ind w:right="1349"/>
              <w:spacing w:after="0"/>
              <w:rPr>
                <w:sz w:val="20"/>
                <w:szCs w:val="20"/>
                <w:color w:val="auto"/>
              </w:rPr>
            </w:pPr>
            <w:r>
              <w:rPr>
                <w:rFonts w:ascii="Times New Roman" w:cs="Times New Roman" w:eastAsia="Times New Roman" w:hAnsi="Times New Roman"/>
                <w:sz w:val="18"/>
                <w:szCs w:val="18"/>
                <w:color w:val="auto"/>
                <w:w w:val="99"/>
              </w:rPr>
              <w:t>[Face of Note]</w:t>
            </w:r>
          </w:p>
        </w:tc>
        <w:tc>
          <w:tcPr>
            <w:tcW w:w="160" w:type="dxa"/>
            <w:vAlign w:val="bottom"/>
          </w:tcPr>
          <w:p>
            <w:pPr>
              <w:spacing w:after="0"/>
              <w:rPr>
                <w:sz w:val="20"/>
                <w:szCs w:val="20"/>
                <w:color w:val="auto"/>
              </w:rPr>
            </w:pPr>
          </w:p>
        </w:tc>
      </w:tr>
      <w:tr>
        <w:trPr>
          <w:trHeight w:val="414"/>
        </w:trPr>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80" w:type="dxa"/>
            <w:vAlign w:val="bottom"/>
          </w:tcPr>
          <w:p>
            <w:pPr>
              <w:jc w:val="center"/>
              <w:ind w:left="8449"/>
              <w:spacing w:after="0"/>
              <w:rPr>
                <w:sz w:val="20"/>
                <w:szCs w:val="20"/>
                <w:color w:val="auto"/>
              </w:rPr>
            </w:pPr>
            <w:r>
              <w:rPr>
                <w:rFonts w:ascii="Times New Roman" w:cs="Times New Roman" w:eastAsia="Times New Roman" w:hAnsi="Times New Roman"/>
                <w:sz w:val="18"/>
                <w:szCs w:val="18"/>
                <w:color w:val="auto"/>
                <w:w w:val="82"/>
              </w:rPr>
              <w:t>CUSIP [ 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80" w:type="dxa"/>
            <w:vAlign w:val="bottom"/>
          </w:tcPr>
          <w:p>
            <w:pPr>
              <w:jc w:val="center"/>
              <w:ind w:left="8449"/>
              <w:spacing w:after="0"/>
              <w:rPr>
                <w:sz w:val="20"/>
                <w:szCs w:val="20"/>
                <w:color w:val="auto"/>
              </w:rPr>
            </w:pPr>
            <w:r>
              <w:rPr>
                <w:rFonts w:ascii="Times New Roman" w:cs="Times New Roman" w:eastAsia="Times New Roman" w:hAnsi="Times New Roman"/>
                <w:sz w:val="18"/>
                <w:szCs w:val="18"/>
                <w:color w:val="auto"/>
                <w:w w:val="78"/>
              </w:rPr>
              <w:t>ISIN [ </w:t>
            </w:r>
          </w:p>
        </w:tc>
        <w:tc>
          <w:tcPr>
            <w:tcW w:w="160" w:type="dxa"/>
            <w:vAlign w:val="bottom"/>
          </w:tcPr>
          <w:p>
            <w:pPr>
              <w:jc w:val="right"/>
              <w:spacing w:after="0"/>
              <w:rPr>
                <w:sz w:val="20"/>
                <w:szCs w:val="20"/>
                <w:color w:val="auto"/>
              </w:rPr>
            </w:pPr>
            <w:r>
              <w:rPr>
                <w:rFonts w:ascii="Times New Roman" w:cs="Times New Roman" w:eastAsia="Times New Roman" w:hAnsi="Times New Roman"/>
                <w:sz w:val="35"/>
                <w:szCs w:val="35"/>
                <w:color w:val="auto"/>
                <w:w w:val="97"/>
                <w:vertAlign w:val="subscript"/>
              </w:rPr>
              <w:t>]</w:t>
            </w:r>
            <w:r>
              <w:rPr>
                <w:rFonts w:ascii="Times New Roman" w:cs="Times New Roman" w:eastAsia="Times New Roman" w:hAnsi="Times New Roman"/>
                <w:sz w:val="13"/>
                <w:szCs w:val="13"/>
                <w:color w:val="auto"/>
                <w:w w:val="97"/>
              </w:rPr>
              <w:t>1</w:t>
            </w:r>
          </w:p>
        </w:tc>
      </w:tr>
      <w:tr>
        <w:trPr>
          <w:trHeight w:val="234"/>
        </w:trPr>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80" w:type="dxa"/>
            <w:vAlign w:val="bottom"/>
          </w:tcPr>
          <w:p>
            <w:pPr>
              <w:jc w:val="center"/>
              <w:ind w:right="1349"/>
              <w:spacing w:after="0"/>
              <w:rPr>
                <w:sz w:val="20"/>
                <w:szCs w:val="20"/>
                <w:color w:val="auto"/>
              </w:rPr>
            </w:pPr>
            <w:r>
              <w:rPr>
                <w:rFonts w:ascii="Times New Roman" w:cs="Times New Roman" w:eastAsia="Times New Roman" w:hAnsi="Times New Roman"/>
                <w:sz w:val="18"/>
                <w:szCs w:val="18"/>
                <w:color w:val="auto"/>
                <w:w w:val="99"/>
              </w:rPr>
              <w:t>7.000% Senior Notes due 2034</w:t>
            </w:r>
          </w:p>
        </w:tc>
        <w:tc>
          <w:tcPr>
            <w:tcW w:w="160" w:type="dxa"/>
            <w:vAlign w:val="bottom"/>
          </w:tcPr>
          <w:p>
            <w:pPr>
              <w:spacing w:after="0"/>
              <w:rPr>
                <w:sz w:val="20"/>
                <w:szCs w:val="20"/>
                <w:color w:val="auto"/>
              </w:rPr>
            </w:pPr>
          </w:p>
        </w:tc>
      </w:tr>
      <w:tr>
        <w:trPr>
          <w:trHeight w:val="459"/>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 ___</w:t>
            </w:r>
          </w:p>
        </w:tc>
        <w:tc>
          <w:tcPr>
            <w:tcW w:w="9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$____________</w:t>
            </w:r>
          </w:p>
        </w:tc>
      </w:tr>
      <w:tr>
        <w:trPr>
          <w:trHeight w:val="465"/>
        </w:trPr>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80" w:type="dxa"/>
            <w:vAlign w:val="bottom"/>
          </w:tcPr>
          <w:p>
            <w:pPr>
              <w:jc w:val="center"/>
              <w:ind w:right="1329"/>
              <w:spacing w:after="0"/>
              <w:rPr>
                <w:sz w:val="20"/>
                <w:szCs w:val="20"/>
                <w:color w:val="auto"/>
              </w:rPr>
            </w:pPr>
            <w:r>
              <w:rPr>
                <w:rFonts w:ascii="Times New Roman" w:cs="Times New Roman" w:eastAsia="Times New Roman" w:hAnsi="Times New Roman"/>
                <w:sz w:val="20"/>
                <w:szCs w:val="20"/>
                <w:color w:val="auto"/>
                <w:w w:val="98"/>
              </w:rPr>
              <w:t>CALIFORNIA RESOURCES CORPORATION</w:t>
            </w:r>
          </w:p>
        </w:tc>
        <w:tc>
          <w:tcPr>
            <w:tcW w:w="160" w:type="dxa"/>
            <w:vAlign w:val="bottom"/>
          </w:tcPr>
          <w:p>
            <w:pPr>
              <w:spacing w:after="0"/>
              <w:rPr>
                <w:sz w:val="24"/>
                <w:szCs w:val="24"/>
                <w:color w:val="auto"/>
              </w:rPr>
            </w:pPr>
          </w:p>
        </w:tc>
      </w:tr>
      <w:tr>
        <w:trPr>
          <w:trHeight w:val="386"/>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promises to pay, to  </w:t>
            </w:r>
          </w:p>
        </w:tc>
        <w:tc>
          <w:tcPr>
            <w:tcW w:w="928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or registered assigns, the principal sum of _______________________ DOLLARS [(or such greater or lesser amount as may be</w:t>
            </w:r>
          </w:p>
        </w:tc>
        <w:tc>
          <w:tcPr>
            <w:tcW w:w="160" w:type="dxa"/>
            <w:vAlign w:val="bottom"/>
          </w:tcPr>
          <w:p>
            <w:pPr>
              <w:spacing w:after="0"/>
              <w:rPr>
                <w:sz w:val="24"/>
                <w:szCs w:val="24"/>
                <w:color w:val="auto"/>
              </w:rPr>
            </w:pPr>
          </w:p>
        </w:tc>
      </w:tr>
      <w:tr>
        <w:trPr>
          <w:trHeight w:val="20"/>
        </w:trPr>
        <w:tc>
          <w:tcPr>
            <w:tcW w:w="1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
        <w:spacing w:after="0"/>
        <w:rPr>
          <w:sz w:val="20"/>
          <w:szCs w:val="20"/>
          <w:color w:val="auto"/>
        </w:rPr>
      </w:pPr>
      <w:r>
        <w:rPr>
          <w:rFonts w:ascii="Times New Roman" w:cs="Times New Roman" w:eastAsia="Times New Roman" w:hAnsi="Times New Roman"/>
          <w:sz w:val="18"/>
          <w:szCs w:val="18"/>
          <w:color w:val="auto"/>
        </w:rPr>
        <w:t>indicated on the attached Schedule of Increases or Decreases of Interests in the Global Note)] on January 15, 2034.</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Interest Payment Dates: January 15 and July 15</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Record Dates: January 1 and July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715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5364" w:right="1640" w:hanging="5364"/>
        <w:spacing w:after="0" w:line="334" w:lineRule="auto"/>
        <w:tabs>
          <w:tab w:leader="none" w:pos="428" w:val="left"/>
        </w:tabs>
        <w:numPr>
          <w:ilvl w:val="0"/>
          <w:numId w:val="19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144A CUSIP: 13057Q AL1 / 144A ISIN: US13057QAL14; REG S CUSIP: U1303A AH9 / REG S ISIN: USU1303AAH96 A-2</w:t>
      </w:r>
    </w:p>
    <w:p>
      <w:pPr>
        <w:sectPr>
          <w:pgSz w:w="11900" w:h="16838" w:orient="portrait"/>
          <w:cols w:equalWidth="0" w:num="1">
            <w:col w:w="11024"/>
          </w:cols>
          <w:pgMar w:left="436" w:top="270" w:right="4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Dated:</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CALIFORNIA RESOURCES CORPORATION</w:t>
      </w:r>
    </w:p>
    <w:p>
      <w:pPr>
        <w:spacing w:after="0" w:line="23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15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0100"/>
          </w:cols>
          <w:pgMar w:left="440" w:top="270" w:right="135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Certificate of Authentication: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is one of the Notes referred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within-mentioned Indenture: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WILMINGTON TRUST, NATIONAL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Trustee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17145</wp:posOffset>
            </wp:positionV>
            <wp:extent cx="24860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51"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0019"/>
          </w:cols>
          <w:pgMar w:left="440" w:top="270" w:right="1440" w:bottom="1440" w:gutter="0" w:footer="0" w:header="0"/>
        </w:sectPr>
      </w:pPr>
    </w:p>
    <w:bookmarkStart w:id="134" w:name="page135"/>
    <w:bookmarkEnd w:id="134"/>
    <w:p>
      <w:pPr>
        <w:jc w:val="center"/>
        <w:ind w:righ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[Reverse of Note]</w:t>
      </w:r>
    </w:p>
    <w:p>
      <w:pPr>
        <w:spacing w:after="0" w:line="11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7.000% Senior Notes due 2034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terms used herein have the meanings assigned to them in the Indenture referred to below unless otherwise indicated.</w:t>
      </w:r>
    </w:p>
    <w:p>
      <w:pPr>
        <w:spacing w:after="0" w:line="115" w:lineRule="exact"/>
        <w:rPr>
          <w:sz w:val="20"/>
          <w:szCs w:val="20"/>
          <w:color w:val="auto"/>
        </w:rPr>
      </w:pPr>
    </w:p>
    <w:p>
      <w:pPr>
        <w:ind w:firstLine="419"/>
        <w:spacing w:after="0" w:line="254" w:lineRule="auto"/>
        <w:tabs>
          <w:tab w:leader="none" w:pos="678"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4"/>
          <w:szCs w:val="14"/>
          <w:i w:val="1"/>
          <w:iCs w:val="1"/>
          <w:color w:val="auto"/>
        </w:rPr>
        <w:t>NTEREST</w:t>
      </w:r>
      <w:r>
        <w:rPr>
          <w:rFonts w:ascii="Times New Roman" w:cs="Times New Roman" w:eastAsia="Times New Roman" w:hAnsi="Times New Roman"/>
          <w:sz w:val="18"/>
          <w:szCs w:val="18"/>
          <w:color w:val="auto"/>
        </w:rPr>
        <w:t>. California Resources Corporation, a Delaware corporation (the “</w:t>
      </w:r>
      <w:r>
        <w:rPr>
          <w:rFonts w:ascii="Times New Roman" w:cs="Times New Roman" w:eastAsia="Times New Roman" w:hAnsi="Times New Roman"/>
          <w:sz w:val="18"/>
          <w:szCs w:val="18"/>
          <w:i w:val="1"/>
          <w:iCs w:val="1"/>
          <w:color w:val="auto"/>
        </w:rPr>
        <w:t>Issuer</w:t>
      </w:r>
      <w:r>
        <w:rPr>
          <w:rFonts w:ascii="Times New Roman" w:cs="Times New Roman" w:eastAsia="Times New Roman" w:hAnsi="Times New Roman"/>
          <w:sz w:val="18"/>
          <w:szCs w:val="18"/>
          <w:color w:val="auto"/>
        </w:rPr>
        <w:t>”), promises to pay or cause to be paid interest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amount of this Note at a rate of 7.000% per annum. The Issuer will pay interest semi-annually in arrears on January 15 and July 15 of each year, or if any such day is not a Business Day, on the next succeeding Business Day (each, an “</w:t>
      </w:r>
      <w:r>
        <w:rPr>
          <w:rFonts w:ascii="Times New Roman" w:cs="Times New Roman" w:eastAsia="Times New Roman" w:hAnsi="Times New Roman"/>
          <w:sz w:val="18"/>
          <w:szCs w:val="18"/>
          <w:i w:val="1"/>
          <w:iCs w:val="1"/>
          <w:color w:val="auto"/>
        </w:rPr>
        <w:t>Interest Payment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first Interest Payment Date shall be July 15, 2026. Interest on the Notes will accrue from the most recent date to which interest has been paid or, if no interest has been paid, from the date of issuance;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there is no existing Default in the payment of interest, and if this Note is authenticated between a record date referred to on the face hereof and the next succeeding Interest Payment Date, interest shall accrue from such next succeeding Interest Payment Date. The Issuer will pay interest (including post-petition interest in any proceeding under any Bankruptcy Law) on overdue principal and premium, if any, from time to time on demand at a rate that is equal to the then applicable interest rate on the Notes to the extent lawful; the Issuer will pay interest (including post-petition interest in any proceeding under any Bankruptcy Law) on overdue installments of interest (without regard to any applicable grace period), from time to time on demand at the same rate to the extent lawful.</w:t>
      </w:r>
    </w:p>
    <w:p>
      <w:pPr>
        <w:spacing w:after="0" w:line="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Interest will be computed on the basis of a 360-day year comprised of twelve 30-day months.</w:t>
      </w:r>
    </w:p>
    <w:p>
      <w:pPr>
        <w:spacing w:after="0" w:line="115" w:lineRule="exact"/>
        <w:rPr>
          <w:sz w:val="20"/>
          <w:szCs w:val="20"/>
          <w:color w:val="auto"/>
        </w:rPr>
      </w:pPr>
    </w:p>
    <w:p>
      <w:pPr>
        <w:ind w:right="20" w:firstLine="419"/>
        <w:spacing w:after="0" w:line="254" w:lineRule="auto"/>
        <w:tabs>
          <w:tab w:leader="none" w:pos="678"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w:t>
      </w:r>
      <w:r>
        <w:rPr>
          <w:rFonts w:ascii="Times New Roman" w:cs="Times New Roman" w:eastAsia="Times New Roman" w:hAnsi="Times New Roman"/>
          <w:sz w:val="14"/>
          <w:szCs w:val="14"/>
          <w:i w:val="1"/>
          <w:iCs w:val="1"/>
          <w:color w:val="auto"/>
        </w:rPr>
        <w:t>ETHOD OF</w:t>
      </w:r>
      <w:r>
        <w:rPr>
          <w:rFonts w:ascii="Times New Roman" w:cs="Times New Roman" w:eastAsia="Times New Roman" w:hAnsi="Times New Roman"/>
          <w:sz w:val="18"/>
          <w:szCs w:val="18"/>
          <w:i w:val="1"/>
          <w:iCs w:val="1"/>
          <w:color w:val="auto"/>
        </w:rPr>
        <w:t xml:space="preserve"> P</w:t>
      </w:r>
      <w:r>
        <w:rPr>
          <w:rFonts w:ascii="Times New Roman" w:cs="Times New Roman" w:eastAsia="Times New Roman" w:hAnsi="Times New Roman"/>
          <w:sz w:val="14"/>
          <w:szCs w:val="14"/>
          <w:i w:val="1"/>
          <w:iCs w:val="1"/>
          <w:color w:val="auto"/>
        </w:rPr>
        <w:t>AYMENT</w:t>
      </w:r>
      <w:r>
        <w:rPr>
          <w:rFonts w:ascii="Times New Roman" w:cs="Times New Roman" w:eastAsia="Times New Roman" w:hAnsi="Times New Roman"/>
          <w:sz w:val="18"/>
          <w:szCs w:val="18"/>
          <w:color w:val="auto"/>
        </w:rPr>
        <w:t>. The Issuer will pay interest on the Notes (except defaulted interest) to the Persons who are registered Holders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Notes at the close of business on the January 1 and July 1 next preceding the Interest Payment Date, even if such Notes are canceled after such record date and on or before such Interest Payment Date, except as provided in Section 2.12 of the Indenture with respect to defaulted interest. The Notes will be payable as to principal, interest and premium, if any, at the office or agency of the Issuer maintained for such purpose within the continental United States, or, at the option of the Issuer, payment of interest, may be made by check mailed to the Holders at their addresses set forth in the register of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payment by wire transfer of immediately available funds will be required with respect to principal of, and interest and premium, if any, on, all Global Notes and all other Notes the Holders of which will have provided wire transfer instructions to the Issuer or the Paying Agent. Such payment will be in such coin or currency of the United States of America as at the time of payment is legal tender for payment of public and private debts.</w:t>
      </w:r>
    </w:p>
    <w:p>
      <w:pPr>
        <w:spacing w:after="0" w:line="80" w:lineRule="exact"/>
        <w:rPr>
          <w:rFonts w:ascii="Times New Roman" w:cs="Times New Roman" w:eastAsia="Times New Roman" w:hAnsi="Times New Roman"/>
          <w:sz w:val="18"/>
          <w:szCs w:val="18"/>
          <w:color w:val="auto"/>
        </w:rPr>
      </w:pPr>
    </w:p>
    <w:p>
      <w:pPr>
        <w:ind w:right="40" w:firstLine="419"/>
        <w:spacing w:after="0" w:line="267" w:lineRule="auto"/>
        <w:tabs>
          <w:tab w:leader="none" w:pos="678"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w:t>
      </w:r>
      <w:r>
        <w:rPr>
          <w:rFonts w:ascii="Times New Roman" w:cs="Times New Roman" w:eastAsia="Times New Roman" w:hAnsi="Times New Roman"/>
          <w:sz w:val="14"/>
          <w:szCs w:val="14"/>
          <w:i w:val="1"/>
          <w:iCs w:val="1"/>
          <w:color w:val="auto"/>
        </w:rPr>
        <w:t>AYING</w:t>
      </w:r>
      <w:r>
        <w:rPr>
          <w:rFonts w:ascii="Times New Roman" w:cs="Times New Roman" w:eastAsia="Times New Roman" w:hAnsi="Times New Roman"/>
          <w:sz w:val="18"/>
          <w:szCs w:val="18"/>
          <w:i w:val="1"/>
          <w:iCs w:val="1"/>
          <w:color w:val="auto"/>
        </w:rPr>
        <w:t xml:space="preserve"> A</w:t>
      </w:r>
      <w:r>
        <w:rPr>
          <w:rFonts w:ascii="Times New Roman" w:cs="Times New Roman" w:eastAsia="Times New Roman" w:hAnsi="Times New Roman"/>
          <w:sz w:val="14"/>
          <w:szCs w:val="14"/>
          <w:i w:val="1"/>
          <w:iCs w:val="1"/>
          <w:color w:val="auto"/>
        </w:rPr>
        <w:t>GENT AND</w:t>
      </w:r>
      <w:r>
        <w:rPr>
          <w:rFonts w:ascii="Times New Roman" w:cs="Times New Roman" w:eastAsia="Times New Roman" w:hAnsi="Times New Roman"/>
          <w:sz w:val="18"/>
          <w:szCs w:val="18"/>
          <w:i w:val="1"/>
          <w:iCs w:val="1"/>
          <w:color w:val="auto"/>
        </w:rPr>
        <w:t xml:space="preserve"> R</w:t>
      </w:r>
      <w:r>
        <w:rPr>
          <w:rFonts w:ascii="Times New Roman" w:cs="Times New Roman" w:eastAsia="Times New Roman" w:hAnsi="Times New Roman"/>
          <w:sz w:val="14"/>
          <w:szCs w:val="14"/>
          <w:i w:val="1"/>
          <w:iCs w:val="1"/>
          <w:color w:val="auto"/>
        </w:rPr>
        <w:t>EGISTRAR</w:t>
      </w:r>
      <w:r>
        <w:rPr>
          <w:rFonts w:ascii="Times New Roman" w:cs="Times New Roman" w:eastAsia="Times New Roman" w:hAnsi="Times New Roman"/>
          <w:sz w:val="18"/>
          <w:szCs w:val="18"/>
          <w:color w:val="auto"/>
        </w:rPr>
        <w:t>. Initially, Wilmington Trust, National Association, the Trustee under the Indenture, will act as Paying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Agent and Registrar. The Issuer may change the Paying Agent or Registrar without notice to any Holder. The Issuer or any of its Subsidiaries may act as Paying Agent or Registrar.</w:t>
      </w:r>
    </w:p>
    <w:p>
      <w:pPr>
        <w:spacing w:after="0" w:line="65" w:lineRule="exact"/>
        <w:rPr>
          <w:rFonts w:ascii="Times New Roman" w:cs="Times New Roman" w:eastAsia="Times New Roman" w:hAnsi="Times New Roman"/>
          <w:sz w:val="18"/>
          <w:szCs w:val="18"/>
          <w:color w:val="auto"/>
        </w:rPr>
      </w:pPr>
    </w:p>
    <w:p>
      <w:pPr>
        <w:ind w:right="120" w:firstLine="419"/>
        <w:spacing w:after="0" w:line="258" w:lineRule="auto"/>
        <w:tabs>
          <w:tab w:leader="none" w:pos="678"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4"/>
          <w:szCs w:val="14"/>
          <w:i w:val="1"/>
          <w:iCs w:val="1"/>
          <w:color w:val="auto"/>
        </w:rPr>
        <w:t>NDENTURE</w:t>
      </w:r>
      <w:r>
        <w:rPr>
          <w:rFonts w:ascii="Times New Roman" w:cs="Times New Roman" w:eastAsia="Times New Roman" w:hAnsi="Times New Roman"/>
          <w:sz w:val="18"/>
          <w:szCs w:val="18"/>
          <w:color w:val="auto"/>
        </w:rPr>
        <w:t>. The Issuer issued the Notes under an Indenture dated as of October 8, 2025 (the “</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among the Issuer,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Guarantors and the Trustee. The terms of the Notes include those stated in the Indenture. The Notes are subject to all such terms, and Holders are referred to the Indenture for a statement of such terms. To the extent any provision of this Note conflicts with the express provisions of the Indenture, the provisions of the Indenture shall govern and be controlling. The Notes are unsecured obligations of the Issuer. The Indenture does not limit the aggregate principal amount of Notes that may be issued thereunder.</w:t>
      </w:r>
    </w:p>
    <w:p>
      <w:pPr>
        <w:spacing w:after="0" w:line="11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0560"/>
          </w:cols>
          <w:pgMar w:left="880" w:top="270" w:right="459" w:bottom="1440" w:gutter="0" w:footer="0" w:header="0"/>
        </w:sectPr>
      </w:pPr>
    </w:p>
    <w:bookmarkStart w:id="135" w:name="page136"/>
    <w:bookmarkEnd w:id="135"/>
    <w:p>
      <w:pPr>
        <w:ind w:left="680" w:hanging="261"/>
        <w:spacing w:after="0"/>
        <w:tabs>
          <w:tab w:leader="none" w:pos="68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w:t>
      </w:r>
      <w:r>
        <w:rPr>
          <w:rFonts w:ascii="Times New Roman" w:cs="Times New Roman" w:eastAsia="Times New Roman" w:hAnsi="Times New Roman"/>
          <w:sz w:val="14"/>
          <w:szCs w:val="14"/>
          <w:i w:val="1"/>
          <w:iCs w:val="1"/>
          <w:color w:val="auto"/>
        </w:rPr>
        <w:t>PTIONAL</w:t>
      </w:r>
      <w:r>
        <w:rPr>
          <w:rFonts w:ascii="Times New Roman" w:cs="Times New Roman" w:eastAsia="Times New Roman" w:hAnsi="Times New Roman"/>
          <w:sz w:val="18"/>
          <w:szCs w:val="18"/>
          <w:i w:val="1"/>
          <w:iCs w:val="1"/>
          <w:color w:val="auto"/>
        </w:rPr>
        <w:t xml:space="preserve"> R</w:t>
      </w:r>
      <w:r>
        <w:rPr>
          <w:rFonts w:ascii="Times New Roman" w:cs="Times New Roman" w:eastAsia="Times New Roman" w:hAnsi="Times New Roman"/>
          <w:sz w:val="14"/>
          <w:szCs w:val="14"/>
          <w:i w:val="1"/>
          <w:iCs w:val="1"/>
          <w:color w:val="auto"/>
        </w:rPr>
        <w:t>EDEMPTION</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firstLine="419"/>
        <w:spacing w:after="0" w:line="254" w:lineRule="auto"/>
        <w:tabs>
          <w:tab w:leader="none" w:pos="668"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prior to January 15, 2029, the Issuer may on any one or more occasions redeem up to 40% of the aggregate principal amount of the Notes (including, without limitation, any Additional Notes) issued under the Indenture in an amount not greater than the net cash proceeds of one or more Equity Offerings by the Issuer, upon notice as provided in the Indenture, at a redemption price equal to 107.000% of the principal amount of the Notes redeemed,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accrued and unpaid interest, if any, to, but excluding, the date of redemption (subject to the rights of Holders of Notes on the relevant record date to receive interest on the relevant Interest Payment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(1) at least 60% of the aggregate principal amount of Notes originally issued on the Issue Date (excluding Notes held by the Issuer and its Subsidiaries) remains outstanding immediately after the occurrence of such redemption; and (2) the redemption occurs within 180 days of the date of the closing of such Equity Offering.</w:t>
      </w:r>
    </w:p>
    <w:p>
      <w:pPr>
        <w:spacing w:after="0" w:line="83" w:lineRule="exact"/>
        <w:rPr>
          <w:rFonts w:ascii="Times New Roman" w:cs="Times New Roman" w:eastAsia="Times New Roman" w:hAnsi="Times New Roman"/>
          <w:sz w:val="18"/>
          <w:szCs w:val="18"/>
          <w:color w:val="auto"/>
        </w:rPr>
      </w:pPr>
    </w:p>
    <w:p>
      <w:pPr>
        <w:ind w:firstLine="419"/>
        <w:spacing w:after="0" w:line="261" w:lineRule="auto"/>
        <w:tabs>
          <w:tab w:leader="none" w:pos="678"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prior to January 15, 2029, the Issuer may on any one or more occasions redeem all or a part of the Notes, upon notice as provided in the Indenture, at a redemption price equal to 100% of the principal amount of the Notes redeemed,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Applicable Premium as of, and accrued and unpaid interest to, but excluding, the date of redemption, subject to the rights of Holders of Notes on the relevant record date to receive interest due on the relevant Interest Payment Date.</w:t>
      </w:r>
    </w:p>
    <w:p>
      <w:pPr>
        <w:spacing w:after="0" w:line="71" w:lineRule="exact"/>
        <w:rPr>
          <w:rFonts w:ascii="Times New Roman" w:cs="Times New Roman" w:eastAsia="Times New Roman" w:hAnsi="Times New Roman"/>
          <w:sz w:val="18"/>
          <w:szCs w:val="18"/>
          <w:color w:val="auto"/>
        </w:rPr>
      </w:pPr>
    </w:p>
    <w:p>
      <w:pPr>
        <w:ind w:right="220" w:firstLine="419"/>
        <w:spacing w:after="0" w:line="282" w:lineRule="auto"/>
        <w:tabs>
          <w:tab w:leader="none" w:pos="668"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may redeem all (but not a portion of) the Notes when permitted by, and pursuant to the conditions in, Section 4.15(f) of the Indenture.</w:t>
      </w:r>
    </w:p>
    <w:p>
      <w:pPr>
        <w:spacing w:after="0" w:line="53"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pursuant to the preceding paragraphs, the Notes will not be redeemable at the Issuer’s option prior to January 15, 2029.</w:t>
      </w:r>
    </w:p>
    <w:p>
      <w:pPr>
        <w:spacing w:after="0" w:line="117" w:lineRule="exact"/>
        <w:rPr>
          <w:rFonts w:ascii="Times New Roman" w:cs="Times New Roman" w:eastAsia="Times New Roman" w:hAnsi="Times New Roman"/>
          <w:sz w:val="18"/>
          <w:szCs w:val="18"/>
          <w:color w:val="auto"/>
        </w:rPr>
      </w:pPr>
    </w:p>
    <w:p>
      <w:pPr>
        <w:ind w:right="20" w:firstLine="419"/>
        <w:spacing w:after="0" w:line="258" w:lineRule="auto"/>
        <w:tabs>
          <w:tab w:leader="none" w:pos="668"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or after January 15, 2029, the Issuer may on any one or more occasions redeem all or a part of the Notes, upon notice as provided in the Indenture, at the redemption prices (expressed as percentages of principal amount) set forth below,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accrued and unpaid interest, if any, on the Notes redeemed, to, but excluding, the applicable redemption date, subject to the rights of Holders of Notes on the relevant record date to receive interest on the relevant Interest Payment Date, if redeemed during the twelve-month period beginning on January 15 of the years indicated below:</w:t>
      </w:r>
    </w:p>
    <w:p>
      <w:pPr>
        <w:spacing w:after="0" w:line="206"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5"/>
              </w:rPr>
              <w:t>Year</w:t>
            </w:r>
          </w:p>
        </w:tc>
        <w:tc>
          <w:tcPr>
            <w:tcW w:w="636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Percentage</w:t>
            </w:r>
          </w:p>
        </w:tc>
        <w:tc>
          <w:tcPr>
            <w:tcW w:w="0" w:type="dxa"/>
            <w:vAlign w:val="bottom"/>
          </w:tcPr>
          <w:p>
            <w:pPr>
              <w:spacing w:after="0"/>
              <w:rPr>
                <w:sz w:val="1"/>
                <w:szCs w:val="1"/>
                <w:color w:val="auto"/>
              </w:rPr>
            </w:pPr>
          </w:p>
        </w:tc>
      </w:tr>
      <w:tr>
        <w:trPr>
          <w:trHeight w:val="20"/>
        </w:trPr>
        <w:tc>
          <w:tcPr>
            <w:tcW w:w="66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40" w:type="dxa"/>
            <w:vAlign w:val="bottom"/>
            <w:gridSpan w:val="2"/>
            <w:vMerge w:val="continue"/>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103.500%</w:t>
            </w: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2030</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101.750%</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2031 and thereafter</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bl>
    <w:p>
      <w:pPr>
        <w:spacing w:after="0" w:line="88" w:lineRule="exact"/>
        <w:rPr>
          <w:sz w:val="20"/>
          <w:szCs w:val="20"/>
          <w:color w:val="auto"/>
        </w:rPr>
      </w:pPr>
    </w:p>
    <w:p>
      <w:pPr>
        <w:ind w:right="40" w:firstLine="419"/>
        <w:spacing w:after="0" w:line="267" w:lineRule="auto"/>
        <w:tabs>
          <w:tab w:leader="none" w:pos="678"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4"/>
          <w:szCs w:val="14"/>
          <w:i w:val="1"/>
          <w:iCs w:val="1"/>
          <w:color w:val="auto"/>
        </w:rPr>
        <w:t>PECIAL</w:t>
      </w:r>
      <w:r>
        <w:rPr>
          <w:rFonts w:ascii="Times New Roman" w:cs="Times New Roman" w:eastAsia="Times New Roman" w:hAnsi="Times New Roman"/>
          <w:sz w:val="18"/>
          <w:szCs w:val="18"/>
          <w:i w:val="1"/>
          <w:iCs w:val="1"/>
          <w:color w:val="auto"/>
        </w:rPr>
        <w:t xml:space="preserve"> M</w:t>
      </w:r>
      <w:r>
        <w:rPr>
          <w:rFonts w:ascii="Times New Roman" w:cs="Times New Roman" w:eastAsia="Times New Roman" w:hAnsi="Times New Roman"/>
          <w:sz w:val="14"/>
          <w:szCs w:val="14"/>
          <w:i w:val="1"/>
          <w:iCs w:val="1"/>
          <w:color w:val="auto"/>
        </w:rPr>
        <w:t>ANDATORY</w:t>
      </w:r>
      <w:r>
        <w:rPr>
          <w:rFonts w:ascii="Times New Roman" w:cs="Times New Roman" w:eastAsia="Times New Roman" w:hAnsi="Times New Roman"/>
          <w:sz w:val="18"/>
          <w:szCs w:val="18"/>
          <w:i w:val="1"/>
          <w:iCs w:val="1"/>
          <w:color w:val="auto"/>
        </w:rPr>
        <w:t xml:space="preserve"> R</w:t>
      </w:r>
      <w:r>
        <w:rPr>
          <w:rFonts w:ascii="Times New Roman" w:cs="Times New Roman" w:eastAsia="Times New Roman" w:hAnsi="Times New Roman"/>
          <w:sz w:val="14"/>
          <w:szCs w:val="14"/>
          <w:i w:val="1"/>
          <w:iCs w:val="1"/>
          <w:color w:val="auto"/>
        </w:rPr>
        <w:t>EDEMPTION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If a Special Mandatory Redemption Trigger Date occurs, the Issuer will be required to redeem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as provided in Section 3.07 of the Indenture. Otherwise, the Issuer is not required to make mandatory redemption or sinking fund payments with respect to the Notes.</w:t>
      </w:r>
    </w:p>
    <w:p>
      <w:pPr>
        <w:spacing w:after="0" w:line="10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0540"/>
          </w:cols>
          <w:pgMar w:left="880" w:top="268" w:right="479" w:bottom="1440" w:gutter="0" w:footer="0" w:header="0"/>
        </w:sectPr>
      </w:pPr>
    </w:p>
    <w:bookmarkStart w:id="136" w:name="page137"/>
    <w:bookmarkEnd w:id="136"/>
    <w:p>
      <w:pPr>
        <w:ind w:left="680" w:hanging="261"/>
        <w:spacing w:after="0"/>
        <w:tabs>
          <w:tab w:leader="none" w:pos="68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w:t>
      </w:r>
      <w:r>
        <w:rPr>
          <w:rFonts w:ascii="Times New Roman" w:cs="Times New Roman" w:eastAsia="Times New Roman" w:hAnsi="Times New Roman"/>
          <w:sz w:val="14"/>
          <w:szCs w:val="14"/>
          <w:i w:val="1"/>
          <w:iCs w:val="1"/>
          <w:color w:val="auto"/>
        </w:rPr>
        <w:t>EPURCHASE AT THE</w:t>
      </w:r>
      <w:r>
        <w:rPr>
          <w:rFonts w:ascii="Times New Roman" w:cs="Times New Roman" w:eastAsia="Times New Roman" w:hAnsi="Times New Roman"/>
          <w:sz w:val="18"/>
          <w:szCs w:val="18"/>
          <w:i w:val="1"/>
          <w:iCs w:val="1"/>
          <w:color w:val="auto"/>
        </w:rPr>
        <w:t xml:space="preserve"> O</w:t>
      </w:r>
      <w:r>
        <w:rPr>
          <w:rFonts w:ascii="Times New Roman" w:cs="Times New Roman" w:eastAsia="Times New Roman" w:hAnsi="Times New Roman"/>
          <w:sz w:val="14"/>
          <w:szCs w:val="14"/>
          <w:i w:val="1"/>
          <w:iCs w:val="1"/>
          <w:color w:val="auto"/>
        </w:rPr>
        <w:t>PTION OF</w:t>
      </w:r>
      <w:r>
        <w:rPr>
          <w:rFonts w:ascii="Times New Roman" w:cs="Times New Roman" w:eastAsia="Times New Roman" w:hAnsi="Times New Roman"/>
          <w:sz w:val="18"/>
          <w:szCs w:val="18"/>
          <w:i w:val="1"/>
          <w:iCs w:val="1"/>
          <w:color w:val="auto"/>
        </w:rPr>
        <w:t xml:space="preserve"> H</w:t>
      </w:r>
      <w:r>
        <w:rPr>
          <w:rFonts w:ascii="Times New Roman" w:cs="Times New Roman" w:eastAsia="Times New Roman" w:hAnsi="Times New Roman"/>
          <w:sz w:val="14"/>
          <w:szCs w:val="14"/>
          <w:i w:val="1"/>
          <w:iCs w:val="1"/>
          <w:color w:val="auto"/>
        </w:rPr>
        <w:t>OLDER</w:t>
      </w:r>
      <w:r>
        <w:rPr>
          <w:rFonts w:ascii="Times New Roman" w:cs="Times New Roman" w:eastAsia="Times New Roman" w:hAnsi="Times New Roman"/>
          <w:sz w:val="18"/>
          <w:szCs w:val="18"/>
          <w:i w:val="1"/>
          <w:iCs w:val="1"/>
          <w:color w:val="auto"/>
        </w:rPr>
        <w:t>.</w:t>
      </w:r>
    </w:p>
    <w:p>
      <w:pPr>
        <w:spacing w:after="0" w:line="117" w:lineRule="exact"/>
        <w:rPr>
          <w:sz w:val="20"/>
          <w:szCs w:val="20"/>
          <w:color w:val="auto"/>
        </w:rPr>
      </w:pPr>
    </w:p>
    <w:p>
      <w:pPr>
        <w:ind w:firstLine="419"/>
        <w:spacing w:after="0" w:line="257" w:lineRule="auto"/>
        <w:tabs>
          <w:tab w:leader="none" w:pos="668"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a Change of Control Triggering Event, the Issuer will be required to make a cash tender offer (a “</w:t>
      </w:r>
      <w:r>
        <w:rPr>
          <w:rFonts w:ascii="Times New Roman" w:cs="Times New Roman" w:eastAsia="Times New Roman" w:hAnsi="Times New Roman"/>
          <w:sz w:val="18"/>
          <w:szCs w:val="18"/>
          <w:i w:val="1"/>
          <w:iCs w:val="1"/>
          <w:color w:val="auto"/>
        </w:rPr>
        <w:t>Change of Control Offer</w:t>
      </w:r>
      <w:r>
        <w:rPr>
          <w:rFonts w:ascii="Times New Roman" w:cs="Times New Roman" w:eastAsia="Times New Roman" w:hAnsi="Times New Roman"/>
          <w:sz w:val="18"/>
          <w:szCs w:val="18"/>
          <w:color w:val="auto"/>
        </w:rPr>
        <w:t xml:space="preserve">”) to each Holder to repurchase all or any part (equal to $2,000 or an integral multiple of $1,000 in excess thereof) of each Holder’s Notes at a purchase price in cash equal to 101% of the aggregate principal amount thereof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accrued and unpaid interest thereon to, but excluding, the date of purchase, subject to the rights of Holders on the relevant record date to receive interest due on the relevant Interest Payment Date (the “</w:t>
      </w:r>
      <w:r>
        <w:rPr>
          <w:rFonts w:ascii="Times New Roman" w:cs="Times New Roman" w:eastAsia="Times New Roman" w:hAnsi="Times New Roman"/>
          <w:sz w:val="18"/>
          <w:szCs w:val="18"/>
          <w:i w:val="1"/>
          <w:iCs w:val="1"/>
          <w:color w:val="auto"/>
        </w:rPr>
        <w:t>Change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Control Payment</w:t>
      </w:r>
      <w:r>
        <w:rPr>
          <w:rFonts w:ascii="Times New Roman" w:cs="Times New Roman" w:eastAsia="Times New Roman" w:hAnsi="Times New Roman"/>
          <w:sz w:val="18"/>
          <w:szCs w:val="18"/>
          <w:color w:val="auto"/>
        </w:rPr>
        <w:t>”). Within 30 days following any Change of Control Triggering Event, the Issuer will mail a notice to each Holder (with a copy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Trustee) setting forth the procedures governing the Change of Control Offer as required by the Indenture.</w:t>
      </w:r>
    </w:p>
    <w:p>
      <w:pPr>
        <w:spacing w:after="0" w:line="76" w:lineRule="exact"/>
        <w:rPr>
          <w:rFonts w:ascii="Times New Roman" w:cs="Times New Roman" w:eastAsia="Times New Roman" w:hAnsi="Times New Roman"/>
          <w:sz w:val="18"/>
          <w:szCs w:val="18"/>
          <w:color w:val="auto"/>
        </w:rPr>
      </w:pPr>
    </w:p>
    <w:p>
      <w:pPr>
        <w:ind w:right="40" w:firstLine="419"/>
        <w:spacing w:after="0" w:line="255" w:lineRule="auto"/>
        <w:tabs>
          <w:tab w:leader="none" w:pos="678"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Issuer or a Restricted Subsidiary of the Issuer consummates any Asset Sales, the Issuer may, in certain circumstances described in the Indenture, be required to make an Asset Sale Offer to all Holders of Notes and all holders of other Indebtedness that is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Notes containing provisions similar to those set forth in the Indenture with respect to offers to purchase with the proceeds of sales of assets to purchase,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the maximum principal amount of Notes and such other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Indebtedness that may be purchased, prepaid or redeemed out of the Excess Proceeds, as defined in the Indenture. Holders of Definitive Notes that are the subject of an offer to purchase will receive an Asset Sale Offer from the Issuer prior to any related purchase date and may elect to have such Notes purchased by completing the form entitled “Option of Holder to Elect Purchase” attached to the Notes.</w:t>
      </w:r>
    </w:p>
    <w:p>
      <w:pPr>
        <w:spacing w:after="0" w:line="79" w:lineRule="exact"/>
        <w:rPr>
          <w:sz w:val="20"/>
          <w:szCs w:val="20"/>
          <w:color w:val="auto"/>
        </w:rPr>
      </w:pPr>
    </w:p>
    <w:p>
      <w:pPr>
        <w:ind w:right="100" w:firstLine="419"/>
        <w:spacing w:after="0" w:line="257" w:lineRule="auto"/>
        <w:tabs>
          <w:tab w:leader="none" w:pos="678"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w:t>
      </w:r>
      <w:r>
        <w:rPr>
          <w:rFonts w:ascii="Times New Roman" w:cs="Times New Roman" w:eastAsia="Times New Roman" w:hAnsi="Times New Roman"/>
          <w:sz w:val="14"/>
          <w:szCs w:val="14"/>
          <w:i w:val="1"/>
          <w:iCs w:val="1"/>
          <w:color w:val="auto"/>
        </w:rPr>
        <w:t>OTICE OF</w:t>
      </w:r>
      <w:r>
        <w:rPr>
          <w:rFonts w:ascii="Times New Roman" w:cs="Times New Roman" w:eastAsia="Times New Roman" w:hAnsi="Times New Roman"/>
          <w:sz w:val="18"/>
          <w:szCs w:val="18"/>
          <w:i w:val="1"/>
          <w:iCs w:val="1"/>
          <w:color w:val="auto"/>
        </w:rPr>
        <w:t xml:space="preserve"> R</w:t>
      </w:r>
      <w:r>
        <w:rPr>
          <w:rFonts w:ascii="Times New Roman" w:cs="Times New Roman" w:eastAsia="Times New Roman" w:hAnsi="Times New Roman"/>
          <w:sz w:val="14"/>
          <w:szCs w:val="14"/>
          <w:i w:val="1"/>
          <w:iCs w:val="1"/>
          <w:color w:val="auto"/>
        </w:rPr>
        <w:t>EDEMPTION</w:t>
      </w:r>
      <w:r>
        <w:rPr>
          <w:rFonts w:ascii="Times New Roman" w:cs="Times New Roman" w:eastAsia="Times New Roman" w:hAnsi="Times New Roman"/>
          <w:sz w:val="18"/>
          <w:szCs w:val="18"/>
          <w:color w:val="auto"/>
        </w:rPr>
        <w:t>. At least 10 days but not more than 60 days before a redemption date, the Issuer will send or cause to be sent,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first class mail (or sent electronically if DTC is the recipient), a notice of redemption to each Holder whose Notes are to be redeemed at its registered address, except that redemption notices may be given more than 60 days prior to a redemption date if the notice is issued in connection with a defeasance of the Notes or a satisfaction and discharge of the Indenture pursuant to Article 8 or 11 thereof. Notes and portions of Notes selected will be in minimum amounts of $2,000 or integral multiples of $1,000 in excess thereof. Notice of redemption may be subject to satisfaction or waiver of conditions precedent, as more fully described in the Indenture.</w:t>
      </w:r>
    </w:p>
    <w:p>
      <w:pPr>
        <w:spacing w:after="0" w:line="74" w:lineRule="exact"/>
        <w:rPr>
          <w:rFonts w:ascii="Times New Roman" w:cs="Times New Roman" w:eastAsia="Times New Roman" w:hAnsi="Times New Roman"/>
          <w:sz w:val="18"/>
          <w:szCs w:val="18"/>
          <w:color w:val="auto"/>
        </w:rPr>
      </w:pPr>
    </w:p>
    <w:p>
      <w:pPr>
        <w:ind w:firstLine="419"/>
        <w:spacing w:after="0" w:line="256" w:lineRule="auto"/>
        <w:tabs>
          <w:tab w:leader="none" w:pos="678"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w:t>
      </w:r>
      <w:r>
        <w:rPr>
          <w:rFonts w:ascii="Times New Roman" w:cs="Times New Roman" w:eastAsia="Times New Roman" w:hAnsi="Times New Roman"/>
          <w:sz w:val="14"/>
          <w:szCs w:val="14"/>
          <w:i w:val="1"/>
          <w:iCs w:val="1"/>
          <w:color w:val="auto"/>
        </w:rPr>
        <w:t>ENOMINATIONS</w:t>
      </w:r>
      <w:r>
        <w:rPr>
          <w:rFonts w:ascii="Times New Roman" w:cs="Times New Roman" w:eastAsia="Times New Roman" w:hAnsi="Times New Roman"/>
          <w:sz w:val="18"/>
          <w:szCs w:val="18"/>
          <w:i w:val="1"/>
          <w:iCs w:val="1"/>
          <w:color w:val="auto"/>
        </w:rPr>
        <w:t>, T</w:t>
      </w:r>
      <w:r>
        <w:rPr>
          <w:rFonts w:ascii="Times New Roman" w:cs="Times New Roman" w:eastAsia="Times New Roman" w:hAnsi="Times New Roman"/>
          <w:sz w:val="14"/>
          <w:szCs w:val="14"/>
          <w:i w:val="1"/>
          <w:iCs w:val="1"/>
          <w:color w:val="auto"/>
        </w:rPr>
        <w:t>RANSFER</w:t>
      </w:r>
      <w:r>
        <w:rPr>
          <w:rFonts w:ascii="Times New Roman" w:cs="Times New Roman" w:eastAsia="Times New Roman" w:hAnsi="Times New Roman"/>
          <w:sz w:val="18"/>
          <w:szCs w:val="18"/>
          <w:i w:val="1"/>
          <w:iCs w:val="1"/>
          <w:color w:val="auto"/>
        </w:rPr>
        <w:t>, E</w:t>
      </w:r>
      <w:r>
        <w:rPr>
          <w:rFonts w:ascii="Times New Roman" w:cs="Times New Roman" w:eastAsia="Times New Roman" w:hAnsi="Times New Roman"/>
          <w:sz w:val="14"/>
          <w:szCs w:val="14"/>
          <w:i w:val="1"/>
          <w:iCs w:val="1"/>
          <w:color w:val="auto"/>
        </w:rPr>
        <w:t>XCHANGE</w:t>
      </w:r>
      <w:r>
        <w:rPr>
          <w:rFonts w:ascii="Times New Roman" w:cs="Times New Roman" w:eastAsia="Times New Roman" w:hAnsi="Times New Roman"/>
          <w:sz w:val="18"/>
          <w:szCs w:val="18"/>
          <w:color w:val="auto"/>
        </w:rPr>
        <w:t>. The Notes are in registered form in minimum denominations of $2,000 and integral multiples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$1,000 in excess thereof. The transfer of Notes may be registered and Notes may be exchanged as provided in the Indenture. The Registrar and the Trustee may require a Holder, among other things, to furnish appropriate endorsements and transfer documents and the Issuer may require a Holder to pay any taxes or similar governmental charges required by law or permitted by the Indenture. The Issuer need not exchange or register the transfer of any Note or portion of a Note selected for redemption, except for the unredeemed portion of any Note being redeemed in part. Also, the Issuer need not exchange or register the transfer of any Notes for a period of 15 days before a selection of Notes to be redeemed or during the period between a record date and the next succeeding Interest Payment Date.</w:t>
      </w:r>
    </w:p>
    <w:p>
      <w:pPr>
        <w:spacing w:after="0" w:line="74" w:lineRule="exact"/>
        <w:rPr>
          <w:rFonts w:ascii="Times New Roman" w:cs="Times New Roman" w:eastAsia="Times New Roman" w:hAnsi="Times New Roman"/>
          <w:sz w:val="18"/>
          <w:szCs w:val="18"/>
          <w:color w:val="auto"/>
        </w:rPr>
      </w:pPr>
    </w:p>
    <w:p>
      <w:pPr>
        <w:ind w:right="40" w:firstLine="419"/>
        <w:spacing w:after="0" w:line="284" w:lineRule="auto"/>
        <w:tabs>
          <w:tab w:leader="none" w:pos="768"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w:t>
      </w:r>
      <w:r>
        <w:rPr>
          <w:rFonts w:ascii="Times New Roman" w:cs="Times New Roman" w:eastAsia="Times New Roman" w:hAnsi="Times New Roman"/>
          <w:sz w:val="14"/>
          <w:szCs w:val="14"/>
          <w:i w:val="1"/>
          <w:iCs w:val="1"/>
          <w:color w:val="auto"/>
        </w:rPr>
        <w:t>ERSONS</w:t>
      </w:r>
      <w:r>
        <w:rPr>
          <w:rFonts w:ascii="Times New Roman" w:cs="Times New Roman" w:eastAsia="Times New Roman" w:hAnsi="Times New Roman"/>
          <w:sz w:val="18"/>
          <w:szCs w:val="18"/>
          <w:i w:val="1"/>
          <w:iCs w:val="1"/>
          <w:color w:val="auto"/>
        </w:rPr>
        <w:t xml:space="preserve"> D</w:t>
      </w:r>
      <w:r>
        <w:rPr>
          <w:rFonts w:ascii="Times New Roman" w:cs="Times New Roman" w:eastAsia="Times New Roman" w:hAnsi="Times New Roman"/>
          <w:sz w:val="14"/>
          <w:szCs w:val="14"/>
          <w:i w:val="1"/>
          <w:iCs w:val="1"/>
          <w:color w:val="auto"/>
        </w:rPr>
        <w:t>EEMED</w:t>
      </w:r>
      <w:r>
        <w:rPr>
          <w:rFonts w:ascii="Times New Roman" w:cs="Times New Roman" w:eastAsia="Times New Roman" w:hAnsi="Times New Roman"/>
          <w:sz w:val="18"/>
          <w:szCs w:val="18"/>
          <w:i w:val="1"/>
          <w:iCs w:val="1"/>
          <w:color w:val="auto"/>
        </w:rPr>
        <w:t xml:space="preserve"> O</w:t>
      </w:r>
      <w:r>
        <w:rPr>
          <w:rFonts w:ascii="Times New Roman" w:cs="Times New Roman" w:eastAsia="Times New Roman" w:hAnsi="Times New Roman"/>
          <w:sz w:val="14"/>
          <w:szCs w:val="14"/>
          <w:i w:val="1"/>
          <w:iCs w:val="1"/>
          <w:color w:val="auto"/>
        </w:rPr>
        <w:t>WNERS</w:t>
      </w:r>
      <w:r>
        <w:rPr>
          <w:rFonts w:ascii="Times New Roman" w:cs="Times New Roman" w:eastAsia="Times New Roman" w:hAnsi="Times New Roman"/>
          <w:sz w:val="18"/>
          <w:szCs w:val="18"/>
          <w:color w:val="auto"/>
        </w:rPr>
        <w:t>. The registered Holder of a Note may be treated as the owner of it for all purposes. Only registered 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rights under the Indenture.</w:t>
      </w:r>
    </w:p>
    <w:p>
      <w:pPr>
        <w:spacing w:after="0" w:line="50" w:lineRule="exact"/>
        <w:rPr>
          <w:rFonts w:ascii="Times New Roman" w:cs="Times New Roman" w:eastAsia="Times New Roman" w:hAnsi="Times New Roman"/>
          <w:sz w:val="18"/>
          <w:szCs w:val="18"/>
          <w:color w:val="auto"/>
        </w:rPr>
      </w:pPr>
    </w:p>
    <w:p>
      <w:pPr>
        <w:ind w:right="20" w:firstLine="419"/>
        <w:spacing w:after="0" w:line="257" w:lineRule="auto"/>
        <w:tabs>
          <w:tab w:leader="none" w:pos="761"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4"/>
          <w:szCs w:val="14"/>
          <w:i w:val="1"/>
          <w:iCs w:val="1"/>
          <w:color w:val="auto"/>
        </w:rPr>
        <w:t>MENDMENT</w:t>
      </w:r>
      <w:r>
        <w:rPr>
          <w:rFonts w:ascii="Times New Roman" w:cs="Times New Roman" w:eastAsia="Times New Roman" w:hAnsi="Times New Roman"/>
          <w:sz w:val="18"/>
          <w:szCs w:val="18"/>
          <w:i w:val="1"/>
          <w:iCs w:val="1"/>
          <w:color w:val="auto"/>
        </w:rPr>
        <w:t>, S</w:t>
      </w:r>
      <w:r>
        <w:rPr>
          <w:rFonts w:ascii="Times New Roman" w:cs="Times New Roman" w:eastAsia="Times New Roman" w:hAnsi="Times New Roman"/>
          <w:sz w:val="14"/>
          <w:szCs w:val="14"/>
          <w:i w:val="1"/>
          <w:iCs w:val="1"/>
          <w:color w:val="auto"/>
        </w:rPr>
        <w:t>UPPLEMENT AND</w:t>
      </w:r>
      <w:r>
        <w:rPr>
          <w:rFonts w:ascii="Times New Roman" w:cs="Times New Roman" w:eastAsia="Times New Roman" w:hAnsi="Times New Roman"/>
          <w:sz w:val="18"/>
          <w:szCs w:val="18"/>
          <w:i w:val="1"/>
          <w:iCs w:val="1"/>
          <w:color w:val="auto"/>
        </w:rPr>
        <w:t xml:space="preserve"> W</w:t>
      </w:r>
      <w:r>
        <w:rPr>
          <w:rFonts w:ascii="Times New Roman" w:cs="Times New Roman" w:eastAsia="Times New Roman" w:hAnsi="Times New Roman"/>
          <w:sz w:val="14"/>
          <w:szCs w:val="14"/>
          <w:i w:val="1"/>
          <w:iCs w:val="1"/>
          <w:color w:val="auto"/>
        </w:rPr>
        <w:t>AIVER</w:t>
      </w:r>
      <w:r>
        <w:rPr>
          <w:rFonts w:ascii="Times New Roman" w:cs="Times New Roman" w:eastAsia="Times New Roman" w:hAnsi="Times New Roman"/>
          <w:sz w:val="18"/>
          <w:szCs w:val="18"/>
          <w:color w:val="auto"/>
        </w:rPr>
        <w:t>. Subject to certain exceptions, the Indenture, the Notes or the Guarantees may be amended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supplemented with the consent of the Holders of a majority in aggregate principal amount of the then outstanding Notes including Additional Notes, if any, voting as a single class, and any existing Default or Event of Default or compliance with any provision of the Indenture or the Notes or the Guarantees may be waived with the consent of the Holders of a majority in aggregate principal amount of the then outstanding Notes voting as a single class. Without the consent of any Holder of Notes, the Indenture, the Notes or the Guarantees may be amended or supplemented as provided in the Indenture.</w:t>
      </w:r>
    </w:p>
    <w:p>
      <w:pPr>
        <w:spacing w:after="0" w:line="11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0560"/>
          </w:cols>
          <w:pgMar w:left="880" w:top="268" w:right="459" w:bottom="1440" w:gutter="0" w:footer="0" w:header="0"/>
        </w:sectPr>
      </w:pPr>
    </w:p>
    <w:bookmarkStart w:id="137" w:name="page138"/>
    <w:bookmarkEnd w:id="137"/>
    <w:p>
      <w:pPr>
        <w:ind w:firstLine="419"/>
        <w:spacing w:after="0" w:line="253" w:lineRule="auto"/>
        <w:tabs>
          <w:tab w:leader="none" w:pos="768"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w:t>
      </w:r>
      <w:r>
        <w:rPr>
          <w:rFonts w:ascii="Times New Roman" w:cs="Times New Roman" w:eastAsia="Times New Roman" w:hAnsi="Times New Roman"/>
          <w:sz w:val="14"/>
          <w:szCs w:val="14"/>
          <w:i w:val="1"/>
          <w:iCs w:val="1"/>
          <w:color w:val="auto"/>
        </w:rPr>
        <w:t>EFAULTS AND</w:t>
      </w:r>
      <w:r>
        <w:rPr>
          <w:rFonts w:ascii="Times New Roman" w:cs="Times New Roman" w:eastAsia="Times New Roman" w:hAnsi="Times New Roman"/>
          <w:sz w:val="18"/>
          <w:szCs w:val="18"/>
          <w:i w:val="1"/>
          <w:iCs w:val="1"/>
          <w:color w:val="auto"/>
        </w:rPr>
        <w:t xml:space="preserve"> R</w:t>
      </w:r>
      <w:r>
        <w:rPr>
          <w:rFonts w:ascii="Times New Roman" w:cs="Times New Roman" w:eastAsia="Times New Roman" w:hAnsi="Times New Roman"/>
          <w:sz w:val="14"/>
          <w:szCs w:val="14"/>
          <w:i w:val="1"/>
          <w:iCs w:val="1"/>
          <w:color w:val="auto"/>
        </w:rPr>
        <w:t>EMEDIES</w:t>
      </w:r>
      <w:r>
        <w:rPr>
          <w:rFonts w:ascii="Times New Roman" w:cs="Times New Roman" w:eastAsia="Times New Roman" w:hAnsi="Times New Roman"/>
          <w:sz w:val="18"/>
          <w:szCs w:val="18"/>
          <w:color w:val="auto"/>
        </w:rPr>
        <w:t>. In the case of an Event of Default arising from certain events of bankruptcy or insolvency with respect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Issuer as specified in the Indenture, any Restricted Subsidiary of the Issuer that is a Significant Subsidiary or any group of Restricted Subsidiaries of the Issuer that, taken together, would constitute a Significant Subsidiary, the outstanding principal of and accrued and unpaid interest, if any, on, all outstanding Notes will become due and payable immediately without further action or notice. If any other Event of Default occurs and is continuing, the Trustee or the Holders of at least 25% in aggregate principal amount of the then outstanding Notes may declare the outstanding principal of and accrued and unpaid interest, if any, on, all outstanding Notes to be due and payable immediately. Holders may not enforce the Indenture or the Notes except as provided in the Indenture. Subject to certain limitations, Holders of a majority in aggregate principal amount of the then outstanding Notes may direct the time, method and place of conducting any proceeding for exercising any remedy available to the Trustee or exercising any trust or power conferred on it. The Holders of a majority in aggregate principal amount of the then outstanding Notes by notice to the Trustee may, on behalf of all the Holders, rescind an acceleration or waive an existing Default or Event of Default and its consequences under the Indenture, if the rescission would not conflict with a judgment or decree, except a continuing Default or Event of Default in the payment of principal of, premium on, if any, or interest on, the Notes or as otherwise specified in the Indenture.</w:t>
      </w:r>
    </w:p>
    <w:p>
      <w:pPr>
        <w:spacing w:after="0" w:line="81" w:lineRule="exact"/>
        <w:rPr>
          <w:rFonts w:ascii="Times New Roman" w:cs="Times New Roman" w:eastAsia="Times New Roman" w:hAnsi="Times New Roman"/>
          <w:sz w:val="18"/>
          <w:szCs w:val="18"/>
          <w:color w:val="auto"/>
        </w:rPr>
      </w:pPr>
    </w:p>
    <w:p>
      <w:pPr>
        <w:ind w:right="340" w:firstLine="419"/>
        <w:spacing w:after="0" w:line="284" w:lineRule="auto"/>
        <w:tabs>
          <w:tab w:leader="none" w:pos="768"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w:t>
      </w:r>
      <w:r>
        <w:rPr>
          <w:rFonts w:ascii="Times New Roman" w:cs="Times New Roman" w:eastAsia="Times New Roman" w:hAnsi="Times New Roman"/>
          <w:sz w:val="14"/>
          <w:szCs w:val="14"/>
          <w:i w:val="1"/>
          <w:iCs w:val="1"/>
          <w:color w:val="auto"/>
        </w:rPr>
        <w:t>RUSTEE</w:t>
      </w:r>
      <w:r>
        <w:rPr>
          <w:rFonts w:ascii="Times New Roman" w:cs="Times New Roman" w:eastAsia="Times New Roman" w:hAnsi="Times New Roman"/>
          <w:sz w:val="18"/>
          <w:szCs w:val="18"/>
          <w:i w:val="1"/>
          <w:iCs w:val="1"/>
          <w:color w:val="auto"/>
        </w:rPr>
        <w:t xml:space="preserve"> D</w:t>
      </w:r>
      <w:r>
        <w:rPr>
          <w:rFonts w:ascii="Times New Roman" w:cs="Times New Roman" w:eastAsia="Times New Roman" w:hAnsi="Times New Roman"/>
          <w:sz w:val="14"/>
          <w:szCs w:val="14"/>
          <w:i w:val="1"/>
          <w:iCs w:val="1"/>
          <w:color w:val="auto"/>
        </w:rPr>
        <w:t>EALINGS WITH</w:t>
      </w:r>
      <w:r>
        <w:rPr>
          <w:rFonts w:ascii="Times New Roman" w:cs="Times New Roman" w:eastAsia="Times New Roman" w:hAnsi="Times New Roman"/>
          <w:sz w:val="18"/>
          <w:szCs w:val="18"/>
          <w:i w:val="1"/>
          <w:iCs w:val="1"/>
          <w:color w:val="auto"/>
        </w:rPr>
        <w:t xml:space="preserve"> I</w:t>
      </w:r>
      <w:r>
        <w:rPr>
          <w:rFonts w:ascii="Times New Roman" w:cs="Times New Roman" w:eastAsia="Times New Roman" w:hAnsi="Times New Roman"/>
          <w:sz w:val="14"/>
          <w:szCs w:val="14"/>
          <w:i w:val="1"/>
          <w:iCs w:val="1"/>
          <w:color w:val="auto"/>
        </w:rPr>
        <w:t>SSUER</w:t>
      </w:r>
      <w:r>
        <w:rPr>
          <w:rFonts w:ascii="Times New Roman" w:cs="Times New Roman" w:eastAsia="Times New Roman" w:hAnsi="Times New Roman"/>
          <w:sz w:val="18"/>
          <w:szCs w:val="18"/>
          <w:color w:val="auto"/>
        </w:rPr>
        <w:t>. The Trustee, in its individual or any other capacity, may make loans to, accept deposits from,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 services for the Issuer or its Affiliates, and may otherwise deal with the Issuer or its Affiliates, as if it were not the Trustee.</w:t>
      </w:r>
    </w:p>
    <w:p>
      <w:pPr>
        <w:spacing w:after="0" w:line="50" w:lineRule="exact"/>
        <w:rPr>
          <w:rFonts w:ascii="Times New Roman" w:cs="Times New Roman" w:eastAsia="Times New Roman" w:hAnsi="Times New Roman"/>
          <w:sz w:val="18"/>
          <w:szCs w:val="18"/>
          <w:color w:val="auto"/>
        </w:rPr>
      </w:pPr>
    </w:p>
    <w:p>
      <w:pPr>
        <w:ind w:right="120" w:firstLine="419"/>
        <w:spacing w:after="0" w:line="258" w:lineRule="auto"/>
        <w:tabs>
          <w:tab w:leader="none" w:pos="768"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w:t>
      </w:r>
      <w:r>
        <w:rPr>
          <w:rFonts w:ascii="Times New Roman" w:cs="Times New Roman" w:eastAsia="Times New Roman" w:hAnsi="Times New Roman"/>
          <w:sz w:val="14"/>
          <w:szCs w:val="14"/>
          <w:i w:val="1"/>
          <w:iCs w:val="1"/>
          <w:color w:val="auto"/>
        </w:rPr>
        <w:t>O</w:t>
      </w:r>
      <w:r>
        <w:rPr>
          <w:rFonts w:ascii="Times New Roman" w:cs="Times New Roman" w:eastAsia="Times New Roman" w:hAnsi="Times New Roman"/>
          <w:sz w:val="18"/>
          <w:szCs w:val="18"/>
          <w:i w:val="1"/>
          <w:iCs w:val="1"/>
          <w:color w:val="auto"/>
        </w:rPr>
        <w:t xml:space="preserve"> R</w:t>
      </w:r>
      <w:r>
        <w:rPr>
          <w:rFonts w:ascii="Times New Roman" w:cs="Times New Roman" w:eastAsia="Times New Roman" w:hAnsi="Times New Roman"/>
          <w:sz w:val="14"/>
          <w:szCs w:val="14"/>
          <w:i w:val="1"/>
          <w:iCs w:val="1"/>
          <w:color w:val="auto"/>
        </w:rPr>
        <w:t>ECOURSE</w:t>
      </w:r>
      <w:r>
        <w:rPr>
          <w:rFonts w:ascii="Times New Roman" w:cs="Times New Roman" w:eastAsia="Times New Roman" w:hAnsi="Times New Roman"/>
          <w:sz w:val="18"/>
          <w:szCs w:val="18"/>
          <w:i w:val="1"/>
          <w:iCs w:val="1"/>
          <w:color w:val="auto"/>
        </w:rPr>
        <w:t xml:space="preserve"> A</w:t>
      </w:r>
      <w:r>
        <w:rPr>
          <w:rFonts w:ascii="Times New Roman" w:cs="Times New Roman" w:eastAsia="Times New Roman" w:hAnsi="Times New Roman"/>
          <w:sz w:val="14"/>
          <w:szCs w:val="14"/>
          <w:i w:val="1"/>
          <w:iCs w:val="1"/>
          <w:color w:val="auto"/>
        </w:rPr>
        <w:t>GAINST</w:t>
      </w:r>
      <w:r>
        <w:rPr>
          <w:rFonts w:ascii="Times New Roman" w:cs="Times New Roman" w:eastAsia="Times New Roman" w:hAnsi="Times New Roman"/>
          <w:sz w:val="18"/>
          <w:szCs w:val="18"/>
          <w:i w:val="1"/>
          <w:iCs w:val="1"/>
          <w:color w:val="auto"/>
        </w:rPr>
        <w:t xml:space="preserve"> O</w:t>
      </w:r>
      <w:r>
        <w:rPr>
          <w:rFonts w:ascii="Times New Roman" w:cs="Times New Roman" w:eastAsia="Times New Roman" w:hAnsi="Times New Roman"/>
          <w:sz w:val="14"/>
          <w:szCs w:val="14"/>
          <w:i w:val="1"/>
          <w:iCs w:val="1"/>
          <w:color w:val="auto"/>
        </w:rPr>
        <w:t>THERS</w:t>
      </w:r>
      <w:r>
        <w:rPr>
          <w:rFonts w:ascii="Times New Roman" w:cs="Times New Roman" w:eastAsia="Times New Roman" w:hAnsi="Times New Roman"/>
          <w:sz w:val="18"/>
          <w:szCs w:val="18"/>
          <w:color w:val="auto"/>
        </w:rPr>
        <w:t>. No past, present or future director, officer, partner, employee, incorporator, manager, stockholder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unitholder or other owner of Capital Stock of the Issuer or any Guarantor, as such, will have any liability for any obligations of the Issuer or the Guarantors under the Notes, the Indenture, the Guarantees or for any claim based on, in respect of, or by reason of, such obligations or their creation. Each Holder of Notes by accepting a Note waives and releases all such liability. The waiver and release are part of the consideration for issuance of the Notes.</w:t>
      </w:r>
    </w:p>
    <w:p>
      <w:pPr>
        <w:spacing w:after="0" w:line="75"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4"/>
          <w:szCs w:val="14"/>
          <w:i w:val="1"/>
          <w:iCs w:val="1"/>
          <w:color w:val="auto"/>
        </w:rPr>
        <w:t>UTHENTICATION</w:t>
      </w:r>
      <w:r>
        <w:rPr>
          <w:rFonts w:ascii="Times New Roman" w:cs="Times New Roman" w:eastAsia="Times New Roman" w:hAnsi="Times New Roman"/>
          <w:sz w:val="18"/>
          <w:szCs w:val="18"/>
          <w:color w:val="auto"/>
        </w:rPr>
        <w:t>. This Note will not be valid until authenticated by the manual signature of the Trustee or an authenticating agent.</w:t>
      </w:r>
    </w:p>
    <w:p>
      <w:pPr>
        <w:spacing w:after="0" w:line="117" w:lineRule="exact"/>
        <w:rPr>
          <w:rFonts w:ascii="Times New Roman" w:cs="Times New Roman" w:eastAsia="Times New Roman" w:hAnsi="Times New Roman"/>
          <w:sz w:val="18"/>
          <w:szCs w:val="18"/>
          <w:color w:val="auto"/>
        </w:rPr>
      </w:pPr>
    </w:p>
    <w:p>
      <w:pPr>
        <w:ind w:right="320" w:firstLine="419"/>
        <w:spacing w:after="0" w:line="267" w:lineRule="auto"/>
        <w:tabs>
          <w:tab w:leader="none" w:pos="768"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4"/>
          <w:szCs w:val="14"/>
          <w:i w:val="1"/>
          <w:iCs w:val="1"/>
          <w:color w:val="auto"/>
        </w:rPr>
        <w:t>BBREVIATIONS</w:t>
      </w:r>
      <w:r>
        <w:rPr>
          <w:rFonts w:ascii="Times New Roman" w:cs="Times New Roman" w:eastAsia="Times New Roman" w:hAnsi="Times New Roman"/>
          <w:sz w:val="18"/>
          <w:szCs w:val="18"/>
          <w:color w:val="auto"/>
        </w:rPr>
        <w:t>. Customary abbreviations may be used in the name of a Holder or an assignee, such as: TEN COM (= tenants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TEN ENT (= tenants by the entireties), JT TEN (= joint tenants with right of survivorship and not as tenants in common), CUST (= Custodian), and U/G/M/A (= Uniform Gifts to Minors Act).</w:t>
      </w:r>
    </w:p>
    <w:p>
      <w:pPr>
        <w:spacing w:after="0" w:line="65" w:lineRule="exact"/>
        <w:rPr>
          <w:rFonts w:ascii="Times New Roman" w:cs="Times New Roman" w:eastAsia="Times New Roman" w:hAnsi="Times New Roman"/>
          <w:sz w:val="18"/>
          <w:szCs w:val="18"/>
          <w:color w:val="auto"/>
        </w:rPr>
      </w:pPr>
    </w:p>
    <w:p>
      <w:pPr>
        <w:ind w:right="80" w:firstLine="419"/>
        <w:spacing w:after="0" w:line="261" w:lineRule="auto"/>
        <w:tabs>
          <w:tab w:leader="none" w:pos="768"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CUSIP N</w:t>
      </w:r>
      <w:r>
        <w:rPr>
          <w:rFonts w:ascii="Times New Roman" w:cs="Times New Roman" w:eastAsia="Times New Roman" w:hAnsi="Times New Roman"/>
          <w:sz w:val="14"/>
          <w:szCs w:val="14"/>
          <w:i w:val="1"/>
          <w:iCs w:val="1"/>
          <w:color w:val="auto"/>
        </w:rPr>
        <w:t>UMBERS</w:t>
      </w:r>
      <w:r>
        <w:rPr>
          <w:rFonts w:ascii="Times New Roman" w:cs="Times New Roman" w:eastAsia="Times New Roman" w:hAnsi="Times New Roman"/>
          <w:sz w:val="18"/>
          <w:szCs w:val="18"/>
          <w:color w:val="auto"/>
        </w:rPr>
        <w:t>. Pursuant to a recommendation promulgated by the Committee on Uniform Security Identification Procedures,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Issuer has 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71" w:lineRule="exact"/>
        <w:rPr>
          <w:rFonts w:ascii="Times New Roman" w:cs="Times New Roman" w:eastAsia="Times New Roman" w:hAnsi="Times New Roman"/>
          <w:sz w:val="18"/>
          <w:szCs w:val="18"/>
          <w:color w:val="auto"/>
        </w:rPr>
      </w:pPr>
    </w:p>
    <w:p>
      <w:pPr>
        <w:ind w:right="180" w:firstLine="419"/>
        <w:spacing w:after="0" w:line="267" w:lineRule="auto"/>
        <w:tabs>
          <w:tab w:leader="none" w:pos="768"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GOVERNING LAW. </w:t>
      </w:r>
      <w:r>
        <w:rPr>
          <w:rFonts w:ascii="Times New Roman" w:cs="Times New Roman" w:eastAsia="Times New Roman" w:hAnsi="Times New Roman"/>
          <w:sz w:val="18"/>
          <w:szCs w:val="18"/>
          <w:color w:val="auto"/>
        </w:rPr>
        <w:t>THE INDENTURE, THE NOTES AND THE GUARANTEES, AND ANY CLAIM, CONTROVERSY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DISPUTE ARISING UNDER OR RELATED TO THE INDENTURE, THE NOTES AND THE GUARANTEES, WILL BE GOVERNED BY, AND CONSTRUED IN ACCORDANCE WITH, THE LAWS OF THE STATE OF NEW YORK.</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0560"/>
          </w:cols>
          <w:pgMar w:left="880" w:top="268" w:right="45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Issuer will furnish to any Holder upon written request and without charge a copy of the Indenture. Requests may be made to:</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California Resources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World Trade Center, Suite 1500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 Beach, California 90831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No.: (818) 661-3750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Chief Financial Officer</w:t>
      </w:r>
    </w:p>
    <w:p>
      <w:pPr>
        <w:spacing w:after="0" w:line="13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A-9</w:t>
      </w:r>
    </w:p>
    <w:p>
      <w:pPr>
        <w:sectPr>
          <w:pgSz w:w="11900" w:h="16838" w:orient="portrait"/>
          <w:cols w:equalWidth="0" w:num="1">
            <w:col w:w="9579"/>
          </w:cols>
          <w:pgMar w:left="880" w:top="270" w:right="1440" w:bottom="1440" w:gutter="0" w:footer="0" w:header="0"/>
        </w:sectPr>
      </w:pPr>
    </w:p>
    <w:bookmarkStart w:id="139" w:name="page140"/>
    <w:bookmarkEnd w:id="139"/>
    <w:p>
      <w:pPr>
        <w:jc w:val="center"/>
        <w:ind w:right="-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w:t>
      </w:r>
      <w:r>
        <w:rPr>
          <w:rFonts w:ascii="Times New Roman" w:cs="Times New Roman" w:eastAsia="Times New Roman" w:hAnsi="Times New Roman"/>
          <w:sz w:val="14"/>
          <w:szCs w:val="14"/>
          <w:color w:val="auto"/>
        </w:rPr>
        <w:t>SSIGNMENT</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4"/>
          <w:szCs w:val="14"/>
          <w:color w:val="auto"/>
        </w:rPr>
        <w:t>ORM</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To assign this Note, fill in the form below:</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1983105</wp:posOffset>
            </wp:positionH>
            <wp:positionV relativeFrom="paragraph">
              <wp:posOffset>-7620</wp:posOffset>
            </wp:positionV>
            <wp:extent cx="47701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7701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128905</wp:posOffset>
            </wp:positionV>
            <wp:extent cx="28575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85750" cy="8255"/>
                    </a:xfrm>
                    <a:prstGeom prst="rect">
                      <a:avLst/>
                    </a:prstGeom>
                    <a:noFill/>
                  </pic:spPr>
                </pic:pic>
              </a:graphicData>
            </a:graphic>
          </wp:anchor>
        </w:drawing>
      </w:r>
    </w:p>
    <w:p>
      <w:pPr>
        <w:spacing w:after="0" w:line="205" w:lineRule="exact"/>
        <w:rPr>
          <w:sz w:val="20"/>
          <w:szCs w:val="20"/>
          <w:color w:val="auto"/>
        </w:rPr>
      </w:pPr>
    </w:p>
    <w:p>
      <w:pPr>
        <w:ind w:left="6364"/>
        <w:spacing w:after="0"/>
        <w:rPr>
          <w:sz w:val="20"/>
          <w:szCs w:val="20"/>
          <w:color w:val="auto"/>
        </w:rPr>
      </w:pPr>
      <w:r>
        <w:rPr>
          <w:rFonts w:ascii="Times New Roman" w:cs="Times New Roman" w:eastAsia="Times New Roman" w:hAnsi="Times New Roman"/>
          <w:sz w:val="18"/>
          <w:szCs w:val="18"/>
          <w:color w:val="auto"/>
        </w:rPr>
        <w:t xml:space="preserve">(Insert assignee’s legal name)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377190</wp:posOffset>
            </wp:positionV>
            <wp:extent cx="699516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574675</wp:posOffset>
            </wp:positionV>
            <wp:extent cx="699516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771525</wp:posOffset>
            </wp:positionV>
            <wp:extent cx="699516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and irrevocably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1113790</wp:posOffset>
            </wp:positionH>
            <wp:positionV relativeFrom="paragraph">
              <wp:posOffset>-7620</wp:posOffset>
            </wp:positionV>
            <wp:extent cx="53416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3416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128905</wp:posOffset>
            </wp:positionV>
            <wp:extent cx="80010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pacing w:after="0" w:line="20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to transfer this Note on the books of the Issuer. The agent may substitute another to act for him.</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_______________</w:t>
      </w:r>
    </w:p>
    <w:p>
      <w:pPr>
        <w:spacing w:after="0" w:line="252" w:lineRule="exact"/>
        <w:rPr>
          <w:sz w:val="20"/>
          <w:szCs w:val="20"/>
          <w:color w:val="auto"/>
        </w:rPr>
      </w:pPr>
    </w:p>
    <w:p>
      <w:pPr>
        <w:ind w:left="6324"/>
        <w:spacing w:after="0"/>
        <w:rPr>
          <w:sz w:val="20"/>
          <w:szCs w:val="20"/>
          <w:color w:val="auto"/>
        </w:rPr>
      </w:pPr>
      <w:r>
        <w:rPr>
          <w:rFonts w:ascii="Times New Roman" w:cs="Times New Roman" w:eastAsia="Times New Roman" w:hAnsi="Times New Roman"/>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4903470</wp:posOffset>
            </wp:positionH>
            <wp:positionV relativeFrom="paragraph">
              <wp:posOffset>17145</wp:posOffset>
            </wp:positionV>
            <wp:extent cx="209169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(Sign exactly as your name appears on the face of this Note)</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Signature Guarantee*: _________________________</w:t>
      </w:r>
    </w:p>
    <w:p>
      <w:pPr>
        <w:spacing w:after="0" w:line="252" w:lineRule="exact"/>
        <w:rPr>
          <w:sz w:val="20"/>
          <w:szCs w:val="20"/>
          <w:color w:val="auto"/>
        </w:rPr>
      </w:pPr>
    </w:p>
    <w:p>
      <w:pPr>
        <w:ind w:left="5324" w:right="1880" w:hanging="5324"/>
        <w:spacing w:after="0" w:line="454" w:lineRule="auto"/>
        <w:tabs>
          <w:tab w:leader="none" w:pos="217"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in a recognized Signature Guarantee Medallion Program (or other signature guarantor acceptable to the Trustee). A-10</w:t>
      </w:r>
    </w:p>
    <w:p>
      <w:pPr>
        <w:sectPr>
          <w:pgSz w:w="11900" w:h="16838" w:orient="portrait"/>
          <w:cols w:equalWidth="0" w:num="1">
            <w:col w:w="11024"/>
          </w:cols>
          <w:pgMar w:left="436" w:top="270" w:right="439" w:bottom="1440" w:gutter="0" w:footer="0" w:header="0"/>
        </w:sectPr>
      </w:pPr>
    </w:p>
    <w:bookmarkStart w:id="140" w:name="page141"/>
    <w:bookmarkEnd w:id="140"/>
    <w:p>
      <w:pPr>
        <w:jc w:val="center"/>
        <w:ind w:right="-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w:t>
      </w:r>
      <w:r>
        <w:rPr>
          <w:rFonts w:ascii="Times New Roman" w:cs="Times New Roman" w:eastAsia="Times New Roman" w:hAnsi="Times New Roman"/>
          <w:sz w:val="14"/>
          <w:szCs w:val="14"/>
          <w:color w:val="auto"/>
        </w:rPr>
        <w:t>PTION OF</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OLDER TO</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4"/>
          <w:szCs w:val="14"/>
          <w:color w:val="auto"/>
        </w:rPr>
        <w:t>LECT</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URCHASE</w:t>
      </w:r>
    </w:p>
    <w:p>
      <w:pPr>
        <w:spacing w:after="0" w:line="225" w:lineRule="exact"/>
        <w:rPr>
          <w:sz w:val="20"/>
          <w:szCs w:val="20"/>
          <w:color w:val="auto"/>
        </w:rPr>
      </w:pPr>
    </w:p>
    <w:p>
      <w:pPr>
        <w:jc w:val="center"/>
        <w:ind w:left="740" w:right="140"/>
        <w:spacing w:after="0" w:line="293" w:lineRule="exact"/>
        <w:rPr>
          <w:sz w:val="20"/>
          <w:szCs w:val="20"/>
          <w:color w:val="auto"/>
        </w:rPr>
      </w:pPr>
      <w:r>
        <w:rPr>
          <w:rFonts w:ascii="Times New Roman" w:cs="Times New Roman" w:eastAsia="Times New Roman" w:hAnsi="Times New Roman"/>
          <w:sz w:val="18"/>
          <w:szCs w:val="18"/>
          <w:color w:val="auto"/>
        </w:rPr>
        <w:t xml:space="preserve">If you want to elect to have this Note purchased by the Issuer pursuant to Section 4.10 or 4.15 of the Indenture, check the appropriate box below: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Section 4.10 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Section 4.15</w:t>
      </w:r>
    </w:p>
    <w:p>
      <w:pPr>
        <w:spacing w:after="0" w:line="171" w:lineRule="exact"/>
        <w:rPr>
          <w:sz w:val="20"/>
          <w:szCs w:val="20"/>
          <w:color w:val="auto"/>
        </w:rPr>
      </w:pPr>
    </w:p>
    <w:p>
      <w:pPr>
        <w:ind w:left="4" w:right="520" w:firstLine="440"/>
        <w:spacing w:after="0" w:line="282" w:lineRule="auto"/>
        <w:rPr>
          <w:sz w:val="20"/>
          <w:szCs w:val="20"/>
          <w:color w:val="auto"/>
        </w:rPr>
      </w:pPr>
      <w:r>
        <w:rPr>
          <w:rFonts w:ascii="Times New Roman" w:cs="Times New Roman" w:eastAsia="Times New Roman" w:hAnsi="Times New Roman"/>
          <w:sz w:val="18"/>
          <w:szCs w:val="18"/>
          <w:color w:val="auto"/>
        </w:rPr>
        <w:t>If you want to elect to have only part of the Note purchased by the Issuer pursuant to Section 4.10 or Section 4.15 of the Indenture, state the amount you elect to have purchased:</w:t>
      </w:r>
    </w:p>
    <w:p>
      <w:pPr>
        <w:spacing w:after="0" w:line="54" w:lineRule="exact"/>
        <w:rPr>
          <w:sz w:val="20"/>
          <w:szCs w:val="20"/>
          <w:color w:val="auto"/>
        </w:rPr>
      </w:pPr>
    </w:p>
    <w:p>
      <w:pPr>
        <w:ind w:left="4784"/>
        <w:spacing w:after="0"/>
        <w:rPr>
          <w:sz w:val="20"/>
          <w:szCs w:val="20"/>
          <w:color w:val="auto"/>
        </w:rPr>
      </w:pPr>
      <w:r>
        <w:rPr>
          <w:rFonts w:ascii="Times New Roman" w:cs="Times New Roman" w:eastAsia="Times New Roman" w:hAnsi="Times New Roman"/>
          <w:sz w:val="18"/>
          <w:szCs w:val="18"/>
          <w:color w:val="auto"/>
        </w:rPr>
        <w:t>$_______________</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_______________</w:t>
      </w:r>
    </w:p>
    <w:p>
      <w:pPr>
        <w:spacing w:after="0" w:line="252" w:lineRule="exact"/>
        <w:rPr>
          <w:sz w:val="20"/>
          <w:szCs w:val="20"/>
          <w:color w:val="auto"/>
        </w:rPr>
      </w:pPr>
    </w:p>
    <w:p>
      <w:pPr>
        <w:ind w:left="6324"/>
        <w:spacing w:after="0"/>
        <w:rPr>
          <w:sz w:val="20"/>
          <w:szCs w:val="20"/>
          <w:color w:val="auto"/>
        </w:rPr>
      </w:pPr>
      <w:r>
        <w:rPr>
          <w:rFonts w:ascii="Times New Roman" w:cs="Times New Roman" w:eastAsia="Times New Roman" w:hAnsi="Times New Roman"/>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4903470</wp:posOffset>
            </wp:positionH>
            <wp:positionV relativeFrom="paragraph">
              <wp:posOffset>17145</wp:posOffset>
            </wp:positionV>
            <wp:extent cx="209169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(Sign exactly as your name appears on the face of this Note)</w:t>
      </w:r>
    </w:p>
    <w:p>
      <w:pPr>
        <w:spacing w:after="0" w:line="207" w:lineRule="exact"/>
        <w:rPr>
          <w:sz w:val="20"/>
          <w:szCs w:val="20"/>
          <w:color w:val="auto"/>
        </w:rPr>
      </w:pPr>
    </w:p>
    <w:p>
      <w:pPr>
        <w:ind w:left="6804"/>
        <w:spacing w:after="0"/>
        <w:rPr>
          <w:sz w:val="20"/>
          <w:szCs w:val="20"/>
          <w:color w:val="auto"/>
        </w:rPr>
      </w:pPr>
      <w:r>
        <w:rPr>
          <w:rFonts w:ascii="Times New Roman" w:cs="Times New Roman" w:eastAsia="Times New Roman" w:hAnsi="Times New Roman"/>
          <w:sz w:val="18"/>
          <w:szCs w:val="18"/>
          <w:color w:val="auto"/>
        </w:rPr>
        <w:t xml:space="preserve">Tax Identification No.: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5395595</wp:posOffset>
            </wp:positionH>
            <wp:positionV relativeFrom="paragraph">
              <wp:posOffset>-7620</wp:posOffset>
            </wp:positionV>
            <wp:extent cx="159956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599565" cy="8890"/>
                    </a:xfrm>
                    <a:prstGeom prst="rect">
                      <a:avLst/>
                    </a:prstGeom>
                    <a:noFill/>
                  </pic:spPr>
                </pic:pic>
              </a:graphicData>
            </a:graphic>
          </wp:anchor>
        </w:drawing>
      </w:r>
    </w:p>
    <w:p>
      <w:pPr>
        <w:spacing w:after="0" w:line="20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Signature Guarantee*: _________________________</w:t>
      </w:r>
    </w:p>
    <w:p>
      <w:pPr>
        <w:spacing w:after="0" w:line="252" w:lineRule="exact"/>
        <w:rPr>
          <w:sz w:val="20"/>
          <w:szCs w:val="20"/>
          <w:color w:val="auto"/>
        </w:rPr>
      </w:pPr>
    </w:p>
    <w:p>
      <w:pPr>
        <w:ind w:left="5324" w:right="1880" w:hanging="5324"/>
        <w:spacing w:after="0" w:line="454" w:lineRule="auto"/>
        <w:tabs>
          <w:tab w:leader="none" w:pos="214"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in a recognized Signature Guarantee Medallion Program (or other signature guarantor acceptable to the Trustee). A-11</w:t>
      </w:r>
    </w:p>
    <w:p>
      <w:pPr>
        <w:sectPr>
          <w:pgSz w:w="11900" w:h="16838" w:orient="portrait"/>
          <w:cols w:equalWidth="0" w:num="1">
            <w:col w:w="11024"/>
          </w:cols>
          <w:pgMar w:left="436" w:top="270" w:right="439" w:bottom="1440" w:gutter="0" w:footer="0" w:header="0"/>
        </w:sectPr>
      </w:pPr>
    </w:p>
    <w:bookmarkStart w:id="141" w:name="page142"/>
    <w:bookmarkEnd w:id="141"/>
    <w:p>
      <w:pPr>
        <w:ind w:left="252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w:t>
      </w:r>
      <w:r>
        <w:rPr>
          <w:rFonts w:ascii="Times New Roman" w:cs="Times New Roman" w:eastAsia="Times New Roman" w:hAnsi="Times New Roman"/>
          <w:sz w:val="14"/>
          <w:szCs w:val="14"/>
          <w:color w:val="auto"/>
        </w:rPr>
        <w:t>CHEDULE OF</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NCREASES OR</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4"/>
          <w:szCs w:val="14"/>
          <w:color w:val="auto"/>
        </w:rPr>
        <w:t>ECREASES OF</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NTERESTS IN THE</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LOBAL</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4"/>
          <w:szCs w:val="14"/>
          <w:color w:val="auto"/>
        </w:rPr>
        <w:t>OTE</w:t>
      </w:r>
      <w:r>
        <w:rPr>
          <w:rFonts w:ascii="Times New Roman" w:cs="Times New Roman" w:eastAsia="Times New Roman" w:hAnsi="Times New Roman"/>
          <w:sz w:val="18"/>
          <w:szCs w:val="18"/>
          <w:color w:val="auto"/>
        </w:rPr>
        <w:t xml:space="preserve"> *</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following increases or decreases in principal amount of this Global Note have been made:</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Amount of</w:t>
            </w:r>
          </w:p>
        </w:tc>
        <w:tc>
          <w:tcPr>
            <w:tcW w:w="2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Amount of</w:t>
            </w:r>
          </w:p>
        </w:tc>
        <w:tc>
          <w:tcPr>
            <w:tcW w:w="23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Principal Amount</w:t>
            </w: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Signature of</w:t>
            </w: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decrease in</w:t>
            </w:r>
          </w:p>
        </w:tc>
        <w:tc>
          <w:tcPr>
            <w:tcW w:w="23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increase in</w:t>
            </w:r>
          </w:p>
        </w:tc>
        <w:tc>
          <w:tcPr>
            <w:tcW w:w="23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of this Global Note</w:t>
            </w:r>
          </w:p>
        </w:tc>
        <w:tc>
          <w:tcPr>
            <w:tcW w:w="2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Date of Increase</w:t>
            </w:r>
          </w:p>
        </w:tc>
        <w:tc>
          <w:tcPr>
            <w:tcW w:w="22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Principal Amount</w:t>
            </w:r>
          </w:p>
        </w:tc>
        <w:tc>
          <w:tcPr>
            <w:tcW w:w="23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Principal Amount</w:t>
            </w:r>
          </w:p>
        </w:tc>
        <w:tc>
          <w:tcPr>
            <w:tcW w:w="23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following such</w:t>
            </w:r>
          </w:p>
        </w:tc>
        <w:tc>
          <w:tcPr>
            <w:tcW w:w="2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authorized officer</w:t>
            </w:r>
          </w:p>
        </w:tc>
        <w:tc>
          <w:tcPr>
            <w:tcW w:w="0" w:type="dxa"/>
            <w:vAlign w:val="bottom"/>
          </w:tcPr>
          <w:p>
            <w:pPr>
              <w:spacing w:after="0"/>
              <w:rPr>
                <w:sz w:val="1"/>
                <w:szCs w:val="1"/>
                <w:color w:val="auto"/>
              </w:rPr>
            </w:pPr>
          </w:p>
        </w:tc>
      </w:tr>
      <w:tr>
        <w:trPr>
          <w:trHeight w:val="149"/>
        </w:trPr>
        <w:tc>
          <w:tcPr>
            <w:tcW w:w="2100" w:type="dxa"/>
            <w:vAlign w:val="bottom"/>
            <w:gridSpan w:val="2"/>
            <w:vMerge w:val="continue"/>
          </w:tcPr>
          <w:p>
            <w:pPr>
              <w:spacing w:after="0"/>
              <w:rPr>
                <w:sz w:val="12"/>
                <w:szCs w:val="12"/>
                <w:color w:val="auto"/>
              </w:rPr>
            </w:pPr>
          </w:p>
        </w:tc>
        <w:tc>
          <w:tcPr>
            <w:tcW w:w="22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of</w:t>
            </w:r>
          </w:p>
        </w:tc>
        <w:tc>
          <w:tcPr>
            <w:tcW w:w="23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of</w:t>
            </w:r>
          </w:p>
        </w:tc>
        <w:tc>
          <w:tcPr>
            <w:tcW w:w="23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decrease</w:t>
            </w:r>
          </w:p>
        </w:tc>
        <w:tc>
          <w:tcPr>
            <w:tcW w:w="2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of Trustee or</w:t>
            </w:r>
          </w:p>
        </w:tc>
        <w:tc>
          <w:tcPr>
            <w:tcW w:w="0" w:type="dxa"/>
            <w:vAlign w:val="bottom"/>
          </w:tcPr>
          <w:p>
            <w:pPr>
              <w:spacing w:after="0"/>
              <w:rPr>
                <w:sz w:val="1"/>
                <w:szCs w:val="1"/>
                <w:color w:val="auto"/>
              </w:rPr>
            </w:pPr>
          </w:p>
        </w:tc>
      </w:tr>
      <w:tr>
        <w:trPr>
          <w:trHeight w:val="185"/>
        </w:trPr>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or Decrease</w:t>
            </w:r>
          </w:p>
        </w:tc>
        <w:tc>
          <w:tcPr>
            <w:tcW w:w="140" w:type="dxa"/>
            <w:vAlign w:val="bottom"/>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this Global Note</w:t>
            </w:r>
          </w:p>
        </w:tc>
        <w:tc>
          <w:tcPr>
            <w:tcW w:w="100" w:type="dxa"/>
            <w:vAlign w:val="bottom"/>
          </w:tcPr>
          <w:p>
            <w:pPr>
              <w:spacing w:after="0"/>
              <w:rPr>
                <w:sz w:val="16"/>
                <w:szCs w:val="16"/>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this Global Note</w:t>
            </w:r>
          </w:p>
        </w:tc>
        <w:tc>
          <w:tcPr>
            <w:tcW w:w="120" w:type="dxa"/>
            <w:vAlign w:val="bottom"/>
          </w:tcPr>
          <w:p>
            <w:pPr>
              <w:spacing w:after="0"/>
              <w:rPr>
                <w:sz w:val="16"/>
                <w:szCs w:val="16"/>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(or increase)</w:t>
            </w:r>
          </w:p>
        </w:tc>
        <w:tc>
          <w:tcPr>
            <w:tcW w:w="100" w:type="dxa"/>
            <w:vAlign w:val="bottom"/>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Custodian</w:t>
            </w: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5324" w:right="5340" w:hanging="5324"/>
        <w:spacing w:after="0" w:line="368" w:lineRule="auto"/>
        <w:tabs>
          <w:tab w:leader="none" w:pos="217" w:val="left"/>
        </w:tabs>
        <w:numPr>
          <w:ilvl w:val="0"/>
          <w:numId w:val="2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This schedule should be included only if the Note is issued in global form. </w:t>
      </w:r>
      <w:r>
        <w:rPr>
          <w:rFonts w:ascii="Times New Roman" w:cs="Times New Roman" w:eastAsia="Times New Roman" w:hAnsi="Times New Roman"/>
          <w:sz w:val="17"/>
          <w:szCs w:val="17"/>
          <w:color w:val="auto"/>
        </w:rPr>
        <w:t>A-12</w:t>
      </w:r>
    </w:p>
    <w:p>
      <w:pPr>
        <w:sectPr>
          <w:pgSz w:w="11900" w:h="16838" w:orient="portrait"/>
          <w:cols w:equalWidth="0" w:num="1">
            <w:col w:w="11024"/>
          </w:cols>
          <w:pgMar w:left="436" w:top="270" w:right="4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CERTIFICATE OF TRANSFER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California Resources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World Trade Center, Suite 1500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 Beach, California 90831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No.: (818) 661-3750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Wilmington Trust, National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 South Sixth Street, Suite 1290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 55402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No.: (612) 217-5651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California Resources Corporation, Administrator</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 California Resources Corporation 7.000% Senior Notes due 2034</w:t>
      </w:r>
    </w:p>
    <w:p>
      <w:pPr>
        <w:spacing w:after="0" w:line="223" w:lineRule="exact"/>
        <w:rPr>
          <w:sz w:val="20"/>
          <w:szCs w:val="20"/>
          <w:color w:val="auto"/>
        </w:rPr>
      </w:pPr>
    </w:p>
    <w:p>
      <w:pPr>
        <w:jc w:val="both"/>
        <w:ind w:right="180" w:firstLine="440"/>
        <w:spacing w:after="0" w:line="267" w:lineRule="auto"/>
        <w:rPr>
          <w:sz w:val="20"/>
          <w:szCs w:val="20"/>
          <w:color w:val="auto"/>
        </w:rPr>
      </w:pPr>
      <w:r>
        <w:rPr>
          <w:rFonts w:ascii="Times New Roman" w:cs="Times New Roman" w:eastAsia="Times New Roman" w:hAnsi="Times New Roman"/>
          <w:sz w:val="18"/>
          <w:szCs w:val="18"/>
          <w:color w:val="auto"/>
        </w:rPr>
        <w:t>Reference is hereby made to the Indenture, dated as of October 8, 2025 (the “</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among California Resources Corporation, a Delaware corporation (the “</w:t>
      </w:r>
      <w:r>
        <w:rPr>
          <w:rFonts w:ascii="Times New Roman" w:cs="Times New Roman" w:eastAsia="Times New Roman" w:hAnsi="Times New Roman"/>
          <w:sz w:val="18"/>
          <w:szCs w:val="18"/>
          <w:i w:val="1"/>
          <w:iCs w:val="1"/>
          <w:color w:val="auto"/>
        </w:rPr>
        <w:t>Issuer</w:t>
      </w:r>
      <w:r>
        <w:rPr>
          <w:rFonts w:ascii="Times New Roman" w:cs="Times New Roman" w:eastAsia="Times New Roman" w:hAnsi="Times New Roman"/>
          <w:sz w:val="18"/>
          <w:szCs w:val="18"/>
          <w:color w:val="auto"/>
        </w:rPr>
        <w:t>”), the Guarantors party thereto and Wilmington Trust, National Association, as trustee. Capitalized terms used but not defined herein shall have the meanings given to them in the Indenture.</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___________________ (the “</w:t>
      </w:r>
      <w:r>
        <w:rPr>
          <w:rFonts w:ascii="Times New Roman" w:cs="Times New Roman" w:eastAsia="Times New Roman" w:hAnsi="Times New Roman"/>
          <w:sz w:val="18"/>
          <w:szCs w:val="18"/>
          <w:i w:val="1"/>
          <w:iCs w:val="1"/>
          <w:color w:val="auto"/>
        </w:rPr>
        <w:t>Transferor</w:t>
      </w:r>
      <w:r>
        <w:rPr>
          <w:rFonts w:ascii="Times New Roman" w:cs="Times New Roman" w:eastAsia="Times New Roman" w:hAnsi="Times New Roman"/>
          <w:sz w:val="18"/>
          <w:szCs w:val="18"/>
          <w:color w:val="auto"/>
        </w:rPr>
        <w:t>”) owns and proposes to transfer the Note[s] or interest in such Note[s] specified in Annex A hereto, in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amount of $___________ in such Note[s] or interests (the “</w:t>
      </w:r>
      <w:r>
        <w:rPr>
          <w:rFonts w:ascii="Times New Roman" w:cs="Times New Roman" w:eastAsia="Times New Roman" w:hAnsi="Times New Roman"/>
          <w:sz w:val="18"/>
          <w:szCs w:val="18"/>
          <w:i w:val="1"/>
          <w:iCs w:val="1"/>
          <w:color w:val="auto"/>
        </w:rPr>
        <w:t>Transfer</w:t>
      </w:r>
      <w:r>
        <w:rPr>
          <w:rFonts w:ascii="Times New Roman" w:cs="Times New Roman" w:eastAsia="Times New Roman" w:hAnsi="Times New Roman"/>
          <w:sz w:val="18"/>
          <w:szCs w:val="18"/>
          <w:color w:val="auto"/>
        </w:rPr>
        <w:t>”), to ___________________________ (the “</w:t>
      </w:r>
      <w:r>
        <w:rPr>
          <w:rFonts w:ascii="Times New Roman" w:cs="Times New Roman" w:eastAsia="Times New Roman" w:hAnsi="Times New Roman"/>
          <w:sz w:val="18"/>
          <w:szCs w:val="18"/>
          <w:i w:val="1"/>
          <w:iCs w:val="1"/>
          <w:color w:val="auto"/>
        </w:rPr>
        <w:t>Transferee</w:t>
      </w:r>
      <w:r>
        <w:rPr>
          <w:rFonts w:ascii="Times New Roman" w:cs="Times New Roman" w:eastAsia="Times New Roman" w:hAnsi="Times New Roman"/>
          <w:sz w:val="18"/>
          <w:szCs w:val="18"/>
          <w:color w:val="auto"/>
        </w:rPr>
        <w:t>”), as further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specified in Annex A hereto. In connection with the Transfer, the Transferor hereby certifies that: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[CHECK ALL THAT APPLY]</w:t>
      </w:r>
    </w:p>
    <w:p>
      <w:pPr>
        <w:spacing w:after="0" w:line="184" w:lineRule="exact"/>
        <w:rPr>
          <w:sz w:val="20"/>
          <w:szCs w:val="20"/>
          <w:color w:val="auto"/>
        </w:rPr>
      </w:pPr>
    </w:p>
    <w:p>
      <w:pPr>
        <w:ind w:right="20" w:firstLine="436"/>
        <w:spacing w:after="0" w:line="223" w:lineRule="exact"/>
        <w:tabs>
          <w:tab w:leader="none" w:pos="620" w:val="left"/>
        </w:tabs>
        <w:numPr>
          <w:ilvl w:val="0"/>
          <w:numId w:val="20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Check if Transferee will take delivery of a beneficial interest in the 144A Global Note or a Restricted Definitive Note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Rule 144A</w:t>
      </w:r>
      <w:r>
        <w:rPr>
          <w:rFonts w:ascii="Times New Roman" w:cs="Times New Roman" w:eastAsia="Times New Roman" w:hAnsi="Times New Roman"/>
          <w:sz w:val="18"/>
          <w:szCs w:val="18"/>
          <w:color w:val="auto"/>
        </w:rPr>
        <w:t>. The Transfer is being effected pursuant to and in accordance with Rule 144A under the Securities Act of 1933, as amended (the “</w:t>
      </w:r>
      <w:r>
        <w:rPr>
          <w:rFonts w:ascii="Times New Roman" w:cs="Times New Roman" w:eastAsia="Times New Roman" w:hAnsi="Times New Roman"/>
          <w:sz w:val="18"/>
          <w:szCs w:val="18"/>
          <w:i w:val="1"/>
          <w:iCs w:val="1"/>
          <w:color w:val="auto"/>
        </w:rPr>
        <w:t>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Act</w:t>
      </w:r>
      <w:r>
        <w:rPr>
          <w:rFonts w:ascii="Times New Roman" w:cs="Times New Roman" w:eastAsia="Times New Roman" w:hAnsi="Times New Roman"/>
          <w:sz w:val="18"/>
          <w:szCs w:val="18"/>
          <w:color w:val="auto"/>
        </w:rPr>
        <w:t>”), and, accordingly, the Transferor hereby further certifies that the beneficial interest or Definitive Note is being transferred to a Person that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Transferor reasonably believes is purchasing the beneficial interest or Definitive Note for its own account, or for one or more accounts with respect to which such Person exercises sole investment discretion, and such Person and each such account is a “qualified institutional buyer” within the meaning of Rule 144A in a transaction meeting the requirements of Rule 144A, and such Transfer is in compliance with any applicable blue sky securities laws of any state of the United States. Upon consummation of the proposed Transfer in accordance with the terms of the Indenture, the transferred beneficial interest or Definitive Note will be subject to the restrictions on transfer enumerated in the Private Placement Legend printed on the 144A Global Note and/or the Restricted Definitive Note and in the Indenture and the Securities Act.</w:t>
      </w:r>
    </w:p>
    <w:p>
      <w:pPr>
        <w:spacing w:after="0" w:line="157" w:lineRule="exact"/>
        <w:rPr>
          <w:rFonts w:ascii="Times New Roman" w:cs="Times New Roman" w:eastAsia="Times New Roman" w:hAnsi="Times New Roman"/>
          <w:sz w:val="18"/>
          <w:szCs w:val="18"/>
          <w:color w:val="auto"/>
        </w:rPr>
      </w:pPr>
    </w:p>
    <w:p>
      <w:pPr>
        <w:ind w:right="380" w:firstLine="436"/>
        <w:spacing w:after="0" w:line="231" w:lineRule="exact"/>
        <w:tabs>
          <w:tab w:leader="none" w:pos="620" w:val="left"/>
        </w:tabs>
        <w:numPr>
          <w:ilvl w:val="0"/>
          <w:numId w:val="20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Check if Transferee will take delivery of a beneficial interest in the Regulation S Global Note or a Restricted Definitive Note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pursuant to Regulation S</w:t>
      </w:r>
      <w:r>
        <w:rPr>
          <w:rFonts w:ascii="Times New Roman" w:cs="Times New Roman" w:eastAsia="Times New Roman" w:hAnsi="Times New Roman"/>
          <w:sz w:val="18"/>
          <w:szCs w:val="18"/>
          <w:color w:val="auto"/>
        </w:rPr>
        <w:t>. The Transfer is being effected pursuant to and in accordance with Rule 903 or Rule 904 under the Securities Act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accordingly, the Transferor hereby further certifies that (i) the Transfer is not being made to a Person in the United States and (x) at the time the buy order was originated, the Transferee was outside the United States or such Transferor and any</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1020"/>
          </w:cols>
          <w:pgMar w:left="440" w:top="270" w:right="439" w:bottom="1440" w:gutter="0" w:footer="0" w:header="0"/>
        </w:sectPr>
      </w:pPr>
    </w:p>
    <w:bookmarkStart w:id="143" w:name="page144"/>
    <w:bookmarkEnd w:id="143"/>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 S under the Securities Act, and (iii) the transaction is not part of a plan or scheme to evade the registration requirements of the Securities Act. Upon consummation of the proposed transfer in accordance with the terms of the Indenture, the transferred beneficial interest or Definitive Note will be subject to the restrictions on Transfer enumerated in the Private Placement Legend printed on the Regulation S Global Note and/or the Restricted Definitive Note and in the Indenture and the Securities Act.</w:t>
      </w:r>
    </w:p>
    <w:p>
      <w:pPr>
        <w:spacing w:after="0" w:line="148" w:lineRule="exact"/>
        <w:rPr>
          <w:sz w:val="20"/>
          <w:szCs w:val="20"/>
          <w:color w:val="auto"/>
        </w:rPr>
      </w:pPr>
    </w:p>
    <w:p>
      <w:pPr>
        <w:ind w:right="100" w:firstLine="436"/>
        <w:spacing w:after="0" w:line="228" w:lineRule="exact"/>
        <w:tabs>
          <w:tab w:leader="none" w:pos="620" w:val="left"/>
        </w:tabs>
        <w:numPr>
          <w:ilvl w:val="0"/>
          <w:numId w:val="21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Check and complete if, among other things, Transferee will take delivery of a beneficial interest in a Restricted Definitive Note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pursuant to any provision of the Securities Act other than Rule 144A or Regulation S</w:t>
      </w:r>
      <w:r>
        <w:rPr>
          <w:rFonts w:ascii="Times New Roman" w:cs="Times New Roman" w:eastAsia="Times New Roman" w:hAnsi="Times New Roman"/>
          <w:sz w:val="18"/>
          <w:szCs w:val="18"/>
          <w:color w:val="auto"/>
        </w:rPr>
        <w:t>. The Transfer is being effected in compliance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 restrictions applicable to beneficial interests in Restricted Global Notes and Restricted Definitive Notes and pursuant to and in accordance with the Securities Act and any applicable blue sky securities laws of any state of the United States, and accordingly the Transferor hereby further certifies that (check one):</w:t>
      </w:r>
    </w:p>
    <w:p>
      <w:pPr>
        <w:spacing w:after="0" w:line="49" w:lineRule="exact"/>
        <w:rPr>
          <w:rFonts w:ascii="Times New Roman" w:cs="Times New Roman" w:eastAsia="Times New Roman" w:hAnsi="Times New Roman"/>
          <w:sz w:val="18"/>
          <w:szCs w:val="18"/>
          <w:color w:val="auto"/>
        </w:rPr>
      </w:pPr>
    </w:p>
    <w:p>
      <w:pPr>
        <w:ind w:left="440" w:right="120" w:firstLine="419"/>
        <w:spacing w:after="0" w:line="245" w:lineRule="exact"/>
        <w:tabs>
          <w:tab w:leader="none" w:pos="1108" w:val="left"/>
        </w:tabs>
        <w:numPr>
          <w:ilvl w:val="1"/>
          <w:numId w:val="21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such Transfer is being effected pursuant an exemption from the registration requirements of the Securities Act other than as provided by Rule 144 under the Securities Act;</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76" w:lineRule="exact"/>
        <w:rPr>
          <w:sz w:val="20"/>
          <w:szCs w:val="20"/>
          <w:color w:val="auto"/>
        </w:rPr>
      </w:pPr>
    </w:p>
    <w:p>
      <w:pPr>
        <w:ind w:left="5420" w:right="4840" w:hanging="4561"/>
        <w:spacing w:after="0" w:line="299" w:lineRule="exact"/>
        <w:tabs>
          <w:tab w:leader="none" w:pos="1105" w:val="left"/>
        </w:tabs>
        <w:numPr>
          <w:ilvl w:val="0"/>
          <w:numId w:val="211"/>
        </w:numPr>
        <w:rPr>
          <w:rFonts w:ascii="Times New Roman" w:cs="Times New Roman" w:eastAsia="Times New Roman" w:hAnsi="Times New Roman"/>
          <w:sz w:val="17"/>
          <w:szCs w:val="17"/>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such Transfer is being effected to the Issuer or a subsidiary thereof; or</w:t>
      </w:r>
    </w:p>
    <w:p>
      <w:pPr>
        <w:spacing w:after="0" w:line="349" w:lineRule="exact"/>
        <w:rPr>
          <w:rFonts w:ascii="Times New Roman" w:cs="Times New Roman" w:eastAsia="Times New Roman" w:hAnsi="Times New Roman"/>
          <w:sz w:val="17"/>
          <w:szCs w:val="17"/>
          <w:color w:val="auto"/>
        </w:rPr>
      </w:pPr>
    </w:p>
    <w:p>
      <w:pPr>
        <w:ind w:left="440" w:right="380" w:firstLine="419"/>
        <w:spacing w:after="0" w:line="245" w:lineRule="exact"/>
        <w:tabs>
          <w:tab w:leader="none" w:pos="1108" w:val="left"/>
        </w:tabs>
        <w:numPr>
          <w:ilvl w:val="0"/>
          <w:numId w:val="2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such Transfer is being effected pursuant to an effective registration statement under the Securities Act and in compliance with the prospectus delivery requirements of the Securities Act;</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76" w:lineRule="exact"/>
        <w:rPr>
          <w:sz w:val="20"/>
          <w:szCs w:val="20"/>
          <w:color w:val="auto"/>
        </w:rPr>
      </w:pPr>
    </w:p>
    <w:p>
      <w:pPr>
        <w:ind w:left="440" w:right="160" w:firstLine="419"/>
        <w:spacing w:after="0" w:line="224" w:lineRule="exact"/>
        <w:tabs>
          <w:tab w:leader="none" w:pos="1118" w:val="left"/>
        </w:tabs>
        <w:numPr>
          <w:ilvl w:val="0"/>
          <w:numId w:val="2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such Transfer is being effected pursuant to an exemption from the registration requirements of the Securities Act other than Rule 144A, Rule 144, Rule 903 or Rule 904, and the Transferor hereby further certifies that it has not engaged in any general solicitation within the meaning of Regulation D under the Securities Act and the Transfer complies with the transfer restrictions applicable to beneficial interests in a Restricted Global Note or Restricted Definitive Notes and the requirements of the exemption claimed, which certification is supported by an Opinion of Counsel provided by the Transferor or the Transferee (a copy of which the Transferor has attached to this certification), to the effect that such Transfer is in compliance with the Securities Act. Upon consummation of the proposed transfer in accordance with the terms of the Indenture, the transferred beneficial interest or Definitive Note will be subject to the restrictions on transfer enumerated in the Private Placement Legend printed on the Restricted Definitive Notes and in the Indenture and the Securities Act.</w:t>
      </w:r>
    </w:p>
    <w:p>
      <w:pPr>
        <w:spacing w:after="0" w:line="90" w:lineRule="exact"/>
        <w:rPr>
          <w:sz w:val="20"/>
          <w:szCs w:val="20"/>
          <w:color w:val="auto"/>
        </w:rPr>
      </w:pPr>
    </w:p>
    <w:p>
      <w:pPr>
        <w:ind w:left="440" w:right="480" w:firstLine="423"/>
        <w:spacing w:after="0" w:line="282" w:lineRule="auto"/>
        <w:rPr>
          <w:sz w:val="20"/>
          <w:szCs w:val="20"/>
          <w:color w:val="auto"/>
        </w:rPr>
      </w:pPr>
      <w:r>
        <w:rPr>
          <w:rFonts w:ascii="Times New Roman" w:cs="Times New Roman" w:eastAsia="Times New Roman" w:hAnsi="Times New Roman"/>
          <w:sz w:val="18"/>
          <w:szCs w:val="18"/>
          <w:color w:val="auto"/>
        </w:rPr>
        <w:t>Notwithstanding anything to the contrary, transfers pursuant to Rule 144 under the Securities Act will not be permitted, even if legally available.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1000"/>
          </w:cols>
          <w:pgMar w:left="440" w:top="270" w:right="459" w:bottom="1440" w:gutter="0" w:footer="0" w:header="0"/>
        </w:sectPr>
      </w:pPr>
    </w:p>
    <w:bookmarkStart w:id="144" w:name="page145"/>
    <w:bookmarkEnd w:id="144"/>
    <w:p>
      <w:pPr>
        <w:ind w:left="624" w:hanging="184"/>
        <w:spacing w:after="0" w:line="207" w:lineRule="exact"/>
        <w:tabs>
          <w:tab w:leader="none" w:pos="624" w:val="left"/>
        </w:tabs>
        <w:numPr>
          <w:ilvl w:val="0"/>
          <w:numId w:val="21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Check if Transferee will take delivery of a beneficial interest in an Unrestricted Global Note or an Unrestricted Definitive Note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36"/>
        <w:spacing w:after="0" w:line="226" w:lineRule="exact"/>
        <w:tabs>
          <w:tab w:leader="none" w:pos="689" w:val="left"/>
        </w:tabs>
        <w:numPr>
          <w:ilvl w:val="0"/>
          <w:numId w:val="21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Check if Transfer is Pursuant to Regulation S</w:t>
      </w:r>
      <w:r>
        <w:rPr>
          <w:rFonts w:ascii="Times New Roman" w:cs="Times New Roman" w:eastAsia="Times New Roman" w:hAnsi="Times New Roman"/>
          <w:sz w:val="18"/>
          <w:szCs w:val="18"/>
          <w:color w:val="auto"/>
        </w:rPr>
        <w:t>. (i) The Transfer is being effected pursuant to and in accordance with Rule 903 or Rule 904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161" w:lineRule="exact"/>
        <w:rPr>
          <w:sz w:val="20"/>
          <w:szCs w:val="20"/>
          <w:color w:val="auto"/>
        </w:rPr>
      </w:pPr>
    </w:p>
    <w:p>
      <w:pPr>
        <w:ind w:left="4" w:right="180" w:firstLine="436"/>
        <w:spacing w:after="0" w:line="225" w:lineRule="exact"/>
        <w:tabs>
          <w:tab w:leader="none" w:pos="689" w:val="left"/>
        </w:tabs>
        <w:numPr>
          <w:ilvl w:val="0"/>
          <w:numId w:val="21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Check if Transfer is Pursuant to Other Exemption</w:t>
      </w:r>
      <w:r>
        <w:rPr>
          <w:rFonts w:ascii="Times New Roman" w:cs="Times New Roman" w:eastAsia="Times New Roman" w:hAnsi="Times New Roman"/>
          <w:sz w:val="18"/>
          <w:szCs w:val="18"/>
          <w:color w:val="auto"/>
        </w:rPr>
        <w:t>. (i) The Transfer is being effected pursuant to and in compliance with an exemption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the registration requirements of the Securities Act other than Rule 144, Rule 903 or Rule 904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not be subject to the restrictions on transfer enumerated in the Private Placement Legend printed on the Restricted Global Notes or Restricted Definitive Notes and in the Indenture.</w:t>
      </w:r>
    </w:p>
    <w:p>
      <w:pPr>
        <w:spacing w:after="0" w:line="19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This certificate and the statements contained herein are made for your benefit and the benefit of the Issuer.</w:t>
      </w:r>
    </w:p>
    <w:p>
      <w:pPr>
        <w:spacing w:after="0" w:line="200" w:lineRule="exact"/>
        <w:rPr>
          <w:sz w:val="20"/>
          <w:szCs w:val="20"/>
          <w:color w:val="auto"/>
        </w:rPr>
      </w:pPr>
    </w:p>
    <w:p>
      <w:pPr>
        <w:spacing w:after="0" w:line="282"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     [Insert Name of Transferor]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-127635</wp:posOffset>
            </wp:positionV>
            <wp:extent cx="27946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4397375</wp:posOffset>
            </wp:positionH>
            <wp:positionV relativeFrom="paragraph">
              <wp:posOffset>17145</wp:posOffset>
            </wp:positionV>
            <wp:extent cx="259715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Dated: _______________________</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Signature Guarantee*: _________________________</w:t>
      </w:r>
    </w:p>
    <w:p>
      <w:pPr>
        <w:spacing w:after="0" w:line="252" w:lineRule="exact"/>
        <w:rPr>
          <w:sz w:val="20"/>
          <w:szCs w:val="20"/>
          <w:color w:val="auto"/>
        </w:rPr>
      </w:pPr>
    </w:p>
    <w:p>
      <w:pPr>
        <w:ind w:left="5364" w:right="1860" w:hanging="5364"/>
        <w:spacing w:after="0" w:line="454" w:lineRule="auto"/>
        <w:tabs>
          <w:tab w:leader="none" w:pos="207"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in a recognized Signature Guarantee Medallion Program (or other signature guarantor acceptable to the Trustee). B-3</w:t>
      </w:r>
    </w:p>
    <w:p>
      <w:pPr>
        <w:sectPr>
          <w:pgSz w:w="11900" w:h="16838" w:orient="portrait"/>
          <w:cols w:equalWidth="0" w:num="1">
            <w:col w:w="11004"/>
          </w:cols>
          <w:pgMar w:left="436" w:top="229" w:right="459" w:bottom="1440" w:gutter="0" w:footer="0" w:header="0"/>
        </w:sectPr>
      </w:pPr>
    </w:p>
    <w:bookmarkStart w:id="145" w:name="page146"/>
    <w:bookmarkEnd w:id="145"/>
    <w:p>
      <w:pPr>
        <w:jc w:val="right"/>
        <w:ind w:right="277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A TO CERTIFICATE OF TRANSFER</w:t>
      </w:r>
    </w:p>
    <w:p>
      <w:pPr>
        <w:spacing w:after="0" w:line="252" w:lineRule="exact"/>
        <w:rPr>
          <w:sz w:val="20"/>
          <w:szCs w:val="20"/>
          <w:color w:val="auto"/>
        </w:rPr>
      </w:pPr>
    </w:p>
    <w:p>
      <w:pPr>
        <w:ind w:left="424" w:hanging="424"/>
        <w:spacing w:after="0"/>
        <w:tabs>
          <w:tab w:leader="none" w:pos="424"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Transferor owns and proposes to transfer the following:</w:t>
      </w:r>
    </w:p>
    <w:p>
      <w:pPr>
        <w:spacing w:after="0" w:line="117" w:lineRule="exact"/>
        <w:rPr>
          <w:sz w:val="20"/>
          <w:szCs w:val="20"/>
          <w:color w:val="auto"/>
        </w:rPr>
      </w:pPr>
    </w:p>
    <w:p>
      <w:pPr>
        <w:ind w:left="4404"/>
        <w:spacing w:after="0"/>
        <w:rPr>
          <w:sz w:val="20"/>
          <w:szCs w:val="20"/>
          <w:color w:val="auto"/>
        </w:rPr>
      </w:pPr>
      <w:r>
        <w:rPr>
          <w:rFonts w:ascii="Times New Roman" w:cs="Times New Roman" w:eastAsia="Times New Roman" w:hAnsi="Times New Roman"/>
          <w:sz w:val="18"/>
          <w:szCs w:val="18"/>
          <w:color w:val="auto"/>
        </w:rPr>
        <w:t>[CHECK ONE OF (a) OR (b)]</w:t>
      </w:r>
    </w:p>
    <w:p>
      <w:pPr>
        <w:spacing w:after="0" w:line="90" w:lineRule="exact"/>
        <w:rPr>
          <w:sz w:val="20"/>
          <w:szCs w:val="20"/>
          <w:color w:val="auto"/>
        </w:rPr>
      </w:pPr>
    </w:p>
    <w:p>
      <w:pPr>
        <w:ind w:left="424"/>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beneficial interest in the:</w:t>
      </w:r>
    </w:p>
    <w:p>
      <w:pPr>
        <w:spacing w:after="0" w:line="131" w:lineRule="exact"/>
        <w:rPr>
          <w:sz w:val="20"/>
          <w:szCs w:val="20"/>
          <w:color w:val="auto"/>
        </w:rPr>
      </w:pPr>
    </w:p>
    <w:p>
      <w:pPr>
        <w:ind w:left="984"/>
        <w:spacing w:after="0" w:line="207" w:lineRule="exact"/>
        <w:rPr>
          <w:sz w:val="20"/>
          <w:szCs w:val="20"/>
          <w:color w:val="auto"/>
        </w:rPr>
      </w:pPr>
      <w:r>
        <w:rPr>
          <w:rFonts w:ascii="Times New Roman" w:cs="Times New Roman" w:eastAsia="Times New Roman" w:hAnsi="Times New Roman"/>
          <w:sz w:val="18"/>
          <w:szCs w:val="18"/>
          <w:color w:val="auto"/>
        </w:rPr>
        <w:t xml:space="preserve">(i)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144A Global Note (CUSIP __________), or</w:t>
      </w:r>
    </w:p>
    <w:p>
      <w:pPr>
        <w:spacing w:after="0" w:line="131" w:lineRule="exact"/>
        <w:rPr>
          <w:sz w:val="20"/>
          <w:szCs w:val="20"/>
          <w:color w:val="auto"/>
        </w:rPr>
      </w:pPr>
    </w:p>
    <w:p>
      <w:pPr>
        <w:ind w:left="984"/>
        <w:spacing w:after="0" w:line="207" w:lineRule="exact"/>
        <w:rPr>
          <w:sz w:val="20"/>
          <w:szCs w:val="20"/>
          <w:color w:val="auto"/>
        </w:rPr>
      </w:pPr>
      <w:r>
        <w:rPr>
          <w:rFonts w:ascii="Times New Roman" w:cs="Times New Roman" w:eastAsia="Times New Roman" w:hAnsi="Times New Roman"/>
          <w:sz w:val="18"/>
          <w:szCs w:val="18"/>
          <w:color w:val="auto"/>
        </w:rPr>
        <w:t xml:space="preserve">(ii)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Regulation S Global Note (CUSIP __________); or</w:t>
      </w:r>
    </w:p>
    <w:p>
      <w:pPr>
        <w:spacing w:after="0" w:line="131" w:lineRule="exact"/>
        <w:rPr>
          <w:sz w:val="20"/>
          <w:szCs w:val="20"/>
          <w:color w:val="auto"/>
        </w:rPr>
      </w:pPr>
    </w:p>
    <w:p>
      <w:pPr>
        <w:ind w:left="424"/>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Restricted Definitive Note.</w:t>
      </w:r>
    </w:p>
    <w:p>
      <w:pPr>
        <w:spacing w:after="0" w:line="171" w:lineRule="exact"/>
        <w:rPr>
          <w:sz w:val="20"/>
          <w:szCs w:val="20"/>
          <w:color w:val="auto"/>
        </w:rPr>
      </w:pPr>
    </w:p>
    <w:p>
      <w:pPr>
        <w:ind w:left="424" w:hanging="424"/>
        <w:spacing w:after="0"/>
        <w:tabs>
          <w:tab w:leader="none" w:pos="424"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Transfer the Transferee will hold:</w:t>
      </w:r>
    </w:p>
    <w:p>
      <w:pPr>
        <w:spacing w:after="0" w:line="117" w:lineRule="exact"/>
        <w:rPr>
          <w:sz w:val="20"/>
          <w:szCs w:val="20"/>
          <w:color w:val="auto"/>
        </w:rPr>
      </w:pPr>
    </w:p>
    <w:p>
      <w:pPr>
        <w:ind w:left="4944"/>
        <w:spacing w:after="0"/>
        <w:rPr>
          <w:sz w:val="20"/>
          <w:szCs w:val="20"/>
          <w:color w:val="auto"/>
        </w:rPr>
      </w:pPr>
      <w:r>
        <w:rPr>
          <w:rFonts w:ascii="Times New Roman" w:cs="Times New Roman" w:eastAsia="Times New Roman" w:hAnsi="Times New Roman"/>
          <w:sz w:val="18"/>
          <w:szCs w:val="18"/>
          <w:color w:val="auto"/>
        </w:rPr>
        <w:t>[CHECK ONE]</w:t>
      </w:r>
    </w:p>
    <w:p>
      <w:pPr>
        <w:spacing w:after="0" w:line="90" w:lineRule="exact"/>
        <w:rPr>
          <w:sz w:val="20"/>
          <w:szCs w:val="20"/>
          <w:color w:val="auto"/>
        </w:rPr>
      </w:pPr>
    </w:p>
    <w:p>
      <w:pPr>
        <w:ind w:left="424"/>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beneficial interest in the:</w:t>
      </w:r>
    </w:p>
    <w:p>
      <w:pPr>
        <w:spacing w:after="0" w:line="131" w:lineRule="exact"/>
        <w:rPr>
          <w:sz w:val="20"/>
          <w:szCs w:val="20"/>
          <w:color w:val="auto"/>
        </w:rPr>
      </w:pPr>
    </w:p>
    <w:p>
      <w:pPr>
        <w:ind w:left="984"/>
        <w:spacing w:after="0" w:line="207" w:lineRule="exact"/>
        <w:rPr>
          <w:sz w:val="20"/>
          <w:szCs w:val="20"/>
          <w:color w:val="auto"/>
        </w:rPr>
      </w:pPr>
      <w:r>
        <w:rPr>
          <w:rFonts w:ascii="Times New Roman" w:cs="Times New Roman" w:eastAsia="Times New Roman" w:hAnsi="Times New Roman"/>
          <w:sz w:val="18"/>
          <w:szCs w:val="18"/>
          <w:color w:val="auto"/>
        </w:rPr>
        <w:t xml:space="preserve">(i)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144A Global Note (CUSIP __________), or</w:t>
      </w:r>
    </w:p>
    <w:p>
      <w:pPr>
        <w:spacing w:after="0" w:line="131" w:lineRule="exact"/>
        <w:rPr>
          <w:sz w:val="20"/>
          <w:szCs w:val="20"/>
          <w:color w:val="auto"/>
        </w:rPr>
      </w:pPr>
    </w:p>
    <w:p>
      <w:pPr>
        <w:ind w:left="984"/>
        <w:spacing w:after="0" w:line="207" w:lineRule="exact"/>
        <w:rPr>
          <w:sz w:val="20"/>
          <w:szCs w:val="20"/>
          <w:color w:val="auto"/>
        </w:rPr>
      </w:pPr>
      <w:r>
        <w:rPr>
          <w:rFonts w:ascii="Times New Roman" w:cs="Times New Roman" w:eastAsia="Times New Roman" w:hAnsi="Times New Roman"/>
          <w:sz w:val="18"/>
          <w:szCs w:val="18"/>
          <w:color w:val="auto"/>
        </w:rPr>
        <w:t xml:space="preserve">(ii)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Regulation S Global Note (CUSIP _________), or</w:t>
      </w:r>
    </w:p>
    <w:p>
      <w:pPr>
        <w:spacing w:after="0" w:line="131" w:lineRule="exact"/>
        <w:rPr>
          <w:sz w:val="20"/>
          <w:szCs w:val="20"/>
          <w:color w:val="auto"/>
        </w:rPr>
      </w:pPr>
    </w:p>
    <w:p>
      <w:pPr>
        <w:ind w:left="984"/>
        <w:spacing w:after="0" w:line="207" w:lineRule="exact"/>
        <w:rPr>
          <w:sz w:val="20"/>
          <w:szCs w:val="20"/>
          <w:color w:val="auto"/>
        </w:rPr>
      </w:pPr>
      <w:r>
        <w:rPr>
          <w:rFonts w:ascii="Times New Roman" w:cs="Times New Roman" w:eastAsia="Times New Roman" w:hAnsi="Times New Roman"/>
          <w:sz w:val="18"/>
          <w:szCs w:val="18"/>
          <w:color w:val="auto"/>
        </w:rPr>
        <w:t xml:space="preserve">(iii)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Unrestricted Global Note (CUSIP _________); or</w:t>
      </w:r>
    </w:p>
    <w:p>
      <w:pPr>
        <w:spacing w:after="0" w:line="131" w:lineRule="exact"/>
        <w:rPr>
          <w:sz w:val="20"/>
          <w:szCs w:val="20"/>
          <w:color w:val="auto"/>
        </w:rPr>
      </w:pPr>
    </w:p>
    <w:p>
      <w:pPr>
        <w:ind w:left="424"/>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Restricted Definitive Note; or</w:t>
      </w:r>
    </w:p>
    <w:p>
      <w:pPr>
        <w:spacing w:after="0" w:line="131" w:lineRule="exact"/>
        <w:rPr>
          <w:sz w:val="20"/>
          <w:szCs w:val="20"/>
          <w:color w:val="auto"/>
        </w:rPr>
      </w:pPr>
    </w:p>
    <w:p>
      <w:pPr>
        <w:ind w:left="424"/>
        <w:spacing w:after="0" w:line="207" w:lineRule="exact"/>
        <w:rPr>
          <w:sz w:val="20"/>
          <w:szCs w:val="20"/>
          <w:color w:val="auto"/>
        </w:rPr>
      </w:pPr>
      <w:r>
        <w:rPr>
          <w:rFonts w:ascii="Times New Roman" w:cs="Times New Roman" w:eastAsia="Times New Roman" w:hAnsi="Times New Roman"/>
          <w:sz w:val="18"/>
          <w:szCs w:val="18"/>
          <w:color w:val="auto"/>
        </w:rPr>
        <w:t xml:space="preserve">(c)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Unrestricted Definitive Note,</w:t>
      </w:r>
    </w:p>
    <w:p>
      <w:pPr>
        <w:spacing w:after="0" w:line="158" w:lineRule="exact"/>
        <w:rPr>
          <w:sz w:val="20"/>
          <w:szCs w:val="20"/>
          <w:color w:val="auto"/>
        </w:rPr>
      </w:pPr>
    </w:p>
    <w:p>
      <w:pPr>
        <w:ind w:left="764"/>
        <w:spacing w:after="0"/>
        <w:rPr>
          <w:sz w:val="20"/>
          <w:szCs w:val="20"/>
          <w:color w:val="auto"/>
        </w:rPr>
      </w:pPr>
      <w:r>
        <w:rPr>
          <w:rFonts w:ascii="Times New Roman" w:cs="Times New Roman" w:eastAsia="Times New Roman" w:hAnsi="Times New Roman"/>
          <w:sz w:val="18"/>
          <w:szCs w:val="18"/>
          <w:color w:val="auto"/>
        </w:rPr>
        <w:t>in accordance with the terms of the Indenture.</w:t>
      </w:r>
    </w:p>
    <w:p>
      <w:pPr>
        <w:spacing w:after="0" w:line="158" w:lineRule="exact"/>
        <w:rPr>
          <w:sz w:val="20"/>
          <w:szCs w:val="20"/>
          <w:color w:val="auto"/>
        </w:rPr>
      </w:pPr>
    </w:p>
    <w:p>
      <w:pPr>
        <w:ind w:left="5364"/>
        <w:spacing w:after="0"/>
        <w:rPr>
          <w:sz w:val="20"/>
          <w:szCs w:val="20"/>
          <w:color w:val="auto"/>
        </w:rPr>
      </w:pPr>
      <w:r>
        <w:rPr>
          <w:rFonts w:ascii="Times New Roman" w:cs="Times New Roman" w:eastAsia="Times New Roman" w:hAnsi="Times New Roman"/>
          <w:sz w:val="18"/>
          <w:szCs w:val="18"/>
          <w:color w:val="auto"/>
        </w:rPr>
        <w:t>B-4</w:t>
      </w:r>
    </w:p>
    <w:p>
      <w:pPr>
        <w:sectPr>
          <w:pgSz w:w="11900" w:h="16838" w:orient="portrait"/>
          <w:cols w:equalWidth="0" w:num="1">
            <w:col w:w="10023"/>
          </w:cols>
          <w:pgMar w:left="436" w:top="270" w:right="1440"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CERTIFICATE OF EXCHANGE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California Resources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World Trade Center, Suite 1500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 Beach, California 90831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No.: (818) 661-3750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Wilmington Trust, National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 South Sixth Street, Suite 1290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 55402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No.: 612-217-5651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California Resources Corporation, Administrator</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 California Resources Corporation 7.000% Senior Notes due 2034</w:t>
      </w:r>
    </w:p>
    <w:p>
      <w:pPr>
        <w:spacing w:after="0" w:line="223" w:lineRule="exact"/>
        <w:rPr>
          <w:sz w:val="20"/>
          <w:szCs w:val="20"/>
          <w:color w:val="auto"/>
        </w:rPr>
      </w:pPr>
    </w:p>
    <w:p>
      <w:pPr>
        <w:jc w:val="both"/>
        <w:ind w:right="180" w:firstLine="440"/>
        <w:spacing w:after="0" w:line="267" w:lineRule="auto"/>
        <w:rPr>
          <w:sz w:val="20"/>
          <w:szCs w:val="20"/>
          <w:color w:val="auto"/>
        </w:rPr>
      </w:pPr>
      <w:r>
        <w:rPr>
          <w:rFonts w:ascii="Times New Roman" w:cs="Times New Roman" w:eastAsia="Times New Roman" w:hAnsi="Times New Roman"/>
          <w:sz w:val="18"/>
          <w:szCs w:val="18"/>
          <w:color w:val="auto"/>
        </w:rPr>
        <w:t>Reference is hereby made to the Indenture, dated as of October 8, 2025 (the “</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among California Resources Corporation, a Delaware corporation (the “</w:t>
      </w:r>
      <w:r>
        <w:rPr>
          <w:rFonts w:ascii="Times New Roman" w:cs="Times New Roman" w:eastAsia="Times New Roman" w:hAnsi="Times New Roman"/>
          <w:sz w:val="18"/>
          <w:szCs w:val="18"/>
          <w:i w:val="1"/>
          <w:iCs w:val="1"/>
          <w:color w:val="auto"/>
        </w:rPr>
        <w:t>Issuer</w:t>
      </w:r>
      <w:r>
        <w:rPr>
          <w:rFonts w:ascii="Times New Roman" w:cs="Times New Roman" w:eastAsia="Times New Roman" w:hAnsi="Times New Roman"/>
          <w:sz w:val="18"/>
          <w:szCs w:val="18"/>
          <w:color w:val="auto"/>
        </w:rPr>
        <w:t>”), the Guarantors party thereto and Wilmington Trust, National Association, as trustee. Capitalized terms used but not defined herein shall have the meanings given to them in the Indenture.</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__________________________ (the “</w:t>
      </w:r>
      <w:r>
        <w:rPr>
          <w:rFonts w:ascii="Times New Roman" w:cs="Times New Roman" w:eastAsia="Times New Roman" w:hAnsi="Times New Roman"/>
          <w:sz w:val="18"/>
          <w:szCs w:val="18"/>
          <w:i w:val="1"/>
          <w:iCs w:val="1"/>
          <w:color w:val="auto"/>
        </w:rPr>
        <w:t>Owner</w:t>
      </w:r>
      <w:r>
        <w:rPr>
          <w:rFonts w:ascii="Times New Roman" w:cs="Times New Roman" w:eastAsia="Times New Roman" w:hAnsi="Times New Roman"/>
          <w:sz w:val="18"/>
          <w:szCs w:val="18"/>
          <w:color w:val="auto"/>
        </w:rPr>
        <w:t>”) owns and proposes to exchange the Note[s] or interest in such Note[s] specified herein, in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 of $____________ in such Note[s] or interests (the “</w:t>
      </w:r>
      <w:r>
        <w:rPr>
          <w:rFonts w:ascii="Times New Roman" w:cs="Times New Roman" w:eastAsia="Times New Roman" w:hAnsi="Times New Roman"/>
          <w:sz w:val="18"/>
          <w:szCs w:val="18"/>
          <w:i w:val="1"/>
          <w:iCs w:val="1"/>
          <w:color w:val="auto"/>
        </w:rPr>
        <w:t>Exchange</w:t>
      </w:r>
      <w:r>
        <w:rPr>
          <w:rFonts w:ascii="Times New Roman" w:cs="Times New Roman" w:eastAsia="Times New Roman" w:hAnsi="Times New Roman"/>
          <w:sz w:val="18"/>
          <w:szCs w:val="18"/>
          <w:color w:val="auto"/>
        </w:rPr>
        <w:t>”). In connection with the Exchange, the Owner hereby certifies that:</w:t>
      </w:r>
    </w:p>
    <w:p>
      <w:pPr>
        <w:spacing w:after="0" w:line="95" w:lineRule="exact"/>
        <w:rPr>
          <w:sz w:val="20"/>
          <w:szCs w:val="20"/>
          <w:color w:val="auto"/>
        </w:rPr>
      </w:pPr>
    </w:p>
    <w:p>
      <w:pPr>
        <w:ind w:right="720" w:firstLine="436"/>
        <w:spacing w:after="0" w:line="286" w:lineRule="auto"/>
        <w:tabs>
          <w:tab w:leader="none" w:pos="62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Exchange of Restricted Definitive Notes or Beneficial Interests in a Restricted Global Note for Unrestricted Definitive Notes or Beneficial Interests in an Unrestricted Global Note</w:t>
      </w:r>
    </w:p>
    <w:p>
      <w:pPr>
        <w:spacing w:after="0" w:line="118" w:lineRule="exact"/>
        <w:rPr>
          <w:sz w:val="20"/>
          <w:szCs w:val="20"/>
          <w:color w:val="auto"/>
        </w:rPr>
      </w:pPr>
    </w:p>
    <w:p>
      <w:pPr>
        <w:ind w:right="20" w:firstLine="436"/>
        <w:spacing w:after="0" w:line="225" w:lineRule="exact"/>
        <w:tabs>
          <w:tab w:leader="none" w:pos="685" w:val="left"/>
        </w:tabs>
        <w:numPr>
          <w:ilvl w:val="0"/>
          <w:numId w:val="22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Check if Exchange is from beneficial interest in a Restricted Global Note to beneficial interest in an Unrestricted Global Note</w:t>
      </w:r>
      <w:r>
        <w:rPr>
          <w:rFonts w:ascii="Times New Roman" w:cs="Times New Roman" w:eastAsia="Times New Roman" w:hAnsi="Times New Roman"/>
          <w:sz w:val="18"/>
          <w:szCs w:val="18"/>
          <w:color w:val="auto"/>
        </w:rPr>
        <w: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the Exchange of the Owner’s beneficial interest in a Restricted Global Note for a beneficial interest in an Unrestricted Global Note in an equal principal amount, the Owner hereby certifies (i) the beneficial interest is being acquired for the Owner’s own account without transfer, (ii) such Exchange has been effected in compliance with the transfer restrictions applicable to the Global Notes and pursuant to and in accordance with the Securities Act of 1933, as amended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other than Rule 144, (iii) the restrictions on transfer contained in the Indenture and the Private Placement Legend are not required in order to maintain compliance with the Securities Act and (iv) the beneficial interest in an Unrestricted Global Note is being acquired in compliance with any applicable blue sky securities laws of any state of the United States.</w:t>
      </w:r>
    </w:p>
    <w:p>
      <w:pPr>
        <w:spacing w:after="0" w:line="158" w:lineRule="exact"/>
        <w:rPr>
          <w:rFonts w:ascii="Times New Roman" w:cs="Times New Roman" w:eastAsia="Times New Roman" w:hAnsi="Times New Roman"/>
          <w:sz w:val="18"/>
          <w:szCs w:val="18"/>
          <w:color w:val="auto"/>
        </w:rPr>
      </w:pPr>
    </w:p>
    <w:p>
      <w:pPr>
        <w:ind w:right="20" w:firstLine="436"/>
        <w:spacing w:after="0" w:line="226" w:lineRule="exact"/>
        <w:tabs>
          <w:tab w:leader="none" w:pos="695" w:val="left"/>
        </w:tabs>
        <w:numPr>
          <w:ilvl w:val="0"/>
          <w:numId w:val="22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Check if Exchange is from beneficial interest in a Restricted Global Note to Unrestricted Definitive Note</w:t>
      </w:r>
      <w:r>
        <w:rPr>
          <w:rFonts w:ascii="Times New Roman" w:cs="Times New Roman" w:eastAsia="Times New Roman" w:hAnsi="Times New Roman"/>
          <w:sz w:val="18"/>
          <w:szCs w:val="18"/>
          <w:color w:val="auto"/>
        </w:rPr>
        <w:t>. In connection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of the Owner’s beneficial interest in a Restricted Global Note for an Unrestricted Definitive Note, the Owner hereby certifies (i) the Definitive Note is being acquired for the Owner’s own account without transfer, (ii) such Exchange has been effected in compliance with the transfer restrictions applicable to the Restricted Global Notes and pursuant to and in accordance with the Securities Act other than Rule 144, (iii) the restrictions on transfer contained in the Indenture and the Private Placement Legend are not required in order to maintain compliance with the Securities Act and (iv) the Definitive Note is being acquired in compliance with any applicable blue sky securities laws of any state of the United States.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w:t>
      </w:r>
    </w:p>
    <w:p>
      <w:pPr>
        <w:sectPr>
          <w:pgSz w:w="11900" w:h="16838" w:orient="portrait"/>
          <w:cols w:equalWidth="0" w:num="1">
            <w:col w:w="11020"/>
          </w:cols>
          <w:pgMar w:left="440" w:top="270" w:right="439" w:bottom="1440" w:gutter="0" w:footer="0" w:header="0"/>
        </w:sectPr>
      </w:pPr>
    </w:p>
    <w:bookmarkStart w:id="147" w:name="page148"/>
    <w:bookmarkEnd w:id="147"/>
    <w:p>
      <w:pPr>
        <w:ind w:left="4" w:firstLine="436"/>
        <w:spacing w:after="0" w:line="226" w:lineRule="exact"/>
        <w:tabs>
          <w:tab w:leader="none" w:pos="689" w:val="left"/>
        </w:tabs>
        <w:numPr>
          <w:ilvl w:val="0"/>
          <w:numId w:val="22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 xml:space="preserve"> Check if Exchange is from Restricted Definitive Note to beneficial interest in an Unrestricted Global Note</w:t>
      </w:r>
      <w:r>
        <w:rPr>
          <w:rFonts w:ascii="Times New Roman" w:cs="Times New Roman" w:eastAsia="Times New Roman" w:hAnsi="Times New Roman"/>
          <w:sz w:val="18"/>
          <w:szCs w:val="18"/>
          <w:color w:val="auto"/>
        </w:rPr>
        <w:t>. In connection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Owner’s Exchange of a Restricted Definitive Note for a beneficial interest in an Unrestricted Global Note, the Owner hereby certifies (i) the beneficial interest is being acquired for the Owner’s own account without transfer, (ii) such Exchange has been effected in compliance with the transfer restrictions applicable to Restricted Definitive Notes and pursuant to and in accordance with the Securities Act other than Rule 144, (iii) the restrictions on transfer contained in the Indenture and the Private Placement Legend are not required in order to maintain compliance with the Securities Act and (iv) the beneficial interest is being acquired in compliance with any applicable blue sky securities laws of any state of the United States.</w:t>
      </w:r>
    </w:p>
    <w:p>
      <w:pPr>
        <w:spacing w:after="0" w:line="161" w:lineRule="exact"/>
        <w:rPr>
          <w:rFonts w:ascii="Times New Roman" w:cs="Times New Roman" w:eastAsia="Times New Roman" w:hAnsi="Times New Roman"/>
          <w:sz w:val="18"/>
          <w:szCs w:val="18"/>
          <w:color w:val="auto"/>
        </w:rPr>
      </w:pPr>
    </w:p>
    <w:p>
      <w:pPr>
        <w:ind w:left="4" w:firstLine="436"/>
        <w:spacing w:after="0" w:line="226" w:lineRule="exact"/>
        <w:tabs>
          <w:tab w:leader="none" w:pos="699" w:val="left"/>
        </w:tabs>
        <w:numPr>
          <w:ilvl w:val="0"/>
          <w:numId w:val="22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Check if Exchange is from Restricted Definitive Note to Unrestricted Definitive Note</w:t>
      </w:r>
      <w:r>
        <w:rPr>
          <w:rFonts w:ascii="Times New Roman" w:cs="Times New Roman" w:eastAsia="Times New Roman" w:hAnsi="Times New Roman"/>
          <w:sz w:val="18"/>
          <w:szCs w:val="18"/>
          <w:color w:val="auto"/>
        </w:rPr>
        <w:t>. In connection with the Owner’s Exchange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Restricted Definitive Note for an Unrestricted Definitive Note, the Owner hereby certifies (i) the Unrestricted Definitive Note is being acquired for the Owner’s own account without transfer, (ii) such Exchange has been effected in compliance with the transfer restrictions applicable to Restricted Definitive Notes and pursuant to and in accordance with the Securities Act other than Rule 144, (iii) the restrictions on transfer contained in the Indenture and the Private Placement Legend are not required in order to maintain compliance with the Securities Act and (iv) the Unrestricted Definitive Note is being acquired in compliance with any applicable blue sky securities laws of any state of the United States.</w:t>
      </w:r>
    </w:p>
    <w:p>
      <w:pPr>
        <w:spacing w:after="0" w:line="198" w:lineRule="exact"/>
        <w:rPr>
          <w:sz w:val="20"/>
          <w:szCs w:val="20"/>
          <w:color w:val="auto"/>
        </w:rPr>
      </w:pPr>
    </w:p>
    <w:p>
      <w:pPr>
        <w:ind w:left="4" w:right="120" w:firstLine="436"/>
        <w:spacing w:after="0" w:line="286" w:lineRule="auto"/>
        <w:tabs>
          <w:tab w:leader="none" w:pos="624"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Exchange of Restricted Definitive Notes or Beneficial Interests in Restricted Global Notes for Restricted Definitive Notes or Beneficial Interests in Restricted Global Notes</w:t>
      </w:r>
    </w:p>
    <w:p>
      <w:pPr>
        <w:spacing w:after="0" w:line="118" w:lineRule="exact"/>
        <w:rPr>
          <w:sz w:val="20"/>
          <w:szCs w:val="20"/>
          <w:color w:val="auto"/>
        </w:rPr>
      </w:pPr>
    </w:p>
    <w:p>
      <w:pPr>
        <w:ind w:left="4" w:firstLine="436"/>
        <w:spacing w:after="0" w:line="228" w:lineRule="exact"/>
        <w:tabs>
          <w:tab w:leader="none" w:pos="689" w:val="left"/>
        </w:tabs>
        <w:numPr>
          <w:ilvl w:val="1"/>
          <w:numId w:val="22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Check if Exchange is from beneficial interest in a Restricted Global Note to Restricted Definitive Note. </w:t>
      </w:r>
      <w:r>
        <w:rPr>
          <w:rFonts w:ascii="Times New Roman" w:cs="Times New Roman" w:eastAsia="Times New Roman" w:hAnsi="Times New Roman"/>
          <w:sz w:val="18"/>
          <w:szCs w:val="18"/>
          <w:color w:val="auto"/>
        </w:rPr>
        <w:t>In connection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of the Owner’s beneficial interest in a Restricted Global Note for a Restricted Definitive Note with an equal principal amount, the Owner hereby certifies that the Restricted Definitive Note is being acquired for the Owner’s own account without transfer. Upon consummation of the proposed Exchange in accordance with the terms of the Indenture, the Restricted Definitive Note issued will continue to be subject to the restrictions on transfer enumerated in the Private Placement Legend printed on the Restricted Definitive Note and in the Indenture and the Securities Act.</w:t>
      </w:r>
    </w:p>
    <w:p>
      <w:pPr>
        <w:spacing w:after="0" w:line="157" w:lineRule="exact"/>
        <w:rPr>
          <w:rFonts w:ascii="Times New Roman" w:cs="Times New Roman" w:eastAsia="Times New Roman" w:hAnsi="Times New Roman"/>
          <w:sz w:val="18"/>
          <w:szCs w:val="18"/>
          <w:color w:val="auto"/>
        </w:rPr>
      </w:pPr>
    </w:p>
    <w:p>
      <w:pPr>
        <w:ind w:left="4" w:right="20" w:firstLine="436"/>
        <w:spacing w:after="0" w:line="236" w:lineRule="exact"/>
        <w:tabs>
          <w:tab w:leader="none" w:pos="699" w:val="left"/>
        </w:tabs>
        <w:numPr>
          <w:ilvl w:val="1"/>
          <w:numId w:val="223"/>
        </w:numPr>
        <w:rPr>
          <w:rFonts w:ascii="Times New Roman" w:cs="Times New Roman" w:eastAsia="Times New Roman" w:hAnsi="Times New Roman"/>
          <w:sz w:val="17"/>
          <w:szCs w:val="17"/>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b w:val="1"/>
          <w:bCs w:val="1"/>
          <w:color w:val="auto"/>
        </w:rPr>
        <w:t xml:space="preserve"> Check if Exchange is from Restricted Definitive Note to beneficial interest in a Restricted Global Note</w:t>
      </w:r>
      <w:r>
        <w:rPr>
          <w:rFonts w:ascii="Times New Roman" w:cs="Times New Roman" w:eastAsia="Times New Roman" w:hAnsi="Times New Roman"/>
          <w:sz w:val="17"/>
          <w:szCs w:val="17"/>
          <w:color w:val="auto"/>
        </w:rPr>
        <w:t>. In connection with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Exchange of the Owner’s Restricted Definitive Note for a beneficial interest in the [CHECK ONE]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144A Global Note,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Regulation S Global Note with an equal principal amount, the Owner hereby certifies (i) the beneficial interest is being acquired for the Owner’s own account without transfer and</w:t>
      </w:r>
    </w:p>
    <w:p>
      <w:pPr>
        <w:ind w:left="4" w:right="20" w:hanging="4"/>
        <w:spacing w:after="0" w:line="253" w:lineRule="auto"/>
        <w:tabs>
          <w:tab w:leader="none" w:pos="269"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Exchange has been effected in compliance with the transfer restrictions applicable to the Restricted Global Notes and pursuant to and in accordance with the Securities Act other than Rule 144, and in compliance with any applicable blue sky securities laws of any state of the United States. Upon consummation of the proposed Exchange in accordance with the terms of the Indenture, the beneficial interest issued will be subject to the restrictions on transfer enumerated in the Private Placement Legend printed on the relevant Restricted Global Note and in the Indenture and the Securities Act.</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This certificate and the statements contained herein are made for your benefit and the benefit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180340</wp:posOffset>
            </wp:positionV>
            <wp:extent cx="256286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300"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[Insert Name of Transferor]</w:t>
      </w:r>
    </w:p>
    <w:p>
      <w:pPr>
        <w:spacing w:after="0" w:line="23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4397375</wp:posOffset>
            </wp:positionH>
            <wp:positionV relativeFrom="paragraph">
              <wp:posOffset>17145</wp:posOffset>
            </wp:positionV>
            <wp:extent cx="259715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Dated: ______________________</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C-2</w:t>
      </w:r>
    </w:p>
    <w:p>
      <w:pPr>
        <w:sectPr>
          <w:pgSz w:w="11900" w:h="16838" w:orient="portrait"/>
          <w:cols w:equalWidth="0" w:num="1">
            <w:col w:w="10984"/>
          </w:cols>
          <w:pgMar w:left="436" w:top="229" w:right="47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SUPPLEMENTAL INDENTURE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BE DELIVERED BY SUBSEQUENT GUARANTORS]</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UPPLEMENTAL</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NDENTURE</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i w:val="1"/>
          <w:iCs w:val="1"/>
          <w:color w:val="auto"/>
        </w:rPr>
        <w:t>Supplemental Indenture</w:t>
      </w:r>
      <w:r>
        <w:rPr>
          <w:rFonts w:ascii="Times New Roman" w:cs="Times New Roman" w:eastAsia="Times New Roman" w:hAnsi="Times New Roman"/>
          <w:sz w:val="18"/>
          <w:szCs w:val="18"/>
          <w:color w:val="auto"/>
        </w:rPr>
        <w:t>”), dated as of ________________, among __________________ (the “</w:t>
      </w:r>
      <w:r>
        <w:rPr>
          <w:rFonts w:ascii="Times New Roman" w:cs="Times New Roman" w:eastAsia="Times New Roman" w:hAnsi="Times New Roman"/>
          <w:sz w:val="18"/>
          <w:szCs w:val="18"/>
          <w:i w:val="1"/>
          <w:iCs w:val="1"/>
          <w:color w:val="auto"/>
        </w:rPr>
        <w:t>Guaranteeing</w:t>
      </w:r>
    </w:p>
    <w:p>
      <w:pPr>
        <w:spacing w:after="0" w:line="29"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a subsidiary of California Resources Corporation, a Delaware corporation (the “</w:t>
      </w:r>
      <w:r>
        <w:rPr>
          <w:rFonts w:ascii="Times New Roman" w:cs="Times New Roman" w:eastAsia="Times New Roman" w:hAnsi="Times New Roman"/>
          <w:sz w:val="18"/>
          <w:szCs w:val="18"/>
          <w:i w:val="1"/>
          <w:iCs w:val="1"/>
          <w:color w:val="auto"/>
        </w:rPr>
        <w:t>Issuer</w:t>
      </w:r>
      <w:r>
        <w:rPr>
          <w:rFonts w:ascii="Times New Roman" w:cs="Times New Roman" w:eastAsia="Times New Roman" w:hAnsi="Times New Roman"/>
          <w:sz w:val="18"/>
          <w:szCs w:val="18"/>
          <w:color w:val="auto"/>
        </w:rPr>
        <w:t>”), the other Guarantors (as defined in the Indenture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referred to herein) and Wilmington Trust, National Association, as trustee under the Indenture referred to below (the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w:t>
      </w:r>
    </w:p>
    <w:p>
      <w:pPr>
        <w:spacing w:after="0" w:line="3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3" w:lineRule="exact"/>
        <w:rPr>
          <w:sz w:val="20"/>
          <w:szCs w:val="20"/>
          <w:color w:val="auto"/>
        </w:rPr>
      </w:pPr>
    </w:p>
    <w:p>
      <w:pPr>
        <w:ind w:right="80" w:firstLine="440"/>
        <w:spacing w:after="0" w:line="284" w:lineRule="auto"/>
        <w:rPr>
          <w:sz w:val="20"/>
          <w:szCs w:val="20"/>
          <w:color w:val="auto"/>
        </w:rPr>
      </w:pPr>
      <w:r>
        <w:rPr>
          <w:rFonts w:ascii="Times New Roman" w:cs="Times New Roman" w:eastAsia="Times New Roman" w:hAnsi="Times New Roman"/>
          <w:sz w:val="18"/>
          <w:szCs w:val="18"/>
          <w:color w:val="auto"/>
        </w:rPr>
        <w:t>WHEREAS, the Issuer has heretofore executed and delivered to the Trustee an indenture (the “</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dated as of October 8, 2025 providing for the issuance of 7.000% Senior Notes due 2034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WHEREAS, the Indenture provides that under certain circumstances the Guaranteeing Subsidiary shall execute and deliver to the Trustee a supplemental indenture pursuant to which the Guaranteeing Subsidiary shall unconditionally Guarantee all of the Issuer’s Obligations under the Notes and the Indenture on the terms and conditions set forth herein (the “</w:t>
      </w:r>
      <w:r>
        <w:rPr>
          <w:rFonts w:ascii="Times New Roman" w:cs="Times New Roman" w:eastAsia="Times New Roman" w:hAnsi="Times New Roman"/>
          <w:sz w:val="18"/>
          <w:szCs w:val="18"/>
          <w:i w:val="1"/>
          <w:iCs w:val="1"/>
          <w:color w:val="auto"/>
        </w:rPr>
        <w:t>Guarantee</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pursuant to Section 9.01 of the Indenture, the Trustee is authorized to execute and deliver this Supplemental Indenture.</w:t>
      </w:r>
    </w:p>
    <w:p>
      <w:pPr>
        <w:spacing w:after="0" w:line="225" w:lineRule="exact"/>
        <w:rPr>
          <w:sz w:val="20"/>
          <w:szCs w:val="20"/>
          <w:color w:val="auto"/>
        </w:rPr>
      </w:pPr>
    </w:p>
    <w:p>
      <w:pPr>
        <w:ind w:right="440" w:firstLine="440"/>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the receipt of which is hereby acknowledged, the Guaranteeing Subsidiary, the other Guarantors, the Issuer and the Trustee mutually covenant and agree for the equal and ratable benefit of the Holders of the Notes as follows:</w:t>
      </w:r>
    </w:p>
    <w:p>
      <w:pPr>
        <w:spacing w:after="0" w:line="68" w:lineRule="exact"/>
        <w:rPr>
          <w:sz w:val="20"/>
          <w:szCs w:val="20"/>
          <w:color w:val="auto"/>
        </w:rPr>
      </w:pPr>
    </w:p>
    <w:p>
      <w:pPr>
        <w:ind w:left="620" w:hanging="184"/>
        <w:spacing w:after="0"/>
        <w:tabs>
          <w:tab w:leader="none" w:pos="62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APITALIZED</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ERMS</w:t>
      </w:r>
      <w:r>
        <w:rPr>
          <w:rFonts w:ascii="Times New Roman" w:cs="Times New Roman" w:eastAsia="Times New Roman" w:hAnsi="Times New Roman"/>
          <w:sz w:val="18"/>
          <w:szCs w:val="18"/>
          <w:color w:val="auto"/>
        </w:rPr>
        <w:t>. Capitalized terms used herein without definition shall have the meanings assigned to them in the Indenture.</w:t>
      </w:r>
    </w:p>
    <w:p>
      <w:pPr>
        <w:spacing w:after="0" w:line="225" w:lineRule="exact"/>
        <w:rPr>
          <w:rFonts w:ascii="Times New Roman" w:cs="Times New Roman" w:eastAsia="Times New Roman" w:hAnsi="Times New Roman"/>
          <w:sz w:val="18"/>
          <w:szCs w:val="18"/>
          <w:color w:val="auto"/>
        </w:rPr>
      </w:pPr>
    </w:p>
    <w:p>
      <w:pPr>
        <w:ind w:right="40" w:firstLine="436"/>
        <w:spacing w:after="0" w:line="282" w:lineRule="auto"/>
        <w:tabs>
          <w:tab w:leader="none" w:pos="62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w:t>
      </w:r>
      <w:r>
        <w:rPr>
          <w:rFonts w:ascii="Times New Roman" w:cs="Times New Roman" w:eastAsia="Times New Roman" w:hAnsi="Times New Roman"/>
          <w:sz w:val="14"/>
          <w:szCs w:val="14"/>
          <w:color w:val="auto"/>
        </w:rPr>
        <w:t>UARANTEE</w:t>
      </w:r>
      <w:r>
        <w:rPr>
          <w:rFonts w:ascii="Times New Roman" w:cs="Times New Roman" w:eastAsia="Times New Roman" w:hAnsi="Times New Roman"/>
          <w:sz w:val="18"/>
          <w:szCs w:val="18"/>
          <w:color w:val="auto"/>
        </w:rPr>
        <w:t>. The Guaranteeing Subsidiary hereby unconditionally Guarantees all of the Issuer’s Obligations under the Notes and the Indenture on the terms and subject to the conditions set forth in the Indenture, including, but not limited to, Article 10 thereof.</w:t>
      </w:r>
    </w:p>
    <w:p>
      <w:pPr>
        <w:spacing w:after="0" w:line="161" w:lineRule="exact"/>
        <w:rPr>
          <w:rFonts w:ascii="Times New Roman" w:cs="Times New Roman" w:eastAsia="Times New Roman" w:hAnsi="Times New Roman"/>
          <w:sz w:val="18"/>
          <w:szCs w:val="18"/>
          <w:color w:val="auto"/>
        </w:rPr>
      </w:pPr>
    </w:p>
    <w:p>
      <w:pPr>
        <w:ind w:right="220" w:firstLine="436"/>
        <w:spacing w:after="0" w:line="261" w:lineRule="auto"/>
        <w:tabs>
          <w:tab w:leader="none" w:pos="62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4"/>
          <w:szCs w:val="14"/>
          <w:color w:val="auto"/>
        </w:rPr>
        <w:t>O</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ECOURSE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GAINST</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4"/>
          <w:szCs w:val="14"/>
          <w:color w:val="auto"/>
        </w:rPr>
        <w:t>THERS</w:t>
      </w:r>
      <w:r>
        <w:rPr>
          <w:rFonts w:ascii="Times New Roman" w:cs="Times New Roman" w:eastAsia="Times New Roman" w:hAnsi="Times New Roman"/>
          <w:sz w:val="18"/>
          <w:szCs w:val="18"/>
          <w:color w:val="auto"/>
        </w:rPr>
        <w:t>. No director, officer, partner, employee, incorporator, manager, stockholder or unitholder or other owner of Capital Stock of the Issuer or any Guarantor, as such, will have any liability for any obligations of the Issuer or the Guarantors under the Notes, the Indenture or the Guarantees or for any claim based on, in respect of, or by reason of, such obligations or their creation. Each Holder of Notes by accepting a Note waives and releases all such liability. The waiver and release are part of the consideration for issuance of the Notes.</w:t>
      </w:r>
    </w:p>
    <w:p>
      <w:pPr>
        <w:spacing w:after="0" w:line="179" w:lineRule="exact"/>
        <w:rPr>
          <w:rFonts w:ascii="Times New Roman" w:cs="Times New Roman" w:eastAsia="Times New Roman" w:hAnsi="Times New Roman"/>
          <w:sz w:val="18"/>
          <w:szCs w:val="18"/>
          <w:color w:val="auto"/>
        </w:rPr>
      </w:pPr>
    </w:p>
    <w:p>
      <w:pPr>
        <w:jc w:val="both"/>
        <w:ind w:right="120" w:firstLine="436"/>
        <w:spacing w:after="0" w:line="266" w:lineRule="auto"/>
        <w:tabs>
          <w:tab w:leader="none" w:pos="62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YORK LAW TO GOVERN. THIS SUPPLEMENTAL INDENTURE, AND ANY CLAIM, CONTROVERSY OR DISPUTE ARISING UNDER OR RELATED TO THIS SUPPLEMENTAL INDENTURE, SHALL BE GOVERNED BY AND CONSTRUED IN ACCORDANCE WITH THE LAWS OF THE STATE OF NEW YORK.</w:t>
      </w:r>
    </w:p>
    <w:p>
      <w:pPr>
        <w:spacing w:after="0" w:line="175" w:lineRule="exact"/>
        <w:rPr>
          <w:rFonts w:ascii="Times New Roman" w:cs="Times New Roman" w:eastAsia="Times New Roman" w:hAnsi="Times New Roman"/>
          <w:sz w:val="18"/>
          <w:szCs w:val="18"/>
          <w:color w:val="auto"/>
        </w:rPr>
      </w:pPr>
    </w:p>
    <w:p>
      <w:pPr>
        <w:ind w:right="260" w:firstLine="436"/>
        <w:spacing w:after="0" w:line="266" w:lineRule="auto"/>
        <w:tabs>
          <w:tab w:leader="none" w:pos="62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OUNTERPARTS</w:t>
      </w:r>
      <w:r>
        <w:rPr>
          <w:rFonts w:ascii="Times New Roman" w:cs="Times New Roman" w:eastAsia="Times New Roman" w:hAnsi="Times New Roman"/>
          <w:sz w:val="18"/>
          <w:szCs w:val="18"/>
          <w:color w:val="auto"/>
        </w:rPr>
        <w:t>. The parties may sign any number of copies of this Supplemental Indenture. Each signed copy shall be an original, but all of them together represent the same agreement. Delivery of an executed counterpart of a signature page to this Supplemental Indenture by telecopier, facsimile or other electronic transmission (i.e., a “pdf” or “tif”) shall be effective as delivery of a manually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D-1</w:t>
      </w:r>
    </w:p>
    <w:p>
      <w:pPr>
        <w:sectPr>
          <w:pgSz w:w="11900" w:h="16838" w:orient="portrait"/>
          <w:cols w:equalWidth="0" w:num="1">
            <w:col w:w="11020"/>
          </w:cols>
          <w:pgMar w:left="440" w:top="270" w:right="439" w:bottom="1440" w:gutter="0" w:footer="0" w:header="0"/>
        </w:sectPr>
      </w:pPr>
    </w:p>
    <w:bookmarkStart w:id="149" w:name="page150"/>
    <w:bookmarkEnd w:id="149"/>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executed counterpart thereof. The words “execution,” “signed,” “signature,” and words of like import in this Supplemental Indenture or in any other certificate, agreement or document related to this Supplemental Indenture or the transactions contemplated hereby shall include images of manually executed signatures transmitted by facsimile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w:t>
      </w:r>
    </w:p>
    <w:p>
      <w:pPr>
        <w:spacing w:after="0" w:line="188" w:lineRule="exact"/>
        <w:rPr>
          <w:sz w:val="20"/>
          <w:szCs w:val="20"/>
          <w:color w:val="auto"/>
        </w:rPr>
      </w:pPr>
    </w:p>
    <w:p>
      <w:pPr>
        <w:ind w:left="620" w:hanging="184"/>
        <w:spacing w:after="0"/>
        <w:tabs>
          <w:tab w:leader="none" w:pos="62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4"/>
          <w:szCs w:val="14"/>
          <w:color w:val="auto"/>
        </w:rPr>
        <w:t>FFECT OF</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EADINGS</w:t>
      </w:r>
      <w:r>
        <w:rPr>
          <w:rFonts w:ascii="Times New Roman" w:cs="Times New Roman" w:eastAsia="Times New Roman" w:hAnsi="Times New Roman"/>
          <w:sz w:val="18"/>
          <w:szCs w:val="18"/>
          <w:color w:val="auto"/>
        </w:rPr>
        <w:t>. The Section headings herein are for convenience only and shall not affect the construction hereof.</w:t>
      </w:r>
    </w:p>
    <w:p>
      <w:pPr>
        <w:spacing w:after="0" w:line="225"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4"/>
          <w:szCs w:val="14"/>
          <w:color w:val="auto"/>
        </w:rPr>
        <w:t>HE</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RUSTEE</w:t>
      </w:r>
      <w:r>
        <w:rPr>
          <w:rFonts w:ascii="Times New Roman" w:cs="Times New Roman" w:eastAsia="Times New Roman" w:hAnsi="Times New Roman"/>
          <w:sz w:val="18"/>
          <w:szCs w:val="18"/>
          <w:color w:val="auto"/>
        </w:rPr>
        <w:t>. The Trustee shall not be responsible in any manner whatsoever for or in respect of the validity or sufficiency of this</w:t>
      </w:r>
    </w:p>
    <w:p>
      <w:pPr>
        <w:spacing w:after="0" w:line="27" w:lineRule="exact"/>
        <w:rPr>
          <w:rFonts w:ascii="Times New Roman" w:cs="Times New Roman" w:eastAsia="Times New Roman" w:hAnsi="Times New Roman"/>
          <w:sz w:val="18"/>
          <w:szCs w:val="18"/>
          <w:color w:val="auto"/>
        </w:rPr>
      </w:pPr>
    </w:p>
    <w:p>
      <w:pPr>
        <w:ind w:right="3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Supplemental Indenture or for or in respect of the recitals contained herein, all of which recitals are made solely by the Guaranteeing Subsidiary, the other Guarantors and the Issuer.</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D-2</w:t>
      </w:r>
    </w:p>
    <w:p>
      <w:pPr>
        <w:sectPr>
          <w:pgSz w:w="11900" w:h="16838" w:orient="portrait"/>
          <w:cols w:equalWidth="0" w:num="1">
            <w:col w:w="11000"/>
          </w:cols>
          <w:pgMar w:left="440" w:top="270" w:right="459" w:bottom="1440" w:gutter="0" w:footer="0" w:header="0"/>
        </w:sectPr>
      </w:pPr>
    </w:p>
    <w:bookmarkStart w:id="150" w:name="page151"/>
    <w:bookmarkEnd w:id="150"/>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Supplemental Indenture to be duly executed and attested, all as of the date first above written.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Dated: _______________</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w:t>
      </w:r>
      <w:r>
        <w:rPr>
          <w:rFonts w:ascii="Times New Roman" w:cs="Times New Roman" w:eastAsia="Times New Roman" w:hAnsi="Times New Roman"/>
          <w:sz w:val="14"/>
          <w:szCs w:val="14"/>
          <w:color w:val="auto"/>
        </w:rPr>
        <w:t>UARANTEEING</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UBSIDIARY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CALIFORNIA RESOURCES CORPORATION</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WILMINGTON TRUST, NATIONAL ASSOCIATION,</w:t>
      </w:r>
    </w:p>
    <w:p>
      <w:pPr>
        <w:spacing w:after="0" w:line="3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Trustee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15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D-3</w:t>
      </w:r>
    </w:p>
    <w:sectPr>
      <w:pgSz w:w="11900" w:h="16838" w:orient="portrait"/>
      <w:cols w:equalWidth="0" w:num="1">
        <w:col w:w="10660"/>
      </w:cols>
      <w:pgMar w:left="440" w:top="270"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10FE21"/>
    <w:multiLevelType w:val="hybridMultilevel"/>
    <w:lvl w:ilvl="0">
      <w:lvlJc w:val="left"/>
      <w:lvlText w:val="☐"/>
      <w:numFmt w:val="bullet"/>
      <w:start w:val="1"/>
    </w:lvl>
  </w:abstractNum>
  <w:abstractNum w:abstractNumId="1">
    <w:nsid w:val="E7FFA2B"/>
    <w:multiLevelType w:val="hybridMultilevel"/>
    <w:lvl w:ilvl="0">
      <w:lvlJc w:val="left"/>
      <w:lvlText w:val="(%1)"/>
      <w:numFmt w:val="lowerLetter"/>
      <w:start w:val="25"/>
    </w:lvl>
  </w:abstractNum>
  <w:abstractNum w:abstractNumId="2">
    <w:nsid w:val="3C5991AA"/>
    <w:multiLevelType w:val="hybridMultilevel"/>
    <w:lvl w:ilvl="0">
      <w:lvlJc w:val="left"/>
      <w:lvlText w:val="%1"/>
      <w:numFmt w:val="decimal"/>
      <w:start w:val="104"/>
    </w:lvl>
  </w:abstractNum>
  <w:abstractNum w:abstractNumId="3">
    <w:nsid w:val="4BD8591A"/>
    <w:multiLevelType w:val="hybridMultilevel"/>
    <w:lvl w:ilvl="0">
      <w:lvlJc w:val="left"/>
      <w:lvlText w:val="(%1)"/>
      <w:numFmt w:val="decimal"/>
      <w:start w:val="1"/>
    </w:lvl>
  </w:abstractNum>
  <w:abstractNum w:abstractNumId="4">
    <w:nsid w:val="78DF6A55"/>
    <w:multiLevelType w:val="hybridMultilevel"/>
    <w:lvl w:ilvl="0">
      <w:lvlJc w:val="left"/>
      <w:lvlText w:val="(%1)"/>
      <w:numFmt w:val="decimal"/>
      <w:start w:val="1"/>
    </w:lvl>
  </w:abstractNum>
  <w:abstractNum w:abstractNumId="5">
    <w:nsid w:val="39B7AAA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6">
    <w:nsid w:val="2B0D8DBE"/>
    <w:multiLevelType w:val="hybridMultilevel"/>
    <w:lvl w:ilvl="0">
      <w:lvlJc w:val="left"/>
      <w:lvlText w:val="(%1)"/>
      <w:numFmt w:val="upperLetter"/>
      <w:start w:val="3"/>
    </w:lvl>
  </w:abstractNum>
  <w:abstractNum w:abstractNumId="7">
    <w:nsid w:val="6C80EC70"/>
    <w:multiLevelType w:val="hybridMultilevel"/>
    <w:lvl w:ilvl="0">
      <w:lvlJc w:val="left"/>
      <w:lvlText w:val="(%1)"/>
      <w:numFmt w:val="lowerRoman"/>
      <w:start w:val="2"/>
    </w:lvl>
  </w:abstractNum>
  <w:abstractNum w:abstractNumId="8">
    <w:nsid w:val="379E21B5"/>
    <w:multiLevelType w:val="hybridMultilevel"/>
    <w:lvl w:ilvl="0">
      <w:lvlJc w:val="left"/>
      <w:lvlText w:val="(%1)"/>
      <w:numFmt w:val="lowerRoman"/>
      <w:start w:val="3"/>
    </w:lvl>
    <w:lvl w:ilvl="1">
      <w:lvlJc w:val="left"/>
      <w:lvlText w:val="(%2)"/>
      <w:numFmt w:val="upperLetter"/>
      <w:start w:val="1"/>
    </w:lvl>
  </w:abstractNum>
  <w:abstractNum w:abstractNumId="9">
    <w:nsid w:val="69E373"/>
    <w:multiLevelType w:val="hybridMultilevel"/>
    <w:lvl w:ilvl="0">
      <w:lvlJc w:val="left"/>
      <w:lvlText w:val="(%1)"/>
      <w:numFmt w:val="lowerLetter"/>
      <w:start w:val="2"/>
    </w:lvl>
    <w:lvl w:ilvl="1">
      <w:lvlJc w:val="left"/>
      <w:lvlText w:val="(%2)"/>
      <w:numFmt w:val="lowerRoman"/>
      <w:start w:val="1"/>
    </w:lvl>
  </w:abstractNum>
  <w:abstractNum w:abstractNumId="10">
    <w:nsid w:val="2C27173B"/>
    <w:multiLevelType w:val="hybridMultilevel"/>
    <w:lvl w:ilvl="0">
      <w:lvlJc w:val="left"/>
      <w:lvlText w:val="(%1)"/>
      <w:numFmt w:val="decimal"/>
      <w:start w:val="1"/>
    </w:lvl>
    <w:lvl w:ilvl="1">
      <w:lvlJc w:val="left"/>
      <w:lvlText w:val="(%2)"/>
      <w:numFmt w:val="lowerLetter"/>
      <w:start w:val="1"/>
    </w:lvl>
  </w:abstractNum>
  <w:abstractNum w:abstractNumId="11">
    <w:nsid w:val="4C9B0904"/>
    <w:multiLevelType w:val="hybridMultilevel"/>
    <w:lvl w:ilvl="0">
      <w:lvlJc w:val="left"/>
      <w:lvlText w:val="(%1)"/>
      <w:numFmt w:val="decimal"/>
      <w:start w:val="1"/>
    </w:lvl>
  </w:abstractNum>
  <w:abstractNum w:abstractNumId="12">
    <w:nsid w:val="6AA7B75C"/>
    <w:multiLevelType w:val="hybridMultilevel"/>
    <w:lvl w:ilvl="0">
      <w:lvlJc w:val="left"/>
      <w:lvlText w:val="(%1)"/>
      <w:numFmt w:val="decimal"/>
      <w:start w:val="1"/>
    </w:lvl>
  </w:abstractNum>
  <w:abstractNum w:abstractNumId="13">
    <w:nsid w:val="1DF029D3"/>
    <w:multiLevelType w:val="hybridMultilevel"/>
    <w:lvl w:ilvl="0">
      <w:lvlJc w:val="left"/>
      <w:lvlText w:val="(%1)"/>
      <w:numFmt w:val="decimal"/>
      <w:start w:val="15"/>
    </w:lvl>
  </w:abstractNum>
  <w:abstractNum w:abstractNumId="14">
    <w:nsid w:val="5675FF36"/>
    <w:multiLevelType w:val="hybridMultilevel"/>
    <w:lvl w:ilvl="0">
      <w:lvlJc w:val="left"/>
      <w:lvlText w:val="(%1)"/>
      <w:numFmt w:val="decimal"/>
      <w:start w:val="1"/>
    </w:lvl>
  </w:abstractNum>
  <w:abstractNum w:abstractNumId="15">
    <w:nsid w:val="3DD15094"/>
    <w:multiLevelType w:val="hybridMultilevel"/>
    <w:lvl w:ilvl="0">
      <w:lvlJc w:val="left"/>
      <w:lvlText w:val="(%1)"/>
      <w:numFmt w:val="decimal"/>
      <w:start w:val="3"/>
    </w:lvl>
  </w:abstractNum>
  <w:abstractNum w:abstractNumId="16">
    <w:nsid w:val="3DB012B3"/>
    <w:multiLevelType w:val="hybridMultilevel"/>
    <w:lvl w:ilvl="0">
      <w:lvlJc w:val="left"/>
      <w:lvlText w:val="(%1)"/>
      <w:numFmt w:val="decimal"/>
      <w:start w:val="1"/>
    </w:lvl>
  </w:abstractNum>
  <w:abstractNum w:abstractNumId="17">
    <w:nsid w:val="2708C9AF"/>
    <w:multiLevelType w:val="hybridMultilevel"/>
    <w:lvl w:ilvl="0">
      <w:lvlJc w:val="left"/>
      <w:lvlText w:val="(%1)"/>
      <w:numFmt w:val="decimal"/>
      <w:start w:val="1"/>
    </w:lvl>
  </w:abstractNum>
  <w:abstractNum w:abstractNumId="18">
    <w:nsid w:val="5B25ACE2"/>
    <w:multiLevelType w:val="hybridMultilevel"/>
    <w:lvl w:ilvl="0">
      <w:lvlJc w:val="left"/>
      <w:lvlText w:val="%1"/>
      <w:numFmt w:val="decimal"/>
      <w:start w:val="1"/>
    </w:lvl>
    <w:lvl w:ilvl="1">
      <w:lvlJc w:val="left"/>
      <w:lvlText w:val="(%2)"/>
      <w:numFmt w:val="decimal"/>
      <w:start w:val="4"/>
    </w:lvl>
  </w:abstractNum>
  <w:abstractNum w:abstractNumId="19">
    <w:nsid w:val="175DFCF0"/>
    <w:multiLevelType w:val="hybridMultilevel"/>
    <w:lvl w:ilvl="0">
      <w:lvlJc w:val="left"/>
      <w:lvlText w:val="(%1)"/>
      <w:numFmt w:val="decimal"/>
      <w:start w:val="4"/>
    </w:lvl>
    <w:lvl w:ilvl="1">
      <w:lvlJc w:val="left"/>
      <w:lvlText w:val="(%2)"/>
      <w:numFmt w:val="decimal"/>
      <w:start w:val="6"/>
    </w:lvl>
  </w:abstractNum>
  <w:abstractNum w:abstractNumId="20">
    <w:nsid w:val="4F97E3E4"/>
    <w:multiLevelType w:val="hybridMultilevel"/>
    <w:lvl w:ilvl="0">
      <w:lvlJc w:val="left"/>
      <w:lvlText w:val="(%1)"/>
      <w:numFmt w:val="decimal"/>
      <w:start w:val="1"/>
    </w:lvl>
  </w:abstractNum>
  <w:abstractNum w:abstractNumId="21">
    <w:nsid w:val="53B0A9E"/>
    <w:multiLevelType w:val="hybridMultilevel"/>
    <w:lvl w:ilvl="0">
      <w:lvlJc w:val="left"/>
      <w:lvlText w:val="(%1)"/>
      <w:numFmt w:val="decimal"/>
      <w:start w:val="1"/>
    </w:lvl>
  </w:abstractNum>
  <w:abstractNum w:abstractNumId="22">
    <w:nsid w:val="34FD6B4F"/>
    <w:multiLevelType w:val="hybridMultilevel"/>
    <w:lvl w:ilvl="0">
      <w:lvlJc w:val="left"/>
      <w:lvlText w:val="(%1)"/>
      <w:numFmt w:val="decimal"/>
      <w:start w:val="1"/>
    </w:lvl>
  </w:abstractNum>
  <w:abstractNum w:abstractNumId="23">
    <w:nsid w:val="5915FF32"/>
    <w:multiLevelType w:val="hybridMultilevel"/>
    <w:lvl w:ilvl="0">
      <w:lvlJc w:val="left"/>
      <w:lvlText w:val="(%1)"/>
      <w:numFmt w:val="lowerRoman"/>
      <w:start w:val="2"/>
    </w:lvl>
  </w:abstractNum>
  <w:abstractNum w:abstractNumId="24">
    <w:nsid w:val="56438D15"/>
    <w:multiLevelType w:val="hybridMultilevel"/>
    <w:lvl w:ilvl="0">
      <w:lvlJc w:val="left"/>
      <w:lvlText w:val="(%1)"/>
      <w:numFmt w:val="decimal"/>
      <w:start w:val="1"/>
    </w:lvl>
  </w:abstractNum>
  <w:abstractNum w:abstractNumId="25">
    <w:nsid w:val="519E3149"/>
    <w:multiLevelType w:val="hybridMultilevel"/>
    <w:lvl w:ilvl="0">
      <w:lvlJc w:val="left"/>
      <w:lvlText w:val="(%1)"/>
      <w:numFmt w:val="decimal"/>
      <w:start w:val="5"/>
    </w:lvl>
  </w:abstractNum>
  <w:abstractNum w:abstractNumId="26">
    <w:nsid w:val="2C6E4AFD"/>
    <w:multiLevelType w:val="hybridMultilevel"/>
    <w:lvl w:ilvl="0">
      <w:lvlJc w:val="left"/>
      <w:lvlText w:val="%1"/>
      <w:numFmt w:val="lowerRoman"/>
      <w:start w:val="1"/>
    </w:lvl>
    <w:lvl w:ilvl="1">
      <w:lvlJc w:val="left"/>
      <w:lvlText w:val="(%2)"/>
      <w:numFmt w:val="decimal"/>
      <w:start w:val="1"/>
    </w:lvl>
  </w:abstractNum>
  <w:abstractNum w:abstractNumId="27">
    <w:nsid w:val="17A1B582"/>
    <w:multiLevelType w:val="hybridMultilevel"/>
    <w:lvl w:ilvl="0">
      <w:lvlJc w:val="left"/>
      <w:lvlText w:val="(%1)"/>
      <w:numFmt w:val="lowerRoman"/>
      <w:start w:val="3"/>
    </w:lvl>
    <w:lvl w:ilvl="1">
      <w:lvlJc w:val="left"/>
      <w:lvlText w:val="(%2)"/>
      <w:numFmt w:val="decimal"/>
      <w:start w:val="2"/>
    </w:lvl>
  </w:abstractNum>
  <w:abstractNum w:abstractNumId="28">
    <w:nsid w:val="4DF72E4E"/>
    <w:multiLevelType w:val="hybridMultilevel"/>
    <w:lvl w:ilvl="0">
      <w:lvlJc w:val="left"/>
      <w:lvlText w:val="(%1)"/>
      <w:numFmt w:val="decimal"/>
      <w:start w:val="3"/>
    </w:lvl>
  </w:abstractNum>
  <w:abstractNum w:abstractNumId="29">
    <w:nsid w:val="5046B5A9"/>
    <w:multiLevelType w:val="hybridMultilevel"/>
    <w:lvl w:ilvl="0">
      <w:lvlJc w:val="left"/>
      <w:lvlText w:val="(%1)"/>
      <w:numFmt w:val="decimal"/>
      <w:start w:val="1"/>
    </w:lvl>
  </w:abstractNum>
  <w:abstractNum w:abstractNumId="30">
    <w:nsid w:val="5D888A08"/>
    <w:multiLevelType w:val="hybridMultilevel"/>
    <w:lvl w:ilvl="0">
      <w:lvlJc w:val="left"/>
      <w:lvlText w:val="(%1)"/>
      <w:numFmt w:val="decimal"/>
      <w:start w:val="1"/>
    </w:lvl>
  </w:abstractNum>
  <w:abstractNum w:abstractNumId="31">
    <w:nsid w:val="2A082C70"/>
    <w:multiLevelType w:val="hybridMultilevel"/>
    <w:lvl w:ilvl="0">
      <w:lvlJc w:val="left"/>
      <w:lvlText w:val="(%1)"/>
      <w:numFmt w:val="decimal"/>
      <w:start w:val="3"/>
    </w:lvl>
    <w:lvl w:ilvl="1">
      <w:lvlJc w:val="left"/>
      <w:lvlText w:val="(%2)"/>
      <w:numFmt w:val="lowerLetter"/>
      <w:start w:val="1"/>
    </w:lvl>
  </w:abstractNum>
  <w:abstractNum w:abstractNumId="32">
    <w:nsid w:val="5EC6AFD4"/>
    <w:multiLevelType w:val="hybridMultilevel"/>
    <w:lvl w:ilvl="0">
      <w:lvlJc w:val="left"/>
      <w:lvlText w:val="(%1)"/>
      <w:numFmt w:val="decimal"/>
      <w:start w:val="1"/>
    </w:lvl>
  </w:abstractNum>
  <w:abstractNum w:abstractNumId="33">
    <w:nsid w:val="19E21BB2"/>
    <w:multiLevelType w:val="hybridMultilevel"/>
    <w:lvl w:ilvl="0">
      <w:lvlJc w:val="left"/>
      <w:lvlText w:val="(%1)"/>
      <w:numFmt w:val="decimal"/>
      <w:start w:val="1"/>
    </w:lvl>
  </w:abstractNum>
  <w:abstractNum w:abstractNumId="34">
    <w:nsid w:val="75E0858A"/>
    <w:multiLevelType w:val="hybridMultilevel"/>
    <w:lvl w:ilvl="0">
      <w:lvlJc w:val="left"/>
      <w:lvlText w:val="(%1)"/>
      <w:numFmt w:val="decimal"/>
      <w:start w:val="1"/>
    </w:lvl>
  </w:abstractNum>
  <w:abstractNum w:abstractNumId="35">
    <w:nsid w:val="57A61A29"/>
    <w:multiLevelType w:val="hybridMultilevel"/>
    <w:lvl w:ilvl="0">
      <w:lvlJc w:val="left"/>
      <w:lvlText w:val="(%1)"/>
      <w:numFmt w:val="decimal"/>
      <w:start w:val="1"/>
    </w:lvl>
    <w:lvl w:ilvl="1">
      <w:lvlJc w:val="left"/>
      <w:lvlText w:val="(%2)"/>
      <w:numFmt w:val="lowerLetter"/>
      <w:start w:val="1"/>
    </w:lvl>
  </w:abstractNum>
  <w:abstractNum w:abstractNumId="36">
    <w:nsid w:val="5399C654"/>
    <w:multiLevelType w:val="hybridMultilevel"/>
    <w:lvl w:ilvl="0">
      <w:lvlJc w:val="left"/>
      <w:lvlText w:val="%1"/>
      <w:numFmt w:val="lowerLetter"/>
      <w:start w:val="1"/>
    </w:lvl>
    <w:lvl w:ilvl="1">
      <w:lvlJc w:val="left"/>
      <w:lvlText w:val="(%2)"/>
      <w:numFmt w:val="decimal"/>
      <w:start w:val="8"/>
    </w:lvl>
  </w:abstractNum>
  <w:abstractNum w:abstractNumId="37">
    <w:nsid w:val="20EE1348"/>
    <w:multiLevelType w:val="hybridMultilevel"/>
    <w:lvl w:ilvl="0">
      <w:lvlJc w:val="left"/>
      <w:lvlText w:val="(%1)"/>
      <w:numFmt w:val="lowerLetter"/>
      <w:start w:val="2"/>
    </w:lvl>
    <w:lvl w:ilvl="1">
      <w:lvlJc w:val="left"/>
      <w:lvlText w:val="(%2)"/>
      <w:numFmt w:val="decimal"/>
      <w:start w:val="13"/>
    </w:lvl>
  </w:abstractNum>
  <w:abstractNum w:abstractNumId="38">
    <w:nsid w:val="4427069A"/>
    <w:multiLevelType w:val="hybridMultilevel"/>
    <w:lvl w:ilvl="0">
      <w:lvlJc w:val="left"/>
      <w:lvlText w:val="%1"/>
      <w:numFmt w:val="decimal"/>
      <w:start w:val="1"/>
    </w:lvl>
    <w:lvl w:ilvl="1">
      <w:lvlJc w:val="left"/>
      <w:lvlText w:val="(%2)"/>
      <w:numFmt w:val="decimal"/>
      <w:start w:val="20"/>
    </w:lvl>
  </w:abstractNum>
  <w:abstractNum w:abstractNumId="39">
    <w:nsid w:val="B37E80A"/>
    <w:multiLevelType w:val="hybridMultilevel"/>
    <w:lvl w:ilvl="0">
      <w:lvlJc w:val="left"/>
      <w:lvlText w:val="(%1)"/>
      <w:numFmt w:val="decimal"/>
      <w:start w:val="1"/>
    </w:lvl>
    <w:lvl w:ilvl="1">
      <w:lvlJc w:val="left"/>
      <w:lvlText w:val="%2"/>
      <w:numFmt w:val="decimal"/>
      <w:start w:val="1"/>
    </w:lvl>
  </w:abstractNum>
  <w:abstractNum w:abstractNumId="40">
    <w:nsid w:val="2157F6BC"/>
    <w:multiLevelType w:val="hybridMultilevel"/>
    <w:lvl w:ilvl="0">
      <w:lvlJc w:val="left"/>
      <w:lvlText w:val="%1"/>
      <w:numFmt w:val="lowerLetter"/>
      <w:start w:val="1"/>
    </w:lvl>
    <w:lvl w:ilvl="1">
      <w:lvlJc w:val="left"/>
      <w:lvlText w:val="(%2)"/>
      <w:numFmt w:val="decimal"/>
      <w:start w:val="1"/>
    </w:lvl>
  </w:abstractNum>
  <w:abstractNum w:abstractNumId="41">
    <w:nsid w:val="704E1DD5"/>
    <w:multiLevelType w:val="hybridMultilevel"/>
    <w:lvl w:ilvl="0">
      <w:lvlJc w:val="left"/>
      <w:lvlText w:val="(%1)"/>
      <w:numFmt w:val="lowerLetter"/>
      <w:start w:val="25"/>
    </w:lvl>
    <w:lvl w:ilvl="1">
      <w:lvlJc w:val="left"/>
      <w:lvlText w:val="%2"/>
      <w:numFmt w:val="decimal"/>
      <w:start w:val="1"/>
    </w:lvl>
  </w:abstractNum>
  <w:abstractNum w:abstractNumId="42">
    <w:nsid w:val="57D2F10E"/>
    <w:multiLevelType w:val="hybridMultilevel"/>
    <w:lvl w:ilvl="0">
      <w:lvlJc w:val="left"/>
      <w:lvlText w:val="(%1)"/>
      <w:numFmt w:val="lowerLetter"/>
      <w:start w:val="4"/>
    </w:lvl>
    <w:lvl w:ilvl="1">
      <w:lvlJc w:val="left"/>
      <w:lvlText w:val="(%2)"/>
      <w:numFmt w:val="decimal"/>
      <w:start w:val="7"/>
    </w:lvl>
    <w:lvl w:ilvl="2">
      <w:lvlJc w:val="left"/>
      <w:lvlText w:val="(%3)"/>
      <w:numFmt w:val="lowerLetter"/>
      <w:start w:val="1"/>
    </w:lvl>
  </w:abstractNum>
  <w:abstractNum w:abstractNumId="43">
    <w:nsid w:val="BFFAE18"/>
    <w:multiLevelType w:val="hybridMultilevel"/>
    <w:lvl w:ilvl="0">
      <w:lvlJc w:val="left"/>
      <w:lvlText w:val="(%1)"/>
      <w:numFmt w:val="decimal"/>
      <w:start w:val="14"/>
    </w:lvl>
  </w:abstractNum>
  <w:abstractNum w:abstractNumId="44">
    <w:nsid w:val="E3E47A8"/>
    <w:multiLevelType w:val="hybridMultilevel"/>
    <w:lvl w:ilvl="0">
      <w:lvlJc w:val="left"/>
      <w:lvlText w:val="(%1)"/>
      <w:numFmt w:val="decimal"/>
      <w:start w:val="23"/>
    </w:lvl>
    <w:lvl w:ilvl="1">
      <w:lvlJc w:val="left"/>
      <w:lvlText w:val="(%2)"/>
      <w:numFmt w:val="lowerLetter"/>
      <w:start w:val="1"/>
    </w:lvl>
  </w:abstractNum>
  <w:abstractNum w:abstractNumId="45">
    <w:nsid w:val="2E48F044"/>
    <w:multiLevelType w:val="hybridMultilevel"/>
    <w:lvl w:ilvl="0">
      <w:lvlJc w:val="left"/>
      <w:lvlText w:val="%1"/>
      <w:numFmt w:val="lowerLetter"/>
      <w:start w:val="1"/>
    </w:lvl>
    <w:lvl w:ilvl="1">
      <w:lvlJc w:val="left"/>
      <w:lvlText w:val="(%2)"/>
      <w:numFmt w:val="decimal"/>
      <w:start w:val="1"/>
    </w:lvl>
  </w:abstractNum>
  <w:abstractNum w:abstractNumId="46">
    <w:nsid w:val="49D0FEAC"/>
    <w:multiLevelType w:val="hybridMultilevel"/>
    <w:lvl w:ilvl="0">
      <w:lvlJc w:val="left"/>
      <w:lvlText w:val="(%1)"/>
      <w:numFmt w:val="lowerLetter"/>
      <w:start w:val="2"/>
    </w:lvl>
    <w:lvl w:ilvl="1">
      <w:lvlJc w:val="left"/>
      <w:lvlText w:val="%2"/>
      <w:numFmt w:val="decimal"/>
      <w:start w:val="1"/>
    </w:lvl>
  </w:abstractNum>
  <w:abstractNum w:abstractNumId="47">
    <w:nsid w:val="4BEE5A5B"/>
    <w:multiLevelType w:val="hybridMultilevel"/>
    <w:lvl w:ilvl="0">
      <w:lvlJc w:val="left"/>
      <w:lvlText w:val="(%1)"/>
      <w:numFmt w:val="decimal"/>
      <w:start w:val="1"/>
    </w:lvl>
  </w:abstractNum>
  <w:abstractNum w:abstractNumId="48">
    <w:nsid w:val="5551B9F3"/>
    <w:multiLevelType w:val="hybridMultilevel"/>
    <w:lvl w:ilvl="0">
      <w:lvlJc w:val="left"/>
      <w:lvlText w:val="(%1)"/>
      <w:numFmt w:val="decimal"/>
      <w:start w:val="6"/>
    </w:lvl>
  </w:abstractNum>
  <w:abstractNum w:abstractNumId="49">
    <w:nsid w:val="24F6AB8E"/>
    <w:multiLevelType w:val="hybridMultilevel"/>
    <w:lvl w:ilvl="0">
      <w:lvlJc w:val="left"/>
      <w:lvlText w:val="(%1)"/>
      <w:numFmt w:val="decimal"/>
      <w:start w:val="1"/>
    </w:lvl>
  </w:abstractNum>
  <w:abstractNum w:abstractNumId="50">
    <w:nsid w:val="634C574C"/>
    <w:multiLevelType w:val="hybridMultilevel"/>
    <w:lvl w:ilvl="0">
      <w:lvlJc w:val="left"/>
      <w:lvlText w:val="(%1)"/>
      <w:numFmt w:val="decimal"/>
      <w:start w:val="1"/>
    </w:lvl>
  </w:abstractNum>
  <w:abstractNum w:abstractNumId="51">
    <w:nsid w:val="24E99DD7"/>
    <w:multiLevelType w:val="hybridMultilevel"/>
    <w:lvl w:ilvl="0">
      <w:lvlJc w:val="left"/>
      <w:lvlText w:val="(%1)"/>
      <w:numFmt w:val="decimal"/>
      <w:start w:val="1"/>
    </w:lvl>
  </w:abstractNum>
  <w:abstractNum w:abstractNumId="52">
    <w:nsid w:val="2A31B62D"/>
    <w:multiLevelType w:val="hybridMultilevel"/>
    <w:lvl w:ilvl="0">
      <w:lvlJc w:val="left"/>
      <w:lvlText w:val="(%1)"/>
      <w:numFmt w:val="decimal"/>
      <w:start w:val="1"/>
    </w:lvl>
  </w:abstractNum>
  <w:abstractNum w:abstractNumId="53">
    <w:nsid w:val="1849C29B"/>
    <w:multiLevelType w:val="hybridMultilevel"/>
    <w:lvl w:ilvl="0">
      <w:lvlJc w:val="left"/>
      <w:lvlText w:val="%1"/>
      <w:numFmt w:val="lowerLetter"/>
      <w:start w:val="1"/>
    </w:lvl>
    <w:lvl w:ilvl="1">
      <w:lvlJc w:val="left"/>
      <w:lvlText w:val="(%2)"/>
      <w:numFmt w:val="decimal"/>
      <w:start w:val="1"/>
    </w:lvl>
  </w:abstractNum>
  <w:abstractNum w:abstractNumId="54">
    <w:nsid w:val="7DFF9D09"/>
    <w:multiLevelType w:val="hybridMultilevel"/>
    <w:lvl w:ilvl="0">
      <w:lvlJc w:val="left"/>
      <w:lvlText w:val="(%1)"/>
      <w:numFmt w:val="lowerLetter"/>
      <w:start w:val="25"/>
    </w:lvl>
    <w:lvl w:ilvl="1">
      <w:lvlJc w:val="left"/>
      <w:lvlText w:val="%2"/>
      <w:numFmt w:val="decimal"/>
      <w:start w:val="1"/>
    </w:lvl>
  </w:abstractNum>
  <w:abstractNum w:abstractNumId="55">
    <w:nsid w:val="754342"/>
    <w:multiLevelType w:val="hybridMultilevel"/>
    <w:lvl w:ilvl="0">
      <w:lvlJc w:val="left"/>
      <w:lvlText w:val="(%1)"/>
      <w:numFmt w:val="decimal"/>
      <w:start w:val="1"/>
    </w:lvl>
  </w:abstractNum>
  <w:abstractNum w:abstractNumId="56">
    <w:nsid w:val="69E7F3E5"/>
    <w:multiLevelType w:val="hybridMultilevel"/>
    <w:lvl w:ilvl="0">
      <w:lvlJc w:val="left"/>
      <w:lvlText w:val="(%1)"/>
      <w:numFmt w:val="lowerLetter"/>
      <w:start w:val="2"/>
    </w:lvl>
  </w:abstractNum>
  <w:abstractNum w:abstractNumId="57">
    <w:nsid w:val="2A6DE806"/>
    <w:multiLevelType w:val="hybridMultilevel"/>
    <w:lvl w:ilvl="0">
      <w:lvlJc w:val="left"/>
      <w:lvlText w:val="(%1)"/>
      <w:numFmt w:val="decimal"/>
      <w:start w:val="3"/>
    </w:lvl>
  </w:abstractNum>
  <w:abstractNum w:abstractNumId="58">
    <w:nsid w:val="1816F8C4"/>
    <w:multiLevelType w:val="hybridMultilevel"/>
    <w:lvl w:ilvl="0">
      <w:lvlJc w:val="left"/>
      <w:lvlText w:val="(%1)"/>
      <w:numFmt w:val="lowerLetter"/>
      <w:start w:val="1"/>
    </w:lvl>
  </w:abstractNum>
  <w:abstractNum w:abstractNumId="59">
    <w:nsid w:val="37DF2233"/>
    <w:multiLevelType w:val="hybridMultilevel"/>
    <w:lvl w:ilvl="0">
      <w:lvlJc w:val="left"/>
      <w:lvlText w:val="%1"/>
      <w:numFmt w:val="lowerLetter"/>
      <w:start w:val="1"/>
    </w:lvl>
    <w:lvl w:ilvl="1">
      <w:lvlJc w:val="left"/>
      <w:lvlText w:val="(%2)"/>
      <w:numFmt w:val="lowerLetter"/>
      <w:start w:val="2"/>
    </w:lvl>
  </w:abstractNum>
  <w:abstractNum w:abstractNumId="60">
    <w:nsid w:val="7AB49DAF"/>
    <w:multiLevelType w:val="hybridMultilevel"/>
    <w:lvl w:ilvl="0">
      <w:lvlJc w:val="left"/>
      <w:lvlText w:val="(%1)"/>
      <w:numFmt w:val="lowerLetter"/>
      <w:start w:val="9"/>
    </w:lvl>
    <w:lvl w:ilvl="1">
      <w:lvlJc w:val="left"/>
      <w:lvlText w:val="%2"/>
      <w:numFmt w:val="lowerLetter"/>
      <w:start w:val="1"/>
    </w:lvl>
  </w:abstractNum>
  <w:abstractNum w:abstractNumId="61">
    <w:nsid w:val="759F82CD"/>
    <w:multiLevelType w:val="hybridMultilevel"/>
    <w:lvl w:ilvl="0">
      <w:lvlJc w:val="left"/>
      <w:lvlText w:val="(%1)"/>
      <w:numFmt w:val="lowerLetter"/>
      <w:start w:val="3"/>
    </w:lvl>
  </w:abstractNum>
  <w:abstractNum w:abstractNumId="62">
    <w:nsid w:val="61E74EA3"/>
    <w:multiLevelType w:val="hybridMultilevel"/>
    <w:lvl w:ilvl="0">
      <w:lvlJc w:val="left"/>
      <w:lvlText w:val="%1"/>
      <w:numFmt w:val="decimal"/>
      <w:start w:val="1"/>
    </w:lvl>
    <w:lvl w:ilvl="1">
      <w:lvlJc w:val="left"/>
      <w:lvlText w:val="(%2)"/>
      <w:numFmt w:val="lowerLetter"/>
      <w:start w:val="1"/>
    </w:lvl>
  </w:abstractNum>
  <w:abstractNum w:abstractNumId="63">
    <w:nsid w:val="597B4D84"/>
    <w:multiLevelType w:val="hybridMultilevel"/>
    <w:lvl w:ilvl="0">
      <w:lvlJc w:val="left"/>
      <w:lvlText w:val="(%1)"/>
      <w:numFmt w:val="decimal"/>
      <w:start w:val="1"/>
    </w:lvl>
    <w:lvl w:ilvl="1">
      <w:lvlJc w:val="left"/>
      <w:lvlText w:val="%2"/>
      <w:numFmt w:val="lowerLetter"/>
      <w:start w:val="1"/>
    </w:lvl>
  </w:abstractNum>
  <w:abstractNum w:abstractNumId="64">
    <w:nsid w:val="F819E7F"/>
    <w:multiLevelType w:val="hybridMultilevel"/>
    <w:lvl w:ilvl="0">
      <w:lvlJc w:val="left"/>
      <w:lvlText w:val="%1"/>
      <w:numFmt w:val="decimal"/>
      <w:start w:val="1"/>
    </w:lvl>
    <w:lvl w:ilvl="1">
      <w:lvlJc w:val="left"/>
      <w:lvlText w:val="(%2)"/>
      <w:numFmt w:val="lowerLetter"/>
      <w:start w:val="2"/>
    </w:lvl>
    <w:lvl w:ilvl="2">
      <w:lvlJc w:val="left"/>
      <w:lvlText w:val="%3"/>
      <w:numFmt w:val="upperLetter"/>
      <w:start w:val="1"/>
    </w:lvl>
    <w:lvl w:ilvl="3">
      <w:lvlJc w:val="left"/>
      <w:lvlText w:val="%4"/>
      <w:numFmt w:val="lowerRoman"/>
      <w:start w:val="1"/>
    </w:lvl>
  </w:abstractNum>
  <w:abstractNum w:abstractNumId="65">
    <w:nsid w:val="57C7D42D"/>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1"/>
    </w:lvl>
    <w:lvl w:ilvl="3">
      <w:lvlJc w:val="left"/>
      <w:lvlText w:val="(%4)"/>
      <w:numFmt w:val="lowerRoman"/>
      <w:start w:val="1"/>
    </w:lvl>
  </w:abstractNum>
  <w:abstractNum w:abstractNumId="66">
    <w:nsid w:val="312167AD"/>
    <w:multiLevelType w:val="hybridMultilevel"/>
    <w:lvl w:ilvl="0">
      <w:lvlJc w:val="left"/>
      <w:lvlText w:val="(%1)"/>
      <w:numFmt w:val="upperLetter"/>
      <w:start w:val="2"/>
    </w:lvl>
    <w:lvl w:ilvl="1">
      <w:lvlJc w:val="left"/>
      <w:lvlText w:val="(%2)"/>
      <w:numFmt w:val="lowerRoman"/>
      <w:start w:val="1"/>
    </w:lvl>
  </w:abstractNum>
  <w:abstractNum w:abstractNumId="67">
    <w:nsid w:val="631B64D4"/>
    <w:multiLevelType w:val="hybridMultilevel"/>
    <w:lvl w:ilvl="0">
      <w:lvlJc w:val="left"/>
      <w:lvlText w:val="(%1)"/>
      <w:numFmt w:val="decimal"/>
      <w:start w:val="3"/>
    </w:lvl>
  </w:abstractNum>
  <w:abstractNum w:abstractNumId="68">
    <w:nsid w:val="78B5E776"/>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69">
    <w:nsid w:val="75486E47"/>
    <w:multiLevelType w:val="hybridMultilevel"/>
    <w:lvl w:ilvl="0">
      <w:lvlJc w:val="left"/>
      <w:lvlText w:val="(%1)"/>
      <w:numFmt w:val="decimal"/>
      <w:start w:val="4"/>
    </w:lvl>
    <w:lvl w:ilvl="1">
      <w:lvlJc w:val="left"/>
      <w:lvlText w:val="(%2)"/>
      <w:numFmt w:val="upperLetter"/>
      <w:start w:val="1"/>
    </w:lvl>
    <w:lvl w:ilvl="2">
      <w:lvlJc w:val="left"/>
      <w:lvlText w:val="(%3)"/>
      <w:numFmt w:val="lowerRoman"/>
      <w:start w:val="1"/>
    </w:lvl>
  </w:abstractNum>
  <w:abstractNum w:abstractNumId="70">
    <w:nsid w:val="6E534CDE"/>
    <w:multiLevelType w:val="hybridMultilevel"/>
    <w:lvl w:ilvl="0">
      <w:lvlJc w:val="left"/>
      <w:lvlText w:val="%1"/>
      <w:numFmt w:val="decimal"/>
      <w:start w:val="1"/>
    </w:lvl>
    <w:lvl w:ilvl="1">
      <w:lvlJc w:val="left"/>
      <w:lvlText w:val="(%2)"/>
      <w:numFmt w:val="lowerLetter"/>
      <w:start w:val="3"/>
    </w:lvl>
    <w:lvl w:ilvl="2">
      <w:lvlJc w:val="left"/>
      <w:lvlText w:val="%3"/>
      <w:numFmt w:val="upperLetter"/>
      <w:start w:val="1"/>
    </w:lvl>
  </w:abstractNum>
  <w:abstractNum w:abstractNumId="71">
    <w:nsid w:val="1A0DDE32"/>
    <w:multiLevelType w:val="hybridMultilevel"/>
    <w:lvl w:ilvl="0">
      <w:lvlJc w:val="left"/>
      <w:lvlText w:val="(%1)"/>
      <w:numFmt w:val="decimal"/>
      <w:start w:val="1"/>
    </w:lvl>
    <w:lvl w:ilvl="1">
      <w:lvlJc w:val="left"/>
      <w:lvlText w:val="(%2)"/>
      <w:numFmt w:val="lowerLetter"/>
    </w:lvl>
    <w:lvl w:ilvl="2">
      <w:lvlJc w:val="left"/>
      <w:lvlText w:val="(%3)"/>
      <w:numFmt w:val="upperLetter"/>
      <w:start w:val="1"/>
    </w:lvl>
  </w:abstractNum>
  <w:abstractNum w:abstractNumId="72">
    <w:nsid w:val="65968C1C"/>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5"/>
    </w:lvl>
  </w:abstractNum>
  <w:abstractNum w:abstractNumId="73">
    <w:nsid w:val="46263DEC"/>
    <w:multiLevelType w:val="hybridMultilevel"/>
    <w:lvl w:ilvl="0">
      <w:lvlJc w:val="left"/>
      <w:lvlText w:val="(%1)"/>
      <w:numFmt w:val="upperLetter"/>
      <w:start w:val="6"/>
    </w:lvl>
  </w:abstractNum>
  <w:abstractNum w:abstractNumId="74">
    <w:nsid w:val="260D8C4A"/>
    <w:multiLevelType w:val="hybridMultilevel"/>
    <w:lvl w:ilvl="0">
      <w:lvlJc w:val="left"/>
      <w:lvlText w:val="(%1)"/>
      <w:numFmt w:val="decimal"/>
      <w:start w:val="2"/>
    </w:lvl>
    <w:lvl w:ilvl="1">
      <w:lvlJc w:val="left"/>
      <w:lvlText w:val="(%2)"/>
      <w:numFmt w:val="upperLetter"/>
      <w:start w:val="1"/>
    </w:lvl>
    <w:lvl w:ilvl="2">
      <w:lvlJc w:val="left"/>
      <w:lvlText w:val="(%3)"/>
      <w:numFmt w:val="lowerRoman"/>
      <w:start w:val="1"/>
    </w:lvl>
  </w:abstractNum>
  <w:abstractNum w:abstractNumId="75">
    <w:nsid w:val="73D4D3C4"/>
    <w:multiLevelType w:val="hybridMultilevel"/>
    <w:lvl w:ilvl="0">
      <w:lvlJc w:val="left"/>
      <w:lvlText w:val="(%1)"/>
      <w:numFmt w:val="decimal"/>
      <w:start w:val="3"/>
    </w:lvl>
    <w:lvl w:ilvl="1">
      <w:lvlJc w:val="left"/>
      <w:lvlText w:val="(%2)"/>
      <w:numFmt w:val="lowerLetter"/>
      <w:start w:val="4"/>
    </w:lvl>
  </w:abstractNum>
  <w:abstractNum w:abstractNumId="76">
    <w:nsid w:val="746F2E30"/>
    <w:multiLevelType w:val="hybridMultilevel"/>
    <w:lvl w:ilvl="0">
      <w:lvlJc w:val="left"/>
      <w:lvlText w:val="(%1)"/>
      <w:numFmt w:val="decimal"/>
      <w:start w:val="1"/>
    </w:lvl>
    <w:lvl w:ilvl="1">
      <w:lvlJc w:val="left"/>
      <w:lvlText w:val="(%2)"/>
      <w:numFmt w:val="upperLetter"/>
      <w:start w:val="1"/>
    </w:lvl>
  </w:abstractNum>
  <w:abstractNum w:abstractNumId="77">
    <w:nsid w:val="6FDE8AF6"/>
    <w:multiLevelType w:val="hybridMultilevel"/>
    <w:lvl w:ilvl="0">
      <w:lvlJc w:val="left"/>
      <w:lvlText w:val="(%1)"/>
      <w:numFmt w:val="upperLetter"/>
      <w:start w:val="7"/>
    </w:lvl>
  </w:abstractNum>
  <w:abstractNum w:abstractNumId="78">
    <w:nsid w:val="3FC32E20"/>
    <w:multiLevelType w:val="hybridMultilevel"/>
    <w:lvl w:ilvl="0">
      <w:lvlJc w:val="left"/>
      <w:lvlText w:val="%1"/>
      <w:numFmt w:val="decimal"/>
      <w:start w:val="1"/>
    </w:lvl>
    <w:lvl w:ilvl="1">
      <w:lvlJc w:val="left"/>
      <w:lvlText w:val="(%2)"/>
      <w:numFmt w:val="upperLetter"/>
      <w:start w:val="3"/>
    </w:lvl>
    <w:lvl w:ilvl="2">
      <w:lvlJc w:val="left"/>
      <w:lvlText w:val="%3"/>
      <w:numFmt w:val="upperLetter"/>
      <w:start w:val="1"/>
    </w:lvl>
    <w:lvl w:ilvl="3">
      <w:lvlJc w:val="left"/>
      <w:lvlText w:val="%4"/>
      <w:numFmt w:val="lowerRoman"/>
      <w:start w:val="1"/>
    </w:lvl>
  </w:abstractNum>
  <w:abstractNum w:abstractNumId="79">
    <w:nsid w:val="49C0E823"/>
    <w:multiLevelType w:val="hybridMultilevel"/>
    <w:lvl w:ilvl="0">
      <w:lvlJc w:val="left"/>
      <w:lvlText w:val="(%1)"/>
      <w:numFmt w:val="decimal"/>
      <w:start w:val="2"/>
    </w:lvl>
    <w:lvl w:ilvl="1">
      <w:lvlJc w:val="left"/>
      <w:lvlText w:val="%2"/>
      <w:numFmt w:val="upperLetter"/>
      <w:start w:val="1"/>
    </w:lvl>
    <w:lvl w:ilvl="2">
      <w:lvlJc w:val="left"/>
      <w:lvlText w:val="(%3)"/>
      <w:numFmt w:val="upperLetter"/>
      <w:start w:val="1"/>
    </w:lvl>
    <w:lvl w:ilvl="3">
      <w:lvlJc w:val="left"/>
      <w:lvlText w:val="(%4)"/>
      <w:numFmt w:val="lowerRoman"/>
      <w:start w:val="1"/>
    </w:lvl>
  </w:abstractNum>
  <w:abstractNum w:abstractNumId="80">
    <w:nsid w:val="14D53685"/>
    <w:multiLevelType w:val="hybridMultilevel"/>
    <w:lvl w:ilvl="0">
      <w:lvlJc w:val="left"/>
      <w:lvlText w:val="(%1)"/>
      <w:numFmt w:val="decimal"/>
      <w:start w:val="3"/>
    </w:lvl>
  </w:abstractNum>
  <w:abstractNum w:abstractNumId="81">
    <w:nsid w:val="230F856C"/>
    <w:multiLevelType w:val="hybridMultilevel"/>
    <w:lvl w:ilvl="0">
      <w:lvlJc w:val="left"/>
      <w:lvlText w:val="(%1)"/>
      <w:numFmt w:val="decimal"/>
      <w:start w:val="4"/>
    </w:lvl>
    <w:lvl w:ilvl="1">
      <w:lvlJc w:val="left"/>
      <w:lvlText w:val="(%2)"/>
      <w:numFmt w:val="lowerLetter"/>
      <w:start w:val="5"/>
    </w:lvl>
  </w:abstractNum>
  <w:abstractNum w:abstractNumId="82">
    <w:nsid w:val="6EAA85FB"/>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83">
    <w:nsid w:val="3F06ECB2"/>
    <w:multiLevelType w:val="hybridMultilevel"/>
    <w:lvl w:ilvl="0">
      <w:lvlJc w:val="left"/>
      <w:lvlText w:val="(%1)"/>
      <w:numFmt w:val="lowerRoman"/>
      <w:start w:val="2"/>
    </w:lvl>
  </w:abstractNum>
  <w:abstractNum w:abstractNumId="84">
    <w:nsid w:val="3B594807"/>
    <w:multiLevelType w:val="hybridMultilevel"/>
    <w:lvl w:ilvl="0">
      <w:lvlJc w:val="left"/>
      <w:lvlText w:val="(%1)"/>
      <w:numFmt w:val="decimal"/>
      <w:start w:val="3"/>
    </w:lvl>
    <w:lvl w:ilvl="1">
      <w:lvlJc w:val="left"/>
      <w:lvlText w:val="(%2)"/>
      <w:numFmt w:val="lowerLetter"/>
      <w:start w:val="6"/>
    </w:lvl>
  </w:abstractNum>
  <w:abstractNum w:abstractNumId="85">
    <w:nsid w:val="6CAA2304"/>
    <w:multiLevelType w:val="hybridMultilevel"/>
    <w:lvl w:ilvl="0">
      <w:lvlJc w:val="left"/>
      <w:lvlText w:val="(%1)"/>
      <w:numFmt w:val="decimal"/>
      <w:start w:val="1"/>
    </w:lvl>
    <w:lvl w:ilvl="1">
      <w:lvlJc w:val="left"/>
      <w:lvlText w:val="(%2)"/>
      <w:numFmt w:val="upperLetter"/>
      <w:start w:val="1"/>
    </w:lvl>
  </w:abstractNum>
  <w:abstractNum w:abstractNumId="86">
    <w:nsid w:val="3F7C2FF4"/>
    <w:multiLevelType w:val="hybridMultilevel"/>
    <w:lvl w:ilvl="0">
      <w:lvlJc w:val="left"/>
      <w:lvlText w:val="(%1)"/>
      <w:numFmt w:val="upperLetter"/>
      <w:start w:val="2"/>
    </w:lvl>
  </w:abstractNum>
  <w:abstractNum w:abstractNumId="87">
    <w:nsid w:val="25413BEC"/>
    <w:multiLevelType w:val="hybridMultilevel"/>
    <w:lvl w:ilvl="0">
      <w:lvlJc w:val="left"/>
      <w:lvlText w:val="(%1)"/>
      <w:numFmt w:val="lowerRoman"/>
      <w:start w:val="2"/>
    </w:lvl>
  </w:abstractNum>
  <w:abstractNum w:abstractNumId="88">
    <w:nsid w:val="17180B0B"/>
    <w:multiLevelType w:val="hybridMultilevel"/>
    <w:lvl w:ilvl="0">
      <w:lvlJc w:val="left"/>
      <w:lvlText w:val="(%1)"/>
      <w:numFmt w:val="lowerLetter"/>
      <w:start w:val="8"/>
    </w:lvl>
    <w:lvl w:ilvl="1">
      <w:lvlJc w:val="left"/>
      <w:lvlText w:val="(%2)"/>
      <w:numFmt w:val="decimal"/>
      <w:start w:val="1"/>
    </w:lvl>
  </w:abstractNum>
  <w:abstractNum w:abstractNumId="89">
    <w:nsid w:val="579328B9"/>
    <w:multiLevelType w:val="hybridMultilevel"/>
    <w:lvl w:ilvl="0">
      <w:lvlJc w:val="left"/>
      <w:lvlText w:val="(%1)"/>
      <w:numFmt w:val="decimal"/>
      <w:start w:val="3"/>
    </w:lvl>
    <w:lvl w:ilvl="1">
      <w:lvlJc w:val="left"/>
      <w:lvlText w:val="(%2)"/>
      <w:numFmt w:val="upperLetter"/>
      <w:start w:val="1"/>
    </w:lvl>
  </w:abstractNum>
  <w:abstractNum w:abstractNumId="90">
    <w:nsid w:val="5D205E20"/>
    <w:multiLevelType w:val="hybridMultilevel"/>
    <w:lvl w:ilvl="0">
      <w:lvlJc w:val="left"/>
      <w:lvlText w:val="%1"/>
      <w:numFmt w:val="decimal"/>
      <w:start w:val="1"/>
    </w:lvl>
    <w:lvl w:ilvl="1">
      <w:lvlJc w:val="left"/>
      <w:lvlText w:val="(%2)"/>
      <w:numFmt w:val="lowerLetter"/>
      <w:start w:val="1"/>
    </w:lvl>
  </w:abstractNum>
  <w:abstractNum w:abstractNumId="91">
    <w:nsid w:val="11CCA8BA"/>
    <w:multiLevelType w:val="hybridMultilevel"/>
    <w:lvl w:ilvl="0">
      <w:lvlJc w:val="left"/>
      <w:lvlText w:val="(%1)"/>
      <w:numFmt w:val="decimal"/>
      <w:start w:val="1"/>
    </w:lvl>
    <w:lvl w:ilvl="1">
      <w:lvlJc w:val="left"/>
      <w:lvlText w:val="%2"/>
      <w:numFmt w:val="lowerLetter"/>
      <w:start w:val="1"/>
    </w:lvl>
  </w:abstractNum>
  <w:abstractNum w:abstractNumId="92">
    <w:nsid w:val="4D32AB86"/>
    <w:multiLevelType w:val="hybridMultilevel"/>
    <w:lvl w:ilvl="0">
      <w:lvlJc w:val="left"/>
      <w:lvlText w:val="(%1)"/>
      <w:numFmt w:val="decimal"/>
      <w:start w:val="3"/>
    </w:lvl>
  </w:abstractNum>
  <w:abstractNum w:abstractNumId="93">
    <w:nsid w:val="3F07ACC3"/>
    <w:multiLevelType w:val="hybridMultilevel"/>
    <w:lvl w:ilvl="0">
      <w:lvlJc w:val="left"/>
      <w:lvlText w:val="(%1)"/>
      <w:numFmt w:val="lowerLetter"/>
      <w:start w:val="1"/>
    </w:lvl>
  </w:abstractNum>
  <w:abstractNum w:abstractNumId="94">
    <w:nsid w:val="6B47F63E"/>
    <w:multiLevelType w:val="hybridMultilevel"/>
    <w:lvl w:ilvl="0">
      <w:lvlJc w:val="left"/>
      <w:lvlText w:val="(%1)"/>
      <w:numFmt w:val="lowerLetter"/>
      <w:start w:val="1"/>
    </w:lvl>
  </w:abstractNum>
  <w:abstractNum w:abstractNumId="95">
    <w:nsid w:val="5CB44A05"/>
    <w:multiLevelType w:val="hybridMultilevel"/>
    <w:lvl w:ilvl="0">
      <w:lvlJc w:val="left"/>
      <w:lvlText w:val="(%1)"/>
      <w:numFmt w:val="lowerLetter"/>
      <w:start w:val="1"/>
    </w:lvl>
  </w:abstractNum>
  <w:abstractNum w:abstractNumId="96">
    <w:nsid w:val="16CF80F1"/>
    <w:multiLevelType w:val="hybridMultilevel"/>
    <w:lvl w:ilvl="0">
      <w:lvlJc w:val="left"/>
      <w:lvlText w:val="(%1)"/>
      <w:numFmt w:val="lowerLetter"/>
      <w:start w:val="2"/>
    </w:lvl>
  </w:abstractNum>
  <w:abstractNum w:abstractNumId="97">
    <w:nsid w:val="1C695DEC"/>
    <w:multiLevelType w:val="hybridMultilevel"/>
    <w:lvl w:ilvl="0">
      <w:lvlJc w:val="left"/>
      <w:lvlText w:val="(%1)"/>
      <w:numFmt w:val="lowerLetter"/>
      <w:start w:val="1"/>
    </w:lvl>
  </w:abstractNum>
  <w:abstractNum w:abstractNumId="98">
    <w:nsid w:val="3FCFAED9"/>
    <w:multiLevelType w:val="hybridMultilevel"/>
    <w:lvl w:ilvl="0">
      <w:lvlJc w:val="left"/>
      <w:lvlText w:val="(%1)"/>
      <w:numFmt w:val="lowerLetter"/>
      <w:start w:val="4"/>
    </w:lvl>
  </w:abstractNum>
  <w:abstractNum w:abstractNumId="99">
    <w:nsid w:val="F856867"/>
    <w:multiLevelType w:val="hybridMultilevel"/>
    <w:lvl w:ilvl="0">
      <w:lvlJc w:val="left"/>
      <w:lvlText w:val="(%1)"/>
      <w:numFmt w:val="lowerLetter"/>
      <w:start w:val="5"/>
    </w:lvl>
  </w:abstractNum>
  <w:abstractNum w:abstractNumId="100">
    <w:nsid w:val="11B1CC33"/>
    <w:multiLevelType w:val="hybridMultilevel"/>
    <w:lvl w:ilvl="0">
      <w:lvlJc w:val="left"/>
      <w:lvlText w:val="(%1)"/>
      <w:numFmt w:val="lowerLetter"/>
      <w:start w:val="2"/>
    </w:lvl>
  </w:abstractNum>
  <w:abstractNum w:abstractNumId="101">
    <w:nsid w:val="2E22FBB7"/>
    <w:multiLevelType w:val="hybridMultilevel"/>
    <w:lvl w:ilvl="0">
      <w:lvlJc w:val="left"/>
      <w:lvlText w:val="(%1)"/>
      <w:numFmt w:val="lowerLetter"/>
      <w:start w:val="3"/>
    </w:lvl>
  </w:abstractNum>
  <w:abstractNum w:abstractNumId="102">
    <w:nsid w:val="29934699"/>
    <w:multiLevelType w:val="hybridMultilevel"/>
    <w:lvl w:ilvl="0">
      <w:lvlJc w:val="left"/>
      <w:lvlText w:val="%1"/>
      <w:numFmt w:val="decimal"/>
      <w:start w:val="1"/>
    </w:lvl>
    <w:lvl w:ilvl="1">
      <w:lvlJc w:val="left"/>
      <w:lvlText w:val="(%2)"/>
      <w:numFmt w:val="lowerLetter"/>
      <w:start w:val="1"/>
    </w:lvl>
  </w:abstractNum>
  <w:abstractNum w:abstractNumId="103">
    <w:nsid w:val="77485850"/>
    <w:multiLevelType w:val="hybridMultilevel"/>
    <w:lvl w:ilvl="0">
      <w:lvlJc w:val="left"/>
      <w:lvlText w:val="(%1)"/>
      <w:numFmt w:val="decimal"/>
      <w:start w:val="1"/>
    </w:lvl>
    <w:lvl w:ilvl="1">
      <w:lvlJc w:val="left"/>
      <w:lvlText w:val="%2"/>
      <w:numFmt w:val="lowerLetter"/>
      <w:start w:val="1"/>
    </w:lvl>
  </w:abstractNum>
  <w:abstractNum w:abstractNumId="104">
    <w:nsid w:val="744939A3"/>
    <w:multiLevelType w:val="hybridMultilevel"/>
    <w:lvl w:ilvl="0">
      <w:lvlJc w:val="left"/>
      <w:lvlText w:val="(%1)"/>
      <w:numFmt w:val="lowerLetter"/>
      <w:start w:val="2"/>
    </w:lvl>
  </w:abstractNum>
  <w:abstractNum w:abstractNumId="105">
    <w:nsid w:val="4FA0D2E3"/>
    <w:multiLevelType w:val="hybridMultilevel"/>
    <w:lvl w:ilvl="0">
      <w:lvlJc w:val="left"/>
      <w:lvlText w:val="(%1)"/>
      <w:numFmt w:val="lowerLetter"/>
      <w:start w:val="6"/>
    </w:lvl>
  </w:abstractNum>
  <w:abstractNum w:abstractNumId="106">
    <w:nsid w:val="6B1D2C14"/>
    <w:multiLevelType w:val="hybridMultilevel"/>
    <w:lvl w:ilvl="0">
      <w:lvlJc w:val="left"/>
      <w:lvlText w:val="(%1)"/>
      <w:numFmt w:val="lowerLetter"/>
      <w:start w:val="1"/>
    </w:lvl>
  </w:abstractNum>
  <w:abstractNum w:abstractNumId="107">
    <w:nsid w:val="68B867D3"/>
    <w:multiLevelType w:val="hybridMultilevel"/>
    <w:lvl w:ilvl="0">
      <w:lvlJc w:val="left"/>
      <w:lvlText w:val="%1"/>
      <w:numFmt w:val="decimal"/>
      <w:start w:val="1"/>
    </w:lvl>
    <w:lvl w:ilvl="1">
      <w:lvlJc w:val="left"/>
      <w:lvlText w:val="(%2)"/>
      <w:numFmt w:val="lowerLetter"/>
      <w:start w:val="1"/>
    </w:lvl>
  </w:abstractNum>
  <w:abstractNum w:abstractNumId="108">
    <w:nsid w:val="3F7F5DD9"/>
    <w:multiLevelType w:val="hybridMultilevel"/>
    <w:lvl w:ilvl="0">
      <w:lvlJc w:val="left"/>
      <w:lvlText w:val="(%1)"/>
      <w:numFmt w:val="decimal"/>
      <w:start w:val="1"/>
    </w:lvl>
    <w:lvl w:ilvl="1">
      <w:lvlJc w:val="left"/>
      <w:lvlText w:val="%2"/>
      <w:numFmt w:val="lowerLetter"/>
      <w:start w:val="1"/>
    </w:lvl>
  </w:abstractNum>
  <w:abstractNum w:abstractNumId="109">
    <w:nsid w:val="2AE05A34"/>
    <w:multiLevelType w:val="hybridMultilevel"/>
    <w:lvl w:ilvl="0">
      <w:lvlJc w:val="left"/>
      <w:lvlText w:val="(%1)"/>
      <w:numFmt w:val="upperLetter"/>
      <w:start w:val="1"/>
    </w:lvl>
  </w:abstractNum>
  <w:abstractNum w:abstractNumId="110">
    <w:nsid w:val="32794FF7"/>
    <w:multiLevelType w:val="hybridMultilevel"/>
    <w:lvl w:ilvl="0">
      <w:lvlJc w:val="left"/>
      <w:lvlText w:val="(%1)"/>
      <w:numFmt w:val="upperLetter"/>
      <w:start w:val="3"/>
    </w:lvl>
    <w:lvl w:ilvl="1">
      <w:lvlJc w:val="left"/>
      <w:lvlText w:val="(%2)"/>
      <w:numFmt w:val="lowerRoman"/>
      <w:start w:val="1"/>
    </w:lvl>
  </w:abstractNum>
  <w:abstractNum w:abstractNumId="111">
    <w:nsid w:val="5454945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abstractNum>
  <w:abstractNum w:abstractNumId="112">
    <w:nsid w:val="4DEFDFA0"/>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13">
    <w:nsid w:val="2123D5F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14">
    <w:nsid w:val="135B8110"/>
    <w:multiLevelType w:val="hybridMultilevel"/>
    <w:lvl w:ilvl="0">
      <w:lvlJc w:val="left"/>
      <w:lvlText w:val="%1"/>
      <w:numFmt w:val="lowerLetter"/>
      <w:start w:val="1"/>
    </w:lvl>
    <w:lvl w:ilvl="1">
      <w:lvlJc w:val="left"/>
      <w:lvlText w:val="(%2)"/>
      <w:numFmt w:val="decimal"/>
      <w:start w:val="4"/>
    </w:lvl>
  </w:abstractNum>
  <w:abstractNum w:abstractNumId="115">
    <w:nsid w:val="94927A8"/>
    <w:multiLevelType w:val="hybridMultilevel"/>
    <w:lvl w:ilvl="0">
      <w:lvlJc w:val="left"/>
      <w:lvlText w:val="(%1)"/>
      <w:numFmt w:val="lowerLetter"/>
      <w:start w:val="1"/>
    </w:lvl>
    <w:lvl w:ilvl="1">
      <w:lvlJc w:val="left"/>
      <w:lvlText w:val="(%2)"/>
      <w:numFmt w:val="decimal"/>
      <w:start w:val="6"/>
    </w:lvl>
  </w:abstractNum>
  <w:abstractNum w:abstractNumId="116">
    <w:nsid w:val="DCDF8F6"/>
    <w:multiLevelType w:val="hybridMultilevel"/>
    <w:lvl w:ilvl="0">
      <w:lvlJc w:val="left"/>
      <w:lvlText w:val="(%1)"/>
      <w:numFmt w:val="decimal"/>
      <w:start w:val="10"/>
    </w:lvl>
  </w:abstractNum>
  <w:abstractNum w:abstractNumId="117">
    <w:nsid w:val="52D7B105"/>
    <w:multiLevelType w:val="hybridMultilevel"/>
    <w:lvl w:ilvl="0">
      <w:lvlJc w:val="left"/>
      <w:lvlText w:val="%1"/>
      <w:numFmt w:val="decimal"/>
      <w:start w:val="1"/>
    </w:lvl>
    <w:lvl w:ilvl="1">
      <w:lvlJc w:val="left"/>
      <w:lvlText w:val="(%2)"/>
      <w:numFmt w:val="lowerLetter"/>
      <w:start w:val="1"/>
    </w:lvl>
  </w:abstractNum>
  <w:abstractNum w:abstractNumId="118">
    <w:nsid w:val="2E8A6394"/>
    <w:multiLevelType w:val="hybridMultilevel"/>
    <w:lvl w:ilvl="0">
      <w:lvlJc w:val="left"/>
      <w:lvlText w:val="(%1)"/>
      <w:numFmt w:val="decimal"/>
      <w:start w:val="1"/>
    </w:lvl>
    <w:lvl w:ilvl="1">
      <w:lvlJc w:val="left"/>
      <w:lvlText w:val="(%2)"/>
      <w:numFmt w:val="lowerLetter"/>
      <w:start w:val="2"/>
    </w:lvl>
  </w:abstractNum>
  <w:abstractNum w:abstractNumId="119">
    <w:nsid w:val="24E60401"/>
    <w:multiLevelType w:val="hybridMultilevel"/>
    <w:lvl w:ilvl="0">
      <w:lvlJc w:val="left"/>
      <w:lvlText w:val="(%1)"/>
      <w:numFmt w:val="decimal"/>
      <w:start w:val="1"/>
    </w:lvl>
  </w:abstractNum>
  <w:abstractNum w:abstractNumId="120">
    <w:nsid w:val="2A6AD9BE"/>
    <w:multiLevelType w:val="hybridMultilevel"/>
    <w:lvl w:ilvl="0">
      <w:lvlJc w:val="left"/>
      <w:lvlText w:val="(%1)"/>
      <w:numFmt w:val="decimal"/>
      <w:start w:val="4"/>
    </w:lvl>
  </w:abstractNum>
  <w:abstractNum w:abstractNumId="121">
    <w:nsid w:val="BAAC1B4"/>
    <w:multiLevelType w:val="hybridMultilevel"/>
    <w:lvl w:ilvl="0">
      <w:lvlJc w:val="left"/>
      <w:lvlText w:val="(%1)"/>
      <w:numFmt w:val="decimal"/>
      <w:start w:val="15"/>
    </w:lvl>
  </w:abstractNum>
  <w:abstractNum w:abstractNumId="122">
    <w:nsid w:val="36B2ACBC"/>
    <w:multiLevelType w:val="hybridMultilevel"/>
    <w:lvl w:ilvl="0">
      <w:lvlJc w:val="left"/>
      <w:lvlText w:val="(%1)"/>
      <w:numFmt w:val="lowerLetter"/>
      <w:start w:val="1"/>
    </w:lvl>
  </w:abstractNum>
  <w:abstractNum w:abstractNumId="123">
    <w:nsid w:val="779D8544"/>
    <w:multiLevelType w:val="hybridMultilevel"/>
    <w:lvl w:ilvl="0">
      <w:lvlJc w:val="left"/>
      <w:lvlText w:val="%1"/>
      <w:numFmt w:val="decimal"/>
      <w:start w:val="1"/>
    </w:lvl>
    <w:lvl w:ilvl="1">
      <w:lvlJc w:val="left"/>
      <w:lvlText w:val="(%2)"/>
      <w:numFmt w:val="lowerLetter"/>
      <w:start w:val="2"/>
    </w:lvl>
    <w:lvl w:ilvl="2">
      <w:lvlJc w:val="left"/>
      <w:lvlText w:val="%3"/>
      <w:numFmt w:val="upperLetter"/>
      <w:start w:val="1"/>
    </w:lvl>
  </w:abstractNum>
  <w:abstractNum w:abstractNumId="124">
    <w:nsid w:val="4AB26E78"/>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1"/>
    </w:lvl>
  </w:abstractNum>
  <w:abstractNum w:abstractNumId="125">
    <w:nsid w:val="21FAA2FA"/>
    <w:multiLevelType w:val="hybridMultilevel"/>
    <w:lvl w:ilvl="0">
      <w:lvlJc w:val="left"/>
      <w:lvlText w:val="(%1)"/>
      <w:numFmt w:val="upperLetter"/>
      <w:start w:val="2"/>
    </w:lvl>
  </w:abstractNum>
  <w:abstractNum w:abstractNumId="126">
    <w:nsid w:val="5451CF49"/>
    <w:multiLevelType w:val="hybridMultilevel"/>
    <w:lvl w:ilvl="0">
      <w:lvlJc w:val="left"/>
      <w:lvlText w:val="(%1)"/>
      <w:numFmt w:val="decimal"/>
      <w:start w:val="7"/>
    </w:lvl>
    <w:lvl w:ilvl="1">
      <w:lvlJc w:val="left"/>
      <w:lvlText w:val="(%2)"/>
      <w:numFmt w:val="upperLetter"/>
      <w:start w:val="1"/>
    </w:lvl>
  </w:abstractNum>
  <w:abstractNum w:abstractNumId="127">
    <w:nsid w:val="6181EF69"/>
    <w:multiLevelType w:val="hybridMultilevel"/>
    <w:lvl w:ilvl="0">
      <w:lvlJc w:val="left"/>
      <w:lvlText w:val="(%1)"/>
      <w:numFmt w:val="decimal"/>
      <w:start w:val="8"/>
    </w:lvl>
  </w:abstractNum>
  <w:abstractNum w:abstractNumId="128">
    <w:nsid w:val="3E6400E6"/>
    <w:multiLevelType w:val="hybridMultilevel"/>
    <w:lvl w:ilvl="0">
      <w:lvlJc w:val="left"/>
      <w:lvlText w:val="(%1)"/>
      <w:numFmt w:val="decimal"/>
      <w:start w:val="13"/>
    </w:lvl>
  </w:abstractNum>
  <w:abstractNum w:abstractNumId="129">
    <w:nsid w:val="14217E23"/>
    <w:multiLevelType w:val="hybridMultilevel"/>
    <w:lvl w:ilvl="0">
      <w:lvlJc w:val="left"/>
      <w:lvlText w:val="(%1)"/>
      <w:numFmt w:val="upperLetter"/>
      <w:start w:val="1"/>
    </w:lvl>
  </w:abstractNum>
  <w:abstractNum w:abstractNumId="130">
    <w:nsid w:val="710757D0"/>
    <w:multiLevelType w:val="hybridMultilevel"/>
    <w:lvl w:ilvl="0">
      <w:lvlJc w:val="left"/>
      <w:lvlText w:val="(%1)"/>
      <w:numFmt w:val="upperLetter"/>
      <w:start w:val="3"/>
    </w:lvl>
    <w:lvl w:ilvl="1">
      <w:lvlJc w:val="left"/>
      <w:lvlText w:val="(%2)"/>
      <w:numFmt w:val="lowerRoman"/>
      <w:start w:val="1"/>
    </w:lvl>
  </w:abstractNum>
  <w:abstractNum w:abstractNumId="131">
    <w:nsid w:val="5015CD1A"/>
    <w:multiLevelType w:val="hybridMultilevel"/>
    <w:lvl w:ilvl="0">
      <w:lvlJc w:val="left"/>
      <w:lvlText w:val="(%1)"/>
      <w:numFmt w:val="lowerLetter"/>
      <w:start w:val="1"/>
    </w:lvl>
  </w:abstractNum>
  <w:abstractNum w:abstractNumId="132">
    <w:nsid w:val="424479DA"/>
    <w:multiLevelType w:val="hybridMultilevel"/>
    <w:lvl w:ilvl="0">
      <w:lvlJc w:val="left"/>
      <w:lvlText w:val="(%1)"/>
      <w:numFmt w:val="decimal"/>
      <w:start w:val="1"/>
    </w:lvl>
  </w:abstractNum>
  <w:abstractNum w:abstractNumId="133">
    <w:nsid w:val="1A9A9E69"/>
    <w:multiLevelType w:val="hybridMultilevel"/>
    <w:lvl w:ilvl="0">
      <w:lvlJc w:val="left"/>
      <w:lvlText w:val="(%1)"/>
      <w:numFmt w:val="decimal"/>
      <w:start w:val="2"/>
    </w:lvl>
    <w:lvl w:ilvl="1">
      <w:lvlJc w:val="left"/>
      <w:lvlText w:val="(%2)"/>
      <w:numFmt w:val="lowerLetter"/>
      <w:start w:val="3"/>
    </w:lvl>
  </w:abstractNum>
  <w:abstractNum w:abstractNumId="134">
    <w:nsid w:val="475E256A"/>
    <w:multiLevelType w:val="hybridMultilevel"/>
    <w:lvl w:ilvl="0">
      <w:lvlJc w:val="left"/>
      <w:lvlText w:val="(%1)"/>
      <w:numFmt w:val="decimal"/>
      <w:start w:val="1"/>
    </w:lvl>
    <w:lvl w:ilvl="1">
      <w:lvlJc w:val="left"/>
      <w:lvlText w:val="(%2)"/>
      <w:numFmt w:val="lowerLetter"/>
      <w:start w:val="4"/>
    </w:lvl>
  </w:abstractNum>
  <w:abstractNum w:abstractNumId="135">
    <w:nsid w:val="368DB37E"/>
    <w:multiLevelType w:val="hybridMultilevel"/>
    <w:lvl w:ilvl="0">
      <w:lvlJc w:val="left"/>
      <w:lvlText w:val="(%1)"/>
      <w:numFmt w:val="lowerLetter"/>
      <w:start w:val="6"/>
    </w:lvl>
  </w:abstractNum>
  <w:abstractNum w:abstractNumId="136">
    <w:nsid w:val="6A3B714C"/>
    <w:multiLevelType w:val="hybridMultilevel"/>
    <w:lvl w:ilvl="0">
      <w:lvlJc w:val="left"/>
      <w:lvlText w:val="%1"/>
      <w:numFmt w:val="decimal"/>
      <w:start w:val="1"/>
    </w:lvl>
    <w:lvl w:ilvl="1">
      <w:lvlJc w:val="left"/>
      <w:lvlText w:val="(%2)"/>
      <w:numFmt w:val="lowerLetter"/>
      <w:start w:val="1"/>
    </w:lvl>
  </w:abstractNum>
  <w:abstractNum w:abstractNumId="137">
    <w:nsid w:val="327B517E"/>
    <w:multiLevelType w:val="hybridMultilevel"/>
    <w:lvl w:ilvl="0">
      <w:lvlJc w:val="left"/>
      <w:lvlText w:val="(%1)"/>
      <w:numFmt w:val="decimal"/>
      <w:start w:val="1"/>
    </w:lvl>
    <w:lvl w:ilvl="1">
      <w:lvlJc w:val="left"/>
      <w:lvlText w:val="%2"/>
      <w:numFmt w:val="lowerLetter"/>
      <w:start w:val="1"/>
    </w:lvl>
  </w:abstractNum>
  <w:abstractNum w:abstractNumId="138">
    <w:nsid w:val="1F461B51"/>
    <w:multiLevelType w:val="hybridMultilevel"/>
    <w:lvl w:ilvl="0">
      <w:lvlJc w:val="left"/>
      <w:lvlText w:val="(%1)"/>
      <w:numFmt w:val="decimal"/>
      <w:start w:val="2"/>
    </w:lvl>
    <w:lvl w:ilvl="1">
      <w:lvlJc w:val="left"/>
      <w:lvlText w:val="(%2)"/>
      <w:numFmt w:val="lowerLetter"/>
      <w:start w:val="2"/>
    </w:lvl>
  </w:abstractNum>
  <w:abstractNum w:abstractNumId="139">
    <w:nsid w:val="29BACF25"/>
    <w:multiLevelType w:val="hybridMultilevel"/>
    <w:lvl w:ilvl="0">
      <w:lvlJc w:val="left"/>
      <w:lvlText w:val="(%1)"/>
      <w:numFmt w:val="decimal"/>
      <w:start w:val="1"/>
    </w:lvl>
  </w:abstractNum>
  <w:abstractNum w:abstractNumId="140">
    <w:nsid w:val="5D5BABB3"/>
    <w:multiLevelType w:val="hybridMultilevel"/>
    <w:lvl w:ilvl="0">
      <w:lvlJc w:val="left"/>
      <w:lvlText w:val="(%1)"/>
      <w:numFmt w:val="decimal"/>
      <w:start w:val="10"/>
    </w:lvl>
  </w:abstractNum>
  <w:abstractNum w:abstractNumId="141">
    <w:nsid w:val="51BF6B48"/>
    <w:multiLevelType w:val="hybridMultilevel"/>
    <w:lvl w:ilvl="0">
      <w:lvlJc w:val="left"/>
      <w:lvlText w:val="(%1)"/>
      <w:numFmt w:val="lowerLetter"/>
      <w:start w:val="1"/>
    </w:lvl>
  </w:abstractNum>
  <w:abstractNum w:abstractNumId="142">
    <w:nsid w:val="7E0F6384"/>
    <w:multiLevelType w:val="hybridMultilevel"/>
    <w:lvl w:ilvl="0">
      <w:lvlJc w:val="left"/>
      <w:lvlText w:val="%1"/>
      <w:numFmt w:val="decimal"/>
      <w:start w:val="1"/>
    </w:lvl>
    <w:lvl w:ilvl="1">
      <w:lvlJc w:val="left"/>
      <w:lvlText w:val="(%2)"/>
      <w:numFmt w:val="lowerLetter"/>
      <w:start w:val="2"/>
    </w:lvl>
  </w:abstractNum>
  <w:abstractNum w:abstractNumId="143">
    <w:nsid w:val="2B4B8B53"/>
    <w:multiLevelType w:val="hybridMultilevel"/>
    <w:lvl w:ilvl="0">
      <w:lvlJc w:val="left"/>
      <w:lvlText w:val="(%1)"/>
      <w:numFmt w:val="decimal"/>
      <w:start w:val="1"/>
    </w:lvl>
    <w:lvl w:ilvl="1">
      <w:lvlJc w:val="left"/>
      <w:lvlText w:val="%2"/>
      <w:numFmt w:val="lowerLetter"/>
      <w:start w:val="1"/>
    </w:lvl>
  </w:abstractNum>
  <w:abstractNum w:abstractNumId="144">
    <w:nsid w:val="72E3413A"/>
    <w:multiLevelType w:val="hybridMultilevel"/>
    <w:lvl w:ilvl="0">
      <w:lvlJc w:val="left"/>
      <w:lvlText w:val="(%1)"/>
      <w:numFmt w:val="lowerLetter"/>
      <w:start w:val="3"/>
    </w:lvl>
  </w:abstractNum>
  <w:abstractNum w:abstractNumId="145">
    <w:nsid w:val="116AE494"/>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1"/>
    </w:lvl>
  </w:abstractNum>
  <w:abstractNum w:abstractNumId="146">
    <w:nsid w:val="3494B2FB"/>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1"/>
    </w:lvl>
  </w:abstractNum>
  <w:abstractNum w:abstractNumId="147">
    <w:nsid w:val="B13A31"/>
    <w:multiLevelType w:val="hybridMultilevel"/>
    <w:lvl w:ilvl="0">
      <w:lvlJc w:val="left"/>
      <w:lvlText w:val="%1"/>
      <w:numFmt w:val="decimal"/>
      <w:start w:val="1"/>
    </w:lvl>
    <w:lvl w:ilvl="1">
      <w:lvlJc w:val="left"/>
      <w:lvlText w:val="(%2)"/>
      <w:numFmt w:val="lowerLetter"/>
      <w:start w:val="2"/>
    </w:lvl>
  </w:abstractNum>
  <w:abstractNum w:abstractNumId="148">
    <w:nsid w:val="64429599"/>
    <w:multiLevelType w:val="hybridMultilevel"/>
    <w:lvl w:ilvl="0">
      <w:lvlJc w:val="left"/>
      <w:lvlText w:val="(%1)"/>
      <w:numFmt w:val="decimal"/>
      <w:start w:val="1"/>
    </w:lvl>
    <w:lvl w:ilvl="1">
      <w:lvlJc w:val="left"/>
      <w:lvlText w:val="(%2)"/>
      <w:numFmt w:val="lowerLetter"/>
      <w:start w:val="4"/>
    </w:lvl>
  </w:abstractNum>
  <w:abstractNum w:abstractNumId="149">
    <w:nsid w:val="631F1690"/>
    <w:multiLevelType w:val="hybridMultilevel"/>
    <w:lvl w:ilvl="0">
      <w:lvlJc w:val="left"/>
      <w:lvlText w:val="(%1)"/>
      <w:numFmt w:val="decimal"/>
      <w:start w:val="1"/>
    </w:lvl>
    <w:lvl w:ilvl="1">
      <w:lvlJc w:val="left"/>
      <w:lvlText w:val="(%2)"/>
      <w:numFmt w:val="upperLetter"/>
      <w:start w:val="1"/>
    </w:lvl>
  </w:abstractNum>
  <w:abstractNum w:abstractNumId="150">
    <w:nsid w:val="25973E32"/>
    <w:multiLevelType w:val="hybridMultilevel"/>
    <w:lvl w:ilvl="0">
      <w:lvlJc w:val="left"/>
      <w:lvlText w:val="(%1)"/>
      <w:numFmt w:val="lowerLetter"/>
      <w:start w:val="5"/>
    </w:lvl>
  </w:abstractNum>
  <w:abstractNum w:abstractNumId="151">
    <w:nsid w:val="EAD6F57"/>
    <w:multiLevelType w:val="hybridMultilevel"/>
    <w:lvl w:ilvl="0">
      <w:lvlJc w:val="left"/>
      <w:lvlText w:val="(%1)"/>
      <w:numFmt w:val="lowerLetter"/>
      <w:start w:val="1"/>
    </w:lvl>
  </w:abstractNum>
  <w:abstractNum w:abstractNumId="152">
    <w:nsid w:val="6EC9D844"/>
    <w:multiLevelType w:val="hybridMultilevel"/>
    <w:lvl w:ilvl="0">
      <w:lvlJc w:val="left"/>
      <w:lvlText w:val="%1"/>
      <w:numFmt w:val="decimal"/>
      <w:start w:val="1"/>
    </w:lvl>
    <w:lvl w:ilvl="1">
      <w:lvlJc w:val="left"/>
      <w:lvlText w:val="(%2)"/>
      <w:numFmt w:val="lowerLetter"/>
      <w:start w:val="3"/>
    </w:lvl>
  </w:abstractNum>
  <w:abstractNum w:abstractNumId="153">
    <w:nsid w:val="5C49EAEE"/>
    <w:multiLevelType w:val="hybridMultilevel"/>
    <w:lvl w:ilvl="0">
      <w:lvlJc w:val="left"/>
      <w:lvlText w:val="(%1)"/>
      <w:numFmt w:val="decimal"/>
      <w:start w:val="1"/>
    </w:lvl>
    <w:lvl w:ilvl="1">
      <w:lvlJc w:val="left"/>
      <w:lvlText w:val="%2"/>
      <w:numFmt w:val="lowerLetter"/>
      <w:start w:val="1"/>
    </w:lvl>
  </w:abstractNum>
  <w:abstractNum w:abstractNumId="154">
    <w:nsid w:val="64AF49B"/>
    <w:multiLevelType w:val="hybridMultilevel"/>
    <w:lvl w:ilvl="0">
      <w:lvlJc w:val="left"/>
      <w:lvlText w:val="%1"/>
      <w:numFmt w:val="decimal"/>
      <w:start w:val="1"/>
    </w:lvl>
    <w:lvl w:ilvl="1">
      <w:lvlJc w:val="left"/>
      <w:lvlText w:val="(%2)"/>
      <w:numFmt w:val="lowerLetter"/>
      <w:start w:val="8"/>
    </w:lvl>
  </w:abstractNum>
  <w:abstractNum w:abstractNumId="155">
    <w:nsid w:val="397C46BC"/>
    <w:multiLevelType w:val="hybridMultilevel"/>
    <w:lvl w:ilvl="0">
      <w:lvlJc w:val="left"/>
      <w:lvlText w:val="(%1)"/>
      <w:numFmt w:val="decimal"/>
      <w:start w:val="1"/>
    </w:lvl>
    <w:lvl w:ilvl="1">
      <w:lvlJc w:val="left"/>
      <w:lvlText w:val="%2"/>
      <w:numFmt w:val="lowerLetter"/>
      <w:start w:val="1"/>
    </w:lvl>
  </w:abstractNum>
  <w:abstractNum w:abstractNumId="156">
    <w:nsid w:val="7E448DE9"/>
    <w:multiLevelType w:val="hybridMultilevel"/>
    <w:lvl w:ilvl="0">
      <w:lvlJc w:val="left"/>
      <w:lvlText w:val="(%1)"/>
      <w:numFmt w:val="decimal"/>
      <w:start w:val="3"/>
    </w:lvl>
    <w:lvl w:ilvl="1">
      <w:lvlJc w:val="left"/>
      <w:lvlText w:val="(%2)"/>
      <w:numFmt w:val="lowerLetter"/>
      <w:start w:val="10"/>
    </w:lvl>
  </w:abstractNum>
  <w:abstractNum w:abstractNumId="157">
    <w:nsid w:val="5A9CC3E5"/>
    <w:multiLevelType w:val="hybridMultilevel"/>
    <w:lvl w:ilvl="0">
      <w:lvlJc w:val="left"/>
      <w:lvlText w:val="(%1)"/>
      <w:numFmt w:val="decimal"/>
      <w:start w:val="1"/>
    </w:lvl>
  </w:abstractNum>
  <w:abstractNum w:abstractNumId="158">
    <w:nsid w:val="1AFE3625"/>
    <w:multiLevelType w:val="hybridMultilevel"/>
    <w:lvl w:ilvl="0">
      <w:lvlJc w:val="left"/>
      <w:lvlText w:val="(%1)"/>
      <w:numFmt w:val="lowerLetter"/>
      <w:start w:val="11"/>
    </w:lvl>
  </w:abstractNum>
  <w:abstractNum w:abstractNumId="159">
    <w:nsid w:val="3CA88ECF"/>
    <w:multiLevelType w:val="hybridMultilevel"/>
    <w:lvl w:ilvl="0">
      <w:lvlJc w:val="left"/>
      <w:lvlText w:val="(%1)"/>
      <w:numFmt w:val="lowerLetter"/>
      <w:start w:val="1"/>
    </w:lvl>
  </w:abstractNum>
  <w:abstractNum w:abstractNumId="160">
    <w:nsid w:val="6EBE4208"/>
    <w:multiLevelType w:val="hybridMultilevel"/>
    <w:lvl w:ilvl="0">
      <w:lvlJc w:val="left"/>
      <w:lvlText w:val="(%1)"/>
      <w:numFmt w:val="lowerLetter"/>
      <w:start w:val="3"/>
    </w:lvl>
  </w:abstractNum>
  <w:abstractNum w:abstractNumId="161">
    <w:nsid w:val="C058DF5"/>
    <w:multiLevelType w:val="hybridMultilevel"/>
    <w:lvl w:ilvl="0">
      <w:lvlJc w:val="left"/>
      <w:lvlText w:val="%1"/>
      <w:numFmt w:val="decimal"/>
      <w:start w:val="1"/>
    </w:lvl>
    <w:lvl w:ilvl="1">
      <w:lvlJc w:val="left"/>
      <w:lvlText w:val="(%2)"/>
      <w:numFmt w:val="lowerLetter"/>
      <w:start w:val="1"/>
    </w:lvl>
  </w:abstractNum>
  <w:abstractNum w:abstractNumId="162">
    <w:nsid w:val="CBE5BE9"/>
    <w:multiLevelType w:val="hybridMultilevel"/>
    <w:lvl w:ilvl="0">
      <w:lvlJc w:val="left"/>
      <w:lvlText w:val="(%1)"/>
      <w:numFmt w:val="decimal"/>
      <w:start w:val="1"/>
    </w:lvl>
    <w:lvl w:ilvl="1">
      <w:lvlJc w:val="left"/>
      <w:lvlText w:val="(%2)"/>
      <w:numFmt w:val="lowerLetter"/>
      <w:start w:val="3"/>
    </w:lvl>
  </w:abstractNum>
  <w:abstractNum w:abstractNumId="163">
    <w:nsid w:val="3102BBE2"/>
    <w:multiLevelType w:val="hybridMultilevel"/>
    <w:lvl w:ilvl="0">
      <w:lvlJc w:val="left"/>
      <w:lvlText w:val="(%1)"/>
      <w:numFmt w:val="decimal"/>
      <w:start w:val="1"/>
    </w:lvl>
    <w:lvl w:ilvl="1">
      <w:lvlJc w:val="left"/>
      <w:lvlText w:val="(%2)"/>
      <w:numFmt w:val="lowerLetter"/>
      <w:start w:val="4"/>
    </w:lvl>
  </w:abstractNum>
  <w:abstractNum w:abstractNumId="164">
    <w:nsid w:val="26A02C5E"/>
    <w:multiLevelType w:val="hybridMultilevel"/>
    <w:lvl w:ilvl="0">
      <w:lvlJc w:val="left"/>
      <w:lvlText w:val="(%1)"/>
      <w:numFmt w:val="lowerLetter"/>
      <w:start w:val="5"/>
    </w:lvl>
  </w:abstractNum>
  <w:abstractNum w:abstractNumId="165">
    <w:nsid w:val="541C8153"/>
    <w:multiLevelType w:val="hybridMultilevel"/>
    <w:lvl w:ilvl="0">
      <w:lvlJc w:val="left"/>
      <w:lvlText w:val="(%1)"/>
      <w:numFmt w:val="lowerLetter"/>
      <w:start w:val="1"/>
    </w:lvl>
  </w:abstractNum>
  <w:abstractNum w:abstractNumId="166">
    <w:nsid w:val="67906F60"/>
    <w:multiLevelType w:val="hybridMultilevel"/>
    <w:lvl w:ilvl="0">
      <w:lvlJc w:val="left"/>
      <w:lvlText w:val="(%1)"/>
      <w:numFmt w:val="lowerLetter"/>
      <w:start w:val="9"/>
    </w:lvl>
  </w:abstractNum>
  <w:abstractNum w:abstractNumId="167">
    <w:nsid w:val="10DB9DAA"/>
    <w:multiLevelType w:val="hybridMultilevel"/>
    <w:lvl w:ilvl="0">
      <w:lvlJc w:val="left"/>
      <w:lvlText w:val="(%1)"/>
      <w:numFmt w:val="lowerLetter"/>
      <w:start w:val="1"/>
    </w:lvl>
  </w:abstractNum>
  <w:abstractNum w:abstractNumId="168">
    <w:nsid w:val="697D2D2"/>
    <w:multiLevelType w:val="hybridMultilevel"/>
    <w:lvl w:ilvl="0">
      <w:lvlJc w:val="left"/>
      <w:lvlText w:val="(%1)"/>
      <w:numFmt w:val="lowerLetter"/>
      <w:start w:val="1"/>
    </w:lvl>
  </w:abstractNum>
  <w:abstractNum w:abstractNumId="169">
    <w:nsid w:val="6D68AB2"/>
    <w:multiLevelType w:val="hybridMultilevel"/>
    <w:lvl w:ilvl="0">
      <w:lvlJc w:val="left"/>
      <w:lvlText w:val="%1"/>
      <w:numFmt w:val="decimal"/>
      <w:start w:val="1"/>
    </w:lvl>
    <w:lvl w:ilvl="1">
      <w:lvlJc w:val="left"/>
      <w:lvlText w:val="(%2)"/>
      <w:numFmt w:val="lowerLetter"/>
      <w:start w:val="2"/>
    </w:lvl>
  </w:abstractNum>
  <w:abstractNum w:abstractNumId="170">
    <w:nsid w:val="3A966CD0"/>
    <w:multiLevelType w:val="hybridMultilevel"/>
    <w:lvl w:ilvl="0">
      <w:lvlJc w:val="left"/>
      <w:lvlText w:val="(%1)"/>
      <w:numFmt w:val="decimal"/>
      <w:start w:val="1"/>
    </w:lvl>
    <w:lvl w:ilvl="1">
      <w:lvlJc w:val="left"/>
      <w:lvlText w:val="(%2)"/>
      <w:numFmt w:val="lowerLetter"/>
      <w:start w:val="3"/>
    </w:lvl>
  </w:abstractNum>
  <w:abstractNum w:abstractNumId="171">
    <w:nsid w:val="63F37E85"/>
    <w:multiLevelType w:val="hybridMultilevel"/>
    <w:lvl w:ilvl="0">
      <w:lvlJc w:val="left"/>
      <w:lvlText w:val="(%1)"/>
      <w:numFmt w:val="lowerLetter"/>
      <w:start w:val="1"/>
    </w:lvl>
  </w:abstractNum>
  <w:abstractNum w:abstractNumId="172">
    <w:nsid w:val="5895F5FA"/>
    <w:multiLevelType w:val="hybridMultilevel"/>
    <w:lvl w:ilvl="0">
      <w:lvlJc w:val="left"/>
      <w:lvlText w:val="%1"/>
      <w:numFmt w:val="decimal"/>
      <w:start w:val="1"/>
    </w:lvl>
    <w:lvl w:ilvl="1">
      <w:lvlJc w:val="left"/>
      <w:lvlText w:val="(%2)"/>
      <w:numFmt w:val="lowerLetter"/>
      <w:start w:val="1"/>
    </w:lvl>
  </w:abstractNum>
  <w:abstractNum w:abstractNumId="173">
    <w:nsid w:val="38A5D054"/>
    <w:multiLevelType w:val="hybridMultilevel"/>
    <w:lvl w:ilvl="0">
      <w:lvlJc w:val="left"/>
      <w:lvlText w:val="(%1)"/>
      <w:numFmt w:val="decimal"/>
      <w:start w:val="1"/>
    </w:lvl>
    <w:lvl w:ilvl="1">
      <w:lvlJc w:val="left"/>
      <w:lvlText w:val="%2"/>
      <w:numFmt w:val="lowerLetter"/>
      <w:start w:val="1"/>
    </w:lvl>
  </w:abstractNum>
  <w:abstractNum w:abstractNumId="174">
    <w:nsid w:val="F3F09D8"/>
    <w:multiLevelType w:val="hybridMultilevel"/>
    <w:lvl w:ilvl="0">
      <w:lvlJc w:val="left"/>
      <w:lvlText w:val="(%1)"/>
      <w:numFmt w:val="lowerLetter"/>
      <w:start w:val="3"/>
    </w:lvl>
  </w:abstractNum>
  <w:abstractNum w:abstractNumId="175">
    <w:nsid w:val="4B793735"/>
    <w:multiLevelType w:val="hybridMultilevel"/>
    <w:lvl w:ilvl="0">
      <w:lvlJc w:val="left"/>
      <w:lvlText w:val="(%1)"/>
      <w:numFmt w:val="lowerLetter"/>
      <w:start w:val="1"/>
    </w:lvl>
  </w:abstractNum>
  <w:abstractNum w:abstractNumId="176">
    <w:nsid w:val="4A10B4E8"/>
    <w:multiLevelType w:val="hybridMultilevel"/>
    <w:lvl w:ilvl="0">
      <w:lvlJc w:val="left"/>
      <w:lvlText w:val="(%1)"/>
      <w:numFmt w:val="lowerLetter"/>
      <w:start w:val="8"/>
    </w:lvl>
  </w:abstractNum>
  <w:abstractNum w:abstractNumId="177">
    <w:nsid w:val="43D3BCD4"/>
    <w:multiLevelType w:val="hybridMultilevel"/>
    <w:lvl w:ilvl="0">
      <w:lvlJc w:val="left"/>
      <w:lvlText w:val="(%1)"/>
      <w:numFmt w:val="lowerLetter"/>
      <w:start w:val="10"/>
    </w:lvl>
  </w:abstractNum>
  <w:abstractNum w:abstractNumId="178">
    <w:nsid w:val="4C2A7166"/>
    <w:multiLevelType w:val="hybridMultilevel"/>
    <w:lvl w:ilvl="0">
      <w:lvlJc w:val="left"/>
      <w:lvlText w:val="(%1)"/>
      <w:numFmt w:val="lowerLetter"/>
      <w:start w:val="1"/>
    </w:lvl>
  </w:abstractNum>
  <w:abstractNum w:abstractNumId="179">
    <w:nsid w:val="2E534A82"/>
    <w:multiLevelType w:val="hybridMultilevel"/>
    <w:lvl w:ilvl="0">
      <w:lvlJc w:val="left"/>
      <w:lvlText w:val="(%1)"/>
      <w:numFmt w:val="lowerLetter"/>
      <w:start w:val="6"/>
    </w:lvl>
  </w:abstractNum>
  <w:abstractNum w:abstractNumId="180">
    <w:nsid w:val="26F2D364"/>
    <w:multiLevelType w:val="hybridMultilevel"/>
    <w:lvl w:ilvl="0">
      <w:lvlJc w:val="left"/>
      <w:lvlText w:val="(%1)"/>
      <w:numFmt w:val="lowerLetter"/>
      <w:start w:val="1"/>
    </w:lvl>
  </w:abstractNum>
  <w:abstractNum w:abstractNumId="181">
    <w:nsid w:val="71C1AF98"/>
    <w:multiLevelType w:val="hybridMultilevel"/>
    <w:lvl w:ilvl="0">
      <w:lvlJc w:val="left"/>
      <w:lvlText w:val="%1"/>
      <w:numFmt w:val="decimal"/>
      <w:start w:val="1"/>
    </w:lvl>
    <w:lvl w:ilvl="1">
      <w:lvlJc w:val="left"/>
      <w:lvlText w:val="(%2)"/>
      <w:numFmt w:val="lowerLetter"/>
      <w:start w:val="1"/>
    </w:lvl>
  </w:abstractNum>
  <w:abstractNum w:abstractNumId="182">
    <w:nsid w:val="3D00B9D9"/>
    <w:multiLevelType w:val="hybridMultilevel"/>
    <w:lvl w:ilvl="0">
      <w:lvlJc w:val="left"/>
      <w:lvlText w:val="(%1)"/>
      <w:numFmt w:val="decimal"/>
      <w:start w:val="1"/>
    </w:lvl>
    <w:lvl w:ilvl="1">
      <w:lvlJc w:val="left"/>
      <w:lvlText w:val="%2"/>
      <w:numFmt w:val="lowerLetter"/>
      <w:start w:val="1"/>
    </w:lvl>
  </w:abstractNum>
  <w:abstractNum w:abstractNumId="183">
    <w:nsid w:val="15BCABA8"/>
    <w:multiLevelType w:val="hybridMultilevel"/>
    <w:lvl w:ilvl="0">
      <w:lvlJc w:val="left"/>
      <w:lvlText w:val="(%1)"/>
      <w:numFmt w:val="lowerLetter"/>
      <w:start w:val="2"/>
    </w:lvl>
  </w:abstractNum>
  <w:abstractNum w:abstractNumId="184">
    <w:nsid w:val="4E0B9A87"/>
    <w:multiLevelType w:val="hybridMultilevel"/>
    <w:lvl w:ilvl="0">
      <w:lvlJc w:val="left"/>
      <w:lvlText w:val="(%1)"/>
      <w:numFmt w:val="lowerLetter"/>
      <w:start w:val="4"/>
    </w:lvl>
  </w:abstractNum>
  <w:abstractNum w:abstractNumId="185">
    <w:nsid w:val="434BAE75"/>
    <w:multiLevelType w:val="hybridMultilevel"/>
    <w:lvl w:ilvl="0">
      <w:lvlJc w:val="left"/>
      <w:lvlText w:val="(%1)"/>
      <w:numFmt w:val="lowerLetter"/>
      <w:start w:val="1"/>
    </w:lvl>
  </w:abstractNum>
  <w:abstractNum w:abstractNumId="186">
    <w:nsid w:val="4F38F265"/>
    <w:multiLevelType w:val="hybridMultilevel"/>
    <w:lvl w:ilvl="0">
      <w:lvlJc w:val="left"/>
      <w:lvlText w:val="(%1)"/>
      <w:numFmt w:val="lowerLetter"/>
      <w:start w:val="2"/>
    </w:lvl>
  </w:abstractNum>
  <w:abstractNum w:abstractNumId="187">
    <w:nsid w:val="4C502870"/>
    <w:multiLevelType w:val="hybridMultilevel"/>
    <w:lvl w:ilvl="0">
      <w:lvlJc w:val="left"/>
      <w:lvlText w:val="%1"/>
      <w:numFmt w:val="decimal"/>
      <w:start w:val="1"/>
    </w:lvl>
    <w:lvl w:ilvl="1">
      <w:lvlJc w:val="left"/>
      <w:lvlText w:val="(%2)"/>
      <w:numFmt w:val="lowerLetter"/>
      <w:start w:val="1"/>
    </w:lvl>
  </w:abstractNum>
  <w:abstractNum w:abstractNumId="188">
    <w:nsid w:val="1DE8725A"/>
    <w:multiLevelType w:val="hybridMultilevel"/>
    <w:lvl w:ilvl="0">
      <w:lvlJc w:val="left"/>
      <w:lvlText w:val="(%1)"/>
      <w:numFmt w:val="decimal"/>
      <w:start w:val="1"/>
    </w:lvl>
    <w:lvl w:ilvl="1">
      <w:lvlJc w:val="left"/>
      <w:lvlText w:val="%2"/>
      <w:numFmt w:val="lowerLetter"/>
      <w:start w:val="1"/>
    </w:lvl>
  </w:abstractNum>
  <w:abstractNum w:abstractNumId="189">
    <w:nsid w:val="6A37288A"/>
    <w:multiLevelType w:val="hybridMultilevel"/>
    <w:lvl w:ilvl="0">
      <w:lvlJc w:val="left"/>
      <w:lvlText w:val="(%1)"/>
      <w:numFmt w:val="lowerLetter"/>
      <w:start w:val="2"/>
    </w:lvl>
  </w:abstractNum>
  <w:abstractNum w:abstractNumId="190">
    <w:nsid w:val="8F8B73F"/>
    <w:multiLevelType w:val="hybridMultilevel"/>
    <w:lvl w:ilvl="0">
      <w:lvlJc w:val="left"/>
      <w:lvlText w:val="(%1)"/>
      <w:numFmt w:val="lowerLetter"/>
      <w:start w:val="1"/>
    </w:lvl>
  </w:abstractNum>
  <w:abstractNum w:abstractNumId="191">
    <w:nsid w:val="CA6B462"/>
    <w:multiLevelType w:val="hybridMultilevel"/>
    <w:lvl w:ilvl="0">
      <w:lvlJc w:val="left"/>
      <w:lvlText w:val="(%1)"/>
      <w:numFmt w:val="lowerLetter"/>
      <w:start w:val="1"/>
    </w:lvl>
  </w:abstractNum>
  <w:abstractNum w:abstractNumId="192">
    <w:nsid w:val="763CB680"/>
    <w:multiLevelType w:val="hybridMultilevel"/>
    <w:lvl w:ilvl="0">
      <w:lvlJc w:val="left"/>
      <w:lvlText w:val="(%1)"/>
      <w:numFmt w:val="lowerLetter"/>
      <w:start w:val="1"/>
    </w:lvl>
  </w:abstractNum>
  <w:abstractNum w:abstractNumId="193">
    <w:nsid w:val="15B71329"/>
    <w:multiLevelType w:val="hybridMultilevel"/>
    <w:lvl w:ilvl="0">
      <w:lvlJc w:val="left"/>
      <w:lvlText w:val="(%1)"/>
      <w:numFmt w:val="lowerLetter"/>
      <w:start w:val="2"/>
    </w:lvl>
  </w:abstractNum>
  <w:abstractNum w:abstractNumId="194">
    <w:nsid w:val="3DA97044"/>
    <w:multiLevelType w:val="hybridMultilevel"/>
    <w:lvl w:ilvl="0">
      <w:lvlJc w:val="left"/>
      <w:lvlText w:val="(%1)"/>
      <w:numFmt w:val="lowerLetter"/>
      <w:start w:val="3"/>
    </w:lvl>
  </w:abstractNum>
  <w:abstractNum w:abstractNumId="195">
    <w:nsid w:val="1CDCE2DE"/>
    <w:multiLevelType w:val="hybridMultilevel"/>
    <w:lvl w:ilvl="0">
      <w:lvlJc w:val="left"/>
      <w:lvlText w:val="1"/>
      <w:numFmt w:val="bullet"/>
      <w:start w:val="1"/>
    </w:lvl>
  </w:abstractNum>
  <w:abstractNum w:abstractNumId="196">
    <w:nsid w:val="69D3947C"/>
    <w:multiLevelType w:val="hybridMultilevel"/>
    <w:lvl w:ilvl="0">
      <w:lvlJc w:val="left"/>
      <w:lvlText w:val="(%1)"/>
      <w:numFmt w:val="decimal"/>
      <w:start w:val="1"/>
    </w:lvl>
  </w:abstractNum>
  <w:abstractNum w:abstractNumId="197">
    <w:nsid w:val="2539DFA5"/>
    <w:multiLevelType w:val="hybridMultilevel"/>
    <w:lvl w:ilvl="0">
      <w:lvlJc w:val="left"/>
      <w:lvlText w:val="(%1)"/>
      <w:numFmt w:val="decimal"/>
      <w:start w:val="2"/>
    </w:lvl>
  </w:abstractNum>
  <w:abstractNum w:abstractNumId="198">
    <w:nsid w:val="2DB88089"/>
    <w:multiLevelType w:val="hybridMultilevel"/>
    <w:lvl w:ilvl="0">
      <w:lvlJc w:val="left"/>
      <w:lvlText w:val="(%1)"/>
      <w:numFmt w:val="decimal"/>
      <w:start w:val="5"/>
    </w:lvl>
  </w:abstractNum>
  <w:abstractNum w:abstractNumId="199">
    <w:nsid w:val="706B674E"/>
    <w:multiLevelType w:val="hybridMultilevel"/>
    <w:lvl w:ilvl="0">
      <w:lvlJc w:val="left"/>
      <w:lvlText w:val="(%1)"/>
      <w:numFmt w:val="lowerLetter"/>
      <w:start w:val="1"/>
    </w:lvl>
  </w:abstractNum>
  <w:abstractNum w:abstractNumId="200">
    <w:nsid w:val="2C106A57"/>
    <w:multiLevelType w:val="hybridMultilevel"/>
    <w:lvl w:ilvl="0">
      <w:lvlJc w:val="left"/>
      <w:lvlText w:val="(%1)"/>
      <w:numFmt w:val="decimal"/>
      <w:start w:val="6"/>
    </w:lvl>
  </w:abstractNum>
  <w:abstractNum w:abstractNumId="201">
    <w:nsid w:val="684EED59"/>
    <w:multiLevelType w:val="hybridMultilevel"/>
    <w:lvl w:ilvl="0">
      <w:lvlJc w:val="left"/>
      <w:lvlText w:val="(%1)"/>
      <w:numFmt w:val="decimal"/>
      <w:start w:val="7"/>
    </w:lvl>
  </w:abstractNum>
  <w:abstractNum w:abstractNumId="202">
    <w:nsid w:val="545EE5D3"/>
    <w:multiLevelType w:val="hybridMultilevel"/>
    <w:lvl w:ilvl="0">
      <w:lvlJc w:val="left"/>
      <w:lvlText w:val="(%1)"/>
      <w:numFmt w:val="lowerLetter"/>
      <w:start w:val="1"/>
    </w:lvl>
  </w:abstractNum>
  <w:abstractNum w:abstractNumId="203">
    <w:nsid w:val="4A66051"/>
    <w:multiLevelType w:val="hybridMultilevel"/>
    <w:lvl w:ilvl="0">
      <w:lvlJc w:val="left"/>
      <w:lvlText w:val="(%1)"/>
      <w:numFmt w:val="decimal"/>
      <w:start w:val="8"/>
    </w:lvl>
  </w:abstractNum>
  <w:abstractNum w:abstractNumId="204">
    <w:nsid w:val="20F4BDAD"/>
    <w:multiLevelType w:val="hybridMultilevel"/>
    <w:lvl w:ilvl="0">
      <w:lvlJc w:val="left"/>
      <w:lvlText w:val="(%1)"/>
      <w:numFmt w:val="decimal"/>
      <w:start w:val="12"/>
    </w:lvl>
  </w:abstractNum>
  <w:abstractNum w:abstractNumId="205">
    <w:nsid w:val="639DEFAC"/>
    <w:multiLevelType w:val="hybridMultilevel"/>
    <w:lvl w:ilvl="0">
      <w:lvlJc w:val="left"/>
      <w:lvlText w:val="*"/>
      <w:numFmt w:val="bullet"/>
      <w:start w:val="1"/>
    </w:lvl>
  </w:abstractNum>
  <w:abstractNum w:abstractNumId="206">
    <w:nsid w:val="501F9786"/>
    <w:multiLevelType w:val="hybridMultilevel"/>
    <w:lvl w:ilvl="0">
      <w:lvlJc w:val="left"/>
      <w:lvlText w:val="*"/>
      <w:numFmt w:val="bullet"/>
      <w:start w:val="1"/>
    </w:lvl>
  </w:abstractNum>
  <w:abstractNum w:abstractNumId="207">
    <w:nsid w:val="6B057295"/>
    <w:multiLevelType w:val="hybridMultilevel"/>
    <w:lvl w:ilvl="0">
      <w:lvlJc w:val="left"/>
      <w:lvlText w:val="*"/>
      <w:numFmt w:val="bullet"/>
      <w:start w:val="1"/>
    </w:lvl>
  </w:abstractNum>
  <w:abstractNum w:abstractNumId="208">
    <w:nsid w:val="2771AC80"/>
    <w:multiLevelType w:val="hybridMultilevel"/>
    <w:lvl w:ilvl="0">
      <w:lvlJc w:val="left"/>
      <w:lvlText w:val="%1."/>
      <w:numFmt w:val="decimal"/>
      <w:start w:val="1"/>
    </w:lvl>
  </w:abstractNum>
  <w:abstractNum w:abstractNumId="209">
    <w:nsid w:val="1C4A08EC"/>
    <w:multiLevelType w:val="hybridMultilevel"/>
    <w:lvl w:ilvl="0">
      <w:lvlJc w:val="left"/>
      <w:lvlText w:val="%1."/>
      <w:numFmt w:val="decimal"/>
      <w:start w:val="3"/>
    </w:lvl>
    <w:lvl w:ilvl="1">
      <w:lvlJc w:val="left"/>
      <w:lvlText w:val="(%2)"/>
      <w:numFmt w:val="lowerLetter"/>
      <w:start w:val="1"/>
    </w:lvl>
  </w:abstractNum>
  <w:abstractNum w:abstractNumId="210">
    <w:nsid w:val="1958BD17"/>
    <w:multiLevelType w:val="hybridMultilevel"/>
    <w:lvl w:ilvl="0">
      <w:lvlJc w:val="left"/>
      <w:lvlText w:val="(%1)"/>
      <w:numFmt w:val="lowerLetter"/>
      <w:start w:val="2"/>
    </w:lvl>
  </w:abstractNum>
  <w:abstractNum w:abstractNumId="211">
    <w:nsid w:val="4E647FE4"/>
    <w:multiLevelType w:val="hybridMultilevel"/>
    <w:lvl w:ilvl="0">
      <w:lvlJc w:val="left"/>
      <w:lvlText w:val="(%1)"/>
      <w:numFmt w:val="lowerLetter"/>
      <w:start w:val="4"/>
    </w:lvl>
  </w:abstractNum>
  <w:abstractNum w:abstractNumId="212">
    <w:nsid w:val="E0BB885"/>
    <w:multiLevelType w:val="hybridMultilevel"/>
    <w:lvl w:ilvl="0">
      <w:lvlJc w:val="left"/>
      <w:lvlText w:val="%1."/>
      <w:numFmt w:val="decimal"/>
      <w:start w:val="4"/>
    </w:lvl>
  </w:abstractNum>
  <w:abstractNum w:abstractNumId="213">
    <w:nsid w:val="565976F1"/>
    <w:multiLevelType w:val="hybridMultilevel"/>
    <w:lvl w:ilvl="0">
      <w:lvlJc w:val="left"/>
      <w:lvlText w:val="(%1)"/>
      <w:numFmt w:val="lowerLetter"/>
      <w:start w:val="1"/>
    </w:lvl>
  </w:abstractNum>
  <w:abstractNum w:abstractNumId="214">
    <w:nsid w:val="64212B8C"/>
    <w:multiLevelType w:val="hybridMultilevel"/>
    <w:lvl w:ilvl="0">
      <w:lvlJc w:val="left"/>
      <w:lvlText w:val="(%1)"/>
      <w:numFmt w:val="lowerLetter"/>
      <w:start w:val="3"/>
    </w:lvl>
  </w:abstractNum>
  <w:abstractNum w:abstractNumId="215">
    <w:nsid w:val="5C17530C"/>
    <w:multiLevelType w:val="hybridMultilevel"/>
    <w:lvl w:ilvl="0">
      <w:lvlJc w:val="left"/>
      <w:lvlText w:val="*"/>
      <w:numFmt w:val="bullet"/>
      <w:start w:val="1"/>
    </w:lvl>
  </w:abstractNum>
  <w:abstractNum w:abstractNumId="216">
    <w:nsid w:val="19A52566"/>
    <w:multiLevelType w:val="hybridMultilevel"/>
    <w:lvl w:ilvl="0">
      <w:lvlJc w:val="left"/>
      <w:lvlText w:val="%1."/>
      <w:numFmt w:val="decimal"/>
      <w:start w:val="1"/>
    </w:lvl>
  </w:abstractNum>
  <w:abstractNum w:abstractNumId="217">
    <w:nsid w:val="335A1DF1"/>
    <w:multiLevelType w:val="hybridMultilevel"/>
    <w:lvl w:ilvl="0">
      <w:lvlJc w:val="left"/>
      <w:lvlText w:val="%1."/>
      <w:numFmt w:val="decimal"/>
      <w:start w:val="2"/>
    </w:lvl>
  </w:abstractNum>
  <w:abstractNum w:abstractNumId="218">
    <w:nsid w:val="28677B7C"/>
    <w:multiLevelType w:val="hybridMultilevel"/>
    <w:lvl w:ilvl="0">
      <w:lvlJc w:val="left"/>
      <w:lvlText w:val="%1."/>
      <w:numFmt w:val="decimal"/>
      <w:start w:val="1"/>
    </w:lvl>
  </w:abstractNum>
  <w:abstractNum w:abstractNumId="219">
    <w:nsid w:val="378D97C0"/>
    <w:multiLevelType w:val="hybridMultilevel"/>
    <w:lvl w:ilvl="0">
      <w:lvlJc w:val="left"/>
      <w:lvlText w:val="(%1)"/>
      <w:numFmt w:val="lowerLetter"/>
      <w:start w:val="1"/>
    </w:lvl>
  </w:abstractNum>
  <w:abstractNum w:abstractNumId="220">
    <w:nsid w:val="1D91467C"/>
    <w:multiLevelType w:val="hybridMultilevel"/>
    <w:lvl w:ilvl="0">
      <w:lvlJc w:val="left"/>
      <w:lvlText w:val="(%1)"/>
      <w:numFmt w:val="lowerLetter"/>
      <w:start w:val="3"/>
    </w:lvl>
  </w:abstractNum>
  <w:abstractNum w:abstractNumId="221">
    <w:nsid w:val="316032BB"/>
    <w:multiLevelType w:val="hybridMultilevel"/>
    <w:lvl w:ilvl="0">
      <w:lvlJc w:val="left"/>
      <w:lvlText w:val="%1."/>
      <w:numFmt w:val="decimal"/>
      <w:start w:val="2"/>
    </w:lvl>
  </w:abstractNum>
  <w:abstractNum w:abstractNumId="222">
    <w:nsid w:val="44344C22"/>
    <w:multiLevelType w:val="hybridMultilevel"/>
    <w:lvl w:ilvl="0">
      <w:lvlJc w:val="left"/>
      <w:lvlText w:val="%1"/>
      <w:numFmt w:val="lowerLetter"/>
      <w:start w:val="1"/>
    </w:lvl>
    <w:lvl w:ilvl="1">
      <w:lvlJc w:val="left"/>
      <w:lvlText w:val="(%2)"/>
      <w:numFmt w:val="lowerLetter"/>
      <w:start w:val="1"/>
    </w:lvl>
  </w:abstractNum>
  <w:abstractNum w:abstractNumId="223">
    <w:nsid w:val="13CDFCFC"/>
    <w:multiLevelType w:val="hybridMultilevel"/>
    <w:lvl w:ilvl="0">
      <w:lvlJc w:val="left"/>
      <w:lvlText w:val="(%1)"/>
      <w:numFmt w:val="lowerLetter"/>
      <w:start w:val="35"/>
    </w:lvl>
    <w:lvl w:ilvl="1">
      <w:lvlJc w:val="left"/>
      <w:lvlText w:val="%2"/>
      <w:numFmt w:val="lowerLetter"/>
      <w:start w:val="1"/>
    </w:lvl>
  </w:abstractNum>
  <w:abstractNum w:abstractNumId="224">
    <w:nsid w:val="471745E4"/>
    <w:multiLevelType w:val="hybridMultilevel"/>
    <w:lvl w:ilvl="0">
      <w:lvlJc w:val="left"/>
      <w:lvlText w:val="%1."/>
      <w:numFmt w:val="decimal"/>
      <w:start w:val="1"/>
    </w:lvl>
  </w:abstractNum>
  <w:abstractNum w:abstractNumId="225">
    <w:nsid w:val="1DDBC66"/>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2025-10-08T15:12:22Z</dcterms:created>
  <dcterms:modified xsi:type="dcterms:W3CDTF">2025-10-08T15:12:22Z</dcterms:modified>
</cp:coreProperties>
</file>