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October 27, 2020</w:t>
      </w:r>
    </w:p>
    <w:p>
      <w:pPr>
        <w:spacing w:after="0" w:line="13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Statement No. 333-224868</w:t>
      </w:r>
    </w:p>
    <w:p>
      <w:pPr>
        <w:jc w:val="right"/>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333-228426</w:t>
      </w: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Statement No. 333-233289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202"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333-224868</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POST-EFFECTIVE AMENDMENT NO. 4 TO FORM S-3 REGISTRATION STATEMENT NO. 333-228426</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POST-EFFECTIVE AMENDMENT NO. 3 TO FORM S-3 REGISTRATION STATEMENT NO. 333-233289</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4" w:lineRule="exact"/>
        <w:rPr>
          <w:sz w:val="24"/>
          <w:szCs w:val="24"/>
          <w:color w:val="auto"/>
        </w:rPr>
      </w:pPr>
    </w:p>
    <w:tbl>
      <w:tblPr>
        <w:tblLayout w:type="fixed"/>
        <w:tblInd w:w="140" w:type="dxa"/>
        <w:tblCellMar>
          <w:top w:w="0" w:type="dxa"/>
          <w:left w:w="0" w:type="dxa"/>
          <w:bottom w:w="0" w:type="dxa"/>
          <w:right w:w="0" w:type="dxa"/>
        </w:tblCellMar>
      </w:tblPr>
      <w:tr>
        <w:trPr>
          <w:trHeight w:val="212"/>
        </w:trPr>
        <w:tc>
          <w:tcPr>
            <w:tcW w:w="39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8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9"/>
              </w:rPr>
              <w:t>1311</w:t>
            </w:r>
          </w:p>
        </w:tc>
        <w:tc>
          <w:tcPr>
            <w:tcW w:w="28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46-5670947</w:t>
            </w:r>
          </w:p>
        </w:tc>
      </w:tr>
      <w:tr>
        <w:trPr>
          <w:trHeight w:val="249"/>
        </w:trPr>
        <w:tc>
          <w:tcPr>
            <w:tcW w:w="39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38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(Primary Standard industrial Classification</w:t>
            </w:r>
          </w:p>
        </w:tc>
        <w:tc>
          <w:tcPr>
            <w:tcW w:w="284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980" w:type="dxa"/>
            <w:vAlign w:val="bottom"/>
          </w:tcPr>
          <w:p>
            <w:pPr>
              <w:spacing w:after="0"/>
              <w:rPr>
                <w:sz w:val="18"/>
                <w:szCs w:val="18"/>
                <w:color w:val="auto"/>
              </w:rPr>
            </w:pPr>
          </w:p>
        </w:tc>
        <w:tc>
          <w:tcPr>
            <w:tcW w:w="338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Code Number)</w:t>
            </w:r>
          </w:p>
        </w:tc>
        <w:tc>
          <w:tcPr>
            <w:tcW w:w="2840" w:type="dxa"/>
            <w:vAlign w:val="bottom"/>
          </w:tcPr>
          <w:p>
            <w:pPr>
              <w:spacing w:after="0"/>
              <w:rPr>
                <w:sz w:val="18"/>
                <w:szCs w:val="18"/>
                <w:color w:val="auto"/>
              </w:rPr>
            </w:pPr>
          </w:p>
        </w:tc>
      </w:tr>
      <w:tr>
        <w:trPr>
          <w:trHeight w:val="422"/>
        </w:trPr>
        <w:tc>
          <w:tcPr>
            <w:tcW w:w="39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27200 Tourney Road, Suite 200</w:t>
            </w:r>
          </w:p>
        </w:tc>
        <w:tc>
          <w:tcPr>
            <w:tcW w:w="33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2"/>
        </w:trPr>
        <w:tc>
          <w:tcPr>
            <w:tcW w:w="39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Santa Clarita, California</w:t>
            </w:r>
          </w:p>
        </w:tc>
        <w:tc>
          <w:tcPr>
            <w:tcW w:w="3380" w:type="dxa"/>
            <w:vAlign w:val="bottom"/>
          </w:tcPr>
          <w:p>
            <w:pPr>
              <w:spacing w:after="0"/>
              <w:rPr>
                <w:sz w:val="18"/>
                <w:szCs w:val="18"/>
                <w:color w:val="auto"/>
              </w:rPr>
            </w:pPr>
          </w:p>
        </w:tc>
        <w:tc>
          <w:tcPr>
            <w:tcW w:w="284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91355</w:t>
            </w:r>
          </w:p>
        </w:tc>
      </w:tr>
      <w:tr>
        <w:trPr>
          <w:trHeight w:val="257"/>
        </w:trPr>
        <w:tc>
          <w:tcPr>
            <w:tcW w:w="39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380" w:type="dxa"/>
            <w:vAlign w:val="bottom"/>
          </w:tcPr>
          <w:p>
            <w:pPr>
              <w:spacing w:after="0"/>
              <w:rPr>
                <w:sz w:val="22"/>
                <w:szCs w:val="22"/>
                <w:color w:val="auto"/>
              </w:rPr>
            </w:pPr>
          </w:p>
        </w:tc>
        <w:tc>
          <w:tcPr>
            <w:tcW w:w="284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Michael L. Preston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Senior Executive Vice President, Chief Administrative Officer and General Counsel</w:t>
      </w:r>
    </w:p>
    <w:p>
      <w:pPr>
        <w:jc w:val="center"/>
        <w:spacing w:after="0" w:line="211" w:lineRule="auto"/>
        <w:rPr>
          <w:sz w:val="20"/>
          <w:szCs w:val="20"/>
          <w:color w:val="auto"/>
        </w:rPr>
      </w:pPr>
      <w:r>
        <w:rPr>
          <w:rFonts w:ascii="Times New Roman" w:cs="Times New Roman" w:eastAsia="Times New Roman" w:hAnsi="Times New Roman"/>
          <w:sz w:val="16"/>
          <w:szCs w:val="16"/>
          <w:color w:val="auto"/>
        </w:rPr>
        <w:t>27200 Tourney Road, Suite 200</w:t>
      </w:r>
    </w:p>
    <w:p>
      <w:pPr>
        <w:jc w:val="center"/>
        <w:spacing w:after="0" w:line="211" w:lineRule="auto"/>
        <w:rPr>
          <w:sz w:val="20"/>
          <w:szCs w:val="20"/>
          <w:color w:val="auto"/>
        </w:rPr>
      </w:pPr>
      <w:r>
        <w:rPr>
          <w:rFonts w:ascii="Times New Roman" w:cs="Times New Roman" w:eastAsia="Times New Roman" w:hAnsi="Times New Roman"/>
          <w:sz w:val="16"/>
          <w:szCs w:val="16"/>
          <w:color w:val="auto"/>
        </w:rPr>
        <w:t>Santa Clarita, California 91355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and address of agent for service)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(888) 848-4754</w:t>
      </w:r>
    </w:p>
    <w:p>
      <w:pPr>
        <w:jc w:val="center"/>
        <w:spacing w:after="0"/>
        <w:rPr>
          <w:sz w:val="20"/>
          <w:szCs w:val="20"/>
          <w:color w:val="auto"/>
        </w:rPr>
      </w:pPr>
      <w:r>
        <w:rPr>
          <w:rFonts w:ascii="Times New Roman" w:cs="Times New Roman" w:eastAsia="Times New Roman" w:hAnsi="Times New Roman"/>
          <w:sz w:val="16"/>
          <w:szCs w:val="16"/>
          <w:color w:val="auto"/>
        </w:rPr>
        <w:t>(Telephone number, including area code, of agent for service)</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Sarah K. Morgan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Scott D. Rubinsky</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Vinson &amp; Elkins L.L.P.</w:t>
      </w:r>
    </w:p>
    <w:p>
      <w:pPr>
        <w:jc w:val="center"/>
        <w:spacing w:after="0" w:line="211" w:lineRule="auto"/>
        <w:rPr>
          <w:sz w:val="20"/>
          <w:szCs w:val="20"/>
          <w:color w:val="auto"/>
        </w:rPr>
      </w:pPr>
      <w:r>
        <w:rPr>
          <w:rFonts w:ascii="Times New Roman" w:cs="Times New Roman" w:eastAsia="Times New Roman" w:hAnsi="Times New Roman"/>
          <w:sz w:val="16"/>
          <w:szCs w:val="16"/>
          <w:color w:val="auto"/>
        </w:rPr>
        <w:t>1001 Fannin, Suite 2500</w:t>
      </w:r>
    </w:p>
    <w:p>
      <w:pPr>
        <w:jc w:val="center"/>
        <w:spacing w:after="0" w:line="212" w:lineRule="auto"/>
        <w:rPr>
          <w:sz w:val="20"/>
          <w:szCs w:val="20"/>
          <w:color w:val="auto"/>
        </w:rPr>
      </w:pPr>
      <w:r>
        <w:rPr>
          <w:rFonts w:ascii="Times New Roman" w:cs="Times New Roman" w:eastAsia="Times New Roman" w:hAnsi="Times New Roman"/>
          <w:sz w:val="16"/>
          <w:szCs w:val="16"/>
          <w:color w:val="auto"/>
        </w:rPr>
        <w:t>Houston, Texas 77002-6760</w:t>
      </w:r>
    </w:p>
    <w:p>
      <w:pPr>
        <w:jc w:val="center"/>
        <w:spacing w:after="0"/>
        <w:rPr>
          <w:sz w:val="20"/>
          <w:szCs w:val="20"/>
          <w:color w:val="auto"/>
        </w:rPr>
      </w:pPr>
      <w:r>
        <w:rPr>
          <w:rFonts w:ascii="Times New Roman" w:cs="Times New Roman" w:eastAsia="Times New Roman" w:hAnsi="Times New Roman"/>
          <w:sz w:val="16"/>
          <w:szCs w:val="16"/>
          <w:color w:val="auto"/>
        </w:rPr>
        <w:t>(713) 758-2222</w:t>
      </w:r>
    </w:p>
    <w:p>
      <w:pPr>
        <w:spacing w:after="0" w:line="255" w:lineRule="exact"/>
        <w:rPr>
          <w:sz w:val="24"/>
          <w:szCs w:val="24"/>
          <w:color w:val="auto"/>
        </w:rPr>
      </w:pPr>
    </w:p>
    <w:p>
      <w:pPr>
        <w:ind w:right="72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 Removal from registration of securities that were not sold pursuant to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340"/>
        <w:spacing w:after="0" w:line="245" w:lineRule="auto"/>
        <w:rPr>
          <w:sz w:val="20"/>
          <w:szCs w:val="20"/>
          <w:color w:val="auto"/>
        </w:rPr>
      </w:pPr>
      <w:r>
        <w:rPr>
          <w:rFonts w:ascii="Times New Roman" w:cs="Times New Roman" w:eastAsia="Times New Roman" w:hAnsi="Times New Roman"/>
          <w:sz w:val="16"/>
          <w:szCs w:val="16"/>
          <w:color w:val="auto"/>
        </w:rPr>
        <w:t>If any of the securities being registered on this Form are to be offered on a delayed or continuous basis pursuant to Rule 415 under the Securities Act of 1933, check the following box:</w:t>
      </w:r>
    </w:p>
    <w:p>
      <w:pPr>
        <w:spacing w:after="0" w:line="16" w:lineRule="exact"/>
        <w:rPr>
          <w:sz w:val="24"/>
          <w:szCs w:val="24"/>
          <w:color w:val="auto"/>
        </w:rPr>
      </w:pPr>
    </w:p>
    <w:p>
      <w:pPr>
        <w:ind w:right="420"/>
        <w:spacing w:after="0" w:line="245" w:lineRule="auto"/>
        <w:rPr>
          <w:sz w:val="20"/>
          <w:szCs w:val="20"/>
          <w:color w:val="auto"/>
        </w:rPr>
      </w:pPr>
      <w:r>
        <w:rPr>
          <w:rFonts w:ascii="Times New Roman" w:cs="Times New Roman" w:eastAsia="Times New Roman" w:hAnsi="Times New Roman"/>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w:t>
      </w:r>
    </w:p>
    <w:p>
      <w:pPr>
        <w:spacing w:after="0" w:line="29" w:lineRule="exact"/>
        <w:rPr>
          <w:sz w:val="24"/>
          <w:szCs w:val="24"/>
          <w:color w:val="auto"/>
        </w:rPr>
      </w:pPr>
    </w:p>
    <w:p>
      <w:pPr>
        <w:ind w:right="160"/>
        <w:spacing w:after="0" w:line="245" w:lineRule="auto"/>
        <w:rPr>
          <w:sz w:val="20"/>
          <w:szCs w:val="20"/>
          <w:color w:val="auto"/>
        </w:rPr>
      </w:pPr>
      <w:r>
        <w:rPr>
          <w:rFonts w:ascii="Times New Roman" w:cs="Times New Roman" w:eastAsia="Times New Roman" w:hAnsi="Times New Roman"/>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w:t>
      </w:r>
    </w:p>
    <w:p>
      <w:pPr>
        <w:spacing w:after="0" w:line="16" w:lineRule="exact"/>
        <w:rPr>
          <w:sz w:val="24"/>
          <w:szCs w:val="24"/>
          <w:color w:val="auto"/>
        </w:rPr>
      </w:pPr>
    </w:p>
    <w:p>
      <w:pPr>
        <w:ind w:right="160"/>
        <w:spacing w:after="0" w:line="245" w:lineRule="auto"/>
        <w:rPr>
          <w:sz w:val="20"/>
          <w:szCs w:val="20"/>
          <w:color w:val="auto"/>
        </w:rPr>
      </w:pPr>
      <w:r>
        <w:rPr>
          <w:rFonts w:ascii="Times New Roman" w:cs="Times New Roman" w:eastAsia="Times New Roman" w:hAnsi="Times New Roman"/>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w:t>
      </w:r>
    </w:p>
    <w:p>
      <w:pPr>
        <w:spacing w:after="0" w:line="16" w:lineRule="exact"/>
        <w:rPr>
          <w:sz w:val="24"/>
          <w:szCs w:val="24"/>
          <w:color w:val="auto"/>
        </w:rPr>
      </w:pPr>
    </w:p>
    <w:p>
      <w:pPr>
        <w:ind w:right="1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6" w:right="339" w:bottom="1440" w:gutter="0" w:footer="0" w:header="0"/>
        </w:sectPr>
      </w:pPr>
    </w:p>
    <w:p>
      <w:pPr>
        <w:spacing w:after="0" w:line="61" w:lineRule="exact"/>
        <w:rPr>
          <w:sz w:val="24"/>
          <w:szCs w:val="24"/>
          <w:color w:val="auto"/>
        </w:rPr>
      </w:pPr>
    </w:p>
    <w:p>
      <w:pPr>
        <w:ind w:left="14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3420"/>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81" w:lineRule="exact"/>
        <w:rPr>
          <w:sz w:val="24"/>
          <w:szCs w:val="24"/>
          <w:color w:val="auto"/>
        </w:rPr>
      </w:pPr>
    </w:p>
    <w:p>
      <w:pPr>
        <w:sectPr>
          <w:pgSz w:w="11900" w:h="16838" w:orient="portrait"/>
          <w:cols w:equalWidth="0" w:num="2">
            <w:col w:w="5840" w:space="720"/>
            <w:col w:w="4680"/>
          </w:cols>
          <w:pgMar w:left="320" w:top="866" w:right="339" w:bottom="1440" w:gutter="0" w:footer="0" w:header="0"/>
          <w:type w:val="continuous"/>
        </w:sectPr>
      </w:pPr>
    </w:p>
    <w:p>
      <w:pPr>
        <w:ind w:left="146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59" w:lineRule="exact"/>
        <w:rPr>
          <w:sz w:val="24"/>
          <w:szCs w:val="24"/>
          <w:color w:val="auto"/>
        </w:rPr>
      </w:pPr>
    </w:p>
    <w:p>
      <w:pPr>
        <w:sectPr>
          <w:pgSz w:w="11900" w:h="16838" w:orient="portrait"/>
          <w:cols w:equalWidth="0" w:num="2">
            <w:col w:w="5840" w:space="720"/>
            <w:col w:w="4680"/>
          </w:cols>
          <w:pgMar w:left="320" w:top="866" w:right="339" w:bottom="1440" w:gutter="0" w:footer="0" w:header="0"/>
          <w:type w:val="continuous"/>
        </w:sectPr>
      </w:pPr>
    </w:p>
    <w:p>
      <w:pPr>
        <w:ind w:left="656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240"/>
          </w:cols>
          <w:pgMar w:left="320" w:top="866" w:right="339" w:bottom="1440" w:gutter="0" w:footer="0" w:header="0"/>
          <w:type w:val="continuous"/>
        </w:sectPr>
      </w:pPr>
    </w:p>
    <w:p>
      <w:pPr>
        <w:spacing w:after="0" w:line="220" w:lineRule="exact"/>
        <w:rPr>
          <w:sz w:val="24"/>
          <w:szCs w:val="24"/>
          <w:color w:val="auto"/>
        </w:rPr>
      </w:pPr>
    </w:p>
    <w:p>
      <w:pPr>
        <w:ind w:right="580"/>
        <w:spacing w:after="0" w:line="19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NOTE/DEREGISTRATION OF SECURITIES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California Resources Corporation, a Delaware corporation (the “Registrant”), is filing these post-effective amendments (the “Post-Effective Amendments”) to the following Registration Statements on Form S-3 (the “Registration Statements”), which have been previously filed with the Securities and Exchange Commission (the “SEC”), to deregister any and all securities registered but unsold or otherwise unissued as of the date hereof under the Registration Statements:</w:t>
      </w:r>
    </w:p>
    <w:p>
      <w:pPr>
        <w:spacing w:after="0" w:line="153"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333-224868, filed with the SEC on May 11, 2018;</w:t>
      </w:r>
    </w:p>
    <w:p>
      <w:pPr>
        <w:spacing w:after="0" w:line="184"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No. 333-228426, filed with the SEC on November 16, 2018, as amended by the post-effective amendment No. 1 filed on February 26, 2020, post-effective amendment No. 2 filed on February 26, 2020 and post-effective amendment No. 3 filed on March 27, 2020; and</w:t>
      </w:r>
    </w:p>
    <w:p>
      <w:pPr>
        <w:spacing w:after="0" w:line="99" w:lineRule="exact"/>
        <w:rPr>
          <w:rFonts w:ascii="Times New Roman" w:cs="Times New Roman" w:eastAsia="Times New Roman" w:hAnsi="Times New Roman"/>
          <w:sz w:val="17"/>
          <w:szCs w:val="17"/>
          <w:color w:val="auto"/>
        </w:rPr>
      </w:pPr>
    </w:p>
    <w:p>
      <w:pPr>
        <w:ind w:left="660" w:right="42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333-233289, filed with the SEC on August 14, 2019, as amended by the post-effective amendment No. 1 filed on February 26, 2020 and post-effective amendment No. 2 filed on March 27, 2020.</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previously disclosed, on July 15, 2020, the Registrant and certain of its subsidiaries (collectively with the Registrant, the “Debtors”) filed voluntary petitions for reorganization under chapter 11 of the United States Bankruptcy Code in the United States Bankruptcy Court for the Southern District of Texas, Houston Division (the “Bankruptcy Court”). The Debtors obtained joint administration of their chapter 11 cases under the caption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California Resources Corporation, et al., Case No. 20-33568 (DRJ)</w:t>
      </w:r>
      <w:r>
        <w:rPr>
          <w:rFonts w:ascii="Times New Roman" w:cs="Times New Roman" w:eastAsia="Times New Roman" w:hAnsi="Times New Roman"/>
          <w:sz w:val="18"/>
          <w:szCs w:val="18"/>
          <w:color w:val="auto"/>
        </w:rPr>
        <w:t>. The Registrant’s plan of reorganization (the “Plan”) was confirmed by the Bankruptcy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on October 13, 2020, and the Registrant emerged from the bankruptcy proceedings on October 27, 2020 (the “Effective Date”). On the Effective Date, all equity securities of the Registrant were cancelled pursuant to the Plan. These Post-Effective Amendments are being filed as a result of the Registrant’s reorganization and the cancellation of its equity securities.</w:t>
      </w:r>
    </w:p>
    <w:p>
      <w:pPr>
        <w:spacing w:after="0" w:line="14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Registrant, by filing these Post-Effective Amendments, hereby terminates the effectiveness of the Registration Statements and removes from registration any and all securities registered but unsold or otherwise unissued under the Registration Statements as of the date hereof. This filing is made in accordance with an undertaking made by the Registrant in Part II of each Registration Statement to remove from registration by means of a post-effective amendment any securities that had been registered for issuance but remain unsold at the termination of the offering.</w:t>
      </w:r>
    </w:p>
    <w:p>
      <w:pPr>
        <w:sectPr>
          <w:pgSz w:w="11900" w:h="16838" w:orient="portrait"/>
          <w:cols w:equalWidth="0" w:num="1">
            <w:col w:w="11200"/>
          </w:cols>
          <w:pgMar w:left="320" w:top="1413" w:right="37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these Post-Effective Amendments on Form S-1 to be signed on its behalf by the undersigned, thereunto duly authorized, in the City of Santa Clarita, State of California, on October 27, 2020.</w:t>
      </w:r>
    </w:p>
    <w:p>
      <w:pPr>
        <w:spacing w:after="0" w:line="18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34290</wp:posOffset>
            </wp:positionV>
            <wp:extent cx="2734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Roy M. Pineci</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30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on Rule 478 under the Securities Act of 1933, as amended.</w:t>
      </w:r>
    </w:p>
    <w:sectPr>
      <w:pgSz w:w="11900" w:h="16838" w:orient="portrait"/>
      <w:cols w:equalWidth="0" w:num="1">
        <w:col w:w="11140"/>
      </w:cols>
      <w:pgMar w:left="320" w:top="141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2020-10-28T05:20:42Z</dcterms:created>
  <dcterms:modified xsi:type="dcterms:W3CDTF">2020-10-28T05:20:42Z</dcterms:modified>
</cp:coreProperties>
</file>