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13)*</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Naseem Sagati Aghili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11, 2022</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firstLine="8"/>
        <w:spacing w:after="0" w:line="282" w:lineRule="auto"/>
        <w:tabs>
          <w:tab w:leader="none" w:pos="1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1A,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64,083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64,083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64,083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640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 (See Items 3, 4, 5 and 6)</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-1510665</wp:posOffset>
            </wp:positionV>
            <wp:extent cx="5915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151765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left="20" w:hanging="80"/>
        <w:spacing w:after="0" w:line="282" w:lineRule="auto"/>
        <w:rPr>
          <w:sz w:val="20"/>
          <w:szCs w:val="20"/>
          <w:color w:val="auto"/>
        </w:rPr>
      </w:pPr>
      <w:r>
        <w:rPr>
          <w:rFonts w:ascii="Times New Roman" w:cs="Times New Roman" w:eastAsia="Times New Roman" w:hAnsi="Times New Roman"/>
          <w:sz w:val="18"/>
          <w:szCs w:val="18"/>
          <w:color w:val="auto"/>
        </w:rPr>
        <w:t>*The calculation of the percentage of outstanding shares is based on 75,375,633 shares of Common Stock outstanding as of June 30, 2022 as disclosed by the Issuer in its Quarterly Report on Form 10-Q, filed with the Securities and Exchange Commission on August 4, 2022 (“</w:t>
      </w:r>
      <w:r>
        <w:rPr>
          <w:rFonts w:ascii="Times New Roman" w:cs="Times New Roman" w:eastAsia="Times New Roman" w:hAnsi="Times New Roman"/>
          <w:sz w:val="18"/>
          <w:szCs w:val="18"/>
          <w:u w:val="single" w:color="auto"/>
          <w:color w:val="auto"/>
        </w:rPr>
        <w:t>10-Q</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1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1B,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234,469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234,469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234,469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12"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AF V Energy IV AIV 2,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238,858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238,858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238,858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AEOF ECR AIV A-B,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1,894,861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1,894,861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1,894,861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AEOF ECR AIV C, L.P.</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804,524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804,524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804,524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AF Energy Feeder, L.P.</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279,121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279,121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279,121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ACOF Investment Management LLC</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12"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Holdings L.P.</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-22225</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-433705</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-708025</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-1119505</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-1393825</wp:posOffset>
            </wp:positionV>
            <wp:extent cx="61976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-1539875</wp:posOffset>
            </wp:positionV>
            <wp:extent cx="61976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-1951355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Ares Management Corporation</w:t>
      </w:r>
    </w:p>
    <w:p>
      <w:pPr>
        <w:spacing w:after="0" w:line="139" w:lineRule="exact"/>
        <w:rPr>
          <w:rFonts w:ascii="Times New Roman" w:cs="Times New Roman" w:eastAsia="Times New Roman" w:hAnsi="Times New Roman"/>
          <w:sz w:val="17"/>
          <w:szCs w:val="17"/>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Voting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Management GP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Ares Partners Holdco LLC</w:t>
      </w:r>
    </w:p>
    <w:p>
      <w:pPr>
        <w:spacing w:after="0" w:line="161"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8"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78"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right="7640" w:hanging="561"/>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75" w:lineRule="exact"/>
        <w:rPr>
          <w:rFonts w:ascii="Times New Roman" w:cs="Times New Roman" w:eastAsia="Times New Roman" w:hAnsi="Times New Roman"/>
          <w:sz w:val="18"/>
          <w:szCs w:val="18"/>
          <w:color w:val="auto"/>
        </w:rPr>
      </w:pPr>
    </w:p>
    <w:p>
      <w:pPr>
        <w:ind w:left="1920" w:hanging="568"/>
        <w:spacing w:after="0"/>
        <w:tabs>
          <w:tab w:leader="none" w:pos="19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-264795</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-676275</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-950595</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-1362075</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-1636395</wp:posOffset>
            </wp:positionV>
            <wp:extent cx="61976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-1782445</wp:posOffset>
            </wp:positionV>
            <wp:extent cx="61976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-2193925</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spacing w:after="0"/>
              <w:rPr>
                <w:sz w:val="18"/>
                <w:szCs w:val="18"/>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3,515,916 (See Items 3, 4, 5 and 6)</w:t>
            </w:r>
          </w:p>
        </w:tc>
        <w:tc>
          <w:tcPr>
            <w:tcW w:w="0" w:type="dxa"/>
            <w:vAlign w:val="bottom"/>
          </w:tcPr>
          <w:p>
            <w:pPr>
              <w:spacing w:after="0"/>
              <w:rPr>
                <w:sz w:val="1"/>
                <w:szCs w:val="1"/>
                <w:color w:val="auto"/>
              </w:rPr>
            </w:pPr>
          </w:p>
        </w:tc>
      </w:tr>
      <w:tr>
        <w:trPr>
          <w:trHeight w:val="178"/>
        </w:trPr>
        <w:tc>
          <w:tcPr>
            <w:tcW w:w="1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40" w:type="dxa"/>
            <w:vAlign w:val="bottom"/>
          </w:tcPr>
          <w:p>
            <w:pPr>
              <w:spacing w:after="0"/>
              <w:rPr>
                <w:sz w:val="20"/>
                <w:szCs w:val="20"/>
                <w:color w:val="auto"/>
              </w:rPr>
            </w:pPr>
          </w:p>
        </w:tc>
        <w:tc>
          <w:tcPr>
            <w:tcW w:w="9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Person With</w:t>
            </w:r>
          </w:p>
        </w:tc>
        <w:tc>
          <w:tcPr>
            <w:tcW w:w="7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20" w:hanging="568"/>
        <w:spacing w:after="0"/>
        <w:tabs>
          <w:tab w:leader="none" w:pos="192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3,515,916 (See Items 3, 4, 5 and 6)</w:t>
      </w:r>
    </w:p>
    <w:p>
      <w:pPr>
        <w:spacing w:after="0" w:line="220" w:lineRule="exact"/>
        <w:rPr>
          <w:rFonts w:ascii="Times New Roman" w:cs="Times New Roman" w:eastAsia="Times New Roman" w:hAnsi="Times New Roman"/>
          <w:sz w:val="18"/>
          <w:szCs w:val="18"/>
          <w:color w:val="auto"/>
        </w:rPr>
      </w:pPr>
    </w:p>
    <w:p>
      <w:pPr>
        <w:ind w:left="900" w:right="5480" w:hanging="561"/>
        <w:spacing w:after="0" w:line="282" w:lineRule="auto"/>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3,515,916 (See Items 3, 4, 5 and 6)</w:t>
      </w:r>
    </w:p>
    <w:p>
      <w:pPr>
        <w:spacing w:after="0" w:line="132" w:lineRule="exact"/>
        <w:rPr>
          <w:rFonts w:ascii="Times New Roman" w:cs="Times New Roman" w:eastAsia="Times New Roman" w:hAnsi="Times New Roman"/>
          <w:sz w:val="18"/>
          <w:szCs w:val="18"/>
          <w:color w:val="auto"/>
        </w:rPr>
      </w:pPr>
    </w:p>
    <w:p>
      <w:pPr>
        <w:ind w:left="900" w:hanging="561"/>
        <w:spacing w:after="0" w:line="207" w:lineRule="exact"/>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3"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(See Items 3, 4, 5 and 6)</w:t>
      </w:r>
    </w:p>
    <w:p>
      <w:pPr>
        <w:spacing w:after="0" w:line="206"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47" w:lineRule="exact"/>
        <w:rPr>
          <w:rFonts w:ascii="Times New Roman" w:cs="Times New Roman" w:eastAsia="Times New Roman" w:hAnsi="Times New Roman"/>
          <w:sz w:val="18"/>
          <w:szCs w:val="18"/>
          <w:color w:val="auto"/>
        </w:rPr>
      </w:pPr>
    </w:p>
    <w:p>
      <w:pPr>
        <w:ind w:left="20" w:hanging="8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calculation of the percentage of outstanding shares is based on 75,375,633 shares of Common Stock outstanding as of June 30, 2022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-1976755</wp:posOffset>
            </wp:positionV>
            <wp:extent cx="59150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-459740</wp:posOffset>
            </wp:positionV>
            <wp:extent cx="65576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-871220</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-1282700</wp:posOffset>
            </wp:positionV>
            <wp:extent cx="65576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-1557020</wp:posOffset>
            </wp:positionV>
            <wp:extent cx="65576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414020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13 (this “</w:t>
      </w:r>
      <w:r>
        <w:rPr>
          <w:rFonts w:ascii="Times New Roman" w:cs="Times New Roman" w:eastAsia="Times New Roman" w:hAnsi="Times New Roman"/>
          <w:sz w:val="18"/>
          <w:szCs w:val="18"/>
          <w:u w:val="single" w:color="auto"/>
          <w:color w:val="auto"/>
        </w:rPr>
        <w:t>Amendment No. 13</w:t>
      </w:r>
      <w:r>
        <w:rPr>
          <w:rFonts w:ascii="Times New Roman" w:cs="Times New Roman" w:eastAsia="Times New Roman" w:hAnsi="Times New Roman"/>
          <w:sz w:val="18"/>
          <w:szCs w:val="18"/>
          <w:color w:val="auto"/>
        </w:rPr>
        <w:t>”) to the statement on Schedule 13D amends and supplements the statement on Schedule 13D filed by the Reporting Persons on November 6, 2020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Amendment No. 6 to the Original Schedule 13D filed by the Reporting Persons on January 10, 2022, Amendment No. 7 to the Original Schedule 13D filed by the Reporting Persons on January 24, 2022, Amendment No. 8 to the Original Schedule 13D filed by the Reporting Persons on March 9, 2022, Amendment No. 9 to the Original Schedule 13D filed by the Reporting Persons on March 23, 2022, Amendment No. 10 to the Original Schedule 13D filed by the Reporting Persons on April 14, 2022, Amendment No. 11 to the Original Schedule 13D filed by the Reporting Persons on June 7, 2022 and Amendment No. 12 to the Original Schedule 13D filed by the Reporting Persons on June 17, 2022 (as so amended, the “</w:t>
      </w:r>
      <w:r>
        <w:rPr>
          <w:rFonts w:ascii="Times New Roman" w:cs="Times New Roman" w:eastAsia="Times New Roman" w:hAnsi="Times New Roman"/>
          <w:sz w:val="18"/>
          <w:szCs w:val="18"/>
          <w:u w:val="single" w:color="auto"/>
          <w:color w:val="auto"/>
        </w:rPr>
        <w:t>13D Filing</w:t>
      </w:r>
      <w:r>
        <w:rPr>
          <w:rFonts w:ascii="Times New Roman" w:cs="Times New Roman" w:eastAsia="Times New Roman" w:hAnsi="Times New Roman"/>
          <w:sz w:val="18"/>
          <w:szCs w:val="18"/>
          <w:color w:val="auto"/>
        </w:rPr>
        <w:t>,” and, together with this Amendment No. 13,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Except as amended in this Amendment No. 13, the 13D Filing remains in full force and effect. Terms defined in the 13D Filing are used in this Amendment No. 13 as so defined, unless otherwise defined in this Amendment No. 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sentence of Item 2(a) of the 13D Filing is hereby amended and restated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dated as of August 15, 2022, a copy of which is attached to this Schedule 13D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5(c) and 5(e) of the 13D Filing are hereby amended and restated in its entirety as follows:</w:t>
      </w:r>
    </w:p>
    <w:p>
      <w:pPr>
        <w:spacing w:after="0" w:line="221" w:lineRule="exact"/>
        <w:rPr>
          <w:sz w:val="20"/>
          <w:szCs w:val="20"/>
          <w:color w:val="auto"/>
        </w:rPr>
      </w:pPr>
    </w:p>
    <w:p>
      <w:pPr>
        <w:jc w:val="both"/>
        <w:ind w:firstLine="8"/>
        <w:spacing w:after="0" w:line="256" w:lineRule="auto"/>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Aggregate Number and Percentage of Securities</w:t>
      </w:r>
      <w:r>
        <w:rPr>
          <w:rFonts w:ascii="Times New Roman" w:cs="Times New Roman" w:eastAsia="Times New Roman" w:hAnsi="Times New Roman"/>
          <w:sz w:val="18"/>
          <w:szCs w:val="18"/>
          <w:color w:val="auto"/>
        </w:rPr>
        <w:t>. As of the date that this Schedule 13D is filed, (i) ACOF AIV 1A directly holds 64,083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(ii) ACOF AIV 1B directly holds 234,469 shares of Common Stock, (iii) ACOF AIV 2 directly holds 238,858 shares of Common Stock, (iv) AEOF AIV A-B directly holds 1,894,861 shares of Common Stock, (v) AEOF AIV C directly holds 804,524 shares of Common Stock and (vi) AF Energy Feeder, L.P. directly holds 279,121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83"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Transactions within the past 60 days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Since the filing of the Amendment No. 12 to the Original Schedule 13D, the ACOF AIVs and AF Energy Feeder, L.P. sold Common Stock in the transactions set forth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which is incorporated by reference into this Item 5(c) in its entirety. Except as set forth in this Item 5(c) and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attached to this Schedule 13D, none of the Reporting Persons has effected any transaction in Common Stock during the past 60 days.</w:t>
      </w:r>
    </w:p>
    <w:p>
      <w:pPr>
        <w:spacing w:after="0" w:line="176"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Cease to be a Beneficial Owner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transactions reported in Item 5(c), the Reporting Persons ceased to be the beneficial owner of more than five percent of the class of securities of the Issuer on August 11, 2022. The filing of this Amendment represents the final amendment to the Schedule 13D and constitutes an exit filing for the Reporting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 1</w:t>
            </w: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Trading Data</w:t>
            </w:r>
          </w:p>
        </w:tc>
      </w:tr>
      <w:tr>
        <w:trPr>
          <w:trHeight w:val="234"/>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 99.1</w:t>
            </w:r>
          </w:p>
        </w:tc>
        <w:tc>
          <w:tcPr>
            <w:tcW w:w="9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Joint Filing Agreement, dated as of August 15, 2022, by and among the Reporting Persons.</w:t>
            </w:r>
          </w:p>
        </w:tc>
      </w:tr>
      <w:tr>
        <w:trPr>
          <w:trHeight w:val="675"/>
        </w:trPr>
        <w:tc>
          <w:tcPr>
            <w:tcW w:w="126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46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w:t>
      </w:r>
    </w:p>
    <w:p>
      <w:pPr>
        <w:spacing w:after="0" w:line="27"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ind w:left="46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ARES PARTNERS HOLDCO LLC</w:t>
      </w:r>
    </w:p>
    <w:p>
      <w:pPr>
        <w:spacing w:after="0" w:line="39" w:lineRule="exact"/>
        <w:rPr>
          <w:sz w:val="20"/>
          <w:szCs w:val="20"/>
          <w:color w:val="auto"/>
        </w:rPr>
      </w:pPr>
    </w:p>
    <w:p>
      <w:pPr>
        <w:ind w:left="4620"/>
        <w:spacing w:after="0"/>
        <w:tabs>
          <w:tab w:leader="none" w:pos="5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1286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200"/>
        <w:spacing w:after="0"/>
        <w:tabs>
          <w:tab w:leader="none" w:pos="57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94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w w:val="99"/>
              </w:rPr>
              <w:t>Exhibit 1</w:t>
            </w:r>
          </w:p>
        </w:tc>
        <w:tc>
          <w:tcPr>
            <w:tcW w:w="680" w:type="dxa"/>
            <w:vAlign w:val="bottom"/>
            <w:gridSpan w:val="2"/>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Trading Data</w:t>
            </w:r>
          </w:p>
        </w:tc>
      </w:tr>
      <w:tr>
        <w:trPr>
          <w:trHeight w:val="20"/>
        </w:trPr>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6"/>
        </w:trPr>
        <w:tc>
          <w:tcPr>
            <w:tcW w:w="1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 99.1</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Joint Filing Agreement, dated as of August 15, 2022, by and among the Reporting Persons.</w:t>
            </w:r>
          </w:p>
        </w:tc>
      </w:tr>
      <w:tr>
        <w:trPr>
          <w:trHeight w:val="723"/>
        </w:trPr>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620" w:type="dxa"/>
            <w:vAlign w:val="bottom"/>
            <w:tcBorders>
              <w:top w:val="single" w:sz="8" w:color="0000EE"/>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EXHIBIT 1</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TRADING DATA</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0"/>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 of Shares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Where/How</w:t>
            </w:r>
          </w:p>
        </w:tc>
      </w:tr>
      <w:tr>
        <w:trPr>
          <w:trHeight w:val="238"/>
        </w:trPr>
        <w:tc>
          <w:tcPr>
            <w:tcW w:w="26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Effected</w:t>
            </w:r>
          </w:p>
        </w:tc>
      </w:tr>
      <w:tr>
        <w:trPr>
          <w:trHeight w:val="223"/>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7/28/2022</w:t>
            </w: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45.0016</w:t>
            </w:r>
          </w:p>
        </w:tc>
        <w:tc>
          <w:tcPr>
            <w:tcW w:w="2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45.1720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45.0066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45.2498</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45.3111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8/10/2022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15,695</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45.2850</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1A,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45.9751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45.0016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45.1720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45.0066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45.2498</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45.3111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8/10/2022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57,431</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45.2850</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1B,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57,431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45.9751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45.0016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25,148</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45.1720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45.0066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45.2498</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45.3111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8/10/2022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58,506</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45.2850</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V Energy IV AIV 2,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58,506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45.9751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45.0016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29,386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45.1720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45.0066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45.2498</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13,127</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45.3111</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8/10/2022</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0"/>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68,368</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45.2850</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Energy Feeder, L.P.</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Sell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8/12/2022</w:t>
            </w:r>
          </w:p>
        </w:tc>
        <w:tc>
          <w:tcPr>
            <w:tcW w:w="1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68,367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45.9751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Market/Broker</w:t>
            </w:r>
          </w:p>
        </w:tc>
      </w:tr>
      <w:tr>
        <w:trPr>
          <w:trHeight w:val="670"/>
        </w:trPr>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August 15,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1B,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AF V ENERGY IV AIV 2,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AEOF ECR AIV A-B,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ACOF INVESTMENT MANAGEMENT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8"/>
          <w:szCs w:val="18"/>
          <w:b w:val="1"/>
          <w:bCs w:val="1"/>
          <w:color w:val="auto"/>
        </w:rPr>
        <w:t>AEOF ECR AIV C,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AF ENERGY FEEDER,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ACOF INVESTMENT MANAGEMENT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ACOF INVESTMENT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HOLDINGS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ARES HOLDCO LLC</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CORPORATION</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 w:name="page24"/>
    <w:bookmarkEnd w:id="23"/>
    <w:p>
      <w:pPr>
        <w:ind w:left="4520"/>
        <w:spacing w:after="0"/>
        <w:rPr>
          <w:sz w:val="20"/>
          <w:szCs w:val="20"/>
          <w:color w:val="auto"/>
        </w:rPr>
      </w:pPr>
      <w:r>
        <w:rPr>
          <w:rFonts w:ascii="Times New Roman" w:cs="Times New Roman" w:eastAsia="Times New Roman" w:hAnsi="Times New Roman"/>
          <w:sz w:val="18"/>
          <w:szCs w:val="18"/>
          <w:b w:val="1"/>
          <w:bCs w:val="1"/>
          <w:color w:val="auto"/>
        </w:rPr>
        <w:t>ARES MANAGEMENT GP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VOTING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ARES PARTNERS HOLDCO LLC</w:t>
      </w:r>
    </w:p>
    <w:p>
      <w:pPr>
        <w:spacing w:after="0" w:line="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ARES PARTNERS HOLDCO LLC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Naseem Sagati Aghili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lvl w:ilvl="1">
      <w:lvlJc w:val="left"/>
      <w:lvlText w:val="(%2)"/>
      <w:numFmt w:val="lowerLetter"/>
      <w:start w:val="1"/>
    </w:lvl>
  </w:abstractNum>
  <w:abstractNum w:abstractNumId="2">
    <w:nsid w:val="8EDBDAB"/>
    <w:multiLevelType w:val="hybridMultilevel"/>
    <w:lvl w:ilvl="0">
      <w:lvlJc w:val="left"/>
      <w:lvlText w:val="%1"/>
      <w:numFmt w:val="decimal"/>
      <w:start w:val="1"/>
    </w:lvl>
    <w:lvl w:ilvl="1">
      <w:lvlJc w:val="left"/>
      <w:lvlText w:val="%2."/>
      <w:numFmt w:val="decimal"/>
      <w:start w:val="10"/>
    </w:lvl>
  </w:abstractNum>
  <w:abstractNum w:abstractNumId="3">
    <w:nsid w:val="79838CB2"/>
    <w:multiLevelType w:val="hybridMultilevel"/>
    <w:lvl w:ilvl="0">
      <w:lvlJc w:val="left"/>
      <w:lvlText w:val="%1."/>
      <w:numFmt w:val="decimal"/>
      <w:start w:val="11"/>
    </w:lvl>
    <w:lvl w:ilvl="1">
      <w:lvlJc w:val="left"/>
      <w:lvlText w:val="%2"/>
      <w:numFmt w:val="decimal"/>
      <w:start w:val="1"/>
    </w:lvl>
  </w:abstractNum>
  <w:abstractNum w:abstractNumId="4">
    <w:nsid w:val="4353D0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B03E0C6"/>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189A769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54E49EB4"/>
    <w:multiLevelType w:val="hybridMultilevel"/>
    <w:lvl w:ilvl="0">
      <w:lvlJc w:val="left"/>
      <w:lvlText w:val="%1."/>
      <w:numFmt w:val="decimal"/>
      <w:start w:val="1"/>
    </w:lvl>
    <w:lvl w:ilvl="1">
      <w:lvlJc w:val="left"/>
      <w:lvlText w:val="(%2)"/>
      <w:numFmt w:val="lowerLetter"/>
      <w:start w:val="1"/>
    </w:lvl>
  </w:abstractNum>
  <w:abstractNum w:abstractNumId="8">
    <w:nsid w:val="71F3245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2CA8861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2901D8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3A95F87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4">
    <w:nsid w:val="1E7FF52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7C3DBD3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37B8D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7">
    <w:nsid w:val="6CEAF08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22221A70"/>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0">
    <w:nsid w:val="3006C83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614FD4A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419AC2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3">
    <w:nsid w:val="5577F8E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440BADF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5072367"/>
    <w:multiLevelType w:val="hybridMultilevel"/>
    <w:lvl w:ilvl="0">
      <w:lvlJc w:val="left"/>
      <w:lvlText w:val="%1."/>
      <w:numFmt w:val="decimal"/>
      <w:start w:val="1"/>
    </w:lvl>
    <w:lvl w:ilvl="1">
      <w:lvlJc w:val="left"/>
      <w:lvlText w:val="(%2)"/>
      <w:numFmt w:val="lowerLetter"/>
      <w:start w:val="1"/>
    </w:lvl>
  </w:abstractNum>
  <w:abstractNum w:abstractNumId="26">
    <w:nsid w:val="3804823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77465F0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24C67E"/>
    <w:multiLevelType w:val="hybridMultilevel"/>
    <w:lvl w:ilvl="0">
      <w:lvlJc w:val="left"/>
      <w:lvlText w:val="%1."/>
      <w:numFmt w:val="decimal"/>
      <w:start w:val="1"/>
    </w:lvl>
    <w:lvl w:ilvl="1">
      <w:lvlJc w:val="left"/>
      <w:lvlText w:val="(%2)"/>
      <w:numFmt w:val="lowerLetter"/>
      <w:start w:val="1"/>
    </w:lvl>
  </w:abstractNum>
  <w:abstractNum w:abstractNumId="29">
    <w:nsid w:val="5C482A9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2463B9E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5E884A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2">
    <w:nsid w:val="51EAD36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2D51779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580BD78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5">
    <w:nsid w:val="153EA438"/>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3855585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70A64E2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8">
    <w:nsid w:val="6A2342E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2A487CB0"/>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1">
    <w:nsid w:val="725A06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2CD89A3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3"/>
    </w:lvl>
  </w:abstractNum>
  <w:abstractNum w:abstractNumId="45">
    <w:nsid w:val="4B588F54"/>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2022-08-15T16:14:55Z</dcterms:created>
  <dcterms:modified xsi:type="dcterms:W3CDTF">2022-08-15T16:14:55Z</dcterms:modified>
</cp:coreProperties>
</file>