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June 2,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California Resources Corporation</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 2020,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certain of its subsidiaries entered into forbearance agreements (collectively, the “</w:t>
      </w:r>
      <w:r>
        <w:rPr>
          <w:rFonts w:ascii="Arial" w:cs="Arial" w:eastAsia="Arial" w:hAnsi="Arial"/>
          <w:sz w:val="18"/>
          <w:szCs w:val="18"/>
          <w:b w:val="1"/>
          <w:bCs w:val="1"/>
          <w:i w:val="1"/>
          <w:iCs w:val="1"/>
          <w:color w:val="auto"/>
        </w:rPr>
        <w:t>Forbearance Agreements</w:t>
      </w:r>
      <w:r>
        <w:rPr>
          <w:rFonts w:ascii="Arial" w:cs="Arial" w:eastAsia="Arial" w:hAnsi="Arial"/>
          <w:sz w:val="18"/>
          <w:szCs w:val="18"/>
          <w:color w:val="auto"/>
        </w:rPr>
        <w:t>”) with:</w:t>
      </w:r>
    </w:p>
    <w:p>
      <w:pPr>
        <w:spacing w:after="0" w:line="116" w:lineRule="exact"/>
        <w:rPr>
          <w:sz w:val="20"/>
          <w:szCs w:val="20"/>
          <w:color w:val="auto"/>
        </w:rPr>
      </w:pPr>
    </w:p>
    <w:p>
      <w:pPr>
        <w:jc w:val="both"/>
        <w:ind w:left="980" w:right="22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2014 Lenders</w:t>
      </w:r>
      <w:r>
        <w:rPr>
          <w:rFonts w:ascii="Arial" w:cs="Arial" w:eastAsia="Arial" w:hAnsi="Arial"/>
          <w:sz w:val="17"/>
          <w:szCs w:val="17"/>
          <w:color w:val="auto"/>
        </w:rPr>
        <w:t>”) of approximately 84.6% of the outstanding principal amount of the loans under its Credit Agreement, dated as of September 24, 2014 (as amended, the “</w:t>
      </w:r>
      <w:r>
        <w:rPr>
          <w:rFonts w:ascii="Arial" w:cs="Arial" w:eastAsia="Arial" w:hAnsi="Arial"/>
          <w:sz w:val="17"/>
          <w:szCs w:val="17"/>
          <w:b w:val="1"/>
          <w:bCs w:val="1"/>
          <w:i w:val="1"/>
          <w:iCs w:val="1"/>
          <w:color w:val="auto"/>
        </w:rPr>
        <w:t>2014 Credit Agreement</w:t>
      </w:r>
      <w:r>
        <w:rPr>
          <w:rFonts w:ascii="Arial" w:cs="Arial" w:eastAsia="Arial" w:hAnsi="Arial"/>
          <w:sz w:val="17"/>
          <w:szCs w:val="17"/>
          <w:color w:val="auto"/>
        </w:rPr>
        <w:t>”), by and among the Company, as the Borrower, the subsidiary guarantors party thereto, the various Lenders identified therein, JPMorgan Chase Bank, N.A., as Administrative Agent, a Lender and a Letter of Credit Issuer, and Bank of America, N.A., as a Lender and a Letter of Credit Issuer;</w:t>
      </w:r>
    </w:p>
    <w:p>
      <w:pPr>
        <w:spacing w:after="0" w:line="117" w:lineRule="exact"/>
        <w:rPr>
          <w:rFonts w:ascii="Arial" w:cs="Arial" w:eastAsia="Arial" w:hAnsi="Arial"/>
          <w:sz w:val="17"/>
          <w:szCs w:val="17"/>
          <w:color w:val="auto"/>
        </w:rPr>
      </w:pPr>
    </w:p>
    <w:p>
      <w:pPr>
        <w:ind w:left="980" w:right="10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2016 Lenders</w:t>
      </w:r>
      <w:r>
        <w:rPr>
          <w:rFonts w:ascii="Arial" w:cs="Arial" w:eastAsia="Arial" w:hAnsi="Arial"/>
          <w:sz w:val="17"/>
          <w:szCs w:val="17"/>
          <w:color w:val="auto"/>
        </w:rPr>
        <w:t>”) of approximately 61.6% of the outstanding principal amount of the term loans under its Credit Agreement, dated August 12, 2016 (the “</w:t>
      </w:r>
      <w:r>
        <w:rPr>
          <w:rFonts w:ascii="Arial" w:cs="Arial" w:eastAsia="Arial" w:hAnsi="Arial"/>
          <w:sz w:val="17"/>
          <w:szCs w:val="17"/>
          <w:b w:val="1"/>
          <w:bCs w:val="1"/>
          <w:i w:val="1"/>
          <w:iCs w:val="1"/>
          <w:color w:val="auto"/>
        </w:rPr>
        <w:t>2016 Credit Agreement</w:t>
      </w:r>
      <w:r>
        <w:rPr>
          <w:rFonts w:ascii="Arial" w:cs="Arial" w:eastAsia="Arial" w:hAnsi="Arial"/>
          <w:sz w:val="17"/>
          <w:szCs w:val="17"/>
          <w:color w:val="auto"/>
        </w:rPr>
        <w:t>”), by and among the Company, as the Borrower, the various Lenders identified therein and The Bank of New York Mellon Trust Company, N.A., as Administrative Agent; and</w:t>
      </w:r>
    </w:p>
    <w:p>
      <w:pPr>
        <w:spacing w:after="0" w:line="111" w:lineRule="exact"/>
        <w:rPr>
          <w:rFonts w:ascii="Arial" w:cs="Arial" w:eastAsia="Arial" w:hAnsi="Arial"/>
          <w:sz w:val="17"/>
          <w:szCs w:val="17"/>
          <w:color w:val="auto"/>
        </w:rPr>
      </w:pPr>
    </w:p>
    <w:p>
      <w:pPr>
        <w:ind w:left="980" w:right="220" w:hanging="324"/>
        <w:spacing w:after="0" w:line="25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lenders (collectively, the “</w:t>
      </w:r>
      <w:r>
        <w:rPr>
          <w:rFonts w:ascii="Arial" w:cs="Arial" w:eastAsia="Arial" w:hAnsi="Arial"/>
          <w:sz w:val="18"/>
          <w:szCs w:val="18"/>
          <w:b w:val="1"/>
          <w:bCs w:val="1"/>
          <w:i w:val="1"/>
          <w:iCs w:val="1"/>
          <w:color w:val="auto"/>
        </w:rPr>
        <w:t>2017 Lenders</w:t>
      </w:r>
      <w:r>
        <w:rPr>
          <w:rFonts w:ascii="Arial" w:cs="Arial" w:eastAsia="Arial" w:hAnsi="Arial"/>
          <w:sz w:val="18"/>
          <w:szCs w:val="18"/>
          <w:color w:val="auto"/>
        </w:rPr>
        <w:t>”, and together with the 2014 Lenders and the 2016 Lenders, the “</w:t>
      </w:r>
      <w:r>
        <w:rPr>
          <w:rFonts w:ascii="Arial" w:cs="Arial" w:eastAsia="Arial" w:hAnsi="Arial"/>
          <w:sz w:val="18"/>
          <w:szCs w:val="18"/>
          <w:b w:val="1"/>
          <w:bCs w:val="1"/>
          <w:i w:val="1"/>
          <w:iCs w:val="1"/>
          <w:color w:val="auto"/>
        </w:rPr>
        <w:t>Forbearing Parties</w:t>
      </w:r>
      <w:r>
        <w:rPr>
          <w:rFonts w:ascii="Arial" w:cs="Arial" w:eastAsia="Arial" w:hAnsi="Arial"/>
          <w:sz w:val="18"/>
          <w:szCs w:val="18"/>
          <w:color w:val="auto"/>
        </w:rPr>
        <w:t>”) of approximately 79.1% of the outstanding principal amount of the term loans under its Credit Agreement, dated as of November 17, 2017 (as amended, the “</w:t>
      </w:r>
      <w:r>
        <w:rPr>
          <w:rFonts w:ascii="Arial" w:cs="Arial" w:eastAsia="Arial" w:hAnsi="Arial"/>
          <w:sz w:val="18"/>
          <w:szCs w:val="18"/>
          <w:b w:val="1"/>
          <w:bCs w:val="1"/>
          <w:i w:val="1"/>
          <w:iCs w:val="1"/>
          <w:color w:val="auto"/>
        </w:rPr>
        <w:t>2017 Credit Agreement</w:t>
      </w:r>
      <w:r>
        <w:rPr>
          <w:rFonts w:ascii="Arial" w:cs="Arial" w:eastAsia="Arial" w:hAnsi="Arial"/>
          <w:sz w:val="18"/>
          <w:szCs w:val="18"/>
          <w:color w:val="auto"/>
        </w:rPr>
        <w:t>”, and together with the 2014 Credit Agreement and the 2016 Credit Agreement,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by and among the Company, as the Borrower, the subsidiary guarantors party thereto, the various Lenders identified therein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of New York Mellon Trust, N.A., as Administrative Agent.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Forbearance Agreements, the Forbearing Parties agreed to forbear from exercising any remedies under the Credit Agreements with respect to the failure to make certain interest payments due on May 29, 2020 until the earlier of (a) 11:59 p.m. (New York time) on June 14, 2020 and (b) the date the Forbearance Agreements otherwise terminate in accordance with their terms. The Forbearance Agreements contain certain representations and warranties of the Company and covenants with which the Company must comply during the forbearance period. The failure to comply with such covenants, among other things, would result in the early termination of the forbearance period.</w:t>
      </w:r>
    </w:p>
    <w:p>
      <w:pPr>
        <w:spacing w:after="0" w:line="12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foregoing descriptions of the Forbearance Agreements are summaries only and are qualified in their entirety by reference to the complete text of the Forbearance Agreements which are attached hereto as Exhibits 10.1, 10.2 and 10.3, and each of them are incorporated by reference into this Item 1.01.</w:t>
      </w:r>
    </w:p>
    <w:p>
      <w:pPr>
        <w:sectPr>
          <w:pgSz w:w="11900" w:h="16838" w:orient="portrait"/>
          <w:cols w:equalWidth="0" w:num="1">
            <w:col w:w="11240"/>
          </w:cols>
          <w:pgMar w:left="320" w:top="553"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40" w:type="dxa"/>
            <w:vAlign w:val="bottom"/>
            <w:gridSpan w:val="6"/>
          </w:tcPr>
          <w:p>
            <w:pPr>
              <w:ind w:left="24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center"/>
              <w:spacing w:after="0" w:line="196" w:lineRule="exact"/>
              <w:rPr>
                <w:rFonts w:ascii="Arial" w:cs="Arial" w:eastAsia="Arial" w:hAnsi="Arial"/>
                <w:sz w:val="18"/>
                <w:szCs w:val="18"/>
                <w:u w:val="single" w:color="auto"/>
                <w:color w:val="0000FF"/>
                <w:w w:val="91"/>
              </w:rPr>
            </w:pPr>
            <w:hyperlink w:anchor="page5">
              <w:r>
                <w:rPr>
                  <w:rFonts w:ascii="Arial" w:cs="Arial" w:eastAsia="Arial" w:hAnsi="Arial"/>
                  <w:sz w:val="18"/>
                  <w:szCs w:val="18"/>
                  <w:u w:val="single" w:color="auto"/>
                  <w:color w:val="0000FF"/>
                  <w:w w:val="91"/>
                </w:rPr>
                <w:t>10.1</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w:anchor="page5">
              <w:r>
                <w:rPr>
                  <w:rFonts w:ascii="Arial" w:cs="Arial" w:eastAsia="Arial" w:hAnsi="Arial"/>
                  <w:sz w:val="18"/>
                  <w:szCs w:val="18"/>
                  <w:color w:val="0000FF"/>
                  <w:w w:val="88"/>
                </w:rPr>
                <w:t>Forbearance Agreement, dated as of June 2, 2020, by and among the Company, the subsidiary guarantors party thereto,</w:t>
              </w:r>
            </w:hyperlink>
          </w:p>
        </w:tc>
        <w:tc>
          <w:tcPr>
            <w:tcW w:w="480" w:type="dxa"/>
            <w:vAlign w:val="bottom"/>
            <w:gridSpan w:val="3"/>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certain Lenders identified therein, JPMorgan Chase Bank, N.A., as Administrative Agent, a Lender and a Letter of Credit</w:t>
              </w:r>
            </w:hyperlink>
          </w:p>
        </w:tc>
        <w:tc>
          <w:tcPr>
            <w:tcW w:w="320" w:type="dxa"/>
            <w:vAlign w:val="bottom"/>
            <w:gridSpan w:val="2"/>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7"/>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Issuer, and Bank of America, N.A., a Lender and a Letter of Credit Issuer.</w:t>
              </w:r>
              <w:r>
                <w:rPr>
                  <w:rFonts w:ascii="Arial" w:cs="Arial" w:eastAsia="Arial" w:hAnsi="Arial"/>
                  <w:sz w:val="18"/>
                  <w:szCs w:val="18"/>
                  <w:color w:val="000000"/>
                </w:rPr>
                <w:t>*</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20">
              <w:r>
                <w:rPr>
                  <w:rFonts w:ascii="Arial" w:cs="Arial" w:eastAsia="Arial" w:hAnsi="Arial"/>
                  <w:sz w:val="18"/>
                  <w:szCs w:val="18"/>
                  <w:u w:val="single" w:color="auto"/>
                  <w:color w:val="0000FF"/>
                  <w:w w:val="91"/>
                </w:rPr>
                <w:t>10.2</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7"/>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Forbearance Agreement, dated as of June 2, 2020, by and among the Company, as the Borrower, the subsidiary guarantors</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tcBorders>
            <w:gridSpan w:val="6"/>
          </w:tcPr>
          <w:p>
            <w:pPr>
              <w:spacing w:after="0" w:line="196" w:lineRule="exact"/>
              <w:rPr>
                <w:rFonts w:ascii="Arial" w:cs="Arial" w:eastAsia="Arial" w:hAnsi="Arial"/>
                <w:sz w:val="18"/>
                <w:szCs w:val="18"/>
                <w:color w:val="0000FF"/>
                <w:w w:val="99"/>
              </w:rPr>
            </w:pPr>
            <w:hyperlink w:anchor="page20">
              <w:r>
                <w:rPr>
                  <w:rFonts w:ascii="Arial" w:cs="Arial" w:eastAsia="Arial" w:hAnsi="Arial"/>
                  <w:sz w:val="18"/>
                  <w:szCs w:val="18"/>
                  <w:color w:val="0000FF"/>
                  <w:w w:val="99"/>
                </w:rPr>
                <w:t>party thereto, the various Lenders identified therein and The Bank of New York Mellon Trust Company, N.A., as</w:t>
              </w:r>
            </w:hyperlink>
          </w:p>
        </w:tc>
        <w:tc>
          <w:tcPr>
            <w:tcW w:w="26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20">
              <w:r>
                <w:rPr>
                  <w:rFonts w:ascii="Arial" w:cs="Arial" w:eastAsia="Arial" w:hAnsi="Arial"/>
                  <w:sz w:val="18"/>
                  <w:szCs w:val="18"/>
                  <w:color w:val="0000FF"/>
                </w:rPr>
                <w:t>Administrative Agent.</w:t>
              </w:r>
              <w:r>
                <w:rPr>
                  <w:rFonts w:ascii="Arial" w:cs="Arial" w:eastAsia="Arial" w:hAnsi="Arial"/>
                  <w:sz w:val="18"/>
                  <w:szCs w:val="18"/>
                  <w:color w:val="000000"/>
                </w:rPr>
                <w:t>*</w:t>
              </w:r>
            </w:hyperlink>
          </w:p>
        </w:tc>
        <w:tc>
          <w:tcPr>
            <w:tcW w:w="940" w:type="dxa"/>
            <w:vAlign w:val="bottom"/>
            <w:gridSpan w:val="4"/>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440" w:type="dxa"/>
            <w:vAlign w:val="bottom"/>
            <w:gridSpan w:val="6"/>
          </w:tcPr>
          <w:p>
            <w:pPr>
              <w:spacing w:after="0" w:line="20" w:lineRule="exact"/>
              <w:rPr>
                <w:sz w:val="1"/>
                <w:szCs w:val="1"/>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35">
              <w:r>
                <w:rPr>
                  <w:rFonts w:ascii="Arial" w:cs="Arial" w:eastAsia="Arial" w:hAnsi="Arial"/>
                  <w:sz w:val="18"/>
                  <w:szCs w:val="18"/>
                  <w:u w:val="single" w:color="auto"/>
                  <w:color w:val="0000FF"/>
                  <w:w w:val="91"/>
                </w:rPr>
                <w:t>10.3</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7"/>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Forbearance Agreement, dated as of June 2, 2020, by and among the Company, as the Borrower, the subsidiary guarantors</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tcBorders>
              <w:top w:val="single" w:sz="8" w:color="0000FF"/>
            </w:tcBorders>
            <w:gridSpan w:val="6"/>
          </w:tcPr>
          <w:p>
            <w:pPr>
              <w:spacing w:after="0" w:line="196"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party thereto, the various Lenders identified therein and The Bank of New York Mellon Trust Company, N.A., as</w:t>
              </w:r>
            </w:hyperlink>
          </w:p>
        </w:tc>
        <w:tc>
          <w:tcPr>
            <w:tcW w:w="26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Administrative Agent.</w:t>
              </w:r>
              <w:r>
                <w:rPr>
                  <w:rFonts w:ascii="Arial" w:cs="Arial" w:eastAsia="Arial" w:hAnsi="Arial"/>
                  <w:sz w:val="18"/>
                  <w:szCs w:val="18"/>
                  <w:color w:val="000000"/>
                </w:rPr>
                <w:t>*</w:t>
              </w:r>
            </w:hyperlink>
          </w:p>
        </w:tc>
        <w:tc>
          <w:tcPr>
            <w:tcW w:w="940" w:type="dxa"/>
            <w:vAlign w:val="bottom"/>
            <w:gridSpan w:val="4"/>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440" w:type="dxa"/>
            <w:vAlign w:val="bottom"/>
            <w:gridSpan w:val="6"/>
          </w:tcPr>
          <w:p>
            <w:pPr>
              <w:spacing w:after="0" w:line="20" w:lineRule="exact"/>
              <w:rPr>
                <w:sz w:val="1"/>
                <w:szCs w:val="1"/>
                <w:color w:val="auto"/>
              </w:rPr>
            </w:pPr>
          </w:p>
        </w:tc>
      </w:tr>
      <w:tr>
        <w:trPr>
          <w:trHeight w:val="588"/>
        </w:trPr>
        <w:tc>
          <w:tcPr>
            <w:tcW w:w="19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Item 601(b)(10) of Regulation S-K.</w:t>
      </w:r>
    </w:p>
    <w:p>
      <w:pPr>
        <w:sectPr>
          <w:pgSz w:w="11900" w:h="16838" w:orient="portrait"/>
          <w:cols w:equalWidth="0" w:num="1">
            <w:col w:w="11240"/>
          </w:cols>
          <w:pgMar w:left="320" w:top="877"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June 8, 2020</w:t>
      </w:r>
    </w:p>
    <w:p>
      <w:pPr>
        <w:sectPr>
          <w:pgSz w:w="11900" w:h="16838" w:orient="portrait"/>
          <w:cols w:equalWidth="0" w:num="1">
            <w:col w:w="10920"/>
          </w:cols>
          <w:pgMar w:left="320" w:top="553" w:right="659" w:bottom="1440" w:gutter="0" w:footer="0" w:header="0"/>
          <w:type w:val="continuous"/>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10.1</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FORBEARANCE AGREEMENT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FORBEARANCE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June 2, 2020, by and among </w:t>
      </w:r>
      <w:r>
        <w:rPr>
          <w:rFonts w:ascii="Arial" w:cs="Arial" w:eastAsia="Arial" w:hAnsi="Arial"/>
          <w:sz w:val="20"/>
          <w:szCs w:val="20"/>
          <w:b w:val="1"/>
          <w:bCs w:val="1"/>
          <w:color w:val="auto"/>
        </w:rPr>
        <w:t>CALIFORNIA</w:t>
      </w:r>
      <w:r>
        <w:rPr>
          <w:rFonts w:ascii="Arial" w:cs="Arial" w:eastAsia="Arial" w:hAnsi="Arial"/>
          <w:sz w:val="20"/>
          <w:szCs w:val="20"/>
          <w:color w:val="auto"/>
        </w:rPr>
        <w:t xml:space="preserve"> </w:t>
      </w:r>
      <w:r>
        <w:rPr>
          <w:rFonts w:ascii="Arial" w:cs="Arial" w:eastAsia="Arial" w:hAnsi="Arial"/>
          <w:sz w:val="20"/>
          <w:szCs w:val="20"/>
          <w:b w:val="1"/>
          <w:bCs w:val="1"/>
          <w:color w:val="auto"/>
        </w:rPr>
        <w:t>RESOURCES CORPORATION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other Guarantors party hereto (the “</w:t>
      </w:r>
      <w:r>
        <w:rPr>
          <w:rFonts w:ascii="Arial" w:cs="Arial" w:eastAsia="Arial" w:hAnsi="Arial"/>
          <w:sz w:val="20"/>
          <w:szCs w:val="20"/>
          <w:b w:val="1"/>
          <w:bCs w:val="1"/>
          <w:color w:val="auto"/>
        </w:rPr>
        <w:t>Guarantors</w:t>
      </w:r>
      <w:r>
        <w:rPr>
          <w:rFonts w:ascii="Arial" w:cs="Arial" w:eastAsia="Arial" w:hAnsi="Arial"/>
          <w:sz w:val="20"/>
          <w:szCs w:val="20"/>
          <w:color w:val="auto"/>
        </w:rPr>
        <w:t>”),</w:t>
      </w:r>
      <w:r>
        <w:rPr>
          <w:rFonts w:ascii="Arial" w:cs="Arial" w:eastAsia="Arial" w:hAnsi="Arial"/>
          <w:sz w:val="20"/>
          <w:szCs w:val="20"/>
          <w:b w:val="1"/>
          <w:bCs w:val="1"/>
          <w:color w:val="auto"/>
        </w:rPr>
        <w:t xml:space="preserve"> JPMORGAN CHASE BANK, N.A.</w:t>
      </w:r>
      <w:r>
        <w:rPr>
          <w:rFonts w:ascii="Arial" w:cs="Arial" w:eastAsia="Arial" w:hAnsi="Arial"/>
          <w:sz w:val="20"/>
          <w:szCs w:val="20"/>
          <w:color w:val="auto"/>
        </w:rPr>
        <w:t>, as administrative agent for the Lenders (in such capacity, the “</w:t>
      </w:r>
      <w:r>
        <w:rPr>
          <w:rFonts w:ascii="Arial" w:cs="Arial" w:eastAsia="Arial" w:hAnsi="Arial"/>
          <w:sz w:val="20"/>
          <w:szCs w:val="20"/>
          <w:b w:val="1"/>
          <w:bCs w:val="1"/>
          <w:color w:val="auto"/>
        </w:rPr>
        <w:t>Administrative Agent</w:t>
      </w:r>
      <w:r>
        <w:rPr>
          <w:rFonts w:ascii="Arial" w:cs="Arial" w:eastAsia="Arial" w:hAnsi="Arial"/>
          <w:sz w:val="20"/>
          <w:szCs w:val="20"/>
          <w:color w:val="auto"/>
        </w:rPr>
        <w:t>”)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Lenders party hereto (the “</w:t>
      </w:r>
      <w:r>
        <w:rPr>
          <w:rFonts w:ascii="Arial" w:cs="Arial" w:eastAsia="Arial" w:hAnsi="Arial"/>
          <w:sz w:val="20"/>
          <w:szCs w:val="20"/>
          <w:b w:val="1"/>
          <w:bCs w:val="1"/>
          <w:color w:val="auto"/>
        </w:rPr>
        <w:t>Forbearing Lenders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the Borrower, the Forbearing Lenders and the Administrative Agent are parties to that certain Credit Agreement, dated as of September 24, 2014 (as amended, restated, supplemented or otherwise modified prior to the date hereof, the “</w:t>
      </w:r>
      <w:r>
        <w:rPr>
          <w:rFonts w:ascii="Arial" w:cs="Arial" w:eastAsia="Arial" w:hAnsi="Arial"/>
          <w:sz w:val="20"/>
          <w:szCs w:val="20"/>
          <w:b w:val="1"/>
          <w:bCs w:val="1"/>
          <w:color w:val="auto"/>
        </w:rPr>
        <w:t>Credit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Credit Agreement);</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the Borrower has informed the Administrative Agent and the Lenders that Events of Default are anticipated to occur under Section 12.4 of the Credit Agreement as a result of (i) the Borrower’s failure (or expected failure) to pay interest on the Loans (as defined in the Credit Agreement, dated as of November 17, 2017, among the Borrower, the lenders party thereto, and The Bank of New York Mellon Trust Company, N.A., as administrative agent (as may be amended, restated, supplemented or otherwise modified from time to time, the “</w:t>
      </w:r>
      <w:r>
        <w:rPr>
          <w:rFonts w:ascii="Arial" w:cs="Arial" w:eastAsia="Arial" w:hAnsi="Arial"/>
          <w:sz w:val="18"/>
          <w:szCs w:val="18"/>
          <w:b w:val="1"/>
          <w:bCs w:val="1"/>
          <w:color w:val="auto"/>
        </w:rPr>
        <w:t>2017 Term Loan Agreement</w:t>
      </w:r>
      <w:r>
        <w:rPr>
          <w:rFonts w:ascii="Arial" w:cs="Arial" w:eastAsia="Arial" w:hAnsi="Arial"/>
          <w:sz w:val="18"/>
          <w:szCs w:val="18"/>
          <w:color w:val="auto"/>
        </w:rPr>
        <w:t>”)) that is due on May 29, 2020 pursuant to the 2017 Term Loan Agreement and (ii) the Borrower’s failure (or expected failure) to pay interest on the Loans (as defined in the Credit Agreement, dated as of August 12, 2016, among the Borrower, the lenders party thereto, and The Bank of New York Mellon Trust Company, N.A., as administrative agent and collateral agent (as may be amended, restated, supplemented or otherwise modified from time to time, the “</w:t>
      </w:r>
      <w:r>
        <w:rPr>
          <w:rFonts w:ascii="Arial" w:cs="Arial" w:eastAsia="Arial" w:hAnsi="Arial"/>
          <w:sz w:val="18"/>
          <w:szCs w:val="18"/>
          <w:b w:val="1"/>
          <w:bCs w:val="1"/>
          <w:color w:val="auto"/>
        </w:rPr>
        <w:t>2016 Term Loan Agreement</w:t>
      </w:r>
      <w:r>
        <w:rPr>
          <w:rFonts w:ascii="Arial" w:cs="Arial" w:eastAsia="Arial" w:hAnsi="Arial"/>
          <w:sz w:val="18"/>
          <w:szCs w:val="18"/>
          <w:color w:val="auto"/>
        </w:rPr>
        <w:t>”)) that is due on May 29, 2020 pursuant to the 2016 Term Loan Agreement (the “</w:t>
      </w:r>
      <w:r>
        <w:rPr>
          <w:rFonts w:ascii="Arial" w:cs="Arial" w:eastAsia="Arial" w:hAnsi="Arial"/>
          <w:sz w:val="18"/>
          <w:szCs w:val="18"/>
          <w:b w:val="1"/>
          <w:bCs w:val="1"/>
          <w:color w:val="auto"/>
        </w:rPr>
        <w:t>Acknowledged Events of Default</w:t>
      </w:r>
      <w:r>
        <w:rPr>
          <w:rFonts w:ascii="Arial" w:cs="Arial" w:eastAsia="Arial" w:hAnsi="Arial"/>
          <w:sz w:val="18"/>
          <w:szCs w:val="18"/>
          <w:color w:val="auto"/>
        </w:rPr>
        <w:t>”); and</w:t>
      </w:r>
    </w:p>
    <w:p>
      <w:pPr>
        <w:spacing w:after="0" w:line="13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WHEREAS, notwithstanding the occurrence and continuance of the Acknowledged Events of Default, the Borrower has requested that the Administrative Agent and the Lenders agree to, and the Administrative Agent and the Forbearing Lenders (which constitute the Majority Lenders) have agreed, although under no obligation to do so, to, forbear from exercising their rights and remedies solely as a result of the Acknowledged Events of Default and solely on the express terms and subject to the conditions set forth in this Agreement.</w:t>
      </w:r>
    </w:p>
    <w:p>
      <w:pPr>
        <w:spacing w:after="0" w:line="118"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Agreements and Acknowledgments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37" w:lineRule="auto"/>
        <w:tabs>
          <w:tab w:leader="none" w:pos="1745" w:val="left"/>
        </w:tabs>
        <w:numPr>
          <w:ilvl w:val="1"/>
          <w:numId w:val="4"/>
        </w:numPr>
        <w:rPr>
          <w:rFonts w:ascii="Arial" w:cs="Arial" w:eastAsia="Arial" w:hAnsi="Arial"/>
          <w:sz w:val="20"/>
          <w:szCs w:val="20"/>
          <w:color w:val="auto"/>
        </w:rPr>
      </w:pPr>
      <w:r>
        <w:rPr>
          <w:rFonts w:ascii="Arial" w:cs="Arial" w:eastAsia="Arial" w:hAnsi="Arial"/>
          <w:sz w:val="20"/>
          <w:szCs w:val="20"/>
          <w:color w:val="auto"/>
        </w:rPr>
        <w:t>Each Credit Party acknowledges that the recitals set forth above are true and correct in all respects and admits that the occurrence of the Acknowledged Events of Default have resulted in, or shall, if and when they occur, result in, Events of Default under the Credit Agreement.</w:t>
      </w:r>
    </w:p>
    <w:p>
      <w:pPr>
        <w:spacing w:after="0" w:line="142" w:lineRule="exact"/>
        <w:rPr>
          <w:rFonts w:ascii="Arial" w:cs="Arial" w:eastAsia="Arial" w:hAnsi="Arial"/>
          <w:sz w:val="20"/>
          <w:szCs w:val="20"/>
          <w:color w:val="auto"/>
        </w:rPr>
      </w:pPr>
    </w:p>
    <w:p>
      <w:pPr>
        <w:jc w:val="both"/>
        <w:ind w:firstLine="1304"/>
        <w:spacing w:after="0" w:line="267" w:lineRule="auto"/>
        <w:tabs>
          <w:tab w:leader="none" w:pos="176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Amount of Obligations</w:t>
      </w:r>
      <w:r>
        <w:rPr>
          <w:rFonts w:ascii="Arial" w:cs="Arial" w:eastAsia="Arial" w:hAnsi="Arial"/>
          <w:sz w:val="18"/>
          <w:szCs w:val="18"/>
          <w:color w:val="auto"/>
        </w:rPr>
        <w:t>. Each Credit Party acknowledges and agrees that (i) the aggregate unpaid principal balance of the Revolving Loans as of the date hereof is $730,700,000.00 and (ii) the aggregate amount of Letters of Credit Outstanding as of the date hereof is $152,332,152.62 (the foregoing amounts in clauses (i) and (ii) hereafter collectively referred to as the “</w:t>
      </w:r>
      <w:r>
        <w:rPr>
          <w:rFonts w:ascii="Arial" w:cs="Arial" w:eastAsia="Arial" w:hAnsi="Arial"/>
          <w:sz w:val="18"/>
          <w:szCs w:val="18"/>
          <w:b w:val="1"/>
          <w:bCs w:val="1"/>
          <w:color w:val="auto"/>
        </w:rPr>
        <w:t>Current Outstanding</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 The foregoing amounts do not include other fees, expenses (including professional fees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expenses), and other Obligations and amounts which are chargeable or otherwise reimbursable under the Credit Agreement and the other Credit Documents or which are payable pursuant to this Agreement. Neither the Borrower nor any other Credit Party has any rights of offset, defenses, claims or counterclaims with respect to the Current Outstanding Obligations or any of the other Obligations or any payment obligation under this Agreement, and each of the Credit Parties are jointly and severally obligated with respect thereto, in each case, in accordance with the terms of the applicable Credit Documents and, with respect to payment obligations hereunder, this Agreement.</w:t>
      </w:r>
    </w:p>
    <w:p>
      <w:pPr>
        <w:spacing w:after="0" w:line="121" w:lineRule="exact"/>
        <w:rPr>
          <w:sz w:val="20"/>
          <w:szCs w:val="20"/>
          <w:color w:val="auto"/>
        </w:rPr>
      </w:pPr>
    </w:p>
    <w:p>
      <w:pPr>
        <w:jc w:val="both"/>
        <w:ind w:firstLine="1304"/>
        <w:spacing w:after="0" w:line="255" w:lineRule="auto"/>
        <w:tabs>
          <w:tab w:leader="none" w:pos="1781"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Acknowledged Events of Default</w:t>
      </w:r>
      <w:r>
        <w:rPr>
          <w:rFonts w:ascii="Arial" w:cs="Arial" w:eastAsia="Arial" w:hAnsi="Arial"/>
          <w:sz w:val="18"/>
          <w:szCs w:val="18"/>
          <w:color w:val="auto"/>
        </w:rPr>
        <w:t>. Each Credit Party acknowledges and agrees that (i) each Acknowledged Event of Default is material in nature and constitutes (or, upon occurrence, will constitute) an Event of Default under the Credit Agreement, and (ii) as a result of the occurrence of such Events of Default, the Forbearing Lenders will, subject to the forbearance contemplated hereby, be entitled to accelerate all Loans and the First Out Obligations owing under the Credit Agreement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(as defined below) and following any Forbearance Termination Event (as defined below),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32" w:lineRule="exact"/>
        <w:rPr>
          <w:rFonts w:ascii="Arial" w:cs="Arial" w:eastAsia="Arial" w:hAnsi="Arial"/>
          <w:sz w:val="18"/>
          <w:szCs w:val="18"/>
          <w:color w:val="auto"/>
        </w:rPr>
      </w:pPr>
    </w:p>
    <w:p>
      <w:pPr>
        <w:ind w:left="1000" w:hanging="344"/>
        <w:spacing w:after="0"/>
        <w:tabs>
          <w:tab w:leader="none" w:pos="1000"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Forbearance; Forbearance Default Rights and Remedies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1" w:lineRule="auto"/>
        <w:tabs>
          <w:tab w:leader="none" w:pos="1821" w:val="left"/>
        </w:tabs>
        <w:numPr>
          <w:ilvl w:val="2"/>
          <w:numId w:val="6"/>
        </w:numPr>
        <w:rPr>
          <w:rFonts w:ascii="Arial" w:cs="Arial" w:eastAsia="Arial" w:hAnsi="Arial"/>
          <w:sz w:val="18"/>
          <w:szCs w:val="18"/>
          <w:color w:val="auto"/>
        </w:rPr>
      </w:pPr>
      <w:r>
        <w:rPr>
          <w:rFonts w:ascii="Arial" w:cs="Arial" w:eastAsia="Arial" w:hAnsi="Arial"/>
          <w:sz w:val="18"/>
          <w:szCs w:val="18"/>
          <w:u w:val="single" w:color="auto"/>
          <w:color w:val="auto"/>
        </w:rPr>
        <w:t>Forbearance</w:t>
      </w:r>
      <w:r>
        <w:rPr>
          <w:rFonts w:ascii="Arial" w:cs="Arial" w:eastAsia="Arial" w:hAnsi="Arial"/>
          <w:sz w:val="18"/>
          <w:szCs w:val="18"/>
          <w:color w:val="auto"/>
        </w:rPr>
        <w:t>. In reliance upon the representations, warranties and covenants of the Credit Parties contained in this Agreement, during the Forbearance Period, and without waiving the Acknowledged Events of Default or any other Default or Event of Default that may now exist or which may occur hereafter, each of the Administrative Agent and the Forbearing Lenders agrees that, subject to the terms and conditions of this Agreement, the Administrative Agent and the Forbearing Lenders shall forbear from exercising any remedies that it or they may have against the Borrower or any other Credit Party or their respective assets and properties solely as a result of the occurrence of the Acknowledged Events of Default. Such forbearance does not apply to any Default, Event of Default (other than the Acknowledged Events of Default) or other failure by the Borrower or any other Credit Party to perform in accordance with the Credit Agreement or any other Credit Document (including, without limitation, this Agreement). Notwithstanding the foregoing forbearance with respect to each Acknowledged Event of Default during the Forbearance Period, for the avoidance of doubt, an Event of Default, to the extent having occurred and continuing, shall continue to exist for all purposes under the Credit Agreement and the other Credit Documents, and, as a result, (i) the Borrower may not give any Notice of Borrowing or make any Letter of Credit Request, and no Notice of Borrowing or Letter of Credit Request shall be honored during the Forbearance Period and (ii) no Auto-Extension Letter of Credit may be renewed or extended during the Forbearance Period to the extent that the Non-Extension Notice Date under any such Auto-Extension Letter of Credit occurs five</w:t>
      </w:r>
    </w:p>
    <w:p>
      <w:pPr>
        <w:spacing w:after="0" w:line="9" w:lineRule="exact"/>
        <w:rPr>
          <w:rFonts w:ascii="Arial" w:cs="Arial" w:eastAsia="Arial" w:hAnsi="Arial"/>
          <w:sz w:val="18"/>
          <w:szCs w:val="18"/>
          <w:color w:val="auto"/>
        </w:rPr>
      </w:pPr>
    </w:p>
    <w:p>
      <w:pPr>
        <w:jc w:val="both"/>
        <w:ind w:firstLine="8"/>
        <w:spacing w:after="0" w:line="258" w:lineRule="auto"/>
        <w:tabs>
          <w:tab w:leader="none" w:pos="283" w:val="left"/>
        </w:tabs>
        <w:numPr>
          <w:ilvl w:val="0"/>
          <w:numId w:val="7"/>
        </w:numPr>
        <w:rPr>
          <w:rFonts w:ascii="Arial" w:cs="Arial" w:eastAsia="Arial" w:hAnsi="Arial"/>
          <w:sz w:val="18"/>
          <w:szCs w:val="18"/>
          <w:color w:val="auto"/>
        </w:rPr>
      </w:pPr>
      <w:r>
        <w:rPr>
          <w:rFonts w:ascii="Arial" w:cs="Arial" w:eastAsia="Arial" w:hAnsi="Arial"/>
          <w:sz w:val="18"/>
          <w:szCs w:val="18"/>
          <w:color w:val="auto"/>
        </w:rPr>
        <w:t>or more Business Days after the date hereof. The Administrative Agent, the Borrower and each Letter of Credit Issuer hereby agrees that, pursuant to Section 3.2(b) of the Credit Agreement, this Agreement shall constitute written notice that one or more applicable conditions specified in Article VIII of the Credit Agreement cannot be satisfied during the Forbearance Period and, therefore, no Letter of Credit Issuer shall permit the extension of any such Auto-Extension Letter of Credit to the extent that the Non-Extension Notice Date thereunder occurs during the Forbearance Period and not less than five (5) Business Days after the date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730" w:right="339" w:bottom="1440" w:gutter="0" w:footer="0" w:header="0"/>
        </w:sectPr>
      </w:pPr>
    </w:p>
    <w:bookmarkStart w:id="6" w:name="page7"/>
    <w:bookmarkEnd w:id="6"/>
    <w:p>
      <w:pPr>
        <w:jc w:val="both"/>
        <w:ind w:firstLine="1304"/>
        <w:spacing w:after="0" w:line="241" w:lineRule="auto"/>
        <w:tabs>
          <w:tab w:leader="none" w:pos="176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Effect of Forbearance Termination</w:t>
      </w:r>
      <w:r>
        <w:rPr>
          <w:rFonts w:ascii="Arial" w:cs="Arial" w:eastAsia="Arial" w:hAnsi="Arial"/>
          <w:sz w:val="19"/>
          <w:szCs w:val="19"/>
          <w:color w:val="auto"/>
        </w:rPr>
        <w:t>. Upon the termination of the Forbearance Period, the agreement of the Forbearing Lenders and the Administrative Agent hereunder to forbear as set forth in Section 2(a) above shall immediately terminate without the requirement of any demand, presentment, protest, or notice of any kind (including any written notice required by Article XII of the Credit Agreement or any other Credit Document), all of which are hereby waived by the Borrower and each other Credit Party. The Borrower and each other Credit Party hereby agree that, after the Forbearance Termination Date, the Forbearing Lenders and the Administrative Agent may at any time, or from time to time, in their sole and absolute discretion, with respect to the Acknowledged Events of Default, exercise against any Credit Party (and its properties) any and all of their rights, remedies, powers and privileges under any or all of the Credit Agreement, any other Credit Document, applicable law and/or equity, all of which rights, remedies, powers and privileges are fully reserved by each Forbearing Lender and the Administrative Agent.</w:t>
      </w:r>
    </w:p>
    <w:p>
      <w:pPr>
        <w:spacing w:after="0" w:line="144" w:lineRule="exact"/>
        <w:rPr>
          <w:rFonts w:ascii="Arial" w:cs="Arial" w:eastAsia="Arial" w:hAnsi="Arial"/>
          <w:sz w:val="19"/>
          <w:szCs w:val="19"/>
          <w:color w:val="auto"/>
        </w:rPr>
      </w:pPr>
    </w:p>
    <w:p>
      <w:pPr>
        <w:jc w:val="both"/>
        <w:ind w:firstLine="1304"/>
        <w:spacing w:after="0"/>
        <w:tabs>
          <w:tab w:leader="none" w:pos="1727"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Limitation on Forbearance Extension</w:t>
      </w:r>
      <w:r>
        <w:rPr>
          <w:rFonts w:ascii="Arial" w:cs="Arial" w:eastAsia="Arial" w:hAnsi="Arial"/>
          <w:sz w:val="19"/>
          <w:szCs w:val="19"/>
          <w:color w:val="auto"/>
        </w:rPr>
        <w:t>. Except as set forth herein, none of the Forbearing Lenders or the Administrative Agent shall have any obligation to extend the Forbearance Period, or enter into any other agreement, waiver, forbearance or amendment, and the Forbearing Lenders’ and the Administrative Agent’s agreement to permit any such extension, or enter into any other agreement, waiver, forbearance or amendment shall be subject to the sole discretion of the Majority Lenders (or, if required by Section 14.1 of the Credit Agreement, each Lender or affected Lender). Any agreement by any Forbearing Lender or the Administrative Agent to enter into any other waiver, forbearance or amendment must be set forth in writing and signed by a duly authorized signatory of each of the Administrative Agent and the Majority Lenders (or, if required by Section 14.1 of the Credit Agreement, each Lender or affected Lender). The Borrower and the other Credit Parties each acknowledge that the Forbearing Lenders and the Administrative Agent have not made any assurances concerning any possibility of an extension of the Forbearance Period or the entering into of any further waiver, forbearance or amendment. For the avoidance of doubt, nothing herein shall prevent Lenders constituting the Majority Lenders or the Administrative Agent from agreeing to any further forbearance agreement.</w:t>
      </w:r>
    </w:p>
    <w:p>
      <w:pPr>
        <w:spacing w:after="0" w:line="142" w:lineRule="exact"/>
        <w:rPr>
          <w:rFonts w:ascii="Arial" w:cs="Arial" w:eastAsia="Arial" w:hAnsi="Arial"/>
          <w:sz w:val="19"/>
          <w:szCs w:val="19"/>
          <w:color w:val="auto"/>
        </w:rPr>
      </w:pPr>
    </w:p>
    <w:p>
      <w:pPr>
        <w:jc w:val="both"/>
        <w:ind w:firstLine="1304"/>
        <w:spacing w:after="0" w:line="259" w:lineRule="auto"/>
        <w:tabs>
          <w:tab w:leader="none" w:pos="173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Forbearance Termination Date</w:t>
      </w:r>
      <w:r>
        <w:rPr>
          <w:rFonts w:ascii="Arial" w:cs="Arial" w:eastAsia="Arial" w:hAnsi="Arial"/>
          <w:sz w:val="18"/>
          <w:szCs w:val="18"/>
          <w:color w:val="auto"/>
        </w:rPr>
        <w:t>. The “</w:t>
      </w:r>
      <w:r>
        <w:rPr>
          <w:rFonts w:ascii="Arial" w:cs="Arial" w:eastAsia="Arial" w:hAnsi="Arial"/>
          <w:sz w:val="18"/>
          <w:szCs w:val="18"/>
          <w:b w:val="1"/>
          <w:bCs w:val="1"/>
          <w:color w:val="auto"/>
        </w:rPr>
        <w:t>Forbearance Termination Date</w:t>
      </w:r>
      <w:r>
        <w:rPr>
          <w:rFonts w:ascii="Arial" w:cs="Arial" w:eastAsia="Arial" w:hAnsi="Arial"/>
          <w:sz w:val="18"/>
          <w:szCs w:val="18"/>
          <w:color w:val="auto"/>
        </w:rPr>
        <w:t>” means the earlier of the following to occur: (a) any Forbearance Termination Event and (b) June 14, 2020 at 11:59 p.m. New York time, as such date may be extended in writing (which may be by email) by the Administrative Agent and the Forbearing Lenders, in each case in their sole discretion. The “</w:t>
      </w:r>
      <w:r>
        <w:rPr>
          <w:rFonts w:ascii="Arial" w:cs="Arial" w:eastAsia="Arial" w:hAnsi="Arial"/>
          <w:sz w:val="18"/>
          <w:szCs w:val="18"/>
          <w:b w:val="1"/>
          <w:bCs w:val="1"/>
          <w:color w:val="auto"/>
        </w:rPr>
        <w:t>Forbearance Period</w:t>
      </w:r>
      <w:r>
        <w:rPr>
          <w:rFonts w:ascii="Arial" w:cs="Arial" w:eastAsia="Arial" w:hAnsi="Arial"/>
          <w:sz w:val="18"/>
          <w:szCs w:val="18"/>
          <w:color w:val="auto"/>
        </w:rPr>
        <w:t>” shall commence on the Forbearance Effective Date and shall terminate immediately and automatically upon the Forbearance Termination Date. The occurrence of any of the following events or circumstances shall immediately and automatically constitute a “</w:t>
      </w:r>
      <w:r>
        <w:rPr>
          <w:rFonts w:ascii="Arial" w:cs="Arial" w:eastAsia="Arial" w:hAnsi="Arial"/>
          <w:sz w:val="18"/>
          <w:szCs w:val="18"/>
          <w:b w:val="1"/>
          <w:bCs w:val="1"/>
          <w:color w:val="auto"/>
        </w:rPr>
        <w:t>Forbearance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following delivery of notice (including by email) to the Borrower by the Administrative Agent or at the request of the Majority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(and automatically upon the occurrence of an Event of Default under Section 12.5 of the Credit Agreement):</w:t>
      </w:r>
    </w:p>
    <w:p>
      <w:pPr>
        <w:spacing w:after="0" w:line="130"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(i). any Default (following 48 hours after delivery of notice (including by email) to the Borrower by the Administrative Agent or at the request of the Majority Lenders) or Event of Default under the Credit Agreement or any other Credit Document (other than the Acknowledged Events of Default);</w:t>
      </w:r>
    </w:p>
    <w:p>
      <w:pPr>
        <w:spacing w:after="0" w:line="142" w:lineRule="exact"/>
        <w:rPr>
          <w:sz w:val="20"/>
          <w:szCs w:val="20"/>
          <w:color w:val="auto"/>
        </w:rPr>
      </w:pPr>
    </w:p>
    <w:p>
      <w:pPr>
        <w:jc w:val="both"/>
        <w:ind w:left="1300" w:firstLine="486"/>
        <w:spacing w:after="0" w:line="246" w:lineRule="auto"/>
        <w:rPr>
          <w:sz w:val="20"/>
          <w:szCs w:val="20"/>
          <w:color w:val="auto"/>
        </w:rPr>
      </w:pPr>
      <w:r>
        <w:rPr>
          <w:rFonts w:ascii="Arial" w:cs="Arial" w:eastAsia="Arial" w:hAnsi="Arial"/>
          <w:sz w:val="20"/>
          <w:szCs w:val="20"/>
          <w:color w:val="auto"/>
        </w:rPr>
        <w:t>(ii). any material breach by the Borrower or any other Credit Party of any covenant, term or other provision of this Agreement;</w:t>
      </w:r>
    </w:p>
    <w:p>
      <w:pPr>
        <w:spacing w:after="0" w:line="136" w:lineRule="exact"/>
        <w:rPr>
          <w:sz w:val="20"/>
          <w:szCs w:val="20"/>
          <w:color w:val="auto"/>
        </w:rPr>
      </w:pPr>
    </w:p>
    <w:p>
      <w:pPr>
        <w:jc w:val="both"/>
        <w:ind w:left="1300" w:firstLine="486"/>
        <w:spacing w:after="0" w:line="275" w:lineRule="auto"/>
        <w:rPr>
          <w:sz w:val="20"/>
          <w:szCs w:val="20"/>
          <w:color w:val="auto"/>
        </w:rPr>
      </w:pPr>
      <w:r>
        <w:rPr>
          <w:rFonts w:ascii="Arial" w:cs="Arial" w:eastAsia="Arial" w:hAnsi="Arial"/>
          <w:sz w:val="18"/>
          <w:szCs w:val="18"/>
          <w:color w:val="auto"/>
        </w:rPr>
        <w:t>(iii). any representation, warranty or certification made or deemed made by the Borrower or any other Credit Party herein or which is contained in any certificate, document or financial or other statement furnished by the Borrower or any other Credit Party at any time under or in connection with this Agreement or otherwise shall be false or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7" w:name="page8"/>
    <w:bookmarkEnd w:id="7"/>
    <w:p>
      <w:pPr>
        <w:jc w:val="both"/>
        <w:ind w:left="180"/>
        <w:spacing w:after="0" w:line="246" w:lineRule="auto"/>
        <w:rPr>
          <w:sz w:val="20"/>
          <w:szCs w:val="20"/>
          <w:color w:val="auto"/>
        </w:rPr>
      </w:pPr>
      <w:r>
        <w:rPr>
          <w:rFonts w:ascii="Arial" w:cs="Arial" w:eastAsia="Arial" w:hAnsi="Arial"/>
          <w:sz w:val="20"/>
          <w:szCs w:val="20"/>
          <w:color w:val="auto"/>
        </w:rPr>
        <w:t>misleading in any material respect on the date as of which made, deemed made or furnished (without duplication of any materiality qualifier contained therein);</w:t>
      </w:r>
    </w:p>
    <w:p>
      <w:pPr>
        <w:spacing w:after="0" w:line="136" w:lineRule="exact"/>
        <w:rPr>
          <w:sz w:val="20"/>
          <w:szCs w:val="20"/>
          <w:color w:val="auto"/>
        </w:rPr>
      </w:pPr>
    </w:p>
    <w:p>
      <w:pPr>
        <w:jc w:val="both"/>
        <w:ind w:left="180" w:firstLine="486"/>
        <w:spacing w:after="0" w:line="237" w:lineRule="auto"/>
        <w:rPr>
          <w:sz w:val="20"/>
          <w:szCs w:val="20"/>
          <w:color w:val="auto"/>
        </w:rPr>
      </w:pPr>
      <w:r>
        <w:rPr>
          <w:rFonts w:ascii="Arial" w:cs="Arial" w:eastAsia="Arial" w:hAnsi="Arial"/>
          <w:sz w:val="20"/>
          <w:szCs w:val="20"/>
          <w:color w:val="auto"/>
        </w:rPr>
        <w:t>(iv). the commencement of any action, suit, litigation, investigation or other proceeding against the Administrative Agent or any Lender by any of the Credit Parties, any Subsidiary thereof or entity controlled by, affiliated with, related to or under common control with any of the Credit Parties;</w:t>
      </w:r>
    </w:p>
    <w:p>
      <w:pPr>
        <w:spacing w:after="0" w:line="142" w:lineRule="exact"/>
        <w:rPr>
          <w:sz w:val="20"/>
          <w:szCs w:val="20"/>
          <w:color w:val="auto"/>
        </w:rPr>
      </w:pPr>
    </w:p>
    <w:p>
      <w:pPr>
        <w:jc w:val="both"/>
        <w:ind w:left="180" w:firstLine="486"/>
        <w:spacing w:after="0" w:line="234" w:lineRule="auto"/>
        <w:rPr>
          <w:sz w:val="20"/>
          <w:szCs w:val="20"/>
          <w:color w:val="auto"/>
        </w:rPr>
      </w:pPr>
      <w:r>
        <w:rPr>
          <w:rFonts w:ascii="Arial" w:cs="Arial" w:eastAsia="Arial" w:hAnsi="Arial"/>
          <w:sz w:val="20"/>
          <w:szCs w:val="20"/>
          <w:color w:val="auto"/>
        </w:rPr>
        <w:t>(v). any payment, or setting aside of funds for the purpose of making any Restricted Payment or any other payment, or transfer of any value (including the payment of any fees, costs or expenses of any advisors) by the Borrower or any other Credit Party to any direct or indirect equity holder of any Credit Party or any Subsidiary (other than any such payment to any Credit Party);</w:t>
      </w:r>
    </w:p>
    <w:p>
      <w:pPr>
        <w:spacing w:after="0" w:line="143" w:lineRule="exact"/>
        <w:rPr>
          <w:sz w:val="20"/>
          <w:szCs w:val="20"/>
          <w:color w:val="auto"/>
        </w:rPr>
      </w:pPr>
    </w:p>
    <w:p>
      <w:pPr>
        <w:jc w:val="both"/>
        <w:ind w:left="180" w:firstLine="486"/>
        <w:spacing w:after="0" w:line="242" w:lineRule="auto"/>
        <w:rPr>
          <w:sz w:val="20"/>
          <w:szCs w:val="20"/>
          <w:color w:val="auto"/>
        </w:rPr>
      </w:pPr>
      <w:r>
        <w:rPr>
          <w:rFonts w:ascii="Arial" w:cs="Arial" w:eastAsia="Arial" w:hAnsi="Arial"/>
          <w:sz w:val="19"/>
          <w:szCs w:val="19"/>
          <w:color w:val="auto"/>
        </w:rPr>
        <w:t>(vi). any payment, or setting aside of funds for the purpose of making any payment, by any Credit Party or any Subsidiary, including with respect to interest, principal, fees, expenses, indemnification or otherwise, on account of or in connection with any Senior Notes, the First Out Substitute Facility Indebtedness, any Permitted Junior Indebtedness, any Permitted Additional Debt or any other Indebtedness secured by Liens on the Collateral that rank pari passu or junior in right of security with the Liens securing the Obligations owing under the Credit Agreement or Indebtedness that is unsecured, other than regularly scheduled payments of agency fees of the Administrative Agent and Collateral Agent with respect to the Credit Documents and the administrative agents and collateral agents with respect to the First Out Substitute Facility Credit Documents and the First Lien Second Out Credit Documents;</w:t>
      </w:r>
    </w:p>
    <w:p>
      <w:pPr>
        <w:spacing w:after="0" w:line="141" w:lineRule="exact"/>
        <w:rPr>
          <w:sz w:val="20"/>
          <w:szCs w:val="20"/>
          <w:color w:val="auto"/>
        </w:rPr>
      </w:pPr>
    </w:p>
    <w:p>
      <w:pPr>
        <w:jc w:val="both"/>
        <w:ind w:left="180" w:firstLine="486"/>
        <w:spacing w:after="0" w:line="288" w:lineRule="auto"/>
        <w:rPr>
          <w:sz w:val="20"/>
          <w:szCs w:val="20"/>
          <w:color w:val="auto"/>
        </w:rPr>
      </w:pPr>
      <w:r>
        <w:rPr>
          <w:rFonts w:ascii="Arial" w:cs="Arial" w:eastAsia="Arial" w:hAnsi="Arial"/>
          <w:sz w:val="16"/>
          <w:szCs w:val="16"/>
          <w:color w:val="auto"/>
        </w:rPr>
        <w:t>(vii). the entry by the Borrower or any other Credit Party or any Subsidiary into any transaction (including the incurrence of any Indebtedness), or the making by the Borrower or any other Credit Party or Subsidiary of any payment or transfer, in each case outside the ordinary course of business (it being understood and agreed, for the avoidance of doubt, that</w:t>
      </w:r>
    </w:p>
    <w:p>
      <w:pPr>
        <w:spacing w:after="0" w:line="2" w:lineRule="exact"/>
        <w:rPr>
          <w:sz w:val="20"/>
          <w:szCs w:val="20"/>
          <w:color w:val="auto"/>
        </w:rPr>
      </w:pPr>
    </w:p>
    <w:p>
      <w:pPr>
        <w:jc w:val="both"/>
        <w:ind w:left="180" w:firstLine="4"/>
        <w:spacing w:after="0" w:line="228" w:lineRule="auto"/>
        <w:tabs>
          <w:tab w:leader="none" w:pos="452"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incurrence of any Indebtedness for borrowed money pursuant to Sections 11.1(i), (j), (k), (o), (r), (s), (u), (w), (x), (z), (aa), (bb) or (cc), (b) the making of any Disposition under Section 11.4(a)(vi), (vii) or (xiii) and (c) the making of any Investment, other than any Investment that is existing on, or for which an obligation to make such Investment is existing on, the Forbearance Effective Date, pursuant to Section 11.5(b)(iii), (vi), (viii), (x), (xi), (xiv), (xvii), (xviii), (xix), (xx), (xxi) or (xxii), in each case by any Credit Party or any Subsidiary, shall all be deemed to be made outside of the ordinary course of business);</w:t>
      </w:r>
    </w:p>
    <w:p>
      <w:pPr>
        <w:spacing w:after="0" w:line="145" w:lineRule="exact"/>
        <w:rPr>
          <w:sz w:val="20"/>
          <w:szCs w:val="20"/>
          <w:color w:val="auto"/>
        </w:rPr>
      </w:pPr>
    </w:p>
    <w:p>
      <w:pPr>
        <w:jc w:val="both"/>
        <w:ind w:left="180" w:firstLine="486"/>
        <w:spacing w:after="0" w:line="242" w:lineRule="auto"/>
        <w:rPr>
          <w:sz w:val="20"/>
          <w:szCs w:val="20"/>
          <w:color w:val="auto"/>
        </w:rPr>
      </w:pPr>
      <w:r>
        <w:rPr>
          <w:rFonts w:ascii="Arial" w:cs="Arial" w:eastAsia="Arial" w:hAnsi="Arial"/>
          <w:sz w:val="19"/>
          <w:szCs w:val="19"/>
          <w:color w:val="auto"/>
        </w:rPr>
        <w:t>(viii.) any amendment, waiver, supplement or other modification to any employment agreement or employee compensation plan, or the entry by the Borrower, any other Credit Party or any Subsidiary into any new employment agreement or employee compensation plan, in each case which would increase the target or maximum compensation opportunities payable thereunder, as applicable, or the payment of any amount contemplated by any employment agreement or employee compensation plan before the date on which such amount becomes due and payable pursuant to the terms of the such agreements or plans, as applicable, or the payment of any bonus, incentive, retention, severance, change of control or termination payments pursuant to the terms of such agreements or plans, as applicable, to any officer for purposes of Section 16 of the Exchange Act;</w:t>
      </w:r>
    </w:p>
    <w:p>
      <w:pPr>
        <w:spacing w:after="0" w:line="18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555" w:right="339" w:bottom="1440" w:gutter="0" w:footer="0" w:header="0"/>
        </w:sectPr>
      </w:pPr>
    </w:p>
    <w:bookmarkStart w:id="8" w:name="page9"/>
    <w:bookmarkEnd w:id="8"/>
    <w:p>
      <w:pPr>
        <w:jc w:val="both"/>
        <w:ind w:left="180" w:right="20" w:firstLine="486"/>
        <w:spacing w:after="0" w:line="246" w:lineRule="auto"/>
        <w:rPr>
          <w:sz w:val="20"/>
          <w:szCs w:val="20"/>
          <w:color w:val="auto"/>
        </w:rPr>
      </w:pPr>
      <w:r>
        <w:rPr>
          <w:rFonts w:ascii="Arial" w:cs="Arial" w:eastAsia="Arial" w:hAnsi="Arial"/>
          <w:sz w:val="20"/>
          <w:szCs w:val="20"/>
          <w:color w:val="auto"/>
        </w:rPr>
        <w:t>(ix). the failure by the Borrower, for any three (3) consecutive Business Days during the Forbearance Period, to maintain aggregate book cash balances of at least $48 million;</w:t>
      </w:r>
    </w:p>
    <w:p>
      <w:pPr>
        <w:spacing w:after="0" w:line="136" w:lineRule="exact"/>
        <w:rPr>
          <w:sz w:val="20"/>
          <w:szCs w:val="20"/>
          <w:color w:val="auto"/>
        </w:rPr>
      </w:pPr>
    </w:p>
    <w:p>
      <w:pPr>
        <w:jc w:val="both"/>
        <w:ind w:left="180" w:right="20" w:firstLine="486"/>
        <w:spacing w:after="0" w:line="237" w:lineRule="auto"/>
        <w:rPr>
          <w:sz w:val="20"/>
          <w:szCs w:val="20"/>
          <w:color w:val="auto"/>
        </w:rPr>
      </w:pPr>
      <w:r>
        <w:rPr>
          <w:rFonts w:ascii="Arial" w:cs="Arial" w:eastAsia="Arial" w:hAnsi="Arial"/>
          <w:sz w:val="20"/>
          <w:szCs w:val="20"/>
          <w:color w:val="auto"/>
        </w:rPr>
        <w:t>(x). any non-Forbearing Lender under the Credit Agreement shall commence a legal proceeding against any Credit Party or any Subsidiary or set off against any of their respective property, in each case, with respect to enforcement of the Credit Agreement or the obligations thereunder;</w:t>
      </w:r>
    </w:p>
    <w:p>
      <w:pPr>
        <w:spacing w:after="0" w:line="142" w:lineRule="exact"/>
        <w:rPr>
          <w:sz w:val="20"/>
          <w:szCs w:val="20"/>
          <w:color w:val="auto"/>
        </w:rPr>
      </w:pPr>
    </w:p>
    <w:p>
      <w:pPr>
        <w:jc w:val="both"/>
        <w:ind w:left="180" w:firstLine="486"/>
        <w:spacing w:after="0" w:line="257" w:lineRule="auto"/>
        <w:rPr>
          <w:sz w:val="20"/>
          <w:szCs w:val="20"/>
          <w:color w:val="auto"/>
        </w:rPr>
      </w:pPr>
      <w:r>
        <w:rPr>
          <w:rFonts w:ascii="Arial" w:cs="Arial" w:eastAsia="Arial" w:hAnsi="Arial"/>
          <w:sz w:val="18"/>
          <w:szCs w:val="18"/>
          <w:color w:val="auto"/>
        </w:rPr>
        <w:t>(xi). the failure by the Borrower to pay, within two (2) Business Days after the receipt of an invoice therefor, the reasonable and documented fees and expenses of Simpson Thacher &amp; Bartlett LLP and Dacarba LLC, including its affiliates (collectively with any other professionals retained by the Administrative Agent (including, without limitation, with respect to foreign collateral or local matters), the “</w:t>
      </w:r>
      <w:r>
        <w:rPr>
          <w:rFonts w:ascii="Arial" w:cs="Arial" w:eastAsia="Arial" w:hAnsi="Arial"/>
          <w:sz w:val="18"/>
          <w:szCs w:val="18"/>
          <w:b w:val="1"/>
          <w:bCs w:val="1"/>
          <w:color w:val="auto"/>
        </w:rPr>
        <w:t>Creditor Advisors</w:t>
      </w:r>
      <w:r>
        <w:rPr>
          <w:rFonts w:ascii="Arial" w:cs="Arial" w:eastAsia="Arial" w:hAnsi="Arial"/>
          <w:sz w:val="18"/>
          <w:szCs w:val="18"/>
          <w:color w:val="auto"/>
        </w:rPr>
        <w:t>”), in accordance with this Agreement, the Credit Documents and/or the Creditor Advisors’ applicable engagement letters, fee letters or other reimbursement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professional fee invoices need only include the number of hours billed (except for financial advisors compensated on other than an hourly basis) and a summary description of services provided and the expenses incurred by the applicable professional and any such invoice shall not be required to contain individual time detail);</w:t>
      </w:r>
    </w:p>
    <w:p>
      <w:pPr>
        <w:spacing w:after="0" w:line="130" w:lineRule="exact"/>
        <w:rPr>
          <w:sz w:val="20"/>
          <w:szCs w:val="20"/>
          <w:color w:val="auto"/>
        </w:rPr>
      </w:pPr>
    </w:p>
    <w:p>
      <w:pPr>
        <w:jc w:val="both"/>
        <w:ind w:left="180" w:right="20" w:firstLine="486"/>
        <w:spacing w:after="0" w:line="248" w:lineRule="auto"/>
        <w:rPr>
          <w:sz w:val="20"/>
          <w:szCs w:val="20"/>
          <w:color w:val="auto"/>
        </w:rPr>
      </w:pPr>
      <w:r>
        <w:rPr>
          <w:rFonts w:ascii="Arial" w:cs="Arial" w:eastAsia="Arial" w:hAnsi="Arial"/>
          <w:sz w:val="19"/>
          <w:szCs w:val="19"/>
          <w:color w:val="auto"/>
        </w:rPr>
        <w:t>(xii). the failure by the Borrower to provide prompt written notice to the Administrative Agent of (A) receipt of any material notice or correspondence (whether written or oral) from any counterparty to a contract or any customer that is outside the ordinary course of business and (B) receipt of any written notice of any proceeding commenced, or, to the actual knowledge of the Borrower, threatened against any Credit Parties or any of their Subsidiaries;</w:t>
      </w:r>
    </w:p>
    <w:p>
      <w:pPr>
        <w:spacing w:after="0" w:line="136" w:lineRule="exact"/>
        <w:rPr>
          <w:sz w:val="20"/>
          <w:szCs w:val="20"/>
          <w:color w:val="auto"/>
        </w:rPr>
      </w:pPr>
    </w:p>
    <w:p>
      <w:pPr>
        <w:jc w:val="both"/>
        <w:ind w:left="180" w:right="20" w:firstLine="486"/>
        <w:spacing w:after="0" w:line="246" w:lineRule="auto"/>
        <w:rPr>
          <w:sz w:val="20"/>
          <w:szCs w:val="20"/>
          <w:color w:val="auto"/>
        </w:rPr>
      </w:pPr>
      <w:r>
        <w:rPr>
          <w:rFonts w:ascii="Arial" w:cs="Arial" w:eastAsia="Arial" w:hAnsi="Arial"/>
          <w:sz w:val="20"/>
          <w:szCs w:val="20"/>
          <w:color w:val="auto"/>
        </w:rPr>
        <w:t>(xiii). any Other First Lien Forbearance Agreement (as defined below) shall be terminated or otherwise cease to be in full force and effect prior to the Forbearance Termination Date;</w:t>
      </w:r>
    </w:p>
    <w:p>
      <w:pPr>
        <w:spacing w:after="0" w:line="136" w:lineRule="exact"/>
        <w:rPr>
          <w:sz w:val="20"/>
          <w:szCs w:val="20"/>
          <w:color w:val="auto"/>
        </w:rPr>
      </w:pPr>
    </w:p>
    <w:p>
      <w:pPr>
        <w:jc w:val="both"/>
        <w:ind w:left="180" w:firstLine="486"/>
        <w:spacing w:after="0" w:line="229" w:lineRule="auto"/>
        <w:rPr>
          <w:sz w:val="20"/>
          <w:szCs w:val="20"/>
          <w:color w:val="auto"/>
        </w:rPr>
      </w:pPr>
      <w:r>
        <w:rPr>
          <w:rFonts w:ascii="Arial" w:cs="Arial" w:eastAsia="Arial" w:hAnsi="Arial"/>
          <w:sz w:val="20"/>
          <w:szCs w:val="20"/>
          <w:color w:val="auto"/>
        </w:rPr>
        <w:t>(xiv). any lender or any of their affiliates under the 2017 Term Loan Agreement, the 2016 Term Loan Agreement, the indenture governing the Borrower’s second lien secured notes (the “</w:t>
      </w:r>
      <w:r>
        <w:rPr>
          <w:rFonts w:ascii="Arial" w:cs="Arial" w:eastAsia="Arial" w:hAnsi="Arial"/>
          <w:sz w:val="20"/>
          <w:szCs w:val="20"/>
          <w:b w:val="1"/>
          <w:bCs w:val="1"/>
          <w:color w:val="auto"/>
        </w:rPr>
        <w:t>Second Lien Notes</w:t>
      </w:r>
      <w:r>
        <w:rPr>
          <w:rFonts w:ascii="Arial" w:cs="Arial" w:eastAsia="Arial" w:hAnsi="Arial"/>
          <w:sz w:val="20"/>
          <w:szCs w:val="20"/>
          <w:color w:val="auto"/>
        </w:rPr>
        <w:t>”) or the indenture governing the Senior Notes or any agent, trustee or representative on behalf of any such lender or affiliate shall accelerate the obligations under the 2017 Term Loan Agreement, 2016 Term Loan Agreement, the indenture governing the Second Lien Notes or the indenture governing the Senior Notes, or commence a legal proceeding against any Credit Party or any Subsidiary or set off against any of their respective property, in each case, with respect to enforcement of the 2017 Term Loan Agreement, 2016 Term Loan Agreement, documents governing the Second Lien Notes or documents governing the Senior Notes or the obligations thereunder;</w:t>
      </w:r>
    </w:p>
    <w:p>
      <w:pPr>
        <w:spacing w:after="0" w:line="148" w:lineRule="exact"/>
        <w:rPr>
          <w:sz w:val="20"/>
          <w:szCs w:val="20"/>
          <w:color w:val="auto"/>
        </w:rPr>
      </w:pPr>
    </w:p>
    <w:p>
      <w:pPr>
        <w:jc w:val="both"/>
        <w:ind w:left="180" w:firstLine="486"/>
        <w:spacing w:after="0" w:line="272" w:lineRule="auto"/>
        <w:rPr>
          <w:sz w:val="20"/>
          <w:szCs w:val="20"/>
          <w:color w:val="auto"/>
        </w:rPr>
      </w:pPr>
      <w:r>
        <w:rPr>
          <w:rFonts w:ascii="Arial" w:cs="Arial" w:eastAsia="Arial" w:hAnsi="Arial"/>
          <w:sz w:val="19"/>
          <w:szCs w:val="19"/>
          <w:color w:val="auto"/>
        </w:rPr>
        <w:t>(xv). the Borrower shall provide, or shall fail to provide at least two (2) Business Days in advance of such payment, written notice to the Administrative Agent of its intent to pay any Overdue Term Loan Interest Payment;</w:t>
      </w:r>
    </w:p>
    <w:p>
      <w:pPr>
        <w:spacing w:after="0" w:line="112" w:lineRule="exact"/>
        <w:rPr>
          <w:sz w:val="20"/>
          <w:szCs w:val="20"/>
          <w:color w:val="auto"/>
        </w:rPr>
      </w:pPr>
    </w:p>
    <w:p>
      <w:pPr>
        <w:jc w:val="both"/>
        <w:ind w:left="180" w:firstLine="486"/>
        <w:spacing w:after="0" w:line="237" w:lineRule="auto"/>
        <w:rPr>
          <w:sz w:val="20"/>
          <w:szCs w:val="20"/>
          <w:color w:val="auto"/>
        </w:rPr>
      </w:pPr>
      <w:r>
        <w:rPr>
          <w:rFonts w:ascii="Arial" w:cs="Arial" w:eastAsia="Arial" w:hAnsi="Arial"/>
          <w:sz w:val="20"/>
          <w:szCs w:val="20"/>
          <w:color w:val="auto"/>
        </w:rPr>
        <w:t>(xvi). the failure by the Borrower to promptly (and in any event within 24 hours) deliver to the Administrative Agent any notice given or received by the Borrower or any other Credit Party under any of the 2016 Term Loan Agreement, the 2017 Term Loan</w:t>
      </w:r>
    </w:p>
    <w:p>
      <w:pPr>
        <w:spacing w:after="0" w:line="18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555" w:right="339" w:bottom="1440" w:gutter="0" w:footer="0" w:header="0"/>
        </w:sectPr>
      </w:pPr>
    </w:p>
    <w:bookmarkStart w:id="9" w:name="page10"/>
    <w:bookmarkEnd w:id="9"/>
    <w:p>
      <w:pPr>
        <w:ind w:left="1300"/>
        <w:spacing w:after="0"/>
        <w:rPr>
          <w:sz w:val="20"/>
          <w:szCs w:val="20"/>
          <w:color w:val="auto"/>
        </w:rPr>
      </w:pPr>
      <w:r>
        <w:rPr>
          <w:rFonts w:ascii="Arial" w:cs="Arial" w:eastAsia="Arial" w:hAnsi="Arial"/>
          <w:sz w:val="19"/>
          <w:szCs w:val="19"/>
          <w:color w:val="auto"/>
        </w:rPr>
        <w:t>Agreement or the Other First Lien Forbearance Agreements (collectively, the “</w:t>
      </w:r>
      <w:r>
        <w:rPr>
          <w:rFonts w:ascii="Arial" w:cs="Arial" w:eastAsia="Arial" w:hAnsi="Arial"/>
          <w:sz w:val="19"/>
          <w:szCs w:val="19"/>
          <w:b w:val="1"/>
          <w:bCs w:val="1"/>
          <w:color w:val="auto"/>
        </w:rPr>
        <w:t>Other First Lien Debt Documents</w:t>
      </w:r>
      <w:r>
        <w:rPr>
          <w:rFonts w:ascii="Arial" w:cs="Arial" w:eastAsia="Arial" w:hAnsi="Arial"/>
          <w:sz w:val="19"/>
          <w:szCs w:val="19"/>
          <w:color w:val="auto"/>
        </w:rPr>
        <w:t>”);</w:t>
      </w:r>
    </w:p>
    <w:p>
      <w:pPr>
        <w:spacing w:after="0" w:line="179" w:lineRule="exact"/>
        <w:rPr>
          <w:sz w:val="20"/>
          <w:szCs w:val="20"/>
          <w:color w:val="auto"/>
        </w:rPr>
      </w:pPr>
    </w:p>
    <w:p>
      <w:pPr>
        <w:jc w:val="both"/>
        <w:ind w:left="1300" w:right="20" w:firstLine="486"/>
        <w:spacing w:after="0" w:line="246" w:lineRule="auto"/>
        <w:rPr>
          <w:sz w:val="20"/>
          <w:szCs w:val="20"/>
          <w:color w:val="auto"/>
        </w:rPr>
      </w:pPr>
      <w:r>
        <w:rPr>
          <w:rFonts w:ascii="Arial" w:cs="Arial" w:eastAsia="Arial" w:hAnsi="Arial"/>
          <w:sz w:val="20"/>
          <w:szCs w:val="20"/>
          <w:color w:val="auto"/>
        </w:rPr>
        <w:t>(xvii). any Other First Lien Debt Document shall be amended or modified without the prior written consent of the Administrative Agent and the Majority Lenders;</w:t>
      </w:r>
    </w:p>
    <w:p>
      <w:pPr>
        <w:spacing w:after="0" w:line="136" w:lineRule="exact"/>
        <w:rPr>
          <w:sz w:val="20"/>
          <w:szCs w:val="20"/>
          <w:color w:val="auto"/>
        </w:rPr>
      </w:pPr>
    </w:p>
    <w:p>
      <w:pPr>
        <w:jc w:val="both"/>
        <w:ind w:left="1300" w:firstLine="486"/>
        <w:spacing w:after="0" w:line="255" w:lineRule="auto"/>
        <w:rPr>
          <w:sz w:val="20"/>
          <w:szCs w:val="20"/>
          <w:color w:val="auto"/>
        </w:rPr>
      </w:pPr>
      <w:r>
        <w:rPr>
          <w:rFonts w:ascii="Arial" w:cs="Arial" w:eastAsia="Arial" w:hAnsi="Arial"/>
          <w:sz w:val="18"/>
          <w:szCs w:val="18"/>
          <w:color w:val="auto"/>
        </w:rPr>
        <w:t>(xviii). the failure by the Borrower to deliver a copy to the Administrative Agent and the Creditor Advisors of (i) any written proposal, counterproposal, offer, bid, term sheet or agreement (each, a “</w:t>
      </w:r>
      <w:r>
        <w:rPr>
          <w:rFonts w:ascii="Arial" w:cs="Arial" w:eastAsia="Arial" w:hAnsi="Arial"/>
          <w:sz w:val="18"/>
          <w:szCs w:val="18"/>
          <w:b w:val="1"/>
          <w:bCs w:val="1"/>
          <w:color w:val="auto"/>
        </w:rPr>
        <w:t>Proposal</w:t>
      </w:r>
      <w:r>
        <w:rPr>
          <w:rFonts w:ascii="Arial" w:cs="Arial" w:eastAsia="Arial" w:hAnsi="Arial"/>
          <w:sz w:val="18"/>
          <w:szCs w:val="18"/>
          <w:color w:val="auto"/>
        </w:rPr>
        <w:t>”) involving (x) a settlement of claims by or against Elk Hills Power LLC (“</w:t>
      </w:r>
      <w:r>
        <w:rPr>
          <w:rFonts w:ascii="Arial" w:cs="Arial" w:eastAsia="Arial" w:hAnsi="Arial"/>
          <w:sz w:val="18"/>
          <w:szCs w:val="18"/>
          <w:b w:val="1"/>
          <w:bCs w:val="1"/>
          <w:color w:val="auto"/>
        </w:rPr>
        <w:t>Elk Hills</w:t>
      </w:r>
      <w:r>
        <w:rPr>
          <w:rFonts w:ascii="Arial" w:cs="Arial" w:eastAsia="Arial" w:hAnsi="Arial"/>
          <w:sz w:val="18"/>
          <w:szCs w:val="18"/>
          <w:color w:val="auto"/>
        </w:rPr>
        <w:t>”) or any other transaction, sale, asset purchase, disposition, new money, investment, restructuring, reorganization, merger, amalgamation, acquisition, consolidation, dissolution, debt investment, equity investment, liquidation, tender offer, recapitalization, plan of reorganization, share exchange, business combination or similar transaction (any of the foregoing, a “</w:t>
      </w:r>
      <w:r>
        <w:rPr>
          <w:rFonts w:ascii="Arial" w:cs="Arial" w:eastAsia="Arial" w:hAnsi="Arial"/>
          <w:sz w:val="18"/>
          <w:szCs w:val="18"/>
          <w:b w:val="1"/>
          <w:bCs w:val="1"/>
          <w:color w:val="auto"/>
        </w:rPr>
        <w:t>Transaction</w:t>
      </w:r>
      <w:r>
        <w:rPr>
          <w:rFonts w:ascii="Arial" w:cs="Arial" w:eastAsia="Arial" w:hAnsi="Arial"/>
          <w:sz w:val="18"/>
          <w:szCs w:val="18"/>
          <w:color w:val="auto"/>
        </w:rPr>
        <w:t>”) with any third party investor in the debt, equity or other interests of Elk Hills or (y) any Transaction involving ECR Corporate Holdings L.P., Ares Management LLC or any affiliate of either of them (any of (x) or (y), a “</w:t>
      </w:r>
      <w:r>
        <w:rPr>
          <w:rFonts w:ascii="Arial" w:cs="Arial" w:eastAsia="Arial" w:hAnsi="Arial"/>
          <w:sz w:val="18"/>
          <w:szCs w:val="18"/>
          <w:b w:val="1"/>
          <w:bCs w:val="1"/>
          <w:color w:val="auto"/>
        </w:rPr>
        <w:t>JV Settlement Proposal</w:t>
      </w:r>
      <w:r>
        <w:rPr>
          <w:rFonts w:ascii="Arial" w:cs="Arial" w:eastAsia="Arial" w:hAnsi="Arial"/>
          <w:sz w:val="18"/>
          <w:szCs w:val="18"/>
          <w:color w:val="auto"/>
        </w:rPr>
        <w:t>”), (ii) any Proposal from holders of the Second Lien Notes or Senior Notes concerning a Transaction with the Borrower, any Guarantor or Elk Hills, (iii) any Proposal from or to the creditors under the Other First Lien Debt Documents (together with any proposal pursuant to clause (ii), a “</w:t>
      </w:r>
      <w:r>
        <w:rPr>
          <w:rFonts w:ascii="Arial" w:cs="Arial" w:eastAsia="Arial" w:hAnsi="Arial"/>
          <w:sz w:val="18"/>
          <w:szCs w:val="18"/>
          <w:b w:val="1"/>
          <w:bCs w:val="1"/>
          <w:color w:val="auto"/>
        </w:rPr>
        <w:t>Junior</w:t>
      </w:r>
      <w:r>
        <w:rPr>
          <w:rFonts w:ascii="Arial" w:cs="Arial" w:eastAsia="Arial" w:hAnsi="Arial"/>
          <w:sz w:val="18"/>
          <w:szCs w:val="18"/>
          <w:color w:val="auto"/>
        </w:rPr>
        <w:t xml:space="preserve"> </w:t>
      </w:r>
      <w:r>
        <w:rPr>
          <w:rFonts w:ascii="Arial" w:cs="Arial" w:eastAsia="Arial" w:hAnsi="Arial"/>
          <w:sz w:val="18"/>
          <w:szCs w:val="18"/>
          <w:b w:val="1"/>
          <w:bCs w:val="1"/>
          <w:color w:val="auto"/>
        </w:rPr>
        <w:t>Creditor Proposal</w:t>
      </w:r>
      <w:r>
        <w:rPr>
          <w:rFonts w:ascii="Arial" w:cs="Arial" w:eastAsia="Arial" w:hAnsi="Arial"/>
          <w:sz w:val="18"/>
          <w:szCs w:val="18"/>
          <w:color w:val="auto"/>
        </w:rPr>
        <w:t>”) or (iv) any other Proposal with respect to any Transaction involving the Borrower or any Guarantor,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of clauses (i), (ii), (iii) or (iv) within 24 hours of receipt by the Borrower or any Guarantor; and</w:t>
      </w:r>
    </w:p>
    <w:p>
      <w:pPr>
        <w:spacing w:after="0" w:line="128" w:lineRule="exact"/>
        <w:rPr>
          <w:sz w:val="20"/>
          <w:szCs w:val="20"/>
          <w:color w:val="auto"/>
        </w:rPr>
      </w:pPr>
    </w:p>
    <w:p>
      <w:pPr>
        <w:jc w:val="both"/>
        <w:ind w:left="1300" w:firstLine="486"/>
        <w:spacing w:after="0" w:line="248" w:lineRule="auto"/>
        <w:rPr>
          <w:sz w:val="20"/>
          <w:szCs w:val="20"/>
          <w:color w:val="auto"/>
        </w:rPr>
      </w:pPr>
      <w:r>
        <w:rPr>
          <w:rFonts w:ascii="Arial" w:cs="Arial" w:eastAsia="Arial" w:hAnsi="Arial"/>
          <w:sz w:val="19"/>
          <w:szCs w:val="19"/>
          <w:color w:val="auto"/>
        </w:rPr>
        <w:t>(xix). the Borrower or any Guarantor makes any JV Settlement Proposal or Junior Creditor Proposal without providing the Administrative Agent and the Creditor Advisors with 24 hours prior written notice (which shall include a copy thereof) of such JV Settlement Proposal or Junior Creditor Proposal, as applicable, and such prior notice of any modifications during negotiation thereof as may be reasonably practicable under the circumstances.</w:t>
      </w:r>
    </w:p>
    <w:p>
      <w:pPr>
        <w:spacing w:after="0" w:line="136" w:lineRule="exact"/>
        <w:rPr>
          <w:sz w:val="20"/>
          <w:szCs w:val="20"/>
          <w:color w:val="auto"/>
        </w:rPr>
      </w:pPr>
    </w:p>
    <w:p>
      <w:pPr>
        <w:jc w:val="both"/>
        <w:ind w:firstLine="656"/>
        <w:spacing w:after="0" w:line="234" w:lineRule="auto"/>
        <w:tabs>
          <w:tab w:leader="none" w:pos="1021"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Notice of Forbearance Termination Event</w:t>
      </w:r>
      <w:r>
        <w:rPr>
          <w:rFonts w:ascii="Arial" w:cs="Arial" w:eastAsia="Arial" w:hAnsi="Arial"/>
          <w:sz w:val="20"/>
          <w:szCs w:val="20"/>
          <w:color w:val="auto"/>
        </w:rPr>
        <w:t>. Each Credit Party shall provide written notice to the Administrative Agent promptly (and in any event within one Business Day) of its obtaining knowledge of the occurrence of any Forbearance Termination Event, which notice shall state that such event occurred and set forth, in reasonable detail, the facts and circumstances that gave rise to such event. Such notice shall be delivered 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JPMorgan Chase Bank, N.A.</w:t>
      </w:r>
    </w:p>
    <w:p>
      <w:pPr>
        <w:ind w:left="660"/>
        <w:spacing w:after="0" w:line="227" w:lineRule="auto"/>
        <w:rPr>
          <w:sz w:val="20"/>
          <w:szCs w:val="20"/>
          <w:color w:val="auto"/>
        </w:rPr>
      </w:pPr>
      <w:r>
        <w:rPr>
          <w:rFonts w:ascii="Arial" w:cs="Arial" w:eastAsia="Arial" w:hAnsi="Arial"/>
          <w:sz w:val="20"/>
          <w:szCs w:val="20"/>
          <w:color w:val="auto"/>
        </w:rPr>
        <w:t>383 Madison Avenue, 24th Floor</w:t>
      </w:r>
    </w:p>
    <w:p>
      <w:pPr>
        <w:ind w:left="660"/>
        <w:spacing w:after="0" w:line="225" w:lineRule="auto"/>
        <w:rPr>
          <w:sz w:val="20"/>
          <w:szCs w:val="20"/>
          <w:color w:val="auto"/>
        </w:rPr>
      </w:pPr>
      <w:r>
        <w:rPr>
          <w:rFonts w:ascii="Arial" w:cs="Arial" w:eastAsia="Arial" w:hAnsi="Arial"/>
          <w:sz w:val="20"/>
          <w:szCs w:val="20"/>
          <w:color w:val="auto"/>
        </w:rPr>
        <w:t>New York, NY 10179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Sandeep Parihar (sandeep.s.parihar@jpmorgan.com)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copies by electronic mail (which shall not constitute notice) to</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Simpson Thacher &amp; Bartlett LLP</w:t>
      </w:r>
    </w:p>
    <w:p>
      <w:pPr>
        <w:ind w:left="660"/>
        <w:spacing w:after="0" w:line="227" w:lineRule="auto"/>
        <w:rPr>
          <w:sz w:val="20"/>
          <w:szCs w:val="20"/>
          <w:color w:val="auto"/>
        </w:rPr>
      </w:pPr>
      <w:r>
        <w:rPr>
          <w:rFonts w:ascii="Arial" w:cs="Arial" w:eastAsia="Arial" w:hAnsi="Arial"/>
          <w:sz w:val="20"/>
          <w:szCs w:val="20"/>
          <w:color w:val="auto"/>
        </w:rPr>
        <w:t>425 Lexington Ave.</w:t>
      </w:r>
    </w:p>
    <w:p>
      <w:pPr>
        <w:ind w:left="660"/>
        <w:spacing w:after="0" w:line="225" w:lineRule="auto"/>
        <w:rPr>
          <w:sz w:val="20"/>
          <w:szCs w:val="20"/>
          <w:color w:val="auto"/>
        </w:rPr>
      </w:pPr>
      <w:r>
        <w:rPr>
          <w:rFonts w:ascii="Arial" w:cs="Arial" w:eastAsia="Arial" w:hAnsi="Arial"/>
          <w:sz w:val="20"/>
          <w:szCs w:val="20"/>
          <w:color w:val="auto"/>
        </w:rPr>
        <w:t>New York, NY 10017</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Sandy Qusba (squsba@stblaw.com)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549" w:right="339" w:bottom="1440" w:gutter="0" w:footer="0" w:header="0"/>
        </w:sectPr>
      </w:pPr>
    </w:p>
    <w:bookmarkStart w:id="10" w:name="page11"/>
    <w:bookmarkEnd w:id="10"/>
    <w:p>
      <w:pPr>
        <w:jc w:val="both"/>
        <w:ind w:firstLine="656"/>
        <w:spacing w:after="0" w:line="231" w:lineRule="auto"/>
        <w:tabs>
          <w:tab w:leader="none" w:pos="102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Acknowledgment of Satisfaction</w:t>
      </w:r>
      <w:r>
        <w:rPr>
          <w:rFonts w:ascii="Arial" w:cs="Arial" w:eastAsia="Arial" w:hAnsi="Arial"/>
          <w:sz w:val="20"/>
          <w:szCs w:val="20"/>
          <w:color w:val="auto"/>
        </w:rPr>
        <w:t>. Nothing contained herein shall be deemed a waiver of (or otherwise affect the Administrative Agent or any Lender’s ability to enforce) any other Default or Event of Default under any of the Credit Documents, including (a) any Default or Event of Default as may now or hereafter exist and arise from or otherwise be related to any of the Acknowledged Events of Default (including any cross-default arising under the Credit Agreement by virtue of any matters resulting from the Acknowledged Events of Default), and (b) any Default arising at any time after the Forbearance Effective Date and which is the same as or similar to the Acknowledged Events of Default.</w:t>
      </w:r>
    </w:p>
    <w:p>
      <w:pPr>
        <w:spacing w:after="0" w:line="143" w:lineRule="exact"/>
        <w:rPr>
          <w:rFonts w:ascii="Arial" w:cs="Arial" w:eastAsia="Arial" w:hAnsi="Arial"/>
          <w:sz w:val="20"/>
          <w:szCs w:val="20"/>
          <w:color w:val="auto"/>
        </w:rPr>
      </w:pPr>
    </w:p>
    <w:p>
      <w:pPr>
        <w:jc w:val="both"/>
        <w:ind w:firstLine="656"/>
        <w:spacing w:after="0" w:line="234" w:lineRule="auto"/>
        <w:tabs>
          <w:tab w:leader="none" w:pos="1129"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Cooperation</w:t>
      </w:r>
      <w:r>
        <w:rPr>
          <w:rFonts w:ascii="Arial" w:cs="Arial" w:eastAsia="Arial" w:hAnsi="Arial"/>
          <w:sz w:val="20"/>
          <w:szCs w:val="20"/>
          <w:color w:val="auto"/>
        </w:rPr>
        <w:t>. The Credit Parties and their respective Subsidiaries shall cooperate fully with the Administrative Agent and provide the Administrative Agent with reasonable access to their respective facilities, books and records, officers and consultants and any information reasonably requested by the Administrative Agent to monitor the Credit Parties’ and their respective Subsidiaries’ financial and operational performance.</w:t>
      </w:r>
    </w:p>
    <w:p>
      <w:pPr>
        <w:spacing w:after="0" w:line="142" w:lineRule="exact"/>
        <w:rPr>
          <w:rFonts w:ascii="Arial" w:cs="Arial" w:eastAsia="Arial" w:hAnsi="Arial"/>
          <w:sz w:val="20"/>
          <w:szCs w:val="20"/>
          <w:color w:val="auto"/>
        </w:rPr>
      </w:pPr>
    </w:p>
    <w:p>
      <w:pPr>
        <w:ind w:firstLine="656"/>
        <w:spacing w:after="0" w:line="246" w:lineRule="auto"/>
        <w:tabs>
          <w:tab w:leader="none" w:pos="1021"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Forbearance Effective Date</w:t>
      </w:r>
      <w:r>
        <w:rPr>
          <w:rFonts w:ascii="Arial" w:cs="Arial" w:eastAsia="Arial" w:hAnsi="Arial"/>
          <w:sz w:val="20"/>
          <w:szCs w:val="20"/>
          <w:color w:val="auto"/>
        </w:rPr>
        <w:t>”):</w:t>
      </w:r>
    </w:p>
    <w:p>
      <w:pPr>
        <w:spacing w:after="0" w:line="131" w:lineRule="exact"/>
        <w:rPr>
          <w:rFonts w:ascii="Arial" w:cs="Arial" w:eastAsia="Arial" w:hAnsi="Arial"/>
          <w:sz w:val="20"/>
          <w:szCs w:val="20"/>
          <w:color w:val="auto"/>
        </w:rPr>
      </w:pPr>
    </w:p>
    <w:p>
      <w:pPr>
        <w:ind w:firstLine="1304"/>
        <w:spacing w:after="0" w:line="250" w:lineRule="auto"/>
        <w:tabs>
          <w:tab w:leader="none" w:pos="1727" w:val="left"/>
        </w:tabs>
        <w:numPr>
          <w:ilvl w:val="1"/>
          <w:numId w:val="11"/>
        </w:numPr>
        <w:rPr>
          <w:rFonts w:ascii="Arial" w:cs="Arial" w:eastAsia="Arial" w:hAnsi="Arial"/>
          <w:sz w:val="20"/>
          <w:szCs w:val="20"/>
          <w:color w:val="auto"/>
        </w:rPr>
      </w:pPr>
      <w:r>
        <w:rPr>
          <w:rFonts w:ascii="Arial" w:cs="Arial" w:eastAsia="Arial" w:hAnsi="Arial"/>
          <w:sz w:val="22"/>
          <w:szCs w:val="22"/>
          <w:color w:val="auto"/>
        </w:rPr>
        <w:t>the Administrative Agent shall have received this Agreement duly executed by the Borrower, the Guarantors, the Administrative Agent and Lenders constituting at least the Majority Lenders;</w:t>
      </w:r>
    </w:p>
    <w:p>
      <w:pPr>
        <w:spacing w:after="0" w:line="139" w:lineRule="exact"/>
        <w:rPr>
          <w:rFonts w:ascii="Arial" w:cs="Arial" w:eastAsia="Arial" w:hAnsi="Arial"/>
          <w:sz w:val="20"/>
          <w:szCs w:val="20"/>
          <w:color w:val="auto"/>
        </w:rPr>
      </w:pPr>
    </w:p>
    <w:p>
      <w:pPr>
        <w:ind w:firstLine="1304"/>
        <w:spacing w:after="0" w:line="246" w:lineRule="auto"/>
        <w:tabs>
          <w:tab w:leader="none" w:pos="1758"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11"/>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Forbearance Effective Date; and</w:t>
      </w:r>
    </w:p>
    <w:p>
      <w:pPr>
        <w:spacing w:after="0" w:line="142" w:lineRule="exact"/>
        <w:rPr>
          <w:rFonts w:ascii="Arial" w:cs="Arial" w:eastAsia="Arial" w:hAnsi="Arial"/>
          <w:sz w:val="20"/>
          <w:szCs w:val="20"/>
          <w:color w:val="auto"/>
        </w:rPr>
      </w:pPr>
    </w:p>
    <w:p>
      <w:pPr>
        <w:jc w:val="both"/>
        <w:ind w:firstLine="1304"/>
        <w:spacing w:after="0" w:line="246" w:lineRule="auto"/>
        <w:tabs>
          <w:tab w:leader="none" w:pos="1727" w:val="left"/>
        </w:tabs>
        <w:numPr>
          <w:ilvl w:val="1"/>
          <w:numId w:val="11"/>
        </w:numPr>
        <w:rPr>
          <w:rFonts w:ascii="Arial" w:cs="Arial" w:eastAsia="Arial" w:hAnsi="Arial"/>
          <w:sz w:val="19"/>
          <w:szCs w:val="19"/>
          <w:color w:val="auto"/>
        </w:rPr>
      </w:pPr>
      <w:r>
        <w:rPr>
          <w:rFonts w:ascii="Arial" w:cs="Arial" w:eastAsia="Arial" w:hAnsi="Arial"/>
          <w:sz w:val="19"/>
          <w:szCs w:val="19"/>
          <w:color w:val="auto"/>
        </w:rPr>
        <w:t>receipt by the Administrative Agent of an executed forbearance agreement in form and substance reasonably acceptable to the Administrative Agent and the Majority Lenders with respect to each of the 2017 Term Loan Agreement and the 2016 Term Loan Agreement, which forbearance agreements shall provide for a forbearance covering the Borrower’s failure to make the interest payments due thereunder on May 29, 2020 (each, an “</w:t>
      </w:r>
      <w:r>
        <w:rPr>
          <w:rFonts w:ascii="Arial" w:cs="Arial" w:eastAsia="Arial" w:hAnsi="Arial"/>
          <w:sz w:val="19"/>
          <w:szCs w:val="19"/>
          <w:b w:val="1"/>
          <w:bCs w:val="1"/>
          <w:color w:val="auto"/>
        </w:rPr>
        <w:t>Overdue Term Loan Interest Payment</w:t>
      </w:r>
      <w:r>
        <w:rPr>
          <w:rFonts w:ascii="Arial" w:cs="Arial" w:eastAsia="Arial" w:hAnsi="Arial"/>
          <w:sz w:val="19"/>
          <w:szCs w:val="19"/>
          <w:color w:val="auto"/>
        </w:rPr>
        <w:t>”) and any other related defaults or events of default thereunder (such forbearance agreements, the “</w:t>
      </w:r>
      <w:r>
        <w:rPr>
          <w:rFonts w:ascii="Arial" w:cs="Arial" w:eastAsia="Arial" w:hAnsi="Arial"/>
          <w:sz w:val="19"/>
          <w:szCs w:val="19"/>
          <w:b w:val="1"/>
          <w:bCs w:val="1"/>
          <w:color w:val="auto"/>
        </w:rPr>
        <w:t>Other First Lien Forbearance Agreements</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ind w:firstLine="656"/>
        <w:spacing w:after="0" w:line="246" w:lineRule="auto"/>
        <w:tabs>
          <w:tab w:leader="none" w:pos="1143"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Forbearance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55" w:right="339" w:bottom="1440" w:gutter="0" w:footer="0" w:header="0"/>
        </w:sectPr>
      </w:pPr>
    </w:p>
    <w:bookmarkStart w:id="11" w:name="page12"/>
    <w:bookmarkEnd w:id="11"/>
    <w:p>
      <w:pPr>
        <w:jc w:val="both"/>
        <w:ind w:firstLine="1304"/>
        <w:spacing w:after="0" w:line="234" w:lineRule="auto"/>
        <w:tabs>
          <w:tab w:leader="none" w:pos="1732" w:val="left"/>
        </w:tabs>
        <w:numPr>
          <w:ilvl w:val="1"/>
          <w:numId w:val="12"/>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42" w:lineRule="exact"/>
        <w:rPr>
          <w:rFonts w:ascii="Arial" w:cs="Arial" w:eastAsia="Arial" w:hAnsi="Arial"/>
          <w:sz w:val="20"/>
          <w:szCs w:val="20"/>
          <w:color w:val="auto"/>
        </w:rPr>
      </w:pPr>
    </w:p>
    <w:p>
      <w:pPr>
        <w:jc w:val="both"/>
        <w:ind w:firstLine="1304"/>
        <w:spacing w:after="0" w:line="256" w:lineRule="auto"/>
        <w:tabs>
          <w:tab w:leader="none" w:pos="1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Forbearance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7" w:lineRule="exact"/>
        <w:rPr>
          <w:rFonts w:ascii="Arial" w:cs="Arial" w:eastAsia="Arial" w:hAnsi="Arial"/>
          <w:sz w:val="18"/>
          <w:szCs w:val="18"/>
          <w:color w:val="auto"/>
        </w:rPr>
      </w:pPr>
    </w:p>
    <w:p>
      <w:pPr>
        <w:ind w:firstLine="1304"/>
        <w:spacing w:after="0" w:line="246" w:lineRule="auto"/>
        <w:tabs>
          <w:tab w:leader="none" w:pos="1803" w:val="left"/>
        </w:tabs>
        <w:numPr>
          <w:ilvl w:val="1"/>
          <w:numId w:val="12"/>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46" w:lineRule="auto"/>
        <w:tabs>
          <w:tab w:leader="none" w:pos="1744" w:val="left"/>
        </w:tabs>
        <w:numPr>
          <w:ilvl w:val="1"/>
          <w:numId w:val="12"/>
        </w:numPr>
        <w:rPr>
          <w:rFonts w:ascii="Arial" w:cs="Arial" w:eastAsia="Arial" w:hAnsi="Arial"/>
          <w:sz w:val="20"/>
          <w:szCs w:val="20"/>
          <w:color w:val="auto"/>
        </w:rPr>
      </w:pPr>
      <w:r>
        <w:rPr>
          <w:rFonts w:ascii="Arial" w:cs="Arial" w:eastAsia="Arial" w:hAnsi="Arial"/>
          <w:sz w:val="20"/>
          <w:szCs w:val="20"/>
          <w:color w:val="auto"/>
        </w:rPr>
        <w:t>as of the date hereof, other than the Other First Lien Forbearance Agreements, no Third Party Forbearance Agreement (as defined below) exists between any Credit Party and any party; and</w:t>
      </w:r>
    </w:p>
    <w:p>
      <w:pPr>
        <w:spacing w:after="0" w:line="136" w:lineRule="exact"/>
        <w:rPr>
          <w:rFonts w:ascii="Arial" w:cs="Arial" w:eastAsia="Arial" w:hAnsi="Arial"/>
          <w:sz w:val="20"/>
          <w:szCs w:val="20"/>
          <w:color w:val="auto"/>
        </w:rPr>
      </w:pPr>
    </w:p>
    <w:p>
      <w:pPr>
        <w:jc w:val="both"/>
        <w:ind w:firstLine="1304"/>
        <w:spacing w:after="0" w:line="267" w:lineRule="auto"/>
        <w:tabs>
          <w:tab w:leader="none" w:pos="16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of the Forbearance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w:t>
      </w:r>
    </w:p>
    <w:p>
      <w:pPr>
        <w:spacing w:after="0" w:line="118" w:lineRule="exact"/>
        <w:rPr>
          <w:rFonts w:ascii="Arial" w:cs="Arial" w:eastAsia="Arial" w:hAnsi="Arial"/>
          <w:sz w:val="18"/>
          <w:szCs w:val="18"/>
          <w:color w:val="auto"/>
        </w:rPr>
      </w:pPr>
    </w:p>
    <w:p>
      <w:pPr>
        <w:jc w:val="both"/>
        <w:ind w:firstLine="656"/>
        <w:spacing w:after="0" w:line="237" w:lineRule="auto"/>
        <w:tabs>
          <w:tab w:leader="none" w:pos="1021"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Lender Calls.</w:t>
      </w:r>
      <w:r>
        <w:rPr>
          <w:rFonts w:ascii="Arial" w:cs="Arial" w:eastAsia="Arial" w:hAnsi="Arial"/>
          <w:sz w:val="20"/>
          <w:szCs w:val="20"/>
          <w:color w:val="auto"/>
        </w:rPr>
        <w:t xml:space="preserve"> The Borrower shall, at its own expense, facilitate and hold calls between the Administrative Agent and members of the Borrower’s executive management team and/or their advisors not less than once every week and shall permit any Lender to attend such calls.</w:t>
      </w:r>
    </w:p>
    <w:p>
      <w:pPr>
        <w:spacing w:after="0" w:line="142" w:lineRule="exact"/>
        <w:rPr>
          <w:rFonts w:ascii="Arial" w:cs="Arial" w:eastAsia="Arial" w:hAnsi="Arial"/>
          <w:sz w:val="20"/>
          <w:szCs w:val="20"/>
          <w:color w:val="auto"/>
        </w:rPr>
      </w:pPr>
    </w:p>
    <w:p>
      <w:pPr>
        <w:jc w:val="both"/>
        <w:ind w:firstLine="656"/>
        <w:spacing w:after="0" w:line="242" w:lineRule="auto"/>
        <w:tabs>
          <w:tab w:leader="none" w:pos="103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Interest and Continuation of Borrowings</w:t>
      </w:r>
      <w:r>
        <w:rPr>
          <w:rFonts w:ascii="Arial" w:cs="Arial" w:eastAsia="Arial" w:hAnsi="Arial"/>
          <w:sz w:val="19"/>
          <w:szCs w:val="19"/>
          <w:color w:val="auto"/>
        </w:rPr>
        <w:t>. On and after the date hereof and for so long as the Acknowledged Events of Default shall be continuing under the Credit Agreement, the Loans and the interest payable thereon shall continue to accrue interest in the manner set forth in Sections 2.8(a) and (b) of the Credit Agreement and, notwithstanding Section 2.8(c) of the Credit Agreement, not at the Default Rate. In addition, pursuant to Section 2.6(b) of the Credit Agreement, on and after the date of any Default or Event of Default, the Majority Revolving Lenders hereby elect that (i) no outstanding Revolving Borrowing may be converted into, or continued as, a LIBOR Loan and (ii) each LIBOR Loan shall be converted to an ABR Loan at the end of the Interest Period applicable thereto. This Section 9 shall serve as notice to the Borrower from the Administrative Agent of the determination by the Majority Revolving Lenders to make such election pursuant to Section 2.6(b) of the Credit Agreement.</w:t>
      </w:r>
    </w:p>
    <w:p>
      <w:pPr>
        <w:spacing w:after="0" w:line="141" w:lineRule="exact"/>
        <w:rPr>
          <w:rFonts w:ascii="Arial" w:cs="Arial" w:eastAsia="Arial" w:hAnsi="Arial"/>
          <w:sz w:val="19"/>
          <w:szCs w:val="19"/>
          <w:color w:val="auto"/>
        </w:rPr>
      </w:pPr>
    </w:p>
    <w:p>
      <w:pPr>
        <w:jc w:val="both"/>
        <w:ind w:firstLine="656"/>
        <w:spacing w:after="0" w:line="237" w:lineRule="auto"/>
        <w:tabs>
          <w:tab w:leader="none" w:pos="109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More Favorable Terms</w:t>
      </w:r>
      <w:r>
        <w:rPr>
          <w:rFonts w:ascii="Arial" w:cs="Arial" w:eastAsia="Arial" w:hAnsi="Arial"/>
          <w:sz w:val="20"/>
          <w:szCs w:val="20"/>
          <w:color w:val="auto"/>
        </w:rPr>
        <w:t>. To the extent that any other forbearance, standstill or other similar agreement entered into by any Credit Party (any such agreement, a “</w:t>
      </w:r>
      <w:r>
        <w:rPr>
          <w:rFonts w:ascii="Arial" w:cs="Arial" w:eastAsia="Arial" w:hAnsi="Arial"/>
          <w:sz w:val="20"/>
          <w:szCs w:val="20"/>
          <w:b w:val="1"/>
          <w:bCs w:val="1"/>
          <w:color w:val="auto"/>
        </w:rPr>
        <w:t>Third Party Forbearance Agreement</w:t>
      </w:r>
      <w:r>
        <w:rPr>
          <w:rFonts w:ascii="Arial" w:cs="Arial" w:eastAsia="Arial" w:hAnsi="Arial"/>
          <w:sz w:val="20"/>
          <w:szCs w:val="20"/>
          <w:color w:val="auto"/>
        </w:rPr>
        <w:t>”), or any amendment to any Third Party Forbearance Agreement, in each case, entered into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55" w:right="339" w:bottom="1440" w:gutter="0" w:footer="0" w:header="0"/>
        </w:sectPr>
      </w:pPr>
    </w:p>
    <w:bookmarkStart w:id="12" w:name="page13"/>
    <w:bookmarkEnd w:id="12"/>
    <w:p>
      <w:pPr>
        <w:jc w:val="both"/>
        <w:spacing w:after="0" w:line="230" w:lineRule="auto"/>
        <w:rPr>
          <w:sz w:val="20"/>
          <w:szCs w:val="20"/>
          <w:color w:val="auto"/>
        </w:rPr>
      </w:pPr>
      <w:r>
        <w:rPr>
          <w:rFonts w:ascii="Arial" w:cs="Arial" w:eastAsia="Arial" w:hAnsi="Arial"/>
          <w:sz w:val="20"/>
          <w:szCs w:val="20"/>
          <w:color w:val="auto"/>
        </w:rPr>
        <w:t>agreed on or after the date of this Agreement and during the Forbearance Period, provides any benefit or right (including, without limitation, the benefit of a forbearance period of shorter duration than the Forbearance Period and the payment of any fees in connection with such forbearance) to any creditor party thereto that is more favorable than the benefits and rights provided to the Administrative Agent and the Forbearing Lenders under this Agreement, taking into account the terms and conditions of the underlying debt financing documents in effect with such creditor party, this Agreement shall be deemed to be amended so as to cause any such benefit or right to be incorporated into this Agreement concurrently with making any such benefit or right available, and on comparable terms as it is made available, to any such other creditor.</w:t>
      </w:r>
    </w:p>
    <w:p>
      <w:pPr>
        <w:spacing w:after="0" w:line="145" w:lineRule="exact"/>
        <w:rPr>
          <w:sz w:val="20"/>
          <w:szCs w:val="20"/>
          <w:color w:val="auto"/>
        </w:rPr>
      </w:pPr>
    </w:p>
    <w:p>
      <w:pPr>
        <w:jc w:val="both"/>
        <w:ind w:firstLine="656"/>
        <w:spacing w:after="0"/>
        <w:tabs>
          <w:tab w:leader="none" w:pos="114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8" w:lineRule="exact"/>
        <w:rPr>
          <w:rFonts w:ascii="Arial" w:cs="Arial" w:eastAsia="Arial" w:hAnsi="Arial"/>
          <w:sz w:val="19"/>
          <w:szCs w:val="19"/>
          <w:color w:val="auto"/>
        </w:rPr>
      </w:pPr>
    </w:p>
    <w:p>
      <w:pPr>
        <w:jc w:val="both"/>
        <w:ind w:firstLine="656"/>
        <w:spacing w:after="0" w:line="232" w:lineRule="auto"/>
        <w:tabs>
          <w:tab w:leader="none" w:pos="1093"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37" w:lineRule="exact"/>
        <w:rPr>
          <w:rFonts w:ascii="Arial" w:cs="Arial" w:eastAsia="Arial" w:hAnsi="Arial"/>
          <w:sz w:val="20"/>
          <w:szCs w:val="20"/>
          <w:color w:val="auto"/>
        </w:rPr>
      </w:pPr>
    </w:p>
    <w:p>
      <w:pPr>
        <w:jc w:val="both"/>
        <w:ind w:firstLine="656"/>
        <w:spacing w:after="0" w:line="258" w:lineRule="auto"/>
        <w:tabs>
          <w:tab w:leader="none" w:pos="1161" w:val="left"/>
        </w:tabs>
        <w:numPr>
          <w:ilvl w:val="0"/>
          <w:numId w:val="14"/>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4" w:lineRule="exact"/>
        <w:rPr>
          <w:rFonts w:ascii="Arial" w:cs="Arial" w:eastAsia="Arial" w:hAnsi="Arial"/>
          <w:sz w:val="19"/>
          <w:szCs w:val="19"/>
          <w:color w:val="auto"/>
        </w:rPr>
      </w:pPr>
    </w:p>
    <w:p>
      <w:pPr>
        <w:jc w:val="both"/>
        <w:ind w:firstLine="656"/>
        <w:spacing w:after="0" w:line="234" w:lineRule="auto"/>
        <w:tabs>
          <w:tab w:leader="none" w:pos="11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255"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48" w:lineRule="auto"/>
        <w:tabs>
          <w:tab w:leader="none" w:pos="1120"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55"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21" w:lineRule="exact"/>
        <w:rPr>
          <w:sz w:val="20"/>
          <w:szCs w:val="20"/>
          <w:color w:val="auto"/>
        </w:rPr>
      </w:pPr>
    </w:p>
    <w:p>
      <w:pPr>
        <w:jc w:val="both"/>
        <w:ind w:firstLine="656"/>
        <w:spacing w:after="0" w:line="26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21 hereof, the Released Parties, shall have any rights hereunder or be entitled to rely on this Agreement and all third-party beneficiary rights (other than the rights of the Released Parties under Section 21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8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or the Required Revolving Lenders, as applicable, under the provisions of Article XIII of the Credit Agreement and (y) all sections of Article XIII of the Credit Agreement shall apply to any and all actions (and inactions) taken by the Administrative Agent in accordance with such direction.</w:t>
      </w:r>
    </w:p>
    <w:p>
      <w:pPr>
        <w:spacing w:after="0" w:line="121" w:lineRule="exact"/>
        <w:rPr>
          <w:rFonts w:ascii="Arial" w:cs="Arial" w:eastAsia="Arial" w:hAnsi="Arial"/>
          <w:sz w:val="18"/>
          <w:szCs w:val="18"/>
          <w:color w:val="auto"/>
        </w:rPr>
      </w:pPr>
    </w:p>
    <w:p>
      <w:pPr>
        <w:ind w:firstLine="656"/>
        <w:spacing w:after="0" w:line="246" w:lineRule="auto"/>
        <w:tabs>
          <w:tab w:leader="none" w:pos="1147"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Each of the Credit Parties hereby agrees to execute and deliver from time to time such other documents and take such other actions as may be reasonably requested in order to effectuate the terms hereof.</w:t>
      </w:r>
    </w:p>
    <w:p>
      <w:pPr>
        <w:spacing w:after="0" w:line="136" w:lineRule="exact"/>
        <w:rPr>
          <w:rFonts w:ascii="Arial" w:cs="Arial" w:eastAsia="Arial" w:hAnsi="Arial"/>
          <w:sz w:val="20"/>
          <w:szCs w:val="20"/>
          <w:color w:val="auto"/>
        </w:rPr>
      </w:pPr>
    </w:p>
    <w:p>
      <w:pPr>
        <w:jc w:val="both"/>
        <w:ind w:firstLine="656"/>
        <w:spacing w:after="0" w:line="253" w:lineRule="auto"/>
        <w:tabs>
          <w:tab w:leader="none" w:pos="110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signature set forth below, each Credit Party hereby ratifies and confirms to the Administrative Agent and the Lenders that, after giving effect to this Agreement and the transactions contemplated hereby, each of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Security Documents to secure the Obligations and agrees that such security interests and Liens remain in full force and effect and are hereby ratified, reaffirmed and confirmed in all respects.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55" w:right="339" w:bottom="1440" w:gutter="0" w:footer="0" w:header="0"/>
        </w:sectPr>
      </w:pPr>
    </w:p>
    <w:bookmarkStart w:id="14" w:name="page15"/>
    <w:bookmarkEnd w:id="14"/>
    <w:p>
      <w:pPr>
        <w:jc w:val="both"/>
        <w:ind w:firstLine="656"/>
        <w:spacing w:after="0" w:line="253" w:lineRule="auto"/>
        <w:tabs>
          <w:tab w:leader="none" w:pos="116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Forbearance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21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21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55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Forbearance Agreement (RBL)]</w:t>
      </w:r>
    </w:p>
    <w:p>
      <w:pPr>
        <w:sectPr>
          <w:pgSz w:w="11900" w:h="16838" w:orient="portrait"/>
          <w:cols w:equalWidth="0" w:num="1">
            <w:col w:w="9479"/>
          </w:cols>
          <w:pgMar w:left="980" w:top="555" w:right="1440" w:bottom="1440" w:gutter="0" w:footer="0" w:header="0"/>
          <w:type w:val="continuous"/>
        </w:sectPr>
      </w:pPr>
    </w:p>
    <w:bookmarkStart w:id="16" w:name="page17"/>
    <w:bookmarkEnd w:id="16"/>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Forbearance Agreement (RBL)]</w:t>
      </w:r>
    </w:p>
    <w:p>
      <w:pPr>
        <w:sectPr>
          <w:pgSz w:w="11900" w:h="16838" w:orient="portrait"/>
          <w:cols w:equalWidth="0" w:num="1">
            <w:col w:w="9019"/>
          </w:cols>
          <w:pgMar w:left="1440" w:top="711" w:right="1440" w:bottom="1440" w:gutter="0" w:footer="0" w:header="0"/>
        </w:sectPr>
      </w:pPr>
    </w:p>
    <w:bookmarkStart w:id="17" w:name="page18"/>
    <w:bookmarkEnd w:id="17"/>
    <w:p>
      <w:pPr>
        <w:ind w:left="3860" w:right="460"/>
        <w:spacing w:after="0" w:line="267" w:lineRule="auto"/>
        <w:rPr>
          <w:sz w:val="20"/>
          <w:szCs w:val="20"/>
          <w:color w:val="auto"/>
        </w:rPr>
      </w:pPr>
      <w:r>
        <w:rPr>
          <w:rFonts w:ascii="Arial" w:cs="Arial" w:eastAsia="Arial" w:hAnsi="Arial"/>
          <w:sz w:val="20"/>
          <w:szCs w:val="20"/>
          <w:b w:val="1"/>
          <w:bCs w:val="1"/>
          <w:u w:val="single" w:color="auto"/>
          <w:color w:val="auto"/>
        </w:rPr>
        <w:t>ADMINISTRATIVE AGENT, LENDER, AND LETTER OF CREDIT ISSUER</w:t>
      </w:r>
      <w:r>
        <w:rPr>
          <w:rFonts w:ascii="Arial" w:cs="Arial" w:eastAsia="Arial" w:hAnsi="Arial"/>
          <w:sz w:val="20"/>
          <w:szCs w:val="20"/>
          <w:b w:val="1"/>
          <w:bCs w:val="1"/>
          <w:color w:val="auto"/>
        </w:rPr>
        <w:t>:</w:t>
      </w:r>
    </w:p>
    <w:p>
      <w:pPr>
        <w:spacing w:after="0" w:line="325"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JPMORGAN CHASE BANK,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Sandeep Parihar</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Sandeep Parihar</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[Signature Page to Forbearance Agreement (1L)]</w:t>
      </w:r>
    </w:p>
    <w:p>
      <w:pPr>
        <w:sectPr>
          <w:pgSz w:w="11900" w:h="16838" w:orient="portrait"/>
          <w:cols w:equalWidth="0" w:num="1">
            <w:col w:w="9460"/>
          </w:cols>
          <w:pgMar w:left="1440" w:top="711" w:right="99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9"/>
          <w:szCs w:val="19"/>
          <w:b w:val="1"/>
          <w:bCs w:val="1"/>
          <w:u w:val="single" w:color="auto"/>
          <w:color w:val="auto"/>
        </w:rPr>
        <w:t>LENDER AND LETTER OF CREDIT ISSUER:</w:t>
      </w:r>
    </w:p>
    <w:p>
      <w:pPr>
        <w:sectPr>
          <w:pgSz w:w="11900" w:h="16838" w:orient="portrait"/>
          <w:cols w:equalWidth="0" w:num="1">
            <w:col w:w="9019"/>
          </w:cols>
          <w:pgMar w:left="1440" w:top="549" w:right="1440"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Forbearance Agreement (1L)]</w:t>
      </w:r>
    </w:p>
    <w:p>
      <w:pPr>
        <w:sectPr>
          <w:pgSz w:w="11900" w:h="16838" w:orient="portrait"/>
          <w:cols w:equalWidth="0" w:num="1">
            <w:col w:w="9019"/>
          </w:cols>
          <w:pgMar w:left="1440" w:top="549" w:right="1440" w:bottom="1440" w:gutter="0" w:footer="0" w:header="0"/>
          <w:type w:val="continuous"/>
        </w:sectPr>
      </w:pPr>
    </w:p>
    <w:bookmarkStart w:id="19" w:name="page20"/>
    <w:bookmarkEnd w:id="19"/>
    <w:p>
      <w:pPr>
        <w:ind w:left="10120"/>
        <w:spacing w:after="0"/>
        <w:rPr>
          <w:sz w:val="20"/>
          <w:szCs w:val="20"/>
          <w:color w:val="auto"/>
        </w:rPr>
      </w:pPr>
      <w:r>
        <w:rPr>
          <w:rFonts w:ascii="Arial" w:cs="Arial" w:eastAsia="Arial" w:hAnsi="Arial"/>
          <w:sz w:val="18"/>
          <w:szCs w:val="18"/>
          <w:b w:val="1"/>
          <w:bCs w:val="1"/>
          <w:color w:val="auto"/>
        </w:rPr>
        <w:t>EXHIBIT 10.2</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FORBEARANCE AGREEMENT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FORBEARANCE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June 2, 2020, by and among </w:t>
      </w:r>
      <w:r>
        <w:rPr>
          <w:rFonts w:ascii="Arial" w:cs="Arial" w:eastAsia="Arial" w:hAnsi="Arial"/>
          <w:sz w:val="20"/>
          <w:szCs w:val="20"/>
          <w:b w:val="1"/>
          <w:bCs w:val="1"/>
          <w:color w:val="auto"/>
        </w:rPr>
        <w:t>CALIFORNIA</w:t>
      </w:r>
      <w:r>
        <w:rPr>
          <w:rFonts w:ascii="Arial" w:cs="Arial" w:eastAsia="Arial" w:hAnsi="Arial"/>
          <w:sz w:val="20"/>
          <w:szCs w:val="20"/>
          <w:color w:val="auto"/>
        </w:rPr>
        <w:t xml:space="preserve"> </w:t>
      </w:r>
      <w:r>
        <w:rPr>
          <w:rFonts w:ascii="Arial" w:cs="Arial" w:eastAsia="Arial" w:hAnsi="Arial"/>
          <w:sz w:val="20"/>
          <w:szCs w:val="20"/>
          <w:b w:val="1"/>
          <w:bCs w:val="1"/>
          <w:color w:val="auto"/>
        </w:rPr>
        <w:t>RESOURCES CORPORATION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other Guarantors party hereto (the “</w:t>
      </w:r>
      <w:r>
        <w:rPr>
          <w:rFonts w:ascii="Arial" w:cs="Arial" w:eastAsia="Arial" w:hAnsi="Arial"/>
          <w:sz w:val="20"/>
          <w:szCs w:val="20"/>
          <w:b w:val="1"/>
          <w:bCs w:val="1"/>
          <w:color w:val="auto"/>
        </w:rPr>
        <w:t>Guarantors</w:t>
      </w:r>
      <w:r>
        <w:rPr>
          <w:rFonts w:ascii="Arial" w:cs="Arial" w:eastAsia="Arial" w:hAnsi="Arial"/>
          <w:sz w:val="20"/>
          <w:szCs w:val="20"/>
          <w:color w:val="auto"/>
        </w:rPr>
        <w:t>”),</w:t>
      </w:r>
      <w:r>
        <w:rPr>
          <w:rFonts w:ascii="Arial" w:cs="Arial" w:eastAsia="Arial" w:hAnsi="Arial"/>
          <w:sz w:val="20"/>
          <w:szCs w:val="20"/>
          <w:b w:val="1"/>
          <w:bCs w:val="1"/>
          <w:color w:val="auto"/>
        </w:rPr>
        <w:t xml:space="preserve"> THE BANK OF NEW YORK MELLON TRUST COMPANY, N.A.</w:t>
      </w:r>
      <w:r>
        <w:rPr>
          <w:rFonts w:ascii="Arial" w:cs="Arial" w:eastAsia="Arial" w:hAnsi="Arial"/>
          <w:sz w:val="20"/>
          <w:szCs w:val="20"/>
          <w:color w:val="auto"/>
        </w:rPr>
        <w:t>, as administrative agent for the Lenders (in such capacity,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and the Lenders party hereto (the “</w:t>
      </w:r>
      <w:r>
        <w:rPr>
          <w:rFonts w:ascii="Arial" w:cs="Arial" w:eastAsia="Arial" w:hAnsi="Arial"/>
          <w:sz w:val="20"/>
          <w:szCs w:val="20"/>
          <w:b w:val="1"/>
          <w:bCs w:val="1"/>
          <w:color w:val="auto"/>
        </w:rPr>
        <w:t>Forbearing Lenders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the Borrower, the Guarantors, the Forbearing Lenders and the Administrative Agent are parties to that certain Credit Agreement, dated as of August 12, 2016 (as amended, restated, supplemented or otherwise modified prior to the date hereof, the “</w:t>
      </w:r>
      <w:r>
        <w:rPr>
          <w:rFonts w:ascii="Arial" w:cs="Arial" w:eastAsia="Arial" w:hAnsi="Arial"/>
          <w:sz w:val="20"/>
          <w:szCs w:val="20"/>
          <w:b w:val="1"/>
          <w:bCs w:val="1"/>
          <w:color w:val="auto"/>
        </w:rPr>
        <w:t>Credit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unless otherwise defined herein, capitalized terms used herein that are not otherwise defined herein shall have the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assigned to such terms in the Credit Agreement);</w:t>
      </w:r>
    </w:p>
    <w:p>
      <w:pPr>
        <w:spacing w:after="0" w:line="14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WHEREAS, the Borrower has informed the Administrative Agent and the Lenders that Events of Default are anticipated to occur under (i) Section 12.1 of the Credit Agreement as a result of the Borrower’s failure (or expected failure) to pay interest on the Loans that is due on May 29, 2020 (“</w:t>
      </w:r>
      <w:r>
        <w:rPr>
          <w:rFonts w:ascii="Arial" w:cs="Arial" w:eastAsia="Arial" w:hAnsi="Arial"/>
          <w:sz w:val="19"/>
          <w:szCs w:val="19"/>
          <w:b w:val="1"/>
          <w:bCs w:val="1"/>
          <w:color w:val="auto"/>
        </w:rPr>
        <w:t>Term Loan Interest Payment Date</w:t>
      </w:r>
      <w:r>
        <w:rPr>
          <w:rFonts w:ascii="Arial" w:cs="Arial" w:eastAsia="Arial" w:hAnsi="Arial"/>
          <w:sz w:val="19"/>
          <w:szCs w:val="19"/>
          <w:color w:val="auto"/>
        </w:rPr>
        <w:t>”) and (ii) Section 12.4(a) of the Credit Agreement solely as a result of the Borrower’s failure (or expected failure) to pay interest on the 2017 Term Loans (as defined in the 2017 Credit Agreement (as defined below); referred to herein as the “</w:t>
      </w:r>
      <w:r>
        <w:rPr>
          <w:rFonts w:ascii="Arial" w:cs="Arial" w:eastAsia="Arial" w:hAnsi="Arial"/>
          <w:sz w:val="19"/>
          <w:szCs w:val="19"/>
          <w:b w:val="1"/>
          <w:bCs w:val="1"/>
          <w:color w:val="auto"/>
        </w:rPr>
        <w:t>2017 Term Loans</w:t>
      </w:r>
      <w:r>
        <w:rPr>
          <w:rFonts w:ascii="Arial" w:cs="Arial" w:eastAsia="Arial" w:hAnsi="Arial"/>
          <w:sz w:val="19"/>
          <w:szCs w:val="19"/>
          <w:color w:val="auto"/>
        </w:rPr>
        <w:t>”) pursuant to that certain Credit Agreement, dated as of November 17, 2017 by and among the Borrower, the Guarantors, the lenders party thereto from time to time and The Bank of New York Trust Company, N.A. as administrative agent (as amended, restated, supplemented or otherwise modified prior to the date hereof, the “</w:t>
      </w:r>
      <w:r>
        <w:rPr>
          <w:rFonts w:ascii="Arial" w:cs="Arial" w:eastAsia="Arial" w:hAnsi="Arial"/>
          <w:sz w:val="19"/>
          <w:szCs w:val="19"/>
          <w:b w:val="1"/>
          <w:bCs w:val="1"/>
          <w:color w:val="auto"/>
        </w:rPr>
        <w:t>2017 Credit Agreement</w:t>
      </w:r>
      <w:r>
        <w:rPr>
          <w:rFonts w:ascii="Arial" w:cs="Arial" w:eastAsia="Arial" w:hAnsi="Arial"/>
          <w:sz w:val="19"/>
          <w:szCs w:val="19"/>
          <w:color w:val="auto"/>
        </w:rPr>
        <w:t>”)that is due on May 29, 2020 (the “</w:t>
      </w:r>
      <w:r>
        <w:rPr>
          <w:rFonts w:ascii="Arial" w:cs="Arial" w:eastAsia="Arial" w:hAnsi="Arial"/>
          <w:sz w:val="19"/>
          <w:szCs w:val="19"/>
          <w:b w:val="1"/>
          <w:bCs w:val="1"/>
          <w:color w:val="auto"/>
        </w:rPr>
        <w:t>Acknowledged Events of Default</w:t>
      </w:r>
      <w:r>
        <w:rPr>
          <w:rFonts w:ascii="Arial" w:cs="Arial" w:eastAsia="Arial" w:hAnsi="Arial"/>
          <w:sz w:val="19"/>
          <w:szCs w:val="19"/>
          <w:color w:val="auto"/>
        </w:rPr>
        <w:t>”); and</w:t>
      </w:r>
    </w:p>
    <w:p>
      <w:pPr>
        <w:spacing w:after="0" w:line="14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WHEREAS, notwithstanding the occurrence and continuance of the Acknowledged Events of Default, the Borrower has requested that the Administrative Agent and the Lenders agree to, and the Administrative Agent and the Forbearing Lenders (which constitute the Majority Lenders) have agreed, although under no obligation to do so, to, forbear from exercising their rights and remedies solely as a result of the Acknowledged Events of Default and solely on the express terms and subject to the conditions set forth in this Agreement.</w:t>
      </w:r>
    </w:p>
    <w:p>
      <w:pPr>
        <w:spacing w:after="0" w:line="118"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Agreements and Acknowledgments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37" w:lineRule="auto"/>
        <w:tabs>
          <w:tab w:leader="none" w:pos="1745" w:val="left"/>
        </w:tabs>
        <w:numPr>
          <w:ilvl w:val="1"/>
          <w:numId w:val="17"/>
        </w:numPr>
        <w:rPr>
          <w:rFonts w:ascii="Arial" w:cs="Arial" w:eastAsia="Arial" w:hAnsi="Arial"/>
          <w:sz w:val="20"/>
          <w:szCs w:val="20"/>
          <w:color w:val="auto"/>
        </w:rPr>
      </w:pPr>
      <w:r>
        <w:rPr>
          <w:rFonts w:ascii="Arial" w:cs="Arial" w:eastAsia="Arial" w:hAnsi="Arial"/>
          <w:sz w:val="20"/>
          <w:szCs w:val="20"/>
          <w:color w:val="auto"/>
        </w:rPr>
        <w:t>Each Credit Party acknowledges that the recitals set forth above are true and correct in all respects and admits that the occurrence of the Acknowledged Events of Default have resulted in, or shall, if and when they occur, result in, Events of Default under the Credit Agreement.</w:t>
      </w:r>
    </w:p>
    <w:p>
      <w:pPr>
        <w:spacing w:after="0" w:line="142" w:lineRule="exact"/>
        <w:rPr>
          <w:rFonts w:ascii="Arial" w:cs="Arial" w:eastAsia="Arial" w:hAnsi="Arial"/>
          <w:sz w:val="20"/>
          <w:szCs w:val="20"/>
          <w:color w:val="auto"/>
        </w:rPr>
      </w:pPr>
    </w:p>
    <w:p>
      <w:pPr>
        <w:jc w:val="both"/>
        <w:ind w:firstLine="1304"/>
        <w:spacing w:after="0" w:line="232" w:lineRule="auto"/>
        <w:tabs>
          <w:tab w:leader="none" w:pos="1765"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Amount of Obligations</w:t>
      </w:r>
      <w:r>
        <w:rPr>
          <w:rFonts w:ascii="Arial" w:cs="Arial" w:eastAsia="Arial" w:hAnsi="Arial"/>
          <w:sz w:val="20"/>
          <w:szCs w:val="20"/>
          <w:color w:val="auto"/>
        </w:rPr>
        <w:t>. Each Credit Party acknowledges and agrees that (i) the aggregate unpaid principal balance of the Loans as of the date hereof is $1,000,000,000, (ii) the aggregate amount of accrued and unpaid interest on the Loans as of the Term Loan Interest Payment Date is $29,970,625.00 (the foregoing amounts in clauses (i) and (ii) hereafter collectively referred to as the “</w:t>
      </w:r>
      <w:r>
        <w:rPr>
          <w:rFonts w:ascii="Arial" w:cs="Arial" w:eastAsia="Arial" w:hAnsi="Arial"/>
          <w:sz w:val="20"/>
          <w:szCs w:val="20"/>
          <w:b w:val="1"/>
          <w:bCs w:val="1"/>
          <w:color w:val="auto"/>
        </w:rPr>
        <w:t>Current Outstanding Obligations</w:t>
      </w:r>
      <w:r>
        <w:rPr>
          <w:rFonts w:ascii="Arial" w:cs="Arial" w:eastAsia="Arial" w:hAnsi="Arial"/>
          <w:sz w:val="20"/>
          <w:szCs w:val="20"/>
          <w:color w:val="auto"/>
        </w:rPr>
        <w:t>”). The foregoing amounts do not include other fees, expenses (including professional fees and expenses), and other Obligations and amounts which are chargeable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20" w:name="page21"/>
    <w:bookmarkEnd w:id="20"/>
    <w:p>
      <w:pPr>
        <w:jc w:val="both"/>
        <w:spacing w:after="0" w:line="232" w:lineRule="auto"/>
        <w:rPr>
          <w:sz w:val="20"/>
          <w:szCs w:val="20"/>
          <w:color w:val="auto"/>
        </w:rPr>
      </w:pPr>
      <w:r>
        <w:rPr>
          <w:rFonts w:ascii="Arial" w:cs="Arial" w:eastAsia="Arial" w:hAnsi="Arial"/>
          <w:sz w:val="20"/>
          <w:szCs w:val="20"/>
          <w:color w:val="auto"/>
        </w:rPr>
        <w:t>otherwise reimbursable under the Credit Agreement and the other Credit Documents or which are payable pursuant to this Agreement. Neither the Borrower nor any other Credit Party has any rights of offset, defenses, claims or counterclaims with respect to the Current Outstanding Obligations or any of the other Obligations or any payment obligation under this Agreement, and each of the Credit Parties are jointly and severally obligated with respect thereto, in each case, in accordance with the terms of the applicable Credit Documents and, with respect to payment obligations hereunder, this Agreement.</w:t>
      </w:r>
    </w:p>
    <w:p>
      <w:pPr>
        <w:spacing w:after="0" w:line="144" w:lineRule="exact"/>
        <w:rPr>
          <w:sz w:val="20"/>
          <w:szCs w:val="20"/>
          <w:color w:val="auto"/>
        </w:rPr>
      </w:pPr>
    </w:p>
    <w:p>
      <w:pPr>
        <w:jc w:val="both"/>
        <w:ind w:firstLine="1304"/>
        <w:spacing w:after="0"/>
        <w:tabs>
          <w:tab w:leader="none" w:pos="1781"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Acknowledged Events of Default</w:t>
      </w:r>
      <w:r>
        <w:rPr>
          <w:rFonts w:ascii="Arial" w:cs="Arial" w:eastAsia="Arial" w:hAnsi="Arial"/>
          <w:sz w:val="19"/>
          <w:szCs w:val="19"/>
          <w:color w:val="auto"/>
        </w:rPr>
        <w:t>. Each Credit Party acknowledges and agrees that (i) each Acknowledged Event of Default is material in nature and constitutes (or, upon occurrence, will constitute) an Event of Default under the Credit Agreement, and (ii) as a result of the occurrence of such Events of Default, the Forbearing Lenders will, subject to the forbearance contemplated hereby,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(as defined below) and following any Forbearance Termination Event (as defined below),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48" w:lineRule="exact"/>
        <w:rPr>
          <w:rFonts w:ascii="Arial" w:cs="Arial" w:eastAsia="Arial" w:hAnsi="Arial"/>
          <w:sz w:val="19"/>
          <w:szCs w:val="19"/>
          <w:color w:val="auto"/>
        </w:rPr>
      </w:pPr>
    </w:p>
    <w:p>
      <w:pPr>
        <w:ind w:left="1000" w:hanging="344"/>
        <w:spacing w:after="0"/>
        <w:tabs>
          <w:tab w:leader="none" w:pos="100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Forbearance; Forbearance Default Rights and Remedies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6" w:lineRule="auto"/>
        <w:tabs>
          <w:tab w:leader="none" w:pos="1821"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Forbearance</w:t>
      </w:r>
      <w:r>
        <w:rPr>
          <w:rFonts w:ascii="Arial" w:cs="Arial" w:eastAsia="Arial" w:hAnsi="Arial"/>
          <w:sz w:val="18"/>
          <w:szCs w:val="18"/>
          <w:color w:val="auto"/>
        </w:rPr>
        <w:t>. In reliance upon the representations, warranties and covenants of the Credit Parties contained in this Agreement, during the Forbearance Period, and without waiving the Acknowledged Events of Default or any other Default or Event of Default that may now exist or which may occur hereafter, each of the Administrative Agent and the Forbearing Lenders agrees that, subject to the terms and conditions of this Agreement, the Administrative Agent and the Forbearing Lenders shall forbear from exercising any remedies that it or they may have against the Borrower or any other Credit Party or their respective assets and properties solely as a result of the occurrence of the Acknowledged Events of Default. Such forbearance does not apply to any Default, Event of Default (other than the Acknowledged Events of Default) or other failure by the Borrower or any other Credit Party to perform in accordance with the Credit Agreement or any other Credit Document (including, without limitation, this Agreement). Notwithstanding the foregoing forbearance with respect to each Acknowledged Event of Default during the Forbearance Period, for the avoidance of doubt, an Event of Default, to the extent having occurred and continuing, shall continue to exist for all purposes under the Credit Agreement and the other Credit Documents.</w:t>
      </w:r>
    </w:p>
    <w:p>
      <w:pPr>
        <w:spacing w:after="0" w:line="127" w:lineRule="exact"/>
        <w:rPr>
          <w:rFonts w:ascii="Arial" w:cs="Arial" w:eastAsia="Arial" w:hAnsi="Arial"/>
          <w:sz w:val="18"/>
          <w:szCs w:val="18"/>
          <w:color w:val="auto"/>
        </w:rPr>
      </w:pPr>
    </w:p>
    <w:p>
      <w:pPr>
        <w:jc w:val="both"/>
        <w:ind w:firstLine="1304"/>
        <w:spacing w:after="0" w:line="241" w:lineRule="auto"/>
        <w:tabs>
          <w:tab w:leader="none" w:pos="1765"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Effect of Forbearance Termination</w:t>
      </w:r>
      <w:r>
        <w:rPr>
          <w:rFonts w:ascii="Arial" w:cs="Arial" w:eastAsia="Arial" w:hAnsi="Arial"/>
          <w:sz w:val="19"/>
          <w:szCs w:val="19"/>
          <w:color w:val="auto"/>
        </w:rPr>
        <w:t>. Upon the termination of the Forbearance Period, the agreement of the Forbearing Lenders and the Administrative Agent hereunder to forbear as set forth in Section 2(a) above shall immediately terminate without the requirement of any demand, presentment, protest, or notice of any kind (including any written notice required by Article XII of the Credit Agreement or any other Credit Document), all of which are hereby waived by the Borrower and each other Credit Party. The Borrower and each other Credit Party hereby agree that, after the Forbearance Termination Date, the Forbearing Lenders and the Administrative Agent may at any time, or from time to time, in their sole and absolute discretion, with respect to the Acknowledged Events of Default, exercise against any Credit Party (and its properties) any and all of their rights, remedies, powers and privileges under any or all of the Credit Agreement, any other Credit Document, applicable Law and/or equity, all of which rights, remedies, powers and privileges are fully reserved by each Forbearing Lender and the Administrative Agent.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21" w:name="page22"/>
    <w:bookmarkEnd w:id="21"/>
    <w:p>
      <w:pPr>
        <w:jc w:val="both"/>
        <w:ind w:firstLine="1304"/>
        <w:spacing w:after="0"/>
        <w:tabs>
          <w:tab w:leader="none" w:pos="1727"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Limitation on Forbearance Extension</w:t>
      </w:r>
      <w:r>
        <w:rPr>
          <w:rFonts w:ascii="Arial" w:cs="Arial" w:eastAsia="Arial" w:hAnsi="Arial"/>
          <w:sz w:val="19"/>
          <w:szCs w:val="19"/>
          <w:color w:val="auto"/>
        </w:rPr>
        <w:t>. Except as set forth herein, none of the Forbearing Lenders or the Administrative Agent shall have any obligation to extend the Forbearance Period, or enter into any other agreement, waiver, forbearance or amendment, and the Forbearing Lenders’ and the Administrative Agent’s agreement to permit any such extension, or enter into any other agreement, waiver, forbearance or amendment shall be subject to the sole discretion of the Majority Lenders (or, if required by Section 14.1 of the Credit Agreement, each Lender or affected Lender). Any agreement by any Forbearing Lender or the Administrative Agent to enter into any other waiver, forbearance or amendment must be set forth in writing and signed by a duly authorized signatory of each of the Administrative Agent and the Majority Lenders (or, if required by Section 14.1 of the Credit Agreement, each Lender or affected Lender). The Borrower and the other Credit Parties each acknowledge that the Forbearing Lenders and the Administrative Agent have not made any assurances concerning any possibility of an extension of the Forbearance Period or the entering into of any further waiver, forbearance or amendment. For the avoidance of doubt, nothing herein shall prevent Lenders constituting the Majority Lenders or the Administrative Agent from agreeing to any further forbearance agreement.</w:t>
      </w:r>
    </w:p>
    <w:p>
      <w:pPr>
        <w:spacing w:after="0" w:line="142" w:lineRule="exact"/>
        <w:rPr>
          <w:rFonts w:ascii="Arial" w:cs="Arial" w:eastAsia="Arial" w:hAnsi="Arial"/>
          <w:sz w:val="19"/>
          <w:szCs w:val="19"/>
          <w:color w:val="auto"/>
        </w:rPr>
      </w:pPr>
    </w:p>
    <w:p>
      <w:pPr>
        <w:jc w:val="both"/>
        <w:ind w:firstLine="1304"/>
        <w:spacing w:after="0" w:line="259" w:lineRule="auto"/>
        <w:tabs>
          <w:tab w:leader="none" w:pos="173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Forbearance Termination Date</w:t>
      </w:r>
      <w:r>
        <w:rPr>
          <w:rFonts w:ascii="Arial" w:cs="Arial" w:eastAsia="Arial" w:hAnsi="Arial"/>
          <w:sz w:val="18"/>
          <w:szCs w:val="18"/>
          <w:color w:val="auto"/>
        </w:rPr>
        <w:t>. The “</w:t>
      </w:r>
      <w:r>
        <w:rPr>
          <w:rFonts w:ascii="Arial" w:cs="Arial" w:eastAsia="Arial" w:hAnsi="Arial"/>
          <w:sz w:val="18"/>
          <w:szCs w:val="18"/>
          <w:b w:val="1"/>
          <w:bCs w:val="1"/>
          <w:color w:val="auto"/>
        </w:rPr>
        <w:t>Forbearance Termination Date</w:t>
      </w:r>
      <w:r>
        <w:rPr>
          <w:rFonts w:ascii="Arial" w:cs="Arial" w:eastAsia="Arial" w:hAnsi="Arial"/>
          <w:sz w:val="18"/>
          <w:szCs w:val="18"/>
          <w:color w:val="auto"/>
        </w:rPr>
        <w:t>” means the earlier of the following to occur: (a) any Forbearance Termination Event and (b) June 14, 2020 at 11:59 p.m. New York time, as such date may be extended in writing (which may be by email) by the Administrative Agent and the Forbearing Lenders, in each case in their sole discretion. The “</w:t>
      </w:r>
      <w:r>
        <w:rPr>
          <w:rFonts w:ascii="Arial" w:cs="Arial" w:eastAsia="Arial" w:hAnsi="Arial"/>
          <w:sz w:val="18"/>
          <w:szCs w:val="18"/>
          <w:b w:val="1"/>
          <w:bCs w:val="1"/>
          <w:color w:val="auto"/>
        </w:rPr>
        <w:t>Forbearance Period</w:t>
      </w:r>
      <w:r>
        <w:rPr>
          <w:rFonts w:ascii="Arial" w:cs="Arial" w:eastAsia="Arial" w:hAnsi="Arial"/>
          <w:sz w:val="18"/>
          <w:szCs w:val="18"/>
          <w:color w:val="auto"/>
        </w:rPr>
        <w:t>” shall commence on the Forbearance Effective Date and shall terminate immediately and automatically upon the Forbearance Termination Date. The occurrence of any of the following events or circumstances shall immediately and automatically constitute a “</w:t>
      </w:r>
      <w:r>
        <w:rPr>
          <w:rFonts w:ascii="Arial" w:cs="Arial" w:eastAsia="Arial" w:hAnsi="Arial"/>
          <w:sz w:val="18"/>
          <w:szCs w:val="18"/>
          <w:b w:val="1"/>
          <w:bCs w:val="1"/>
          <w:color w:val="auto"/>
        </w:rPr>
        <w:t>Forbearance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following delivery of notice (including by email) to the Borrower by the Administrative Agent at the request of the Majority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automatically upon the occurrence of an Event of Default under Section 12.5 of the Credit Agreement):</w:t>
      </w:r>
    </w:p>
    <w:p>
      <w:pPr>
        <w:spacing w:after="0" w:line="130"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(i). any Default or Event of Default (following 48 hours after delivery of notice (including by email) to the Borrower by the Administrative Agent or at the request of the Majority Lenders) under the Credit Agreement or any other Credit Document (other than the Acknowledged Events of Default);</w:t>
      </w:r>
    </w:p>
    <w:p>
      <w:pPr>
        <w:spacing w:after="0" w:line="142" w:lineRule="exact"/>
        <w:rPr>
          <w:sz w:val="20"/>
          <w:szCs w:val="20"/>
          <w:color w:val="auto"/>
        </w:rPr>
      </w:pPr>
    </w:p>
    <w:p>
      <w:pPr>
        <w:jc w:val="both"/>
        <w:ind w:left="1300" w:firstLine="486"/>
        <w:spacing w:after="0" w:line="246" w:lineRule="auto"/>
        <w:rPr>
          <w:sz w:val="20"/>
          <w:szCs w:val="20"/>
          <w:color w:val="auto"/>
        </w:rPr>
      </w:pPr>
      <w:r>
        <w:rPr>
          <w:rFonts w:ascii="Arial" w:cs="Arial" w:eastAsia="Arial" w:hAnsi="Arial"/>
          <w:sz w:val="20"/>
          <w:szCs w:val="20"/>
          <w:color w:val="auto"/>
        </w:rPr>
        <w:t>(ii). any material breach by the Borrower or any other Credit Party of any covenant, term or other provision of this Agreement;</w:t>
      </w:r>
    </w:p>
    <w:p>
      <w:pPr>
        <w:spacing w:after="0" w:line="136" w:lineRule="exact"/>
        <w:rPr>
          <w:sz w:val="20"/>
          <w:szCs w:val="20"/>
          <w:color w:val="auto"/>
        </w:rPr>
      </w:pPr>
    </w:p>
    <w:p>
      <w:pPr>
        <w:jc w:val="both"/>
        <w:ind w:left="1300" w:firstLine="486"/>
        <w:spacing w:after="0" w:line="234" w:lineRule="auto"/>
        <w:rPr>
          <w:sz w:val="20"/>
          <w:szCs w:val="20"/>
          <w:color w:val="auto"/>
        </w:rPr>
      </w:pPr>
      <w:r>
        <w:rPr>
          <w:rFonts w:ascii="Arial" w:cs="Arial" w:eastAsia="Arial" w:hAnsi="Arial"/>
          <w:sz w:val="20"/>
          <w:szCs w:val="20"/>
          <w:color w:val="auto"/>
        </w:rPr>
        <w:t>(iii). any representation, warranty or certification made or deemed made by the Borrower or any other Credit Party herein or which is contained in any certificate, document or financial or other statement furnished by the Borrower or any other Credit Party at any time under or in connection with this Agreement or otherwise shall be false or misleading in any material respect on the date as of which made, deemed made or furnished;</w:t>
      </w:r>
    </w:p>
    <w:p>
      <w:pPr>
        <w:spacing w:after="0" w:line="143"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(iv). the commencement of any action, suit, litigation, investigation or other proceeding against the Administrative Agent or any Lender by any of the Credit Parties, any Subsidiary thereof or entity controlled by, affiliated with, related to or under common control with any of the Credit Parties;</w:t>
      </w:r>
    </w:p>
    <w:p>
      <w:pPr>
        <w:spacing w:after="0" w:line="142"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(v). any payment, or setting aside of funds for the purpose of making any Restricted Payment or any other payment, or transfer of any value (including the payment of any fees, costs or expenses of any advisors) by the Borrower or any other Credit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22" w:name="page23"/>
    <w:bookmarkEnd w:id="22"/>
    <w:p>
      <w:pPr>
        <w:jc w:val="both"/>
        <w:ind w:left="180"/>
        <w:spacing w:after="0" w:line="246" w:lineRule="auto"/>
        <w:rPr>
          <w:sz w:val="20"/>
          <w:szCs w:val="20"/>
          <w:color w:val="auto"/>
        </w:rPr>
      </w:pPr>
      <w:r>
        <w:rPr>
          <w:rFonts w:ascii="Arial" w:cs="Arial" w:eastAsia="Arial" w:hAnsi="Arial"/>
          <w:sz w:val="20"/>
          <w:szCs w:val="20"/>
          <w:color w:val="auto"/>
        </w:rPr>
        <w:t>to any direct or indirect equity holder of any Credit Party or any Subsidiary (other than any such payment to any Credit Party);</w:t>
      </w:r>
    </w:p>
    <w:p>
      <w:pPr>
        <w:spacing w:after="0" w:line="136" w:lineRule="exact"/>
        <w:rPr>
          <w:sz w:val="20"/>
          <w:szCs w:val="20"/>
          <w:color w:val="auto"/>
        </w:rPr>
      </w:pPr>
    </w:p>
    <w:p>
      <w:pPr>
        <w:jc w:val="both"/>
        <w:ind w:left="180" w:firstLine="486"/>
        <w:spacing w:after="0" w:line="229" w:lineRule="auto"/>
        <w:rPr>
          <w:sz w:val="20"/>
          <w:szCs w:val="20"/>
          <w:color w:val="auto"/>
        </w:rPr>
      </w:pPr>
      <w:r>
        <w:rPr>
          <w:rFonts w:ascii="Arial" w:cs="Arial" w:eastAsia="Arial" w:hAnsi="Arial"/>
          <w:sz w:val="20"/>
          <w:szCs w:val="20"/>
          <w:color w:val="auto"/>
        </w:rPr>
        <w:t>(vi). any payment, or setting aside of funds for the purpose of making any payment, by any Credit Party or any Subsidiary, including with respect to interest, principal, fees, expenses, indemnification or otherwise, on account of or in connection with any Existing Senior Notes, any 2017 Term Loans, any Permitted Junior Indebtedness, any Permitted Additional Debt, any Permitted Pari Debt or any other Indebtedness secured by Liens on the Collateral that rank pari passu or junior in right of security with the Liens securing the Obligations or Indebtedness that is unsecured, other than regularly scheduled payments of agency fees of the Administrative Agent and Collateral Agent with respect to the Credit Documents and the administrative agent and collateral agent with respect to the Credit Documents (as defined in the 2017 Credit Agreement);</w:t>
      </w:r>
    </w:p>
    <w:p>
      <w:pPr>
        <w:spacing w:after="0" w:line="148" w:lineRule="exact"/>
        <w:rPr>
          <w:sz w:val="20"/>
          <w:szCs w:val="20"/>
          <w:color w:val="auto"/>
        </w:rPr>
      </w:pPr>
    </w:p>
    <w:p>
      <w:pPr>
        <w:jc w:val="both"/>
        <w:ind w:left="180" w:firstLine="486"/>
        <w:spacing w:after="0" w:line="288" w:lineRule="auto"/>
        <w:rPr>
          <w:sz w:val="20"/>
          <w:szCs w:val="20"/>
          <w:color w:val="auto"/>
        </w:rPr>
      </w:pPr>
      <w:r>
        <w:rPr>
          <w:rFonts w:ascii="Arial" w:cs="Arial" w:eastAsia="Arial" w:hAnsi="Arial"/>
          <w:sz w:val="16"/>
          <w:szCs w:val="16"/>
          <w:color w:val="auto"/>
        </w:rPr>
        <w:t>(vii). the entry by the Borrower or any other Credit Party or any Subsidiary into any transaction (including the incurrence of any Indebtedness), or the making by the Borrower or any other Credit Party or Subsidiary of any payment or transfer, in each case outside the ordinary course of business (it being understood and agreed, for the avoidance of doubt, that</w:t>
      </w:r>
    </w:p>
    <w:p>
      <w:pPr>
        <w:spacing w:after="0" w:line="2" w:lineRule="exact"/>
        <w:rPr>
          <w:sz w:val="20"/>
          <w:szCs w:val="20"/>
          <w:color w:val="auto"/>
        </w:rPr>
      </w:pPr>
    </w:p>
    <w:p>
      <w:pPr>
        <w:jc w:val="both"/>
        <w:ind w:left="180" w:firstLine="4"/>
        <w:spacing w:after="0" w:line="254" w:lineRule="auto"/>
        <w:tabs>
          <w:tab w:leader="none" w:pos="4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incurrence of any Indebtedness for borrowed money pursuant to Sections 11.1(i), (j), (k), (r), (v), (w), (x), (z), (aa), (bb), (cc) or (dd), (b) the making of any Disposition under Section 11.4(a)(vi) and (xv) and (c) the making of any Investment, other than any Investment or series of related Investments that do not exceed $500,000 in the aggregate during the Forbearance Period, pursuant to Section 11.5(b)(iii), (vi), (viii), (x), (xiv), (xvii) (other than any non-cash Investment made in the ordinary course of business pursuant to Section 11.5(b)(xvii) existing on, or for which an obligation to make such Investment is existing on, the Forbearance Effective Date), (xviii), (xx) (other than any Investment pursuant to Section 11.5(b)(xx) with respect to any ordinary course intercompany cash or treasury management arrangements) or (xxi), in each case by any Credit Party or any Subsidiary, shall all be deemed to be made outside of the ordinary course of business);</w:t>
      </w:r>
    </w:p>
    <w:p>
      <w:pPr>
        <w:spacing w:after="0" w:line="135" w:lineRule="exact"/>
        <w:rPr>
          <w:sz w:val="20"/>
          <w:szCs w:val="20"/>
          <w:color w:val="auto"/>
        </w:rPr>
      </w:pPr>
    </w:p>
    <w:p>
      <w:pPr>
        <w:jc w:val="both"/>
        <w:ind w:left="180" w:firstLine="486"/>
        <w:spacing w:after="0" w:line="256" w:lineRule="auto"/>
        <w:rPr>
          <w:sz w:val="20"/>
          <w:szCs w:val="20"/>
          <w:color w:val="auto"/>
        </w:rPr>
      </w:pPr>
      <w:r>
        <w:rPr>
          <w:rFonts w:ascii="Arial" w:cs="Arial" w:eastAsia="Arial" w:hAnsi="Arial"/>
          <w:sz w:val="18"/>
          <w:szCs w:val="18"/>
          <w:color w:val="auto"/>
        </w:rPr>
        <w:t>(viii). any amendment, waiver, supplement or other modification to any employment agreement or employee compensation plan, or the entry by the Borrower, any other Credit Party or any Subsidiary into any new employment agreement or employee compensation plan, or the payment of any amount contemplated by any employment agreement or employee compensation plan before the date on which such amount become due and payable pursuant to the terms of the such agreements or plans, as applicable, or the payment of any bonus, incentive, retention, severance, change of control or termination payments pursuant to the terms of such agreements or plans, as applicable, with any such Key Employee or Director (it being understood that “</w:t>
      </w:r>
      <w:r>
        <w:rPr>
          <w:rFonts w:ascii="Arial" w:cs="Arial" w:eastAsia="Arial" w:hAnsi="Arial"/>
          <w:sz w:val="18"/>
          <w:szCs w:val="18"/>
          <w:b w:val="1"/>
          <w:bCs w:val="1"/>
          <w:color w:val="auto"/>
        </w:rPr>
        <w:t>Key Employee or Director</w:t>
      </w:r>
      <w:r>
        <w:rPr>
          <w:rFonts w:ascii="Arial" w:cs="Arial" w:eastAsia="Arial" w:hAnsi="Arial"/>
          <w:sz w:val="18"/>
          <w:szCs w:val="18"/>
          <w:color w:val="auto"/>
        </w:rPr>
        <w:t>” means any director or officer of any Credit Party or Subsidiary or management personnel that is employed or to be employed by any Credit Party or Subsidiary, in each case, that has or will be entitled to (A) annual total cash compensation in excess of $300,000 or (B) in the event of the payment of severance or termination payments, cash severance in excess of $300,000);</w:t>
      </w:r>
    </w:p>
    <w:p>
      <w:pPr>
        <w:spacing w:after="0" w:line="128" w:lineRule="exact"/>
        <w:rPr>
          <w:sz w:val="20"/>
          <w:szCs w:val="20"/>
          <w:color w:val="auto"/>
        </w:rPr>
      </w:pPr>
    </w:p>
    <w:p>
      <w:pPr>
        <w:jc w:val="both"/>
        <w:ind w:left="180" w:right="20" w:firstLine="486"/>
        <w:spacing w:after="0" w:line="246" w:lineRule="auto"/>
        <w:rPr>
          <w:sz w:val="20"/>
          <w:szCs w:val="20"/>
          <w:color w:val="auto"/>
        </w:rPr>
      </w:pPr>
      <w:r>
        <w:rPr>
          <w:rFonts w:ascii="Arial" w:cs="Arial" w:eastAsia="Arial" w:hAnsi="Arial"/>
          <w:sz w:val="20"/>
          <w:szCs w:val="20"/>
          <w:color w:val="auto"/>
        </w:rPr>
        <w:t>(ix). the failure by the Borrower, for any three (3) consecutive Business Days during the Forbearance Period, to maintain aggregate book cash balances of at least $48,000,000;</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555" w:right="339" w:bottom="1440" w:gutter="0" w:footer="0" w:header="0"/>
        </w:sectPr>
      </w:pPr>
    </w:p>
    <w:bookmarkStart w:id="23" w:name="page24"/>
    <w:bookmarkEnd w:id="23"/>
    <w:p>
      <w:pPr>
        <w:jc w:val="both"/>
        <w:ind w:left="180" w:right="20" w:firstLine="486"/>
        <w:spacing w:after="0" w:line="237" w:lineRule="auto"/>
        <w:rPr>
          <w:sz w:val="20"/>
          <w:szCs w:val="20"/>
          <w:color w:val="auto"/>
        </w:rPr>
      </w:pPr>
      <w:r>
        <w:rPr>
          <w:rFonts w:ascii="Arial" w:cs="Arial" w:eastAsia="Arial" w:hAnsi="Arial"/>
          <w:sz w:val="20"/>
          <w:szCs w:val="20"/>
          <w:color w:val="auto"/>
        </w:rPr>
        <w:t>(x). any non-Forbearing Lender under the Credit Agreement shall commence a legal proceeding against any Credit Party or any Subsidiary or set off against any of their respective property, in each case, with respect to enforcement of the Credit Agreement or the obligations thereunder;</w:t>
      </w:r>
    </w:p>
    <w:p>
      <w:pPr>
        <w:spacing w:after="0" w:line="142" w:lineRule="exact"/>
        <w:rPr>
          <w:sz w:val="20"/>
          <w:szCs w:val="20"/>
          <w:color w:val="auto"/>
        </w:rPr>
      </w:pPr>
    </w:p>
    <w:p>
      <w:pPr>
        <w:jc w:val="both"/>
        <w:ind w:left="180" w:firstLine="486"/>
        <w:spacing w:after="0" w:line="228" w:lineRule="auto"/>
        <w:rPr>
          <w:sz w:val="20"/>
          <w:szCs w:val="20"/>
          <w:color w:val="auto"/>
        </w:rPr>
      </w:pPr>
      <w:r>
        <w:rPr>
          <w:rFonts w:ascii="Arial" w:cs="Arial" w:eastAsia="Arial" w:hAnsi="Arial"/>
          <w:sz w:val="20"/>
          <w:szCs w:val="20"/>
          <w:color w:val="auto"/>
        </w:rPr>
        <w:t>(xi). the failure by the Borrowers to pay, within two (2) Business Days after the receipt of an invoice therefor, the reasonable and documented fees and expenses of (a) Davis Polk &amp; Wardwell LLP (“</w:t>
      </w:r>
      <w:r>
        <w:rPr>
          <w:rFonts w:ascii="Arial" w:cs="Arial" w:eastAsia="Arial" w:hAnsi="Arial"/>
          <w:sz w:val="20"/>
          <w:szCs w:val="20"/>
          <w:b w:val="1"/>
          <w:bCs w:val="1"/>
          <w:color w:val="auto"/>
        </w:rPr>
        <w:t>Davis Polk</w:t>
      </w:r>
      <w:r>
        <w:rPr>
          <w:rFonts w:ascii="Arial" w:cs="Arial" w:eastAsia="Arial" w:hAnsi="Arial"/>
          <w:sz w:val="20"/>
          <w:szCs w:val="20"/>
          <w:color w:val="auto"/>
        </w:rPr>
        <w:t>”), Evercore Inc. (“</w:t>
      </w:r>
      <w:r>
        <w:rPr>
          <w:rFonts w:ascii="Arial" w:cs="Arial" w:eastAsia="Arial" w:hAnsi="Arial"/>
          <w:sz w:val="20"/>
          <w:szCs w:val="20"/>
          <w:b w:val="1"/>
          <w:bCs w:val="1"/>
          <w:color w:val="auto"/>
        </w:rPr>
        <w:t>Evercore</w:t>
      </w:r>
      <w:r>
        <w:rPr>
          <w:rFonts w:ascii="Arial" w:cs="Arial" w:eastAsia="Arial" w:hAnsi="Arial"/>
          <w:sz w:val="20"/>
          <w:szCs w:val="20"/>
          <w:color w:val="auto"/>
        </w:rPr>
        <w:t>”), Haynes and Boone, LLP (“</w:t>
      </w:r>
      <w:r>
        <w:rPr>
          <w:rFonts w:ascii="Arial" w:cs="Arial" w:eastAsia="Arial" w:hAnsi="Arial"/>
          <w:sz w:val="20"/>
          <w:szCs w:val="20"/>
          <w:b w:val="1"/>
          <w:bCs w:val="1"/>
          <w:color w:val="auto"/>
        </w:rPr>
        <w:t>Haynes and Boone</w:t>
      </w:r>
      <w:r>
        <w:rPr>
          <w:rFonts w:ascii="Arial" w:cs="Arial" w:eastAsia="Arial" w:hAnsi="Arial"/>
          <w:sz w:val="20"/>
          <w:szCs w:val="20"/>
          <w:color w:val="auto"/>
        </w:rPr>
        <w:t>”), Cox, Castle &amp; Nicholson LLP (“</w:t>
      </w:r>
      <w:r>
        <w:rPr>
          <w:rFonts w:ascii="Arial" w:cs="Arial" w:eastAsia="Arial" w:hAnsi="Arial"/>
          <w:sz w:val="20"/>
          <w:szCs w:val="20"/>
          <w:b w:val="1"/>
          <w:bCs w:val="1"/>
          <w:color w:val="auto"/>
        </w:rPr>
        <w:t>Cox Castle</w:t>
      </w:r>
      <w:r>
        <w:rPr>
          <w:rFonts w:ascii="Arial" w:cs="Arial" w:eastAsia="Arial" w:hAnsi="Arial"/>
          <w:sz w:val="20"/>
          <w:szCs w:val="20"/>
          <w:color w:val="auto"/>
        </w:rPr>
        <w:t>”) and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(collectively, with Davis Polk, Evercore, Haynes and Boone, Cox Castle, Trimeric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Lender Group Advisors</w:t>
      </w:r>
      <w:r>
        <w:rPr>
          <w:rFonts w:ascii="Arial" w:cs="Arial" w:eastAsia="Arial" w:hAnsi="Arial"/>
          <w:sz w:val="20"/>
          <w:szCs w:val="20"/>
          <w:color w:val="auto"/>
        </w:rPr>
        <w:t>”) or (b) the Administrative Agent, Emmet, Marvin &amp; Martin, LLP, and any other professionals retained by the Administrative Agent (including, without limitation, with respect to foreign collateral or local matters), (collectively, the “</w:t>
      </w:r>
      <w:r>
        <w:rPr>
          <w:rFonts w:ascii="Arial" w:cs="Arial" w:eastAsia="Arial" w:hAnsi="Arial"/>
          <w:sz w:val="20"/>
          <w:szCs w:val="20"/>
          <w:b w:val="1"/>
          <w:bCs w:val="1"/>
          <w:color w:val="auto"/>
        </w:rPr>
        <w:t>Creditor Advisors</w:t>
      </w:r>
      <w:r>
        <w:rPr>
          <w:rFonts w:ascii="Arial" w:cs="Arial" w:eastAsia="Arial" w:hAnsi="Arial"/>
          <w:sz w:val="20"/>
          <w:szCs w:val="20"/>
          <w:color w:val="auto"/>
        </w:rPr>
        <w:t>”), in each case in accordance with this Agreement, the Credit Documents and/or the Creditor Advisors’ applicable engagement letters, fee letters or other reimbursement agreements;</w:t>
      </w:r>
    </w:p>
    <w:p>
      <w:pPr>
        <w:spacing w:after="0" w:line="151" w:lineRule="exact"/>
        <w:rPr>
          <w:sz w:val="20"/>
          <w:szCs w:val="20"/>
          <w:color w:val="auto"/>
        </w:rPr>
      </w:pPr>
    </w:p>
    <w:p>
      <w:pPr>
        <w:jc w:val="both"/>
        <w:ind w:left="180" w:firstLine="486"/>
        <w:spacing w:after="0" w:line="246" w:lineRule="auto"/>
        <w:rPr>
          <w:sz w:val="20"/>
          <w:szCs w:val="20"/>
          <w:color w:val="auto"/>
        </w:rPr>
      </w:pPr>
      <w:r>
        <w:rPr>
          <w:rFonts w:ascii="Arial" w:cs="Arial" w:eastAsia="Arial" w:hAnsi="Arial"/>
          <w:sz w:val="20"/>
          <w:szCs w:val="20"/>
          <w:color w:val="auto"/>
        </w:rPr>
        <w:t>(xii). the failure by the Borrower to request a current copy of the Register and to use commercially reasonable efforts to deliver such copy to Davis Polk, in each case promptly upon request;</w:t>
      </w:r>
    </w:p>
    <w:p>
      <w:pPr>
        <w:spacing w:after="0" w:line="136" w:lineRule="exact"/>
        <w:rPr>
          <w:sz w:val="20"/>
          <w:szCs w:val="20"/>
          <w:color w:val="auto"/>
        </w:rPr>
      </w:pPr>
    </w:p>
    <w:p>
      <w:pPr>
        <w:jc w:val="both"/>
        <w:ind w:left="180" w:firstLine="486"/>
        <w:spacing w:after="0" w:line="234" w:lineRule="auto"/>
        <w:rPr>
          <w:sz w:val="20"/>
          <w:szCs w:val="20"/>
          <w:color w:val="auto"/>
        </w:rPr>
      </w:pPr>
      <w:r>
        <w:rPr>
          <w:rFonts w:ascii="Arial" w:cs="Arial" w:eastAsia="Arial" w:hAnsi="Arial"/>
          <w:sz w:val="20"/>
          <w:szCs w:val="20"/>
          <w:color w:val="auto"/>
        </w:rPr>
        <w:t>(xiii). the failure by the Borrower to provide written notice to Davis Polk of (A) receipt of any material notice or correspondence (whether written or oral) from any counterparty to a contract or any customer that is outside the ordinary course of business and (B) receipt of any written notice of any proceeding commenced, or, to the actual knowledge of the Borrower, threatened against any Credit Parties or any of their Subsidiaries;</w:t>
      </w:r>
    </w:p>
    <w:p>
      <w:pPr>
        <w:spacing w:after="0" w:line="143" w:lineRule="exact"/>
        <w:rPr>
          <w:sz w:val="20"/>
          <w:szCs w:val="20"/>
          <w:color w:val="auto"/>
        </w:rPr>
      </w:pPr>
    </w:p>
    <w:p>
      <w:pPr>
        <w:jc w:val="both"/>
        <w:ind w:left="180" w:firstLine="486"/>
        <w:spacing w:after="0" w:line="257" w:lineRule="auto"/>
        <w:rPr>
          <w:sz w:val="20"/>
          <w:szCs w:val="20"/>
          <w:color w:val="auto"/>
        </w:rPr>
      </w:pPr>
      <w:r>
        <w:rPr>
          <w:rFonts w:ascii="Arial" w:cs="Arial" w:eastAsia="Arial" w:hAnsi="Arial"/>
          <w:sz w:val="18"/>
          <w:szCs w:val="18"/>
          <w:color w:val="auto"/>
        </w:rPr>
        <w:t>(xiv). any lender or any of their affiliates under the First Lien First Out Credit Agreement, the 2017 Credit Agreement, the indenture governing the Existing Second Lien Notes or the indenture governing the 2021 Notes and the 2024 Notes or any agent, trustee or representative on behalf of any such lender or affiliate shall accelerate the obligations under the First Lien First Out Credit Agreement, the 2017 Credit Agreement, the indenture governing the Existing Second Lien Notes or the indenture governing the 2021 Notes or the 2024 Notes, or commence a legal proceeding against any Credit Party or any Subsidiary or set off against any of their respective property, in each case, with respect to enforcement of the First Lien First Out Credit Documents, the Credit Documents (as defined in the 2017 Credit Agreement), documents governing the Existing Second Lien Notes or documents governing the 2021 Notes or the 2024 Notes or the obligations thereunder;</w:t>
      </w:r>
    </w:p>
    <w:p>
      <w:pPr>
        <w:spacing w:after="0" w:line="130" w:lineRule="exact"/>
        <w:rPr>
          <w:sz w:val="20"/>
          <w:szCs w:val="20"/>
          <w:color w:val="auto"/>
        </w:rPr>
      </w:pPr>
    </w:p>
    <w:p>
      <w:pPr>
        <w:jc w:val="both"/>
        <w:ind w:left="180" w:firstLine="486"/>
        <w:spacing w:after="0" w:line="244" w:lineRule="auto"/>
        <w:rPr>
          <w:sz w:val="20"/>
          <w:szCs w:val="20"/>
          <w:color w:val="auto"/>
        </w:rPr>
      </w:pPr>
      <w:r>
        <w:rPr>
          <w:rFonts w:ascii="Arial" w:cs="Arial" w:eastAsia="Arial" w:hAnsi="Arial"/>
          <w:sz w:val="19"/>
          <w:szCs w:val="19"/>
          <w:color w:val="auto"/>
        </w:rPr>
        <w:t>(xv). the failure by the Borrower to deliver a copy to the Ad Hoc Group Advisors of, (i) any written proposal, counterproposal, offer, bid, term sheet or agreement (each, a “</w:t>
      </w:r>
      <w:r>
        <w:rPr>
          <w:rFonts w:ascii="Arial" w:cs="Arial" w:eastAsia="Arial" w:hAnsi="Arial"/>
          <w:sz w:val="19"/>
          <w:szCs w:val="19"/>
          <w:b w:val="1"/>
          <w:bCs w:val="1"/>
          <w:color w:val="auto"/>
        </w:rPr>
        <w:t>Proposal</w:t>
      </w:r>
      <w:r>
        <w:rPr>
          <w:rFonts w:ascii="Arial" w:cs="Arial" w:eastAsia="Arial" w:hAnsi="Arial"/>
          <w:sz w:val="19"/>
          <w:szCs w:val="19"/>
          <w:color w:val="auto"/>
        </w:rPr>
        <w:t>”) involving (x) a settlement of claims by or against Elk Hills Power LLC (</w:t>
      </w:r>
      <w:r>
        <w:rPr>
          <w:rFonts w:ascii="Arial" w:cs="Arial" w:eastAsia="Arial" w:hAnsi="Arial"/>
          <w:sz w:val="19"/>
          <w:szCs w:val="19"/>
          <w:i w:val="1"/>
          <w:iCs w:val="1"/>
          <w:color w:val="auto"/>
        </w:rPr>
        <w:t>“</w:t>
      </w:r>
      <w:r>
        <w:rPr>
          <w:rFonts w:ascii="Arial" w:cs="Arial" w:eastAsia="Arial" w:hAnsi="Arial"/>
          <w:sz w:val="19"/>
          <w:szCs w:val="19"/>
          <w:b w:val="1"/>
          <w:bCs w:val="1"/>
          <w:color w:val="auto"/>
        </w:rPr>
        <w:t>Elk Hills</w:t>
      </w:r>
      <w:r>
        <w:rPr>
          <w:rFonts w:ascii="Arial" w:cs="Arial" w:eastAsia="Arial" w:hAnsi="Arial"/>
          <w:sz w:val="19"/>
          <w:szCs w:val="19"/>
          <w:color w:val="auto"/>
        </w:rPr>
        <w:t>”) or any other transaction, sale, asset purchase, disposition, new money, investment, restructuring, reorganization, merger, amalgamation, acquisition, consolidation, dissolution, debt investment, equity investment, liquidation, tender offer, recapitalization, plan of reorganization, share exchange, business combination or similar transaction (any of the foregoing, a “</w:t>
      </w:r>
      <w:r>
        <w:rPr>
          <w:rFonts w:ascii="Arial" w:cs="Arial" w:eastAsia="Arial" w:hAnsi="Arial"/>
          <w:sz w:val="19"/>
          <w:szCs w:val="19"/>
          <w:b w:val="1"/>
          <w:bCs w:val="1"/>
          <w:color w:val="auto"/>
        </w:rPr>
        <w:t>Transaction</w:t>
      </w:r>
      <w:r>
        <w:rPr>
          <w:rFonts w:ascii="Arial" w:cs="Arial" w:eastAsia="Arial" w:hAnsi="Arial"/>
          <w:sz w:val="19"/>
          <w:szCs w:val="19"/>
          <w:color w:val="auto"/>
        </w:rPr>
        <w:t>”) with any third-party investor in the</w:t>
      </w:r>
    </w:p>
    <w:p>
      <w:pPr>
        <w:spacing w:after="0" w:line="17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555" w:right="339" w:bottom="1440" w:gutter="0" w:footer="0" w:header="0"/>
        </w:sectPr>
      </w:pPr>
    </w:p>
    <w:bookmarkStart w:id="24" w:name="page25"/>
    <w:bookmarkEnd w:id="24"/>
    <w:p>
      <w:pPr>
        <w:jc w:val="both"/>
        <w:ind w:left="1300"/>
        <w:spacing w:after="0" w:line="230" w:lineRule="auto"/>
        <w:rPr>
          <w:sz w:val="20"/>
          <w:szCs w:val="20"/>
          <w:color w:val="auto"/>
        </w:rPr>
      </w:pPr>
      <w:r>
        <w:rPr>
          <w:rFonts w:ascii="Arial" w:cs="Arial" w:eastAsia="Arial" w:hAnsi="Arial"/>
          <w:sz w:val="20"/>
          <w:szCs w:val="20"/>
          <w:color w:val="auto"/>
        </w:rPr>
        <w:t>debt, equity, or other interests of Elk Hills or (y) any Transaction involving ECR Corporate Holdings L.P., Ares Management LLC or any affiliate of either of them (any of (x) or (y), a “</w:t>
      </w:r>
      <w:r>
        <w:rPr>
          <w:rFonts w:ascii="Arial" w:cs="Arial" w:eastAsia="Arial" w:hAnsi="Arial"/>
          <w:sz w:val="20"/>
          <w:szCs w:val="20"/>
          <w:b w:val="1"/>
          <w:bCs w:val="1"/>
          <w:color w:val="auto"/>
        </w:rPr>
        <w:t>JV Settlement Proposal</w:t>
      </w:r>
      <w:r>
        <w:rPr>
          <w:rFonts w:ascii="Arial" w:cs="Arial" w:eastAsia="Arial" w:hAnsi="Arial"/>
          <w:sz w:val="20"/>
          <w:szCs w:val="20"/>
          <w:color w:val="auto"/>
        </w:rPr>
        <w:t>”), (ii) any Proposal from holders of Existing Second Lien Notes, 2021 Notes or 2024 Notes concerning a Transaction with the Borrower, any Guarantor or Elk Hills (a “</w:t>
      </w:r>
      <w:r>
        <w:rPr>
          <w:rFonts w:ascii="Arial" w:cs="Arial" w:eastAsia="Arial" w:hAnsi="Arial"/>
          <w:sz w:val="20"/>
          <w:szCs w:val="20"/>
          <w:b w:val="1"/>
          <w:bCs w:val="1"/>
          <w:color w:val="auto"/>
        </w:rPr>
        <w:t>Junior Creditor Proposal</w:t>
      </w:r>
      <w:r>
        <w:rPr>
          <w:rFonts w:ascii="Arial" w:cs="Arial" w:eastAsia="Arial" w:hAnsi="Arial"/>
          <w:sz w:val="20"/>
          <w:szCs w:val="20"/>
          <w:color w:val="auto"/>
        </w:rPr>
        <w:t>”), (iii) any Proposal from or to the agent or any holder of indebtedness under the First Lien First Out Credit Agreement with respect to any Transaction or (iv) any other Proposal with respect to any Transaction involving the Borrower or any Guarantor, in each of cases (i), (ii), (iii) or (iv) within 24 hours of receipt by the Borrower or any Guarantor; or</w:t>
      </w:r>
    </w:p>
    <w:p>
      <w:pPr>
        <w:spacing w:after="0" w:line="145" w:lineRule="exact"/>
        <w:rPr>
          <w:sz w:val="20"/>
          <w:szCs w:val="20"/>
          <w:color w:val="auto"/>
        </w:rPr>
      </w:pPr>
    </w:p>
    <w:p>
      <w:pPr>
        <w:jc w:val="both"/>
        <w:ind w:left="1300" w:firstLine="486"/>
        <w:spacing w:after="0" w:line="234" w:lineRule="auto"/>
        <w:rPr>
          <w:sz w:val="20"/>
          <w:szCs w:val="20"/>
          <w:color w:val="auto"/>
        </w:rPr>
      </w:pPr>
      <w:r>
        <w:rPr>
          <w:rFonts w:ascii="Arial" w:cs="Arial" w:eastAsia="Arial" w:hAnsi="Arial"/>
          <w:sz w:val="20"/>
          <w:szCs w:val="20"/>
          <w:color w:val="auto"/>
        </w:rPr>
        <w:t>(xvi). the Borrower or any Guarantor makes any JV Settlement Proposal or Junior Creditor Proposal without providing the Ad Hoc Group Advisors with 24 hours prior written notice (which shall include a copy thereof) of such JV Settlement Proposal or Junior Creditor Proposal, as applicable, and such prior notice of any modifications during negotiation thereof as may be reasonably practicable under the circumstances.</w:t>
      </w:r>
    </w:p>
    <w:p>
      <w:pPr>
        <w:spacing w:after="0" w:line="143" w:lineRule="exact"/>
        <w:rPr>
          <w:sz w:val="20"/>
          <w:szCs w:val="20"/>
          <w:color w:val="auto"/>
        </w:rPr>
      </w:pPr>
    </w:p>
    <w:p>
      <w:pPr>
        <w:jc w:val="both"/>
        <w:ind w:firstLine="656"/>
        <w:spacing w:after="0" w:line="234" w:lineRule="auto"/>
        <w:tabs>
          <w:tab w:leader="none" w:pos="1008" w:val="left"/>
        </w:tabs>
        <w:numPr>
          <w:ilvl w:val="0"/>
          <w:numId w:val="22"/>
        </w:numPr>
        <w:rPr>
          <w:rFonts w:ascii="Arial" w:cs="Arial" w:eastAsia="Arial" w:hAnsi="Arial"/>
          <w:sz w:val="20"/>
          <w:szCs w:val="20"/>
          <w:color w:val="auto"/>
        </w:rPr>
      </w:pPr>
      <w:r>
        <w:rPr>
          <w:rFonts w:ascii="Arial" w:cs="Arial" w:eastAsia="Arial" w:hAnsi="Arial"/>
          <w:sz w:val="20"/>
          <w:szCs w:val="20"/>
          <w:u w:val="single" w:color="auto"/>
          <w:color w:val="auto"/>
        </w:rPr>
        <w:t>Notice of Forbearance Termination Event</w:t>
      </w:r>
      <w:r>
        <w:rPr>
          <w:rFonts w:ascii="Arial" w:cs="Arial" w:eastAsia="Arial" w:hAnsi="Arial"/>
          <w:sz w:val="20"/>
          <w:szCs w:val="20"/>
          <w:color w:val="auto"/>
        </w:rPr>
        <w:t>. Each Credit Party shall provide written notice to the Administrative Agent and to the Creditor Advisors promptly (and in any event within one Business Day) of its obtaining knowledge of the occurrence of any Forbearance Termination Event, which notice shall state that such event occurred and set forth, in reasonable detail, the facts and circumstances that gave rise to such event. Such notice shall be delivered 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Bank of New York Mellon Trust Company, N.A.</w:t>
      </w:r>
    </w:p>
    <w:p>
      <w:pPr>
        <w:ind w:left="660"/>
        <w:spacing w:after="0" w:line="227" w:lineRule="auto"/>
        <w:rPr>
          <w:sz w:val="20"/>
          <w:szCs w:val="20"/>
          <w:color w:val="auto"/>
        </w:rPr>
      </w:pPr>
      <w:r>
        <w:rPr>
          <w:rFonts w:ascii="Arial" w:cs="Arial" w:eastAsia="Arial" w:hAnsi="Arial"/>
          <w:sz w:val="20"/>
          <w:szCs w:val="20"/>
          <w:color w:val="auto"/>
        </w:rPr>
        <w:t>385 Rifle Camp Road, 3rd Floor</w:t>
      </w:r>
    </w:p>
    <w:p>
      <w:pPr>
        <w:ind w:left="660"/>
        <w:spacing w:after="0" w:line="225" w:lineRule="auto"/>
        <w:rPr>
          <w:sz w:val="20"/>
          <w:szCs w:val="20"/>
          <w:color w:val="auto"/>
        </w:rPr>
      </w:pPr>
      <w:r>
        <w:rPr>
          <w:rFonts w:ascii="Arial" w:cs="Arial" w:eastAsia="Arial" w:hAnsi="Arial"/>
          <w:sz w:val="20"/>
          <w:szCs w:val="20"/>
          <w:color w:val="auto"/>
        </w:rPr>
        <w:t>Woodland Park, NJ 07424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David M. Kerr (david.m.kerr@bnymellon.com )</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copies by electronic mail (which shall not constitute notice) to</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Emmet, Marvin &amp; Martin, LLP</w:t>
      </w:r>
    </w:p>
    <w:p>
      <w:pPr>
        <w:ind w:left="660"/>
        <w:spacing w:after="0" w:line="227" w:lineRule="auto"/>
        <w:rPr>
          <w:sz w:val="20"/>
          <w:szCs w:val="20"/>
          <w:color w:val="auto"/>
        </w:rPr>
      </w:pPr>
      <w:r>
        <w:rPr>
          <w:rFonts w:ascii="Arial" w:cs="Arial" w:eastAsia="Arial" w:hAnsi="Arial"/>
          <w:sz w:val="20"/>
          <w:szCs w:val="20"/>
          <w:color w:val="auto"/>
        </w:rPr>
        <w:t>120 Broadway 32nd Floor</w:t>
      </w:r>
    </w:p>
    <w:p>
      <w:pPr>
        <w:ind w:left="660"/>
        <w:spacing w:after="0" w:line="225" w:lineRule="auto"/>
        <w:rPr>
          <w:sz w:val="20"/>
          <w:szCs w:val="20"/>
          <w:color w:val="auto"/>
        </w:rPr>
      </w:pPr>
      <w:r>
        <w:rPr>
          <w:rFonts w:ascii="Arial" w:cs="Arial" w:eastAsia="Arial" w:hAnsi="Arial"/>
          <w:sz w:val="20"/>
          <w:szCs w:val="20"/>
          <w:color w:val="auto"/>
        </w:rPr>
        <w:t>New York, NY 10271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Thomas A. Pitta (tpitta@emmetmarvin.com)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Davis Polk &amp; Wardwell LLP</w:t>
      </w:r>
    </w:p>
    <w:p>
      <w:pPr>
        <w:ind w:left="660"/>
        <w:spacing w:after="0" w:line="227" w:lineRule="auto"/>
        <w:rPr>
          <w:sz w:val="20"/>
          <w:szCs w:val="20"/>
          <w:color w:val="auto"/>
        </w:rPr>
      </w:pPr>
      <w:r>
        <w:rPr>
          <w:rFonts w:ascii="Arial" w:cs="Arial" w:eastAsia="Arial" w:hAnsi="Arial"/>
          <w:sz w:val="20"/>
          <w:szCs w:val="20"/>
          <w:color w:val="auto"/>
        </w:rPr>
        <w:t>450 Lexington Ave.</w:t>
      </w:r>
    </w:p>
    <w:p>
      <w:pPr>
        <w:ind w:left="660"/>
        <w:spacing w:after="0" w:line="225" w:lineRule="auto"/>
        <w:rPr>
          <w:sz w:val="20"/>
          <w:szCs w:val="20"/>
          <w:color w:val="auto"/>
        </w:rPr>
      </w:pPr>
      <w:r>
        <w:rPr>
          <w:rFonts w:ascii="Arial" w:cs="Arial" w:eastAsia="Arial" w:hAnsi="Arial"/>
          <w:sz w:val="20"/>
          <w:szCs w:val="20"/>
          <w:color w:val="auto"/>
        </w:rPr>
        <w:t>New York, NY 10014</w:t>
      </w:r>
    </w:p>
    <w:p>
      <w:pPr>
        <w:spacing w:after="0" w:line="1" w:lineRule="exact"/>
        <w:rPr>
          <w:sz w:val="20"/>
          <w:szCs w:val="20"/>
          <w:color w:val="auto"/>
        </w:rPr>
      </w:pPr>
    </w:p>
    <w:p>
      <w:pPr>
        <w:ind w:left="660" w:right="280"/>
        <w:spacing w:after="0" w:line="234" w:lineRule="auto"/>
        <w:rPr>
          <w:sz w:val="20"/>
          <w:szCs w:val="20"/>
          <w:color w:val="auto"/>
        </w:rPr>
      </w:pPr>
      <w:r>
        <w:rPr>
          <w:rFonts w:ascii="Arial" w:cs="Arial" w:eastAsia="Arial" w:hAnsi="Arial"/>
          <w:sz w:val="20"/>
          <w:szCs w:val="20"/>
          <w:color w:val="auto"/>
        </w:rPr>
        <w:t>Attn: Damian S. Schaible (damian.schaible@davispolk.com), Angela Libby (angela.libby@davispolk.com) and Jonah A. Peppiatt (jonah.peppiatt@davispolk.com)</w:t>
      </w:r>
    </w:p>
    <w:p>
      <w:pPr>
        <w:spacing w:after="0" w:line="143" w:lineRule="exact"/>
        <w:rPr>
          <w:sz w:val="20"/>
          <w:szCs w:val="20"/>
          <w:color w:val="auto"/>
        </w:rPr>
      </w:pPr>
    </w:p>
    <w:p>
      <w:pPr>
        <w:jc w:val="both"/>
        <w:ind w:firstLine="656"/>
        <w:spacing w:after="0" w:line="231" w:lineRule="auto"/>
        <w:tabs>
          <w:tab w:leader="none" w:pos="1021"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Acknowledgment of Satisfaction</w:t>
      </w:r>
      <w:r>
        <w:rPr>
          <w:rFonts w:ascii="Arial" w:cs="Arial" w:eastAsia="Arial" w:hAnsi="Arial"/>
          <w:sz w:val="20"/>
          <w:szCs w:val="20"/>
          <w:color w:val="auto"/>
        </w:rPr>
        <w:t>. Nothing contained herein shall be deemed a waiver of (or otherwise affect the Administrative Agent or any Lender’s ability to enforce) any other Default or Event of Default under any of the Credit Documents, including (i) any Default or Event of Default as may now or hereafter exist and arise from or otherwise be related to any of the Acknowledged Events of Default (including any cross-default arising under the Credit Agreement by virtue of any matters resulting from the Acknowledged Events of Default), and (ii) any Default arising at any time after the Forbearance Effective Date and which is the same as or similar to the Acknowledged Events of Default.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555" w:right="339" w:bottom="1440" w:gutter="0" w:footer="0" w:header="0"/>
        </w:sectPr>
      </w:pPr>
    </w:p>
    <w:bookmarkStart w:id="25" w:name="page26"/>
    <w:bookmarkEnd w:id="25"/>
    <w:p>
      <w:pPr>
        <w:jc w:val="both"/>
        <w:ind w:firstLine="656"/>
        <w:spacing w:after="0" w:line="232" w:lineRule="auto"/>
        <w:tabs>
          <w:tab w:leader="none" w:pos="99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Financial Advisor</w:t>
      </w:r>
      <w:r>
        <w:rPr>
          <w:rFonts w:ascii="Arial" w:cs="Arial" w:eastAsia="Arial" w:hAnsi="Arial"/>
          <w:sz w:val="20"/>
          <w:szCs w:val="20"/>
          <w:color w:val="auto"/>
        </w:rPr>
        <w:t>. The Ad Hoc Lender Group, through its counsel Davis Polk, has retained Evercore as its financial advisor (the “</w:t>
      </w:r>
      <w:r>
        <w:rPr>
          <w:rFonts w:ascii="Arial" w:cs="Arial" w:eastAsia="Arial" w:hAnsi="Arial"/>
          <w:sz w:val="20"/>
          <w:szCs w:val="20"/>
          <w:b w:val="1"/>
          <w:bCs w:val="1"/>
          <w:color w:val="auto"/>
        </w:rPr>
        <w:t>Financial Advisor</w:t>
      </w:r>
      <w:r>
        <w:rPr>
          <w:rFonts w:ascii="Arial" w:cs="Arial" w:eastAsia="Arial" w:hAnsi="Arial"/>
          <w:sz w:val="20"/>
          <w:szCs w:val="20"/>
          <w:color w:val="auto"/>
        </w:rPr>
        <w:t>”) to monitor the Credit Parties’ and their respective Subsidiaries’ financial and operational performance. The Credit Parties and their respective Subsidiaries shall cooperate fully with the Financial Advisor and provide the Financial Advisor with reasonable access to their respective facilities, books and records, officers and consultants and any information reasonably requested by the Financial Advisor to perform the services within the scope of its engagement.</w:t>
      </w:r>
    </w:p>
    <w:p>
      <w:pPr>
        <w:spacing w:after="0" w:line="143" w:lineRule="exact"/>
        <w:rPr>
          <w:rFonts w:ascii="Arial" w:cs="Arial" w:eastAsia="Arial" w:hAnsi="Arial"/>
          <w:sz w:val="20"/>
          <w:szCs w:val="20"/>
          <w:color w:val="auto"/>
        </w:rPr>
      </w:pPr>
    </w:p>
    <w:p>
      <w:pPr>
        <w:ind w:firstLine="656"/>
        <w:spacing w:after="0" w:line="246" w:lineRule="auto"/>
        <w:tabs>
          <w:tab w:leader="none" w:pos="1021"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Forbearance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46" w:lineRule="auto"/>
        <w:tabs>
          <w:tab w:leader="none" w:pos="1833"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46" w:lineRule="auto"/>
        <w:tabs>
          <w:tab w:leader="none" w:pos="1758" w:val="left"/>
        </w:tabs>
        <w:numPr>
          <w:ilvl w:val="1"/>
          <w:numId w:val="24"/>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Forbearance Effective Date;</w:t>
      </w:r>
    </w:p>
    <w:p>
      <w:pPr>
        <w:spacing w:after="0" w:line="142" w:lineRule="exact"/>
        <w:rPr>
          <w:rFonts w:ascii="Arial" w:cs="Arial" w:eastAsia="Arial" w:hAnsi="Arial"/>
          <w:sz w:val="20"/>
          <w:szCs w:val="20"/>
          <w:color w:val="auto"/>
        </w:rPr>
      </w:pPr>
    </w:p>
    <w:p>
      <w:pPr>
        <w:jc w:val="both"/>
        <w:ind w:firstLine="1304"/>
        <w:spacing w:after="0" w:line="299" w:lineRule="auto"/>
        <w:tabs>
          <w:tab w:leader="none" w:pos="17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receipt by the Administrative Agent of a forbearance agreement in form and substance reasonably acceptable to the Administrative Agent and the lenders party thereto (and their respective advisors) (i) under the 2017 Credit Agreement with respect to the interest payment due thereunder on May 29, 2020 and any other related defaults or events of default thereunder (such forbearance agreement, the “</w:t>
      </w:r>
      <w:r>
        <w:rPr>
          <w:rFonts w:ascii="Arial" w:cs="Arial" w:eastAsia="Arial" w:hAnsi="Arial"/>
          <w:sz w:val="16"/>
          <w:szCs w:val="16"/>
          <w:b w:val="1"/>
          <w:bCs w:val="1"/>
          <w:color w:val="auto"/>
        </w:rPr>
        <w:t>2017 Term Loan Forbearance Agreement</w:t>
      </w:r>
      <w:r>
        <w:rPr>
          <w:rFonts w:ascii="Arial" w:cs="Arial" w:eastAsia="Arial" w:hAnsi="Arial"/>
          <w:sz w:val="16"/>
          <w:szCs w:val="16"/>
          <w:color w:val="auto"/>
        </w:rPr>
        <w:t>”) and (ii) under the First Lien First Out Credit Agreement with respect to any cross event of default related to the interest payments due under the Credit Agreement and the 2016 Term Loan Agreement on May 29, 2020 and any other related defaults or events of default thereunder (such forbearance agreement, the “</w:t>
      </w:r>
      <w:r>
        <w:rPr>
          <w:rFonts w:ascii="Arial" w:cs="Arial" w:eastAsia="Arial" w:hAnsi="Arial"/>
          <w:sz w:val="16"/>
          <w:szCs w:val="16"/>
          <w:b w:val="1"/>
          <w:bCs w:val="1"/>
          <w:color w:val="auto"/>
        </w:rPr>
        <w:t>First Lien First Out Forbearance Agreement</w:t>
      </w:r>
      <w:r>
        <w:rPr>
          <w:rFonts w:ascii="Arial" w:cs="Arial" w:eastAsia="Arial" w:hAnsi="Arial"/>
          <w:sz w:val="16"/>
          <w:szCs w:val="16"/>
          <w:color w:val="auto"/>
        </w:rPr>
        <w:t>”); and</w:t>
      </w:r>
    </w:p>
    <w:p>
      <w:pPr>
        <w:spacing w:after="0" w:line="96" w:lineRule="exact"/>
        <w:rPr>
          <w:rFonts w:ascii="Arial" w:cs="Arial" w:eastAsia="Arial" w:hAnsi="Arial"/>
          <w:sz w:val="16"/>
          <w:szCs w:val="16"/>
          <w:color w:val="auto"/>
        </w:rPr>
      </w:pPr>
    </w:p>
    <w:p>
      <w:pPr>
        <w:jc w:val="both"/>
        <w:ind w:firstLine="1304"/>
        <w:spacing w:after="0" w:line="237" w:lineRule="auto"/>
        <w:tabs>
          <w:tab w:leader="none" w:pos="1772" w:val="left"/>
        </w:tabs>
        <w:numPr>
          <w:ilvl w:val="1"/>
          <w:numId w:val="24"/>
        </w:numPr>
        <w:rPr>
          <w:rFonts w:ascii="Arial" w:cs="Arial" w:eastAsia="Arial" w:hAnsi="Arial"/>
          <w:sz w:val="20"/>
          <w:szCs w:val="20"/>
          <w:color w:val="auto"/>
        </w:rPr>
      </w:pPr>
      <w:r>
        <w:rPr>
          <w:rFonts w:ascii="Arial" w:cs="Arial" w:eastAsia="Arial" w:hAnsi="Arial"/>
          <w:sz w:val="20"/>
          <w:szCs w:val="20"/>
          <w:color w:val="auto"/>
        </w:rPr>
        <w:t>the Borrower shall have requested a current copy of the Register and, to the extent a copy of the Register is actually received by the Borrower prior to the satisfaction of all other conditions precedent to the Forbearance Effective Date, the Borrower shall have delivered such copy to Davis Polk.</w:t>
      </w:r>
    </w:p>
    <w:p>
      <w:pPr>
        <w:spacing w:after="0" w:line="142" w:lineRule="exact"/>
        <w:rPr>
          <w:rFonts w:ascii="Arial" w:cs="Arial" w:eastAsia="Arial" w:hAnsi="Arial"/>
          <w:sz w:val="20"/>
          <w:szCs w:val="20"/>
          <w:color w:val="auto"/>
        </w:rPr>
      </w:pPr>
    </w:p>
    <w:p>
      <w:pPr>
        <w:ind w:firstLine="656"/>
        <w:spacing w:after="0" w:line="246" w:lineRule="auto"/>
        <w:tabs>
          <w:tab w:leader="none" w:pos="1143"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Forbearance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24"/>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55" w:right="339" w:bottom="1440" w:gutter="0" w:footer="0" w:header="0"/>
        </w:sectPr>
      </w:pPr>
    </w:p>
    <w:bookmarkStart w:id="26" w:name="page27"/>
    <w:bookmarkEnd w:id="26"/>
    <w:p>
      <w:pPr>
        <w:jc w:val="both"/>
        <w:ind w:firstLine="1304"/>
        <w:spacing w:after="0" w:line="234" w:lineRule="auto"/>
        <w:tabs>
          <w:tab w:leader="none" w:pos="1807"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42" w:lineRule="exact"/>
        <w:rPr>
          <w:rFonts w:ascii="Arial" w:cs="Arial" w:eastAsia="Arial" w:hAnsi="Arial"/>
          <w:sz w:val="20"/>
          <w:szCs w:val="20"/>
          <w:color w:val="auto"/>
        </w:rPr>
      </w:pPr>
    </w:p>
    <w:p>
      <w:pPr>
        <w:jc w:val="both"/>
        <w:ind w:firstLine="1304"/>
        <w:spacing w:after="0" w:line="256" w:lineRule="auto"/>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Forbearance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7" w:lineRule="exact"/>
        <w:rPr>
          <w:rFonts w:ascii="Arial" w:cs="Arial" w:eastAsia="Arial" w:hAnsi="Arial"/>
          <w:sz w:val="18"/>
          <w:szCs w:val="18"/>
          <w:color w:val="auto"/>
        </w:rPr>
      </w:pPr>
    </w:p>
    <w:p>
      <w:pPr>
        <w:ind w:firstLine="1304"/>
        <w:spacing w:after="0" w:line="246" w:lineRule="auto"/>
        <w:tabs>
          <w:tab w:leader="none" w:pos="1803" w:val="left"/>
        </w:tabs>
        <w:numPr>
          <w:ilvl w:val="1"/>
          <w:numId w:val="25"/>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300" w:lineRule="auto"/>
        <w:tabs>
          <w:tab w:leader="none" w:pos="17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the date hereof, other than the First Lien First Out Forbearance Agreement and the 2017 Term Loan Forbearance Agreement, no Third Party Forbearance Agreement (as defined below) exists between any Credit Party and any party; and</w:t>
      </w:r>
    </w:p>
    <w:p>
      <w:pPr>
        <w:spacing w:after="0" w:line="90" w:lineRule="exact"/>
        <w:rPr>
          <w:rFonts w:ascii="Arial" w:cs="Arial" w:eastAsia="Arial" w:hAnsi="Arial"/>
          <w:sz w:val="18"/>
          <w:szCs w:val="18"/>
          <w:color w:val="auto"/>
        </w:rPr>
      </w:pPr>
    </w:p>
    <w:p>
      <w:pPr>
        <w:jc w:val="both"/>
        <w:ind w:firstLine="1304"/>
        <w:spacing w:after="0" w:line="267" w:lineRule="auto"/>
        <w:tabs>
          <w:tab w:leader="none" w:pos="16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of the Forbearance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w:t>
      </w:r>
    </w:p>
    <w:p>
      <w:pPr>
        <w:spacing w:after="0" w:line="118" w:lineRule="exact"/>
        <w:rPr>
          <w:rFonts w:ascii="Arial" w:cs="Arial" w:eastAsia="Arial" w:hAnsi="Arial"/>
          <w:sz w:val="18"/>
          <w:szCs w:val="18"/>
          <w:color w:val="auto"/>
        </w:rPr>
      </w:pPr>
    </w:p>
    <w:p>
      <w:pPr>
        <w:ind w:firstLine="656"/>
        <w:spacing w:after="0" w:line="300" w:lineRule="auto"/>
        <w:tabs>
          <w:tab w:leader="none" w:pos="99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Lender Calls.</w:t>
      </w:r>
      <w:r>
        <w:rPr>
          <w:rFonts w:ascii="Arial" w:cs="Arial" w:eastAsia="Arial" w:hAnsi="Arial"/>
          <w:sz w:val="18"/>
          <w:szCs w:val="18"/>
          <w:color w:val="auto"/>
        </w:rPr>
        <w:t xml:space="preserve"> The Borrower shall, at its own expense, facilitate and hold calls between Evercore and members of the Borrower’s executive management team and/or their advisors not less than once every week and shall permit any Lender to attend such calls.</w:t>
      </w:r>
    </w:p>
    <w:p>
      <w:pPr>
        <w:spacing w:after="0" w:line="90" w:lineRule="exact"/>
        <w:rPr>
          <w:rFonts w:ascii="Arial" w:cs="Arial" w:eastAsia="Arial" w:hAnsi="Arial"/>
          <w:sz w:val="18"/>
          <w:szCs w:val="18"/>
          <w:color w:val="auto"/>
        </w:rPr>
      </w:pPr>
    </w:p>
    <w:p>
      <w:pPr>
        <w:jc w:val="both"/>
        <w:ind w:firstLine="656"/>
        <w:spacing w:after="0" w:line="242" w:lineRule="auto"/>
        <w:tabs>
          <w:tab w:leader="none" w:pos="1075"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Default Rate and Continuation of Borrowings</w:t>
      </w:r>
      <w:r>
        <w:rPr>
          <w:rFonts w:ascii="Arial" w:cs="Arial" w:eastAsia="Arial" w:hAnsi="Arial"/>
          <w:sz w:val="19"/>
          <w:szCs w:val="19"/>
          <w:color w:val="auto"/>
        </w:rPr>
        <w:t>. On and after the date hereof and for so long as the Acknowledged Events of Default shall be continuing under the Credit Agreement, the Loans and the interest payable thereon shall accrue interest in the manner set forth in Sections 2.9(a) and (b) of the Credit Agreement, as applicable, and, solely during the Forbearance Period, notwithstanding Section 2.9(c) of the Credit Agreement, not at the Default Rate. In addition, pursuant to Section 2.7(b) of the Credit Agreement, on and after the date of any Default or Event of Default, the Majority Lenders hereby elect that (i) no outstanding Dollar Borrowing may be converted into, or continued as, a LIBOR Loan and (ii) each LIBOR Loan shall be converted to an ABR Loan at the end of the Interest Period applicable thereto. This Section 9 shall serve as notice to the Borrower from the Administrative Agent of the determination by the Majority Lenders to make such election pursuant to Section 2.7(b) of the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55" w:right="339" w:bottom="1440" w:gutter="0" w:footer="0" w:header="0"/>
        </w:sectPr>
      </w:pPr>
    </w:p>
    <w:bookmarkStart w:id="27" w:name="page28"/>
    <w:bookmarkEnd w:id="27"/>
    <w:p>
      <w:pPr>
        <w:jc w:val="both"/>
        <w:ind w:firstLine="656"/>
        <w:spacing w:after="0" w:line="241" w:lineRule="auto"/>
        <w:tabs>
          <w:tab w:leader="none" w:pos="1093"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More Favorable Terms</w:t>
      </w:r>
      <w:r>
        <w:rPr>
          <w:rFonts w:ascii="Arial" w:cs="Arial" w:eastAsia="Arial" w:hAnsi="Arial"/>
          <w:sz w:val="19"/>
          <w:szCs w:val="19"/>
          <w:color w:val="auto"/>
        </w:rPr>
        <w:t>. To the extent that any other forbearance, standstill or other similar agreement entered into by any Credit Party (any such agreement, a “Third Party Forbearance Agreement”), or any amendment to any Third Party Forbearance Agreement, in each case, entered into or agreed on or after the date of this Agreement and during the Forbearance Period, provides any benefit or right (including, without limitation, the benefit of a forbearance period of shorter duration than the Forbearance Period and the payment of any fees in connection with such forbearance) to any creditor party thereto that is more favorable than the benefits and rights provided to the Administrative Agent and the Forbearing Lenders under this Agreement, taking into account the terms and conditions of the underlying debt financing documents in effect with such creditor party, this Agreement shall be deemed to be amended so as to cause any such benefit or right to be incorporated into this Agreement concurrently with making any such benefit or right available, and on comparable terms as it is made available, to any such other creditor.</w:t>
      </w:r>
    </w:p>
    <w:p>
      <w:pPr>
        <w:spacing w:after="0" w:line="144" w:lineRule="exact"/>
        <w:rPr>
          <w:rFonts w:ascii="Arial" w:cs="Arial" w:eastAsia="Arial" w:hAnsi="Arial"/>
          <w:sz w:val="19"/>
          <w:szCs w:val="19"/>
          <w:color w:val="auto"/>
        </w:rPr>
      </w:pPr>
    </w:p>
    <w:p>
      <w:pPr>
        <w:jc w:val="both"/>
        <w:ind w:firstLine="656"/>
        <w:spacing w:after="0"/>
        <w:tabs>
          <w:tab w:leader="none" w:pos="114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8" w:lineRule="exact"/>
        <w:rPr>
          <w:rFonts w:ascii="Arial" w:cs="Arial" w:eastAsia="Arial" w:hAnsi="Arial"/>
          <w:sz w:val="19"/>
          <w:szCs w:val="19"/>
          <w:color w:val="auto"/>
        </w:rPr>
      </w:pPr>
    </w:p>
    <w:p>
      <w:pPr>
        <w:jc w:val="both"/>
        <w:ind w:firstLine="656"/>
        <w:spacing w:after="0" w:line="232" w:lineRule="auto"/>
        <w:tabs>
          <w:tab w:leader="none" w:pos="109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37" w:lineRule="exact"/>
        <w:rPr>
          <w:rFonts w:ascii="Arial" w:cs="Arial" w:eastAsia="Arial" w:hAnsi="Arial"/>
          <w:sz w:val="20"/>
          <w:szCs w:val="20"/>
          <w:color w:val="auto"/>
        </w:rPr>
      </w:pPr>
    </w:p>
    <w:p>
      <w:pPr>
        <w:jc w:val="both"/>
        <w:ind w:firstLine="656"/>
        <w:spacing w:after="0" w:line="258" w:lineRule="auto"/>
        <w:tabs>
          <w:tab w:leader="none" w:pos="1161" w:val="left"/>
        </w:tabs>
        <w:numPr>
          <w:ilvl w:val="0"/>
          <w:numId w:val="27"/>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4" w:lineRule="exact"/>
        <w:rPr>
          <w:rFonts w:ascii="Arial" w:cs="Arial" w:eastAsia="Arial" w:hAnsi="Arial"/>
          <w:sz w:val="19"/>
          <w:szCs w:val="19"/>
          <w:color w:val="auto"/>
        </w:rPr>
      </w:pPr>
    </w:p>
    <w:p>
      <w:pPr>
        <w:jc w:val="both"/>
        <w:ind w:firstLine="656"/>
        <w:spacing w:after="0" w:line="234" w:lineRule="auto"/>
        <w:tabs>
          <w:tab w:leader="none" w:pos="112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25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55" w:right="339" w:bottom="1440" w:gutter="0" w:footer="0" w:header="0"/>
        </w:sectPr>
      </w:pPr>
    </w:p>
    <w:bookmarkStart w:id="28" w:name="page29"/>
    <w:bookmarkEnd w:id="28"/>
    <w:p>
      <w:pPr>
        <w:jc w:val="both"/>
        <w:ind w:firstLine="656"/>
        <w:spacing w:after="0" w:line="256"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32" w:lineRule="exact"/>
        <w:rPr>
          <w:rFonts w:ascii="Arial" w:cs="Arial" w:eastAsia="Arial" w:hAnsi="Arial"/>
          <w:sz w:val="18"/>
          <w:szCs w:val="18"/>
          <w:color w:val="auto"/>
        </w:rPr>
      </w:pPr>
    </w:p>
    <w:p>
      <w:pPr>
        <w:jc w:val="both"/>
        <w:ind w:firstLine="656"/>
        <w:spacing w:after="0" w:line="26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21 hereof, the Released Parties, shall have any rights hereunder or be entitled to rely on this Agreement and all third-party beneficiary rights (other than the rights of the Released Parties under Section 21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8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21" w:lineRule="exact"/>
        <w:rPr>
          <w:rFonts w:ascii="Arial" w:cs="Arial" w:eastAsia="Arial" w:hAnsi="Arial"/>
          <w:sz w:val="18"/>
          <w:szCs w:val="18"/>
          <w:color w:val="auto"/>
        </w:rPr>
      </w:pPr>
    </w:p>
    <w:p>
      <w:pPr>
        <w:ind w:firstLine="656"/>
        <w:spacing w:after="0" w:line="246" w:lineRule="auto"/>
        <w:tabs>
          <w:tab w:leader="none" w:pos="114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Each of the Credit Parties hereby agrees to execute and deliver from time to time such other documents and take such other actions as may be reasonably requested in order to effectuate the terms hereof.</w:t>
      </w:r>
    </w:p>
    <w:p>
      <w:pPr>
        <w:spacing w:after="0" w:line="136" w:lineRule="exact"/>
        <w:rPr>
          <w:rFonts w:ascii="Arial" w:cs="Arial" w:eastAsia="Arial" w:hAnsi="Arial"/>
          <w:sz w:val="20"/>
          <w:szCs w:val="20"/>
          <w:color w:val="auto"/>
        </w:rPr>
      </w:pPr>
    </w:p>
    <w:p>
      <w:pPr>
        <w:jc w:val="both"/>
        <w:ind w:firstLine="656"/>
        <w:spacing w:after="0" w:line="254" w:lineRule="auto"/>
        <w:tabs>
          <w:tab w:leader="none" w:pos="110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signature set forth below, each Credit Party hereby ratifies and confirms to the Administrative Agent and the Lenders that, after giving effect to this Agreement and the transactions contemplated hereby, each of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55"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9"/>
          <w:szCs w:val="19"/>
          <w:color w:val="auto"/>
        </w:rPr>
        <w:t>contemplated hereby. In addition, each Credit Party reaffirms in all respects the security interests and Liens granted by such Credit Party in and to the Collateral under the terms and conditions of the Collateral Documents to secure the Obligations and agrees that such security interests and Liens remain in full force and effect and are hereby ratified, reaffirmed and confirmed in all respects.</w:t>
      </w:r>
    </w:p>
    <w:p>
      <w:pPr>
        <w:spacing w:after="0" w:line="130" w:lineRule="exact"/>
        <w:rPr>
          <w:sz w:val="20"/>
          <w:szCs w:val="20"/>
          <w:color w:val="auto"/>
        </w:rPr>
      </w:pPr>
    </w:p>
    <w:p>
      <w:pPr>
        <w:jc w:val="both"/>
        <w:ind w:firstLine="656"/>
        <w:spacing w:after="0" w:line="253" w:lineRule="auto"/>
        <w:tabs>
          <w:tab w:leader="none" w:pos="116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Forbearance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21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21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55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Forbearance Agreement (1.5L)]</w:t>
      </w:r>
    </w:p>
    <w:p>
      <w:pPr>
        <w:sectPr>
          <w:pgSz w:w="11900" w:h="16838" w:orient="portrait"/>
          <w:cols w:equalWidth="0" w:num="1">
            <w:col w:w="9479"/>
          </w:cols>
          <w:pgMar w:left="980" w:top="555" w:right="1440" w:bottom="1440" w:gutter="0" w:footer="0" w:header="0"/>
          <w:type w:val="continuous"/>
        </w:sectPr>
      </w:pPr>
    </w:p>
    <w:bookmarkStart w:id="31" w:name="page32"/>
    <w:bookmarkEnd w:id="31"/>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Forbearance Agreement (1.5L)]</w:t>
      </w:r>
    </w:p>
    <w:p>
      <w:pPr>
        <w:sectPr>
          <w:pgSz w:w="11900" w:h="16838" w:orient="portrait"/>
          <w:cols w:equalWidth="0" w:num="1">
            <w:col w:w="9019"/>
          </w:cols>
          <w:pgMar w:left="1440" w:top="711" w:right="1440" w:bottom="1440" w:gutter="0" w:footer="0" w:header="0"/>
        </w:sectPr>
      </w:pPr>
    </w:p>
    <w:bookmarkStart w:id="32" w:name="page33"/>
    <w:bookmarkEnd w:id="32"/>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Forbearance Agreement (1.5L)]</w:t>
      </w:r>
    </w:p>
    <w:p>
      <w:pPr>
        <w:sectPr>
          <w:pgSz w:w="11900" w:h="16838" w:orient="portrait"/>
          <w:cols w:equalWidth="0" w:num="1">
            <w:col w:w="9560"/>
          </w:cols>
          <w:pgMar w:left="1440" w:top="711" w:right="899" w:bottom="1440" w:gutter="0" w:footer="0" w:header="0"/>
        </w:sectPr>
      </w:pPr>
    </w:p>
    <w:bookmarkStart w:id="33" w:name="page34"/>
    <w:bookmarkEnd w:id="33"/>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Forbearance Agreement (1.5L)]</w:t>
      </w:r>
    </w:p>
    <w:p>
      <w:pPr>
        <w:sectPr>
          <w:pgSz w:w="11900" w:h="16838" w:orient="portrait"/>
          <w:cols w:equalWidth="0" w:num="1">
            <w:col w:w="9019"/>
          </w:cols>
          <w:pgMar w:left="1440" w:top="549" w:right="1440" w:bottom="1440" w:gutter="0" w:footer="0" w:header="0"/>
        </w:sectPr>
      </w:pPr>
    </w:p>
    <w:bookmarkStart w:id="34" w:name="page35"/>
    <w:bookmarkEnd w:id="34"/>
    <w:p>
      <w:pPr>
        <w:ind w:left="10120"/>
        <w:spacing w:after="0"/>
        <w:rPr>
          <w:sz w:val="20"/>
          <w:szCs w:val="20"/>
          <w:color w:val="auto"/>
        </w:rPr>
      </w:pPr>
      <w:r>
        <w:rPr>
          <w:rFonts w:ascii="Arial" w:cs="Arial" w:eastAsia="Arial" w:hAnsi="Arial"/>
          <w:sz w:val="18"/>
          <w:szCs w:val="18"/>
          <w:b w:val="1"/>
          <w:bCs w:val="1"/>
          <w:color w:val="auto"/>
        </w:rPr>
        <w:t>EXHIBIT 10.3</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FORBEARANCE AGREEMENT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FORBEARANCE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June 2, 2020, by and among </w:t>
      </w:r>
      <w:r>
        <w:rPr>
          <w:rFonts w:ascii="Arial" w:cs="Arial" w:eastAsia="Arial" w:hAnsi="Arial"/>
          <w:sz w:val="20"/>
          <w:szCs w:val="20"/>
          <w:b w:val="1"/>
          <w:bCs w:val="1"/>
          <w:color w:val="auto"/>
        </w:rPr>
        <w:t>CALIFORNIA</w:t>
      </w:r>
      <w:r>
        <w:rPr>
          <w:rFonts w:ascii="Arial" w:cs="Arial" w:eastAsia="Arial" w:hAnsi="Arial"/>
          <w:sz w:val="20"/>
          <w:szCs w:val="20"/>
          <w:color w:val="auto"/>
        </w:rPr>
        <w:t xml:space="preserve"> </w:t>
      </w:r>
      <w:r>
        <w:rPr>
          <w:rFonts w:ascii="Arial" w:cs="Arial" w:eastAsia="Arial" w:hAnsi="Arial"/>
          <w:sz w:val="20"/>
          <w:szCs w:val="20"/>
          <w:b w:val="1"/>
          <w:bCs w:val="1"/>
          <w:color w:val="auto"/>
        </w:rPr>
        <w:t>RESOURCES CORPORATION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other Guarantors party hereto (the “</w:t>
      </w:r>
      <w:r>
        <w:rPr>
          <w:rFonts w:ascii="Arial" w:cs="Arial" w:eastAsia="Arial" w:hAnsi="Arial"/>
          <w:sz w:val="20"/>
          <w:szCs w:val="20"/>
          <w:b w:val="1"/>
          <w:bCs w:val="1"/>
          <w:color w:val="auto"/>
        </w:rPr>
        <w:t>Guarantors</w:t>
      </w:r>
      <w:r>
        <w:rPr>
          <w:rFonts w:ascii="Arial" w:cs="Arial" w:eastAsia="Arial" w:hAnsi="Arial"/>
          <w:sz w:val="20"/>
          <w:szCs w:val="20"/>
          <w:color w:val="auto"/>
        </w:rPr>
        <w:t>”),</w:t>
      </w:r>
      <w:r>
        <w:rPr>
          <w:rFonts w:ascii="Arial" w:cs="Arial" w:eastAsia="Arial" w:hAnsi="Arial"/>
          <w:sz w:val="20"/>
          <w:szCs w:val="20"/>
          <w:b w:val="1"/>
          <w:bCs w:val="1"/>
          <w:color w:val="auto"/>
        </w:rPr>
        <w:t xml:space="preserve"> THE BANK OF NEW YORK MELLON TRUST COMPANY, N.A.</w:t>
      </w:r>
      <w:r>
        <w:rPr>
          <w:rFonts w:ascii="Arial" w:cs="Arial" w:eastAsia="Arial" w:hAnsi="Arial"/>
          <w:sz w:val="20"/>
          <w:szCs w:val="20"/>
          <w:color w:val="auto"/>
        </w:rPr>
        <w:t>, as administrative agent for the Lenders (in such capacity,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and the Lenders party hereto (the “</w:t>
      </w:r>
      <w:r>
        <w:rPr>
          <w:rFonts w:ascii="Arial" w:cs="Arial" w:eastAsia="Arial" w:hAnsi="Arial"/>
          <w:sz w:val="20"/>
          <w:szCs w:val="20"/>
          <w:b w:val="1"/>
          <w:bCs w:val="1"/>
          <w:color w:val="auto"/>
        </w:rPr>
        <w:t>Forbearing Lenders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WHEREAS, the Borrower, the Guarantors, the Forbearing Lenders and the Administrative Agent are parties to that certain Credit Agreement, dated as of November 17, 2017 (as amended, restated, supplemented or otherwise modified prior to the date hereof, the “</w:t>
      </w:r>
      <w:r>
        <w:rPr>
          <w:rFonts w:ascii="Arial" w:cs="Arial" w:eastAsia="Arial" w:hAnsi="Arial"/>
          <w:sz w:val="20"/>
          <w:szCs w:val="20"/>
          <w:b w:val="1"/>
          <w:bCs w:val="1"/>
          <w:color w:val="auto"/>
        </w:rPr>
        <w:t>Credit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unless otherwise defined herein, capitalized terms used herein that are not otherwise defined herein shall have the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meanings assigned to such terms in the Credit Agreement);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Borrower has informed the Administrative Agent and the Lenders that Events of Default are anticipated to occur under (i) Section 12.1 of the Credit Agreement as a result of the Borrower’s failure (or expected failure) to pay interest on the 2017 Term Loans that is due on May 29, 2020 (“</w:t>
      </w:r>
      <w:r>
        <w:rPr>
          <w:rFonts w:ascii="Arial" w:cs="Arial" w:eastAsia="Arial" w:hAnsi="Arial"/>
          <w:sz w:val="18"/>
          <w:szCs w:val="18"/>
          <w:b w:val="1"/>
          <w:bCs w:val="1"/>
          <w:color w:val="auto"/>
        </w:rPr>
        <w:t>Term Loan Interest Payment Date</w:t>
      </w:r>
      <w:r>
        <w:rPr>
          <w:rFonts w:ascii="Arial" w:cs="Arial" w:eastAsia="Arial" w:hAnsi="Arial"/>
          <w:sz w:val="18"/>
          <w:szCs w:val="18"/>
          <w:color w:val="auto"/>
        </w:rPr>
        <w:t>”) and (ii) Section 12.4(a) of the Credit Agreement solely as a result of the Borrower’s failure (or expected failure) to pay interest on the Loans (as defined in the 2016 Term Loan Agreement) pursuant to the 2016 Term Loan Agreement that is due on May 29, 2020 (the “</w:t>
      </w:r>
      <w:r>
        <w:rPr>
          <w:rFonts w:ascii="Arial" w:cs="Arial" w:eastAsia="Arial" w:hAnsi="Arial"/>
          <w:sz w:val="18"/>
          <w:szCs w:val="18"/>
          <w:b w:val="1"/>
          <w:bCs w:val="1"/>
          <w:color w:val="auto"/>
        </w:rPr>
        <w:t>Acknowledged Events of Default</w:t>
      </w:r>
      <w:r>
        <w:rPr>
          <w:rFonts w:ascii="Arial" w:cs="Arial" w:eastAsia="Arial" w:hAnsi="Arial"/>
          <w:sz w:val="18"/>
          <w:szCs w:val="18"/>
          <w:color w:val="auto"/>
        </w:rPr>
        <w:t>”); and</w:t>
      </w:r>
    </w:p>
    <w:p>
      <w:pPr>
        <w:spacing w:after="0" w:line="1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WHEREAS, notwithstanding the occurrence and continuance of the Acknowledged Events of Default, the Borrower has requested that the Administrative Agent and the Lenders agree to, and the Administrative Agent and the Forbearing Lenders (which constitute the Majority Lenders) have agreed, although under no obligation to do so, to, forbear from exercising their rights and remedies solely as a result of the Acknowledged Events of Default and solely on the express terms and subject to the conditions set forth in this Agreement.</w:t>
      </w:r>
    </w:p>
    <w:p>
      <w:pPr>
        <w:spacing w:after="0" w:line="118"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Agreements and Acknowledgments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37" w:lineRule="auto"/>
        <w:tabs>
          <w:tab w:leader="none" w:pos="1745" w:val="left"/>
        </w:tabs>
        <w:numPr>
          <w:ilvl w:val="1"/>
          <w:numId w:val="30"/>
        </w:numPr>
        <w:rPr>
          <w:rFonts w:ascii="Arial" w:cs="Arial" w:eastAsia="Arial" w:hAnsi="Arial"/>
          <w:sz w:val="20"/>
          <w:szCs w:val="20"/>
          <w:color w:val="auto"/>
        </w:rPr>
      </w:pPr>
      <w:r>
        <w:rPr>
          <w:rFonts w:ascii="Arial" w:cs="Arial" w:eastAsia="Arial" w:hAnsi="Arial"/>
          <w:sz w:val="20"/>
          <w:szCs w:val="20"/>
          <w:color w:val="auto"/>
        </w:rPr>
        <w:t>Each Credit Party acknowledges that the recitals set forth above are true and correct in all respects and admits that the occurrence of the Acknowledged Events of Default have resulted in, or shall, if and when they occur, result in, Events of Default under the Credit Agreement.</w:t>
      </w:r>
    </w:p>
    <w:p>
      <w:pPr>
        <w:spacing w:after="0" w:line="142" w:lineRule="exact"/>
        <w:rPr>
          <w:rFonts w:ascii="Arial" w:cs="Arial" w:eastAsia="Arial" w:hAnsi="Arial"/>
          <w:sz w:val="20"/>
          <w:szCs w:val="20"/>
          <w:color w:val="auto"/>
        </w:rPr>
      </w:pPr>
    </w:p>
    <w:p>
      <w:pPr>
        <w:jc w:val="both"/>
        <w:ind w:firstLine="1304"/>
        <w:spacing w:after="0" w:line="242" w:lineRule="auto"/>
        <w:tabs>
          <w:tab w:leader="none" w:pos="1765"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Amount of Obligations</w:t>
      </w:r>
      <w:r>
        <w:rPr>
          <w:rFonts w:ascii="Arial" w:cs="Arial" w:eastAsia="Arial" w:hAnsi="Arial"/>
          <w:sz w:val="19"/>
          <w:szCs w:val="19"/>
          <w:color w:val="auto"/>
        </w:rPr>
        <w:t>. Each Credit Party acknowledges and agrees that (i) the aggregate unpaid principal balance of the 2017 Term Loans as of the date hereof is $1,300,000,000, (ii) the aggregate amount of accrued and unpaid interest on the 2017 Term Loans as of the Term Loan Interest Payment Date is $20,680,562.50 (the foregoing amounts in clauses (i) and (ii) hereafter collectively referred to as the “</w:t>
      </w:r>
      <w:r>
        <w:rPr>
          <w:rFonts w:ascii="Arial" w:cs="Arial" w:eastAsia="Arial" w:hAnsi="Arial"/>
          <w:sz w:val="19"/>
          <w:szCs w:val="19"/>
          <w:b w:val="1"/>
          <w:bCs w:val="1"/>
          <w:color w:val="auto"/>
        </w:rPr>
        <w:t>Current Outstanding Obligations</w:t>
      </w:r>
      <w:r>
        <w:rPr>
          <w:rFonts w:ascii="Arial" w:cs="Arial" w:eastAsia="Arial" w:hAnsi="Arial"/>
          <w:sz w:val="19"/>
          <w:szCs w:val="19"/>
          <w:color w:val="auto"/>
        </w:rPr>
        <w:t>”). The foregoing amounts do not include other fees, expenses (including professional fees and expenses), and other Obligations and amounts which are chargeable or otherwise reimbursable under the Credit Agreement and the other Credit Documents or which are payable pursuant to this Agreement. Neither the Borrower nor any other Credit Party has any rights of offset, defenses, claims or counterclaims with respect to the Current Outstanding Obligations or any of the other Obligations or any payment obligation under this Agreement, and each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35" w:name="page36"/>
    <w:bookmarkEnd w:id="35"/>
    <w:p>
      <w:pPr>
        <w:spacing w:after="0" w:line="246" w:lineRule="auto"/>
        <w:rPr>
          <w:sz w:val="20"/>
          <w:szCs w:val="20"/>
          <w:color w:val="auto"/>
        </w:rPr>
      </w:pPr>
      <w:r>
        <w:rPr>
          <w:rFonts w:ascii="Arial" w:cs="Arial" w:eastAsia="Arial" w:hAnsi="Arial"/>
          <w:sz w:val="20"/>
          <w:szCs w:val="20"/>
          <w:color w:val="auto"/>
        </w:rPr>
        <w:t>the Credit Parties are jointly and severally obligated with respect thereto, in each case, in accordance with the terms of the applicable Credit Documents and, with respect to payment obligations hereunder, this Agreement.</w:t>
      </w:r>
    </w:p>
    <w:p>
      <w:pPr>
        <w:spacing w:after="0" w:line="136" w:lineRule="exact"/>
        <w:rPr>
          <w:sz w:val="20"/>
          <w:szCs w:val="20"/>
          <w:color w:val="auto"/>
        </w:rPr>
      </w:pPr>
    </w:p>
    <w:p>
      <w:pPr>
        <w:jc w:val="both"/>
        <w:ind w:firstLine="1304"/>
        <w:spacing w:after="0"/>
        <w:tabs>
          <w:tab w:leader="none" w:pos="1781"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Acknowledged Events of Default</w:t>
      </w:r>
      <w:r>
        <w:rPr>
          <w:rFonts w:ascii="Arial" w:cs="Arial" w:eastAsia="Arial" w:hAnsi="Arial"/>
          <w:sz w:val="19"/>
          <w:szCs w:val="19"/>
          <w:color w:val="auto"/>
        </w:rPr>
        <w:t>. Each Credit Party acknowledges and agrees that (i) each Acknowledged Event of Default is material in nature and constitutes (or, upon occurrence, will constitute) an Event of Default under the Credit Agreement, and (ii) as a result of the occurrence of such Events of Default, the Forbearing Lenders will, subject to the forbearance contemplated hereby,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 respective obligations hereunder. Without limiting any other provision of this Agreement, each Credit Party further acknowledges and agrees that during the Forbearance Period (as defined below) and following any Forbearance Termination Event (as defined below),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48" w:lineRule="exact"/>
        <w:rPr>
          <w:rFonts w:ascii="Arial" w:cs="Arial" w:eastAsia="Arial" w:hAnsi="Arial"/>
          <w:sz w:val="19"/>
          <w:szCs w:val="19"/>
          <w:color w:val="auto"/>
        </w:rPr>
      </w:pPr>
    </w:p>
    <w:p>
      <w:pPr>
        <w:ind w:left="1000" w:hanging="344"/>
        <w:spacing w:after="0"/>
        <w:tabs>
          <w:tab w:leader="none" w:pos="100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Forbearance; Forbearance Default Rights and Remedies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56" w:lineRule="auto"/>
        <w:tabs>
          <w:tab w:leader="none" w:pos="1821"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Forbearance</w:t>
      </w:r>
      <w:r>
        <w:rPr>
          <w:rFonts w:ascii="Arial" w:cs="Arial" w:eastAsia="Arial" w:hAnsi="Arial"/>
          <w:sz w:val="18"/>
          <w:szCs w:val="18"/>
          <w:color w:val="auto"/>
        </w:rPr>
        <w:t>. In reliance upon the representations, warranties and covenants of the Credit Parties contained in this Agreement, during the Forbearance Period, and without waiving the Acknowledged Events of Default or any other Default or Event of Default that may now exist or which may occur hereafter, each of the Administrative Agent and the Forbearing Lenders agrees that, subject to the terms and conditions of this Agreement, the Administrative Agent and the Forbearing Lenders shall forbear from exercising any remedies that it or they may have against the Borrower or any other Credit Party or their respective assets and properties solely as a result of the occurrence of the Acknowledged Events of Default. Such forbearance does not apply to any Default, Event of Default (other than the Acknowledged Events of Default) or other failure by the Borrower or any other Credit Party to perform in accordance with the Credit Agreement or any other Credit Document (including, without limitation, this Agreement). Notwithstanding the foregoing forbearance with respect to each Acknowledged Event of Default during the Forbearance Period, for the avoidance of doubt, an Event of Default, to the extent having occurred and continuing, shall continue to exist for all purposes under the Credit Agreement and the other Credit Documents.</w:t>
      </w:r>
    </w:p>
    <w:p>
      <w:pPr>
        <w:spacing w:after="0" w:line="127" w:lineRule="exact"/>
        <w:rPr>
          <w:rFonts w:ascii="Arial" w:cs="Arial" w:eastAsia="Arial" w:hAnsi="Arial"/>
          <w:sz w:val="18"/>
          <w:szCs w:val="18"/>
          <w:color w:val="auto"/>
        </w:rPr>
      </w:pPr>
    </w:p>
    <w:p>
      <w:pPr>
        <w:jc w:val="both"/>
        <w:ind w:firstLine="1304"/>
        <w:spacing w:after="0" w:line="241" w:lineRule="auto"/>
        <w:tabs>
          <w:tab w:leader="none" w:pos="1765"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Effect of Forbearance Termination</w:t>
      </w:r>
      <w:r>
        <w:rPr>
          <w:rFonts w:ascii="Arial" w:cs="Arial" w:eastAsia="Arial" w:hAnsi="Arial"/>
          <w:sz w:val="19"/>
          <w:szCs w:val="19"/>
          <w:color w:val="auto"/>
        </w:rPr>
        <w:t>. Upon the termination of the Forbearance Period, the agreement of the Forbearing Lenders and the Administrative Agent hereunder to forbear as set forth in Section 2(a) above shall immediately terminate without the requirement of any demand, presentment, protest, or notice of any kind (including any written notice required by Article XII of the Credit Agreement or any other Credit Document), all of which are hereby waived by the Borrower and each other Credit Party. The Borrower and each other Credit Party hereby agree that, after the Forbearance Termination Date, the Forbearing Lenders and the Administrative Agent may at any time, or from time to time, in their sole and absolute discretion, with respect to the Acknowledged Events of Default, exercise against any Credit Party (and its properties) any and all of their rights, remedies, powers and privileges under any or all of the Credit Agreement, any other Credit Document, applicable Law and/or equity, all of which rights, remedies, powers and privileges are fully reserved by each Forbearing Lender and the Administrative Agent.</w:t>
      </w:r>
    </w:p>
    <w:p>
      <w:pPr>
        <w:spacing w:after="0" w:line="144" w:lineRule="exact"/>
        <w:rPr>
          <w:rFonts w:ascii="Arial" w:cs="Arial" w:eastAsia="Arial" w:hAnsi="Arial"/>
          <w:sz w:val="19"/>
          <w:szCs w:val="19"/>
          <w:color w:val="auto"/>
        </w:rPr>
      </w:pPr>
    </w:p>
    <w:p>
      <w:pPr>
        <w:ind w:firstLine="1304"/>
        <w:spacing w:after="0" w:line="246" w:lineRule="auto"/>
        <w:tabs>
          <w:tab w:leader="none" w:pos="1727"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Limitation on Forbearance Extension</w:t>
      </w:r>
      <w:r>
        <w:rPr>
          <w:rFonts w:ascii="Arial" w:cs="Arial" w:eastAsia="Arial" w:hAnsi="Arial"/>
          <w:sz w:val="20"/>
          <w:szCs w:val="20"/>
          <w:color w:val="auto"/>
        </w:rPr>
        <w:t>. Except as set forth herein, none of the Forbearing Lenders or the Administrative Agent shall have any obligation to extend the Forbearance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36" w:name="page37"/>
    <w:bookmarkEnd w:id="36"/>
    <w:p>
      <w:pPr>
        <w:jc w:val="both"/>
        <w:spacing w:after="0" w:line="256" w:lineRule="auto"/>
        <w:rPr>
          <w:sz w:val="20"/>
          <w:szCs w:val="20"/>
          <w:color w:val="auto"/>
        </w:rPr>
      </w:pPr>
      <w:r>
        <w:rPr>
          <w:rFonts w:ascii="Arial" w:cs="Arial" w:eastAsia="Arial" w:hAnsi="Arial"/>
          <w:sz w:val="18"/>
          <w:szCs w:val="18"/>
          <w:color w:val="auto"/>
        </w:rPr>
        <w:t>Period, or enter into any other agreement, waiver, forbearance or amendment, and the Forbearing Lenders’ and the Administrative Agent’s agreement to permit any such extension, or enter into any other agreement, waiver, forbearance or amendment shall be subject to the sole discretion of the Majority Lenders (or, if required by Section 14.1 of the Credit Agreement, each Lender or affected Lender). Any agreement by any Forbearing Lender or the Administrative Agent to enter into any other waiver, forbearance or amendment must be set forth in writing and signed by a duly authorized signatory of each of the Administrative Agent and the Majority Lenders (or, if required by Section 14.1 of the Credit Agreement, each Lender or affected Lender). The Borrower and the other Credit Parties each acknowledge that the Forbearing Lenders and the Administrative Agent have not made any assurances concerning any possibility of an extension of the Forbearance Period or the entering into of any further waiver, forbearance or amendment. For the avoidance of doubt, nothing herein shall prevent Lenders constituting the Majority Lenders or the Administrative Agent from agreeing to any further forbearance agreement.</w:t>
      </w:r>
    </w:p>
    <w:p>
      <w:pPr>
        <w:spacing w:after="0" w:line="126" w:lineRule="exact"/>
        <w:rPr>
          <w:sz w:val="20"/>
          <w:szCs w:val="20"/>
          <w:color w:val="auto"/>
        </w:rPr>
      </w:pPr>
    </w:p>
    <w:p>
      <w:pPr>
        <w:jc w:val="both"/>
        <w:ind w:firstLine="1304"/>
        <w:spacing w:after="0" w:line="259" w:lineRule="auto"/>
        <w:tabs>
          <w:tab w:leader="none" w:pos="173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Forbearance Termination Date</w:t>
      </w:r>
      <w:r>
        <w:rPr>
          <w:rFonts w:ascii="Arial" w:cs="Arial" w:eastAsia="Arial" w:hAnsi="Arial"/>
          <w:sz w:val="18"/>
          <w:szCs w:val="18"/>
          <w:color w:val="auto"/>
        </w:rPr>
        <w:t>. The “</w:t>
      </w:r>
      <w:r>
        <w:rPr>
          <w:rFonts w:ascii="Arial" w:cs="Arial" w:eastAsia="Arial" w:hAnsi="Arial"/>
          <w:sz w:val="18"/>
          <w:szCs w:val="18"/>
          <w:b w:val="1"/>
          <w:bCs w:val="1"/>
          <w:color w:val="auto"/>
        </w:rPr>
        <w:t>Forbearance Termination Date</w:t>
      </w:r>
      <w:r>
        <w:rPr>
          <w:rFonts w:ascii="Arial" w:cs="Arial" w:eastAsia="Arial" w:hAnsi="Arial"/>
          <w:sz w:val="18"/>
          <w:szCs w:val="18"/>
          <w:color w:val="auto"/>
        </w:rPr>
        <w:t>” means the earlier of the following to occur: (a) any Forbearance Termination Event and (b) June 14, 2020 at 11:59 p.m. New York time, as such date may be extended in writing (which may be by email) by the Administrative Agent and the Forbearing Lenders, in each case in their sole discretion. The “</w:t>
      </w:r>
      <w:r>
        <w:rPr>
          <w:rFonts w:ascii="Arial" w:cs="Arial" w:eastAsia="Arial" w:hAnsi="Arial"/>
          <w:sz w:val="18"/>
          <w:szCs w:val="18"/>
          <w:b w:val="1"/>
          <w:bCs w:val="1"/>
          <w:color w:val="auto"/>
        </w:rPr>
        <w:t>Forbearance Period</w:t>
      </w:r>
      <w:r>
        <w:rPr>
          <w:rFonts w:ascii="Arial" w:cs="Arial" w:eastAsia="Arial" w:hAnsi="Arial"/>
          <w:sz w:val="18"/>
          <w:szCs w:val="18"/>
          <w:color w:val="auto"/>
        </w:rPr>
        <w:t>” shall commence on the Forbearance Effective Date and shall terminate immediately and automatically upon the Forbearance Termination Date. The occurrence of any of the following events or circumstances shall immediately and automatically constitute a “</w:t>
      </w:r>
      <w:r>
        <w:rPr>
          <w:rFonts w:ascii="Arial" w:cs="Arial" w:eastAsia="Arial" w:hAnsi="Arial"/>
          <w:sz w:val="18"/>
          <w:szCs w:val="18"/>
          <w:b w:val="1"/>
          <w:bCs w:val="1"/>
          <w:color w:val="auto"/>
        </w:rPr>
        <w:t>Forbearance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following delivery of notice (including by email) to the Borrower by the Administrative Agent at the request of the Majority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(and automatically upon the occurrence of an Event of Default under Section 12.5 of the Credit Agreement):</w:t>
      </w:r>
    </w:p>
    <w:p>
      <w:pPr>
        <w:spacing w:after="0" w:line="130"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(i). any Default or Event of Default (following 48 hours after delivery of notice (including by email) to the Borrower by the Administrative Agent or at the request of the Majority Lenders) under the Credit Agreement or any other Credit Document (other than the Acknowledged Events of Default);</w:t>
      </w:r>
    </w:p>
    <w:p>
      <w:pPr>
        <w:spacing w:after="0" w:line="142" w:lineRule="exact"/>
        <w:rPr>
          <w:sz w:val="20"/>
          <w:szCs w:val="20"/>
          <w:color w:val="auto"/>
        </w:rPr>
      </w:pPr>
    </w:p>
    <w:p>
      <w:pPr>
        <w:jc w:val="both"/>
        <w:ind w:left="1300" w:firstLine="486"/>
        <w:spacing w:after="0" w:line="246" w:lineRule="auto"/>
        <w:rPr>
          <w:sz w:val="20"/>
          <w:szCs w:val="20"/>
          <w:color w:val="auto"/>
        </w:rPr>
      </w:pPr>
      <w:r>
        <w:rPr>
          <w:rFonts w:ascii="Arial" w:cs="Arial" w:eastAsia="Arial" w:hAnsi="Arial"/>
          <w:sz w:val="20"/>
          <w:szCs w:val="20"/>
          <w:color w:val="auto"/>
        </w:rPr>
        <w:t>(ii). any material breach by the Borrower or any other Credit Party of any covenant, term or other provision of this Agreement;</w:t>
      </w:r>
    </w:p>
    <w:p>
      <w:pPr>
        <w:spacing w:after="0" w:line="136" w:lineRule="exact"/>
        <w:rPr>
          <w:sz w:val="20"/>
          <w:szCs w:val="20"/>
          <w:color w:val="auto"/>
        </w:rPr>
      </w:pPr>
    </w:p>
    <w:p>
      <w:pPr>
        <w:jc w:val="both"/>
        <w:ind w:left="1300" w:firstLine="486"/>
        <w:spacing w:after="0" w:line="234" w:lineRule="auto"/>
        <w:rPr>
          <w:sz w:val="20"/>
          <w:szCs w:val="20"/>
          <w:color w:val="auto"/>
        </w:rPr>
      </w:pPr>
      <w:r>
        <w:rPr>
          <w:rFonts w:ascii="Arial" w:cs="Arial" w:eastAsia="Arial" w:hAnsi="Arial"/>
          <w:sz w:val="20"/>
          <w:szCs w:val="20"/>
          <w:color w:val="auto"/>
        </w:rPr>
        <w:t>(iii). any representation, warranty or certification made or deemed made by the Borrower or any other Credit Party herein or which is contained in any certificate, document or financial or other statement furnished by the Borrower or any other Credit Party at any time under or in connection with this Agreement or otherwise shall be false or misleading in any material respect on the date as of which made, deemed made or furnished;</w:t>
      </w:r>
    </w:p>
    <w:p>
      <w:pPr>
        <w:spacing w:after="0" w:line="143" w:lineRule="exact"/>
        <w:rPr>
          <w:sz w:val="20"/>
          <w:szCs w:val="20"/>
          <w:color w:val="auto"/>
        </w:rPr>
      </w:pPr>
    </w:p>
    <w:p>
      <w:pPr>
        <w:jc w:val="both"/>
        <w:ind w:left="1300" w:firstLine="486"/>
        <w:spacing w:after="0" w:line="237" w:lineRule="auto"/>
        <w:rPr>
          <w:sz w:val="20"/>
          <w:szCs w:val="20"/>
          <w:color w:val="auto"/>
        </w:rPr>
      </w:pPr>
      <w:r>
        <w:rPr>
          <w:rFonts w:ascii="Arial" w:cs="Arial" w:eastAsia="Arial" w:hAnsi="Arial"/>
          <w:sz w:val="20"/>
          <w:szCs w:val="20"/>
          <w:color w:val="auto"/>
        </w:rPr>
        <w:t>(iv). the commencement of any action, suit, litigation, investigation or other proceeding against the Administrative Agent or any Lender by any of the Credit Parties, any Subsidiary thereof or entity controlled by, affiliated with, related to or under common control with any of the Credit Parties;</w:t>
      </w:r>
    </w:p>
    <w:p>
      <w:pPr>
        <w:spacing w:after="0" w:line="142" w:lineRule="exact"/>
        <w:rPr>
          <w:sz w:val="20"/>
          <w:szCs w:val="20"/>
          <w:color w:val="auto"/>
        </w:rPr>
      </w:pPr>
    </w:p>
    <w:p>
      <w:pPr>
        <w:jc w:val="both"/>
        <w:ind w:left="1300" w:firstLine="486"/>
        <w:spacing w:after="0" w:line="234" w:lineRule="auto"/>
        <w:rPr>
          <w:sz w:val="20"/>
          <w:szCs w:val="20"/>
          <w:color w:val="auto"/>
        </w:rPr>
      </w:pPr>
      <w:r>
        <w:rPr>
          <w:rFonts w:ascii="Arial" w:cs="Arial" w:eastAsia="Arial" w:hAnsi="Arial"/>
          <w:sz w:val="20"/>
          <w:szCs w:val="20"/>
          <w:color w:val="auto"/>
        </w:rPr>
        <w:t>(v). any payment, or setting aside of funds for the purpose of making any Restricted Payment or any other payment, or transfer of any value (including the payment of any fees, costs or expenses of any advisors) by the Borrower or any other Credit Party to any direct or indirect equity holder of any Credit Party or any Subsidiary (other than any such payment to any Credit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37" w:name="page38"/>
    <w:bookmarkEnd w:id="37"/>
    <w:p>
      <w:pPr>
        <w:jc w:val="both"/>
        <w:ind w:left="180" w:firstLine="486"/>
        <w:spacing w:after="0" w:line="258" w:lineRule="auto"/>
        <w:rPr>
          <w:sz w:val="20"/>
          <w:szCs w:val="20"/>
          <w:color w:val="auto"/>
        </w:rPr>
      </w:pPr>
      <w:r>
        <w:rPr>
          <w:rFonts w:ascii="Arial" w:cs="Arial" w:eastAsia="Arial" w:hAnsi="Arial"/>
          <w:sz w:val="18"/>
          <w:szCs w:val="18"/>
          <w:color w:val="auto"/>
        </w:rPr>
        <w:t>(vi). any payment, or setting aside of funds for the purpose of making any payment, by any Credit Party or any Subsidiary, including with respect to interest, principal, fees, expenses, indemnification or otherwise, on account of or in connection with any Existing Senior Notes, any 2016 Term Loans, any Permitted Junior Indebtedness, any Permitted Additional Debt, any Permitted Pari Debt or any other Indebtedness secured by Liens on the Collateral that rank pari passu or junior in right of security with the Liens securing the Obligations or Indebtedness that is unsecured, other than regularly scheduled payments of agency fees of the Administrative Agent and Collateral Agent with respect to the Credit Documents and the administrative agent and collateral agent with respect to the 2016 Term Loan Documents;</w:t>
      </w:r>
    </w:p>
    <w:p>
      <w:pPr>
        <w:spacing w:after="0" w:line="130" w:lineRule="exact"/>
        <w:rPr>
          <w:sz w:val="20"/>
          <w:szCs w:val="20"/>
          <w:color w:val="auto"/>
        </w:rPr>
      </w:pPr>
    </w:p>
    <w:p>
      <w:pPr>
        <w:jc w:val="both"/>
        <w:ind w:left="180" w:firstLine="486"/>
        <w:spacing w:after="0" w:line="288" w:lineRule="auto"/>
        <w:rPr>
          <w:sz w:val="20"/>
          <w:szCs w:val="20"/>
          <w:color w:val="auto"/>
        </w:rPr>
      </w:pPr>
      <w:r>
        <w:rPr>
          <w:rFonts w:ascii="Arial" w:cs="Arial" w:eastAsia="Arial" w:hAnsi="Arial"/>
          <w:sz w:val="16"/>
          <w:szCs w:val="16"/>
          <w:color w:val="auto"/>
        </w:rPr>
        <w:t>(vii). the entry by the Borrower or any other Credit Party or any Subsidiary into any transaction (including the incurrence of any Indebtedness), or the making by the Borrower or any other Credit Party or Subsidiary of any payment or transfer, in each case outside the ordinary course of business (it being understood and agreed, for the avoidance of doubt, that</w:t>
      </w:r>
    </w:p>
    <w:p>
      <w:pPr>
        <w:spacing w:after="0" w:line="2" w:lineRule="exact"/>
        <w:rPr>
          <w:sz w:val="20"/>
          <w:szCs w:val="20"/>
          <w:color w:val="auto"/>
        </w:rPr>
      </w:pPr>
    </w:p>
    <w:p>
      <w:pPr>
        <w:jc w:val="both"/>
        <w:ind w:left="180" w:firstLine="4"/>
        <w:spacing w:after="0" w:line="254" w:lineRule="auto"/>
        <w:tabs>
          <w:tab w:leader="none" w:pos="4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incurrence of any Indebtedness for borrowed money pursuant to Sections 11.1(i), (j), (k), (r), (v), (w), (x), (z), (aa), (bb), (cc) or (dd), (b) the making of any Disposition under Section 11.4(a)(vi) and (xv) and (c) the making of any Investment, other than any Investment or series of related Investments that do not exceed $500,000 in the aggregate during the Forbearance Period, pursuant to Section 11.5(b)(iii), (vi), (viii), (x), (xiv), (xvii) (other than any non-cash Investment made in the ordinary course of business pursuant to Section 11.5(b)(xvii) existing on, or for which an obligation to make such Investment is existing on, the Forbearance Effective Date), (xviii), (xx) (other than any Investment pursuant to Section 11.5(b)(xx) with respect to any ordinary course intercompany cash or treasury management arrangements), (xxi) or (xxii), in each case by any Credit Party or any Subsidiary, shall all be deemed to be made outside of the ordinary course of business);</w:t>
      </w:r>
    </w:p>
    <w:p>
      <w:pPr>
        <w:spacing w:after="0" w:line="135" w:lineRule="exact"/>
        <w:rPr>
          <w:sz w:val="20"/>
          <w:szCs w:val="20"/>
          <w:color w:val="auto"/>
        </w:rPr>
      </w:pPr>
    </w:p>
    <w:p>
      <w:pPr>
        <w:jc w:val="both"/>
        <w:ind w:left="180" w:firstLine="486"/>
        <w:spacing w:after="0" w:line="256" w:lineRule="auto"/>
        <w:rPr>
          <w:sz w:val="20"/>
          <w:szCs w:val="20"/>
          <w:color w:val="auto"/>
        </w:rPr>
      </w:pPr>
      <w:r>
        <w:rPr>
          <w:rFonts w:ascii="Arial" w:cs="Arial" w:eastAsia="Arial" w:hAnsi="Arial"/>
          <w:sz w:val="18"/>
          <w:szCs w:val="18"/>
          <w:color w:val="auto"/>
        </w:rPr>
        <w:t>(viii). any amendment, waiver, supplement or other modification to any employment agreement or employee compensation plan, or the entry by the Borrower, any other Credit Party or any Subsidiary into any new employment agreement or employee compensation plan, or the payment of any amount contemplated by any employment agreement or employee compensation plan before the date on which such amount become due and payable pursuant to the terms of the such agreements or plans, as applicable, or the payment of any bonus, incentive, retention, severance, change of control or termination payments pursuant to the terms of such agreements or plans, as applicable, with any such Key Employee or Director (it being understood that “</w:t>
      </w:r>
      <w:r>
        <w:rPr>
          <w:rFonts w:ascii="Arial" w:cs="Arial" w:eastAsia="Arial" w:hAnsi="Arial"/>
          <w:sz w:val="18"/>
          <w:szCs w:val="18"/>
          <w:b w:val="1"/>
          <w:bCs w:val="1"/>
          <w:color w:val="auto"/>
        </w:rPr>
        <w:t>Key Employee or Director</w:t>
      </w:r>
      <w:r>
        <w:rPr>
          <w:rFonts w:ascii="Arial" w:cs="Arial" w:eastAsia="Arial" w:hAnsi="Arial"/>
          <w:sz w:val="18"/>
          <w:szCs w:val="18"/>
          <w:color w:val="auto"/>
        </w:rPr>
        <w:t>” means any director or officer of any Credit Party or Subsidiary or management personnel that is employed or to be employed by any Credit Party or Subsidiary, in each case, that has or will be entitled to (A) annual total cash compensation in excess of $300,000 or (B) in the event of the payment of severance or termination payments, cash severance in excess of $300,000);</w:t>
      </w:r>
    </w:p>
    <w:p>
      <w:pPr>
        <w:spacing w:after="0" w:line="128" w:lineRule="exact"/>
        <w:rPr>
          <w:sz w:val="20"/>
          <w:szCs w:val="20"/>
          <w:color w:val="auto"/>
        </w:rPr>
      </w:pPr>
    </w:p>
    <w:p>
      <w:pPr>
        <w:jc w:val="both"/>
        <w:ind w:left="180" w:right="20" w:firstLine="486"/>
        <w:spacing w:after="0" w:line="246" w:lineRule="auto"/>
        <w:rPr>
          <w:sz w:val="20"/>
          <w:szCs w:val="20"/>
          <w:color w:val="auto"/>
        </w:rPr>
      </w:pPr>
      <w:r>
        <w:rPr>
          <w:rFonts w:ascii="Arial" w:cs="Arial" w:eastAsia="Arial" w:hAnsi="Arial"/>
          <w:sz w:val="20"/>
          <w:szCs w:val="20"/>
          <w:color w:val="auto"/>
        </w:rPr>
        <w:t>(ix). the failure by the Borrower, for any three (3) consecutive Business Days during the Forbearance Period, to maintain aggregate book cash balances of at least $48,000,000;</w:t>
      </w:r>
    </w:p>
    <w:p>
      <w:pPr>
        <w:spacing w:after="0" w:line="136" w:lineRule="exact"/>
        <w:rPr>
          <w:sz w:val="20"/>
          <w:szCs w:val="20"/>
          <w:color w:val="auto"/>
        </w:rPr>
      </w:pPr>
    </w:p>
    <w:p>
      <w:pPr>
        <w:jc w:val="both"/>
        <w:ind w:left="180" w:right="20" w:firstLine="486"/>
        <w:spacing w:after="0" w:line="237" w:lineRule="auto"/>
        <w:rPr>
          <w:sz w:val="20"/>
          <w:szCs w:val="20"/>
          <w:color w:val="auto"/>
        </w:rPr>
      </w:pPr>
      <w:r>
        <w:rPr>
          <w:rFonts w:ascii="Arial" w:cs="Arial" w:eastAsia="Arial" w:hAnsi="Arial"/>
          <w:sz w:val="20"/>
          <w:szCs w:val="20"/>
          <w:color w:val="auto"/>
        </w:rPr>
        <w:t>(x). any non-Forbearing Lender under the Credit Agreement shall commence a legal proceeding against any Credit Party or any Subsidiary or set off against any of their respective property, in each case, with respect to enforcement of the Credit Agreement or the obligations thereunder;</w:t>
      </w:r>
    </w:p>
    <w:p>
      <w:pPr>
        <w:spacing w:after="0" w:line="183"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20"/>
          </w:cols>
          <w:pgMar w:left="1440" w:top="555" w:right="339" w:bottom="1440" w:gutter="0" w:footer="0" w:header="0"/>
        </w:sectPr>
      </w:pPr>
    </w:p>
    <w:bookmarkStart w:id="38" w:name="page39"/>
    <w:bookmarkEnd w:id="38"/>
    <w:p>
      <w:pPr>
        <w:jc w:val="both"/>
        <w:ind w:left="180" w:firstLine="486"/>
        <w:spacing w:after="0" w:line="228" w:lineRule="auto"/>
        <w:rPr>
          <w:sz w:val="20"/>
          <w:szCs w:val="20"/>
          <w:color w:val="auto"/>
        </w:rPr>
      </w:pPr>
      <w:r>
        <w:rPr>
          <w:rFonts w:ascii="Arial" w:cs="Arial" w:eastAsia="Arial" w:hAnsi="Arial"/>
          <w:sz w:val="20"/>
          <w:szCs w:val="20"/>
          <w:color w:val="auto"/>
        </w:rPr>
        <w:t>(xi). the failure by the Borrowers to pay, within two (2) Business Days after the receipt of an invoice therefor, the reasonable and documented fees and expenses of (a) Davis Polk &amp; Wardwell LLP (“</w:t>
      </w:r>
      <w:r>
        <w:rPr>
          <w:rFonts w:ascii="Arial" w:cs="Arial" w:eastAsia="Arial" w:hAnsi="Arial"/>
          <w:sz w:val="20"/>
          <w:szCs w:val="20"/>
          <w:b w:val="1"/>
          <w:bCs w:val="1"/>
          <w:color w:val="auto"/>
        </w:rPr>
        <w:t>Davis Polk</w:t>
      </w:r>
      <w:r>
        <w:rPr>
          <w:rFonts w:ascii="Arial" w:cs="Arial" w:eastAsia="Arial" w:hAnsi="Arial"/>
          <w:sz w:val="20"/>
          <w:szCs w:val="20"/>
          <w:color w:val="auto"/>
        </w:rPr>
        <w:t>”), Evercore Inc. (“</w:t>
      </w:r>
      <w:r>
        <w:rPr>
          <w:rFonts w:ascii="Arial" w:cs="Arial" w:eastAsia="Arial" w:hAnsi="Arial"/>
          <w:sz w:val="20"/>
          <w:szCs w:val="20"/>
          <w:b w:val="1"/>
          <w:bCs w:val="1"/>
          <w:color w:val="auto"/>
        </w:rPr>
        <w:t>Evercore</w:t>
      </w:r>
      <w:r>
        <w:rPr>
          <w:rFonts w:ascii="Arial" w:cs="Arial" w:eastAsia="Arial" w:hAnsi="Arial"/>
          <w:sz w:val="20"/>
          <w:szCs w:val="20"/>
          <w:color w:val="auto"/>
        </w:rPr>
        <w:t>”), Haynes and Boone, LLP (“</w:t>
      </w:r>
      <w:r>
        <w:rPr>
          <w:rFonts w:ascii="Arial" w:cs="Arial" w:eastAsia="Arial" w:hAnsi="Arial"/>
          <w:sz w:val="20"/>
          <w:szCs w:val="20"/>
          <w:b w:val="1"/>
          <w:bCs w:val="1"/>
          <w:color w:val="auto"/>
        </w:rPr>
        <w:t>Haynes and Boone</w:t>
      </w:r>
      <w:r>
        <w:rPr>
          <w:rFonts w:ascii="Arial" w:cs="Arial" w:eastAsia="Arial" w:hAnsi="Arial"/>
          <w:sz w:val="20"/>
          <w:szCs w:val="20"/>
          <w:color w:val="auto"/>
        </w:rPr>
        <w:t>”), Cox, Castle &amp; Nicholson LLP (“</w:t>
      </w:r>
      <w:r>
        <w:rPr>
          <w:rFonts w:ascii="Arial" w:cs="Arial" w:eastAsia="Arial" w:hAnsi="Arial"/>
          <w:sz w:val="20"/>
          <w:szCs w:val="20"/>
          <w:b w:val="1"/>
          <w:bCs w:val="1"/>
          <w:color w:val="auto"/>
        </w:rPr>
        <w:t>Cox Castle</w:t>
      </w:r>
      <w:r>
        <w:rPr>
          <w:rFonts w:ascii="Arial" w:cs="Arial" w:eastAsia="Arial" w:hAnsi="Arial"/>
          <w:sz w:val="20"/>
          <w:szCs w:val="20"/>
          <w:color w:val="auto"/>
        </w:rPr>
        <w:t>”) and Trimeric Corporation (“</w:t>
      </w:r>
      <w:r>
        <w:rPr>
          <w:rFonts w:ascii="Arial" w:cs="Arial" w:eastAsia="Arial" w:hAnsi="Arial"/>
          <w:sz w:val="20"/>
          <w:szCs w:val="20"/>
          <w:b w:val="1"/>
          <w:bCs w:val="1"/>
          <w:color w:val="auto"/>
        </w:rPr>
        <w:t>Trimeric</w:t>
      </w:r>
      <w:r>
        <w:rPr>
          <w:rFonts w:ascii="Arial" w:cs="Arial" w:eastAsia="Arial" w:hAnsi="Arial"/>
          <w:sz w:val="20"/>
          <w:szCs w:val="20"/>
          <w:color w:val="auto"/>
        </w:rPr>
        <w:t>”) (collectively, with Davis Polk, Evercore, Haynes and Boone, Cox Castle, Trimeric and any other professionals retained by the ad hoc Lender group represented by Davis Polk and Evercore (the “</w:t>
      </w:r>
      <w:r>
        <w:rPr>
          <w:rFonts w:ascii="Arial" w:cs="Arial" w:eastAsia="Arial" w:hAnsi="Arial"/>
          <w:sz w:val="20"/>
          <w:szCs w:val="20"/>
          <w:b w:val="1"/>
          <w:bCs w:val="1"/>
          <w:color w:val="auto"/>
        </w:rPr>
        <w:t>Ad Hoc Lender Group</w:t>
      </w:r>
      <w:r>
        <w:rPr>
          <w:rFonts w:ascii="Arial" w:cs="Arial" w:eastAsia="Arial" w:hAnsi="Arial"/>
          <w:sz w:val="20"/>
          <w:szCs w:val="20"/>
          <w:color w:val="auto"/>
        </w:rPr>
        <w:t>” and such professionals, the “</w:t>
      </w:r>
      <w:r>
        <w:rPr>
          <w:rFonts w:ascii="Arial" w:cs="Arial" w:eastAsia="Arial" w:hAnsi="Arial"/>
          <w:sz w:val="20"/>
          <w:szCs w:val="20"/>
          <w:b w:val="1"/>
          <w:bCs w:val="1"/>
          <w:color w:val="auto"/>
        </w:rPr>
        <w:t>Ad Hoc Lender Group Advisors</w:t>
      </w:r>
      <w:r>
        <w:rPr>
          <w:rFonts w:ascii="Arial" w:cs="Arial" w:eastAsia="Arial" w:hAnsi="Arial"/>
          <w:sz w:val="20"/>
          <w:szCs w:val="20"/>
          <w:color w:val="auto"/>
        </w:rPr>
        <w:t>”) or (b) the Administrative Agent, Emmet, Marvin &amp; Martin LLP, and any other professionals retained by the Administrative Agent (including, without limitation, with respect to foreign collateral or local matters), (collectively, the “</w:t>
      </w:r>
      <w:r>
        <w:rPr>
          <w:rFonts w:ascii="Arial" w:cs="Arial" w:eastAsia="Arial" w:hAnsi="Arial"/>
          <w:sz w:val="20"/>
          <w:szCs w:val="20"/>
          <w:b w:val="1"/>
          <w:bCs w:val="1"/>
          <w:color w:val="auto"/>
        </w:rPr>
        <w:t>Creditor Advisors</w:t>
      </w:r>
      <w:r>
        <w:rPr>
          <w:rFonts w:ascii="Arial" w:cs="Arial" w:eastAsia="Arial" w:hAnsi="Arial"/>
          <w:sz w:val="20"/>
          <w:szCs w:val="20"/>
          <w:color w:val="auto"/>
        </w:rPr>
        <w:t>”), in each case in accordance with this Agreement, the Credit Documents and/or the Creditor Advisors’ applicable engagement letters, fee letters or other reimbursement agreements;</w:t>
      </w:r>
    </w:p>
    <w:p>
      <w:pPr>
        <w:spacing w:after="0" w:line="151" w:lineRule="exact"/>
        <w:rPr>
          <w:sz w:val="20"/>
          <w:szCs w:val="20"/>
          <w:color w:val="auto"/>
        </w:rPr>
      </w:pPr>
    </w:p>
    <w:p>
      <w:pPr>
        <w:jc w:val="both"/>
        <w:ind w:left="180" w:firstLine="486"/>
        <w:spacing w:after="0" w:line="246" w:lineRule="auto"/>
        <w:rPr>
          <w:sz w:val="20"/>
          <w:szCs w:val="20"/>
          <w:color w:val="auto"/>
        </w:rPr>
      </w:pPr>
      <w:r>
        <w:rPr>
          <w:rFonts w:ascii="Arial" w:cs="Arial" w:eastAsia="Arial" w:hAnsi="Arial"/>
          <w:sz w:val="20"/>
          <w:szCs w:val="20"/>
          <w:color w:val="auto"/>
        </w:rPr>
        <w:t>(xii). the failure by the Borrower to request a current copy of the Register and to use commercially reasonable efforts to deliver such copy to Davis Polk, in each case promptly upon request;</w:t>
      </w:r>
    </w:p>
    <w:p>
      <w:pPr>
        <w:spacing w:after="0" w:line="136" w:lineRule="exact"/>
        <w:rPr>
          <w:sz w:val="20"/>
          <w:szCs w:val="20"/>
          <w:color w:val="auto"/>
        </w:rPr>
      </w:pPr>
    </w:p>
    <w:p>
      <w:pPr>
        <w:jc w:val="both"/>
        <w:ind w:left="180" w:firstLine="486"/>
        <w:spacing w:after="0" w:line="234" w:lineRule="auto"/>
        <w:rPr>
          <w:sz w:val="20"/>
          <w:szCs w:val="20"/>
          <w:color w:val="auto"/>
        </w:rPr>
      </w:pPr>
      <w:r>
        <w:rPr>
          <w:rFonts w:ascii="Arial" w:cs="Arial" w:eastAsia="Arial" w:hAnsi="Arial"/>
          <w:sz w:val="20"/>
          <w:szCs w:val="20"/>
          <w:color w:val="auto"/>
        </w:rPr>
        <w:t>(xiii). the failure by the Borrower to provide written notice to Davis Polk of (A) receipt of any material notice or correspondence (whether written or oral) from any counterparty to a contract or any customer that is outside the ordinary course of business and (B) receipt of any written notice of any proceeding commenced, or, to the actual knowledge of the Borrower, threatened against any Credit Parties or any of their Subsidiaries;</w:t>
      </w:r>
    </w:p>
    <w:p>
      <w:pPr>
        <w:spacing w:after="0" w:line="143" w:lineRule="exact"/>
        <w:rPr>
          <w:sz w:val="20"/>
          <w:szCs w:val="20"/>
          <w:color w:val="auto"/>
        </w:rPr>
      </w:pPr>
    </w:p>
    <w:p>
      <w:pPr>
        <w:jc w:val="both"/>
        <w:ind w:left="180" w:firstLine="486"/>
        <w:spacing w:after="0" w:line="257" w:lineRule="auto"/>
        <w:rPr>
          <w:sz w:val="20"/>
          <w:szCs w:val="20"/>
          <w:color w:val="auto"/>
        </w:rPr>
      </w:pPr>
      <w:r>
        <w:rPr>
          <w:rFonts w:ascii="Arial" w:cs="Arial" w:eastAsia="Arial" w:hAnsi="Arial"/>
          <w:sz w:val="18"/>
          <w:szCs w:val="18"/>
          <w:color w:val="auto"/>
        </w:rPr>
        <w:t>(xiv). any lender or any of their affiliates under the First Lien First Out Credit Agreement, the 2016 Term Loan Agreement, the indenture governing the Existing Second Lien Notes or the indenture governing the 2021 Notes and the 2024 Notes or any agent, trustee or representative on behalf of any such lender or affiliate shall accelerate the obligations under the First Lien First Out Credit Agreement, the 2016 Term Loan Agreement, the indenture governing the Existing Second Lien Notes or the indenture governing the 2021 Notes or the 2024 Notes, or commence a legal proceeding against any Credit Party or any Subsidiary or set off against any of their respective property, in each case, with respect to enforcement of the First Lien First Out Credit Documents, the 2016 Term Loan Documents, documents governing the Existing Second Lien Notes or documents governing the 2021 Notes or the 2024 Notes or the obligations thereunder;</w:t>
      </w:r>
    </w:p>
    <w:p>
      <w:pPr>
        <w:spacing w:after="0" w:line="130" w:lineRule="exact"/>
        <w:rPr>
          <w:sz w:val="20"/>
          <w:szCs w:val="20"/>
          <w:color w:val="auto"/>
        </w:rPr>
      </w:pPr>
    </w:p>
    <w:p>
      <w:pPr>
        <w:jc w:val="both"/>
        <w:ind w:left="180" w:firstLine="486"/>
        <w:spacing w:after="0" w:line="256" w:lineRule="auto"/>
        <w:rPr>
          <w:sz w:val="20"/>
          <w:szCs w:val="20"/>
          <w:color w:val="auto"/>
        </w:rPr>
      </w:pPr>
      <w:r>
        <w:rPr>
          <w:rFonts w:ascii="Arial" w:cs="Arial" w:eastAsia="Arial" w:hAnsi="Arial"/>
          <w:sz w:val="18"/>
          <w:szCs w:val="18"/>
          <w:color w:val="auto"/>
        </w:rPr>
        <w:t>(xv). the failure by the Borrower to deliver a copy to the Ad Hoc Group Advisors of, (i) any written proposal, counterproposal, offer, bid, term sheet or agreement (each, a “</w:t>
      </w:r>
      <w:r>
        <w:rPr>
          <w:rFonts w:ascii="Arial" w:cs="Arial" w:eastAsia="Arial" w:hAnsi="Arial"/>
          <w:sz w:val="18"/>
          <w:szCs w:val="18"/>
          <w:b w:val="1"/>
          <w:bCs w:val="1"/>
          <w:color w:val="auto"/>
        </w:rPr>
        <w:t>Proposal</w:t>
      </w:r>
      <w:r>
        <w:rPr>
          <w:rFonts w:ascii="Arial" w:cs="Arial" w:eastAsia="Arial" w:hAnsi="Arial"/>
          <w:sz w:val="18"/>
          <w:szCs w:val="18"/>
          <w:color w:val="auto"/>
        </w:rPr>
        <w:t>”) involving (x) a settlement of claims by or against Elk Hills Power LLC (</w:t>
      </w:r>
      <w:r>
        <w:rPr>
          <w:rFonts w:ascii="Arial" w:cs="Arial" w:eastAsia="Arial" w:hAnsi="Arial"/>
          <w:sz w:val="18"/>
          <w:szCs w:val="18"/>
          <w:i w:val="1"/>
          <w:iCs w:val="1"/>
          <w:color w:val="auto"/>
        </w:rPr>
        <w:t>“</w:t>
      </w:r>
      <w:r>
        <w:rPr>
          <w:rFonts w:ascii="Arial" w:cs="Arial" w:eastAsia="Arial" w:hAnsi="Arial"/>
          <w:sz w:val="18"/>
          <w:szCs w:val="18"/>
          <w:b w:val="1"/>
          <w:bCs w:val="1"/>
          <w:color w:val="auto"/>
        </w:rPr>
        <w:t>Elk Hills</w:t>
      </w:r>
      <w:r>
        <w:rPr>
          <w:rFonts w:ascii="Arial" w:cs="Arial" w:eastAsia="Arial" w:hAnsi="Arial"/>
          <w:sz w:val="18"/>
          <w:szCs w:val="18"/>
          <w:color w:val="auto"/>
        </w:rPr>
        <w:t>”) or any other transaction, sale, asset purchase, disposition, new money, investment, restructuring, reorganization, merger, amalgamation, acquisition, consolidation, dissolution, debt investment, equity investment, liquidation, tender offer, recapitalization, plan of reorganization, share exchange, business combination or similar transaction (any of the foregoing, a “</w:t>
      </w:r>
      <w:r>
        <w:rPr>
          <w:rFonts w:ascii="Arial" w:cs="Arial" w:eastAsia="Arial" w:hAnsi="Arial"/>
          <w:sz w:val="18"/>
          <w:szCs w:val="18"/>
          <w:b w:val="1"/>
          <w:bCs w:val="1"/>
          <w:color w:val="auto"/>
        </w:rPr>
        <w:t>Transaction</w:t>
      </w:r>
      <w:r>
        <w:rPr>
          <w:rFonts w:ascii="Arial" w:cs="Arial" w:eastAsia="Arial" w:hAnsi="Arial"/>
          <w:sz w:val="18"/>
          <w:szCs w:val="18"/>
          <w:color w:val="auto"/>
        </w:rPr>
        <w:t>”) with any third-party investor in the debt, equity, or other interests of Elk Hills or (y) any Transaction involving ECR Corporate Holdings L.P., Ares Management LLC or any affiliate of either of them (any of (x) or (y), a “</w:t>
      </w:r>
      <w:r>
        <w:rPr>
          <w:rFonts w:ascii="Arial" w:cs="Arial" w:eastAsia="Arial" w:hAnsi="Arial"/>
          <w:sz w:val="18"/>
          <w:szCs w:val="18"/>
          <w:b w:val="1"/>
          <w:bCs w:val="1"/>
          <w:color w:val="auto"/>
        </w:rPr>
        <w:t>JV Settlement Proposal</w:t>
      </w:r>
      <w:r>
        <w:rPr>
          <w:rFonts w:ascii="Arial" w:cs="Arial" w:eastAsia="Arial" w:hAnsi="Arial"/>
          <w:sz w:val="18"/>
          <w:szCs w:val="18"/>
          <w:color w:val="auto"/>
        </w:rPr>
        <w:t>”), (ii) any Proposal from holders of Existing Second Lien Notes, 2021 Notes or 2024 Notes concerning a Transaction with the Borrower, any Guarantor or Elk Hills (a “</w:t>
      </w:r>
      <w:r>
        <w:rPr>
          <w:rFonts w:ascii="Arial" w:cs="Arial" w:eastAsia="Arial" w:hAnsi="Arial"/>
          <w:sz w:val="18"/>
          <w:szCs w:val="18"/>
          <w:b w:val="1"/>
          <w:bCs w:val="1"/>
          <w:i w:val="1"/>
          <w:iCs w:val="1"/>
          <w:color w:val="auto"/>
        </w:rPr>
        <w:t>Junior Creditor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w:t>
      </w:r>
      <w:r>
        <w:rPr>
          <w:rFonts w:ascii="Arial" w:cs="Arial" w:eastAsia="Arial" w:hAnsi="Arial"/>
          <w:sz w:val="18"/>
          <w:szCs w:val="18"/>
          <w:color w:val="auto"/>
        </w:rPr>
        <w:t>”), (iii) any Proposal from or to the agent or any holder of indebtedness under the First Lien First Out Credit</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20"/>
          </w:cols>
          <w:pgMar w:left="1440" w:top="555" w:right="339" w:bottom="1440" w:gutter="0" w:footer="0" w:header="0"/>
        </w:sectPr>
      </w:pPr>
    </w:p>
    <w:bookmarkStart w:id="39" w:name="page40"/>
    <w:bookmarkEnd w:id="39"/>
    <w:p>
      <w:pPr>
        <w:jc w:val="both"/>
        <w:ind w:left="1300"/>
        <w:spacing w:after="0" w:line="300" w:lineRule="auto"/>
        <w:rPr>
          <w:sz w:val="20"/>
          <w:szCs w:val="20"/>
          <w:color w:val="auto"/>
        </w:rPr>
      </w:pPr>
      <w:r>
        <w:rPr>
          <w:rFonts w:ascii="Arial" w:cs="Arial" w:eastAsia="Arial" w:hAnsi="Arial"/>
          <w:sz w:val="18"/>
          <w:szCs w:val="18"/>
          <w:color w:val="auto"/>
        </w:rPr>
        <w:t>Agreement with respect to any Transaction or (iv) any other Proposal with respect to any Transaction involving the Borrower or any Guarantor, in each of cases (i), (ii), (iii) or (iv) within 24 hours of receipt by the Borrower or any Guarantor; or</w:t>
      </w:r>
    </w:p>
    <w:p>
      <w:pPr>
        <w:spacing w:after="0" w:line="90" w:lineRule="exact"/>
        <w:rPr>
          <w:sz w:val="20"/>
          <w:szCs w:val="20"/>
          <w:color w:val="auto"/>
        </w:rPr>
      </w:pPr>
    </w:p>
    <w:p>
      <w:pPr>
        <w:jc w:val="both"/>
        <w:ind w:left="1300" w:firstLine="486"/>
        <w:spacing w:after="0" w:line="234" w:lineRule="auto"/>
        <w:rPr>
          <w:sz w:val="20"/>
          <w:szCs w:val="20"/>
          <w:color w:val="auto"/>
        </w:rPr>
      </w:pPr>
      <w:r>
        <w:rPr>
          <w:rFonts w:ascii="Arial" w:cs="Arial" w:eastAsia="Arial" w:hAnsi="Arial"/>
          <w:sz w:val="20"/>
          <w:szCs w:val="20"/>
          <w:color w:val="auto"/>
        </w:rPr>
        <w:t>(xvi). the Borrower or any Guarantor makes any JV Settlement Proposal or Junior Creditor Proposal without providing the Ad Hoc Group Advisors with 24 hours prior written notice (which shall include a copy thereof) of such JV Settlement Proposal or Junior Creditor Proposal, as applicable, and such prior notice of any modifications during negotiation thereof as may be reasonably practicable under the circumstances.</w:t>
      </w:r>
    </w:p>
    <w:p>
      <w:pPr>
        <w:spacing w:after="0" w:line="143" w:lineRule="exact"/>
        <w:rPr>
          <w:sz w:val="20"/>
          <w:szCs w:val="20"/>
          <w:color w:val="auto"/>
        </w:rPr>
      </w:pPr>
    </w:p>
    <w:p>
      <w:pPr>
        <w:jc w:val="both"/>
        <w:ind w:firstLine="656"/>
        <w:spacing w:after="0" w:line="234" w:lineRule="auto"/>
        <w:tabs>
          <w:tab w:leader="none" w:pos="100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Notice of Forbearance Termination Event</w:t>
      </w:r>
      <w:r>
        <w:rPr>
          <w:rFonts w:ascii="Arial" w:cs="Arial" w:eastAsia="Arial" w:hAnsi="Arial"/>
          <w:sz w:val="20"/>
          <w:szCs w:val="20"/>
          <w:color w:val="auto"/>
        </w:rPr>
        <w:t>. Each Credit Party shall provide written notice to the Administrative Agent and to the Creditor Advisors promptly (and in any event within one Business Day) of its obtaining knowledge of the occurrence of any Forbearance Termination Event, which notice shall state that such event occurred and set forth, in reasonable detail, the facts and circumstances that gave rise to such event. Such notice shall be delivered to:</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The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Bank of New York Mellon Trust Company, N.A.</w:t>
      </w:r>
    </w:p>
    <w:p>
      <w:pPr>
        <w:ind w:left="660"/>
        <w:spacing w:after="0" w:line="227" w:lineRule="auto"/>
        <w:rPr>
          <w:sz w:val="20"/>
          <w:szCs w:val="20"/>
          <w:color w:val="auto"/>
        </w:rPr>
      </w:pPr>
      <w:r>
        <w:rPr>
          <w:rFonts w:ascii="Arial" w:cs="Arial" w:eastAsia="Arial" w:hAnsi="Arial"/>
          <w:sz w:val="20"/>
          <w:szCs w:val="20"/>
          <w:color w:val="auto"/>
        </w:rPr>
        <w:t>385 Rifle Camp Road, 3rd Floor</w:t>
      </w:r>
    </w:p>
    <w:p>
      <w:pPr>
        <w:ind w:left="660"/>
        <w:spacing w:after="0" w:line="225" w:lineRule="auto"/>
        <w:rPr>
          <w:sz w:val="20"/>
          <w:szCs w:val="20"/>
          <w:color w:val="auto"/>
        </w:rPr>
      </w:pPr>
      <w:r>
        <w:rPr>
          <w:rFonts w:ascii="Arial" w:cs="Arial" w:eastAsia="Arial" w:hAnsi="Arial"/>
          <w:sz w:val="20"/>
          <w:szCs w:val="20"/>
          <w:color w:val="auto"/>
        </w:rPr>
        <w:t>Woodland Park, NJ 07424</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David M. Kerr (david.m.kerr@bnymellon.com )</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With copies by electronic mail (which shall not constitute notice) to</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Emmet, Marvin &amp; Martin, LLP</w:t>
      </w:r>
    </w:p>
    <w:p>
      <w:pPr>
        <w:ind w:left="660"/>
        <w:spacing w:after="0" w:line="227" w:lineRule="auto"/>
        <w:rPr>
          <w:sz w:val="20"/>
          <w:szCs w:val="20"/>
          <w:color w:val="auto"/>
        </w:rPr>
      </w:pPr>
      <w:r>
        <w:rPr>
          <w:rFonts w:ascii="Arial" w:cs="Arial" w:eastAsia="Arial" w:hAnsi="Arial"/>
          <w:sz w:val="20"/>
          <w:szCs w:val="20"/>
          <w:color w:val="auto"/>
        </w:rPr>
        <w:t>120 Broadway 32nd Floor</w:t>
      </w:r>
    </w:p>
    <w:p>
      <w:pPr>
        <w:ind w:left="660"/>
        <w:spacing w:after="0" w:line="225" w:lineRule="auto"/>
        <w:rPr>
          <w:sz w:val="20"/>
          <w:szCs w:val="20"/>
          <w:color w:val="auto"/>
        </w:rPr>
      </w:pPr>
      <w:r>
        <w:rPr>
          <w:rFonts w:ascii="Arial" w:cs="Arial" w:eastAsia="Arial" w:hAnsi="Arial"/>
          <w:sz w:val="20"/>
          <w:szCs w:val="20"/>
          <w:color w:val="auto"/>
        </w:rPr>
        <w:t>New York, NY 10271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Attn: Thomas A. Pitta (tpitta@emmetmarvin.com)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Davis Polk &amp; Wardwell LLP</w:t>
      </w:r>
    </w:p>
    <w:p>
      <w:pPr>
        <w:ind w:left="660"/>
        <w:spacing w:after="0" w:line="227" w:lineRule="auto"/>
        <w:rPr>
          <w:sz w:val="20"/>
          <w:szCs w:val="20"/>
          <w:color w:val="auto"/>
        </w:rPr>
      </w:pPr>
      <w:r>
        <w:rPr>
          <w:rFonts w:ascii="Arial" w:cs="Arial" w:eastAsia="Arial" w:hAnsi="Arial"/>
          <w:sz w:val="20"/>
          <w:szCs w:val="20"/>
          <w:color w:val="auto"/>
        </w:rPr>
        <w:t>450 Lexington Ave.</w:t>
      </w:r>
    </w:p>
    <w:p>
      <w:pPr>
        <w:ind w:left="660"/>
        <w:spacing w:after="0" w:line="225" w:lineRule="auto"/>
        <w:rPr>
          <w:sz w:val="20"/>
          <w:szCs w:val="20"/>
          <w:color w:val="auto"/>
        </w:rPr>
      </w:pPr>
      <w:r>
        <w:rPr>
          <w:rFonts w:ascii="Arial" w:cs="Arial" w:eastAsia="Arial" w:hAnsi="Arial"/>
          <w:sz w:val="20"/>
          <w:szCs w:val="20"/>
          <w:color w:val="auto"/>
        </w:rPr>
        <w:t>New York, NY 10014</w:t>
      </w:r>
    </w:p>
    <w:p>
      <w:pPr>
        <w:spacing w:after="0" w:line="1" w:lineRule="exact"/>
        <w:rPr>
          <w:sz w:val="20"/>
          <w:szCs w:val="20"/>
          <w:color w:val="auto"/>
        </w:rPr>
      </w:pPr>
    </w:p>
    <w:p>
      <w:pPr>
        <w:ind w:left="660" w:right="280"/>
        <w:spacing w:after="0" w:line="234" w:lineRule="auto"/>
        <w:rPr>
          <w:sz w:val="20"/>
          <w:szCs w:val="20"/>
          <w:color w:val="auto"/>
        </w:rPr>
      </w:pPr>
      <w:r>
        <w:rPr>
          <w:rFonts w:ascii="Arial" w:cs="Arial" w:eastAsia="Arial" w:hAnsi="Arial"/>
          <w:sz w:val="20"/>
          <w:szCs w:val="20"/>
          <w:color w:val="auto"/>
        </w:rPr>
        <w:t>Attn: Damian S. Schaible (damian.schaible@davispolk.com), Angela Libby (angela.libby@davispolk.com) and Jonah A. Peppiatt (jonah.peppiatt@davispolk.com)</w:t>
      </w:r>
    </w:p>
    <w:p>
      <w:pPr>
        <w:spacing w:after="0" w:line="143" w:lineRule="exact"/>
        <w:rPr>
          <w:sz w:val="20"/>
          <w:szCs w:val="20"/>
          <w:color w:val="auto"/>
        </w:rPr>
      </w:pPr>
    </w:p>
    <w:p>
      <w:pPr>
        <w:jc w:val="both"/>
        <w:ind w:firstLine="656"/>
        <w:spacing w:after="0" w:line="231" w:lineRule="auto"/>
        <w:tabs>
          <w:tab w:leader="none" w:pos="1021"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Acknowledgment of Satisfaction</w:t>
      </w:r>
      <w:r>
        <w:rPr>
          <w:rFonts w:ascii="Arial" w:cs="Arial" w:eastAsia="Arial" w:hAnsi="Arial"/>
          <w:sz w:val="20"/>
          <w:szCs w:val="20"/>
          <w:color w:val="auto"/>
        </w:rPr>
        <w:t>. Nothing contained herein shall be deemed a waiver of (or otherwise affect the Administrative Agent or any Lender’s ability to enforce) any other Default or Event of Default under any of the Credit Documents, including (i) any Default or Event of Default as may now or hereafter exist and arise from or otherwise be related to any of the Acknowledged Events of Default (including any cross-default arising under the Credit Agreement by virtue of any matters resulting from the Acknowledged Events of Default), and (ii) any Default arising at any time after the Forbearance Effective Date and which is the same as or similar to the Acknowledged Events of Default.</w:t>
      </w:r>
    </w:p>
    <w:p>
      <w:pPr>
        <w:spacing w:after="0" w:line="143" w:lineRule="exact"/>
        <w:rPr>
          <w:rFonts w:ascii="Arial" w:cs="Arial" w:eastAsia="Arial" w:hAnsi="Arial"/>
          <w:sz w:val="20"/>
          <w:szCs w:val="20"/>
          <w:color w:val="auto"/>
        </w:rPr>
      </w:pPr>
    </w:p>
    <w:p>
      <w:pPr>
        <w:jc w:val="both"/>
        <w:ind w:firstLine="656"/>
        <w:spacing w:after="0" w:line="234" w:lineRule="auto"/>
        <w:tabs>
          <w:tab w:leader="none" w:pos="994"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Financial Advisor</w:t>
      </w:r>
      <w:r>
        <w:rPr>
          <w:rFonts w:ascii="Arial" w:cs="Arial" w:eastAsia="Arial" w:hAnsi="Arial"/>
          <w:sz w:val="20"/>
          <w:szCs w:val="20"/>
          <w:color w:val="auto"/>
        </w:rPr>
        <w:t>. The Ad Hoc Lender Group, through its counsel Davis Polk, has retained Evercore as its financial advisor (the “</w:t>
      </w:r>
      <w:r>
        <w:rPr>
          <w:rFonts w:ascii="Arial" w:cs="Arial" w:eastAsia="Arial" w:hAnsi="Arial"/>
          <w:sz w:val="20"/>
          <w:szCs w:val="20"/>
          <w:b w:val="1"/>
          <w:bCs w:val="1"/>
          <w:color w:val="auto"/>
        </w:rPr>
        <w:t>Financial Advisor</w:t>
      </w:r>
      <w:r>
        <w:rPr>
          <w:rFonts w:ascii="Arial" w:cs="Arial" w:eastAsia="Arial" w:hAnsi="Arial"/>
          <w:sz w:val="20"/>
          <w:szCs w:val="20"/>
          <w:color w:val="auto"/>
        </w:rPr>
        <w:t>”) to monitor the Credit Parties’ and their respective Subsidiaries’ financial and operational performance. The Credit Parties and their respective Subsidiaries shall cooperate fully with the Financial Advisor and provide the Financial Advisor with reasonable access to their respective facilities, books and records, officers and consultants and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555"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information reasonably requested by the Financial Advisor to perform the services within the scope of its engagement.</w:t>
      </w:r>
    </w:p>
    <w:p>
      <w:pPr>
        <w:spacing w:after="0" w:line="162" w:lineRule="exact"/>
        <w:rPr>
          <w:sz w:val="20"/>
          <w:szCs w:val="20"/>
          <w:color w:val="auto"/>
        </w:rPr>
      </w:pPr>
    </w:p>
    <w:p>
      <w:pPr>
        <w:ind w:firstLine="656"/>
        <w:spacing w:after="0" w:line="246" w:lineRule="auto"/>
        <w:tabs>
          <w:tab w:leader="none" w:pos="1021"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Forbearance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46" w:lineRule="auto"/>
        <w:tabs>
          <w:tab w:leader="none" w:pos="1833"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46" w:lineRule="auto"/>
        <w:tabs>
          <w:tab w:leader="none" w:pos="1758" w:val="left"/>
        </w:tabs>
        <w:numPr>
          <w:ilvl w:val="1"/>
          <w:numId w:val="37"/>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37" w:lineRule="auto"/>
        <w:tabs>
          <w:tab w:leader="none" w:pos="1746"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Forbearance Effective Date;</w:t>
      </w:r>
    </w:p>
    <w:p>
      <w:pPr>
        <w:spacing w:after="0" w:line="142" w:lineRule="exact"/>
        <w:rPr>
          <w:rFonts w:ascii="Arial" w:cs="Arial" w:eastAsia="Arial" w:hAnsi="Arial"/>
          <w:sz w:val="20"/>
          <w:szCs w:val="20"/>
          <w:color w:val="auto"/>
        </w:rPr>
      </w:pPr>
    </w:p>
    <w:p>
      <w:pPr>
        <w:jc w:val="both"/>
        <w:ind w:firstLine="1304"/>
        <w:spacing w:after="0" w:line="230" w:lineRule="auto"/>
        <w:tabs>
          <w:tab w:leader="none" w:pos="1797" w:val="left"/>
        </w:tabs>
        <w:numPr>
          <w:ilvl w:val="1"/>
          <w:numId w:val="37"/>
        </w:numPr>
        <w:rPr>
          <w:rFonts w:ascii="Arial" w:cs="Arial" w:eastAsia="Arial" w:hAnsi="Arial"/>
          <w:sz w:val="20"/>
          <w:szCs w:val="20"/>
          <w:color w:val="auto"/>
        </w:rPr>
      </w:pPr>
      <w:r>
        <w:rPr>
          <w:rFonts w:ascii="Arial" w:cs="Arial" w:eastAsia="Arial" w:hAnsi="Arial"/>
          <w:sz w:val="20"/>
          <w:szCs w:val="20"/>
          <w:color w:val="auto"/>
        </w:rPr>
        <w:t>receipt by the Administrative Agent of a forbearance agreement in form and substance reasonably acceptable to the Administrative Agent and the lenders party thereto (and their respective advisors) (i) under the 2016 Term Loan Agreement with respect to the interest payment due thereunder on May 29, 2020 and any other related defaults or events of default thereunder (such forbearance agreement, the “</w:t>
      </w:r>
      <w:r>
        <w:rPr>
          <w:rFonts w:ascii="Arial" w:cs="Arial" w:eastAsia="Arial" w:hAnsi="Arial"/>
          <w:sz w:val="20"/>
          <w:szCs w:val="20"/>
          <w:b w:val="1"/>
          <w:bCs w:val="1"/>
          <w:color w:val="auto"/>
        </w:rPr>
        <w:t>2016 Term Loan Forbearance Agreement</w:t>
      </w:r>
      <w:r>
        <w:rPr>
          <w:rFonts w:ascii="Arial" w:cs="Arial" w:eastAsia="Arial" w:hAnsi="Arial"/>
          <w:sz w:val="20"/>
          <w:szCs w:val="20"/>
          <w:color w:val="auto"/>
        </w:rPr>
        <w:t>”) and (ii) under the First Lien First Out Credit Agreement with respect to any cross event of default related to the interest payments due under the Credit Agreement and the 2016 Term Loan Agreement on May 29, 2020 and any other related defaults or events of default thereunder (such forbearance agreement, the “</w:t>
      </w:r>
      <w:r>
        <w:rPr>
          <w:rFonts w:ascii="Arial" w:cs="Arial" w:eastAsia="Arial" w:hAnsi="Arial"/>
          <w:sz w:val="20"/>
          <w:szCs w:val="20"/>
          <w:b w:val="1"/>
          <w:bCs w:val="1"/>
          <w:color w:val="auto"/>
        </w:rPr>
        <w:t>First Lien First Out Forbearance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144" w:lineRule="exact"/>
        <w:rPr>
          <w:rFonts w:ascii="Arial" w:cs="Arial" w:eastAsia="Arial" w:hAnsi="Arial"/>
          <w:sz w:val="20"/>
          <w:szCs w:val="20"/>
          <w:color w:val="auto"/>
        </w:rPr>
      </w:pPr>
    </w:p>
    <w:p>
      <w:pPr>
        <w:jc w:val="both"/>
        <w:ind w:firstLine="1304"/>
        <w:spacing w:after="0" w:line="237" w:lineRule="auto"/>
        <w:tabs>
          <w:tab w:leader="none" w:pos="1772"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Borrower shall have requested a current copy of the Register and, to the extent a copy of the Register is actually received by the Borrower prior to the satisfaction of all other conditions precedent to the Forbearance Effective Date, the Borrower shall have delivered such copy to Davis Polk.</w:t>
      </w:r>
    </w:p>
    <w:p>
      <w:pPr>
        <w:spacing w:after="0" w:line="142" w:lineRule="exact"/>
        <w:rPr>
          <w:rFonts w:ascii="Arial" w:cs="Arial" w:eastAsia="Arial" w:hAnsi="Arial"/>
          <w:sz w:val="20"/>
          <w:szCs w:val="20"/>
          <w:color w:val="auto"/>
        </w:rPr>
      </w:pPr>
    </w:p>
    <w:p>
      <w:pPr>
        <w:ind w:firstLine="656"/>
        <w:spacing w:after="0" w:line="246" w:lineRule="auto"/>
        <w:tabs>
          <w:tab w:leader="none" w:pos="1143"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Forbearance Effective Date as follows:</w:t>
      </w:r>
    </w:p>
    <w:p>
      <w:pPr>
        <w:spacing w:after="0" w:line="136" w:lineRule="exact"/>
        <w:rPr>
          <w:rFonts w:ascii="Arial" w:cs="Arial" w:eastAsia="Arial" w:hAnsi="Arial"/>
          <w:sz w:val="20"/>
          <w:szCs w:val="20"/>
          <w:color w:val="auto"/>
        </w:rPr>
      </w:pPr>
    </w:p>
    <w:p>
      <w:pPr>
        <w:jc w:val="both"/>
        <w:ind w:firstLine="1304"/>
        <w:spacing w:after="0" w:line="243" w:lineRule="auto"/>
        <w:tabs>
          <w:tab w:leader="none" w:pos="1724"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38" w:lineRule="exact"/>
        <w:rPr>
          <w:rFonts w:ascii="Arial" w:cs="Arial" w:eastAsia="Arial" w:hAnsi="Arial"/>
          <w:sz w:val="19"/>
          <w:szCs w:val="19"/>
          <w:color w:val="auto"/>
        </w:rPr>
      </w:pPr>
    </w:p>
    <w:p>
      <w:pPr>
        <w:jc w:val="both"/>
        <w:ind w:firstLine="1304"/>
        <w:spacing w:after="0" w:line="234" w:lineRule="auto"/>
        <w:tabs>
          <w:tab w:leader="none" w:pos="1807"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55" w:right="339" w:bottom="1440" w:gutter="0" w:footer="0" w:header="0"/>
        </w:sectPr>
      </w:pPr>
    </w:p>
    <w:bookmarkStart w:id="41" w:name="page42"/>
    <w:bookmarkEnd w:id="41"/>
    <w:p>
      <w:pPr>
        <w:jc w:val="both"/>
        <w:ind w:firstLine="1304"/>
        <w:spacing w:after="0" w:line="256"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Forbearance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7" w:lineRule="exact"/>
        <w:rPr>
          <w:rFonts w:ascii="Arial" w:cs="Arial" w:eastAsia="Arial" w:hAnsi="Arial"/>
          <w:sz w:val="18"/>
          <w:szCs w:val="18"/>
          <w:color w:val="auto"/>
        </w:rPr>
      </w:pPr>
    </w:p>
    <w:p>
      <w:pPr>
        <w:ind w:firstLine="1304"/>
        <w:spacing w:after="0" w:line="246" w:lineRule="auto"/>
        <w:tabs>
          <w:tab w:leader="none" w:pos="1803" w:val="left"/>
        </w:tabs>
        <w:numPr>
          <w:ilvl w:val="1"/>
          <w:numId w:val="38"/>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300" w:lineRule="auto"/>
        <w:tabs>
          <w:tab w:leader="none" w:pos="1742"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of the date hereof, other than the First Lien First Out Forbearance Agreement and the 2016 Term Loan Forbearance Agreement, no Third Party Forbearance Agreement (as defined below) exists between any Credit Party and any party; and</w:t>
      </w:r>
    </w:p>
    <w:p>
      <w:pPr>
        <w:spacing w:after="0" w:line="90" w:lineRule="exact"/>
        <w:rPr>
          <w:rFonts w:ascii="Arial" w:cs="Arial" w:eastAsia="Arial" w:hAnsi="Arial"/>
          <w:sz w:val="18"/>
          <w:szCs w:val="18"/>
          <w:color w:val="auto"/>
        </w:rPr>
      </w:pPr>
    </w:p>
    <w:p>
      <w:pPr>
        <w:jc w:val="both"/>
        <w:ind w:firstLine="1304"/>
        <w:spacing w:after="0" w:line="267" w:lineRule="auto"/>
        <w:tabs>
          <w:tab w:leader="none" w:pos="16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of the Forbearance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w:t>
      </w:r>
    </w:p>
    <w:p>
      <w:pPr>
        <w:spacing w:after="0" w:line="118" w:lineRule="exact"/>
        <w:rPr>
          <w:rFonts w:ascii="Arial" w:cs="Arial" w:eastAsia="Arial" w:hAnsi="Arial"/>
          <w:sz w:val="18"/>
          <w:szCs w:val="18"/>
          <w:color w:val="auto"/>
        </w:rPr>
      </w:pPr>
    </w:p>
    <w:p>
      <w:pPr>
        <w:ind w:firstLine="656"/>
        <w:spacing w:after="0" w:line="300" w:lineRule="auto"/>
        <w:tabs>
          <w:tab w:leader="none" w:pos="99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Lender Calls.</w:t>
      </w:r>
      <w:r>
        <w:rPr>
          <w:rFonts w:ascii="Arial" w:cs="Arial" w:eastAsia="Arial" w:hAnsi="Arial"/>
          <w:sz w:val="18"/>
          <w:szCs w:val="18"/>
          <w:color w:val="auto"/>
        </w:rPr>
        <w:t xml:space="preserve"> The Borrower shall, at its own expense, facilitate and hold calls between Evercore and members of the Borrower’s executive management team and/or their advisors not less than once every week and shall permit any Lender to attend such calls.</w:t>
      </w:r>
    </w:p>
    <w:p>
      <w:pPr>
        <w:spacing w:after="0" w:line="90" w:lineRule="exact"/>
        <w:rPr>
          <w:rFonts w:ascii="Arial" w:cs="Arial" w:eastAsia="Arial" w:hAnsi="Arial"/>
          <w:sz w:val="18"/>
          <w:szCs w:val="18"/>
          <w:color w:val="auto"/>
        </w:rPr>
      </w:pPr>
    </w:p>
    <w:p>
      <w:pPr>
        <w:jc w:val="both"/>
        <w:ind w:firstLine="656"/>
        <w:spacing w:after="0" w:line="242" w:lineRule="auto"/>
        <w:tabs>
          <w:tab w:leader="none" w:pos="107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Default Rate and Continuation of Borrowings</w:t>
      </w:r>
      <w:r>
        <w:rPr>
          <w:rFonts w:ascii="Arial" w:cs="Arial" w:eastAsia="Arial" w:hAnsi="Arial"/>
          <w:sz w:val="19"/>
          <w:szCs w:val="19"/>
          <w:color w:val="auto"/>
        </w:rPr>
        <w:t>. On and after the date hereof and for so long as the Acknowledged Events of Default shall be continuing under the Credit Agreement, the Loans and the interest payable thereon shall accrue interest in the manner set forth in Sections 2.9(a) and (b) of the Credit Agreement, as applicable, and, solely during the Forbearance Period, notwithstanding Section 2.9(c) of the Credit Agreement, not at the Default Rate. In addition, pursuant to Section 2.7(b) of the Credit Agreement, on and after the date of any Default or Event of Default, the Majority Lenders hereby elect that (i) no outstanding Dollar Borrowing may be converted into, or continued as, a LIBOR Loan and (ii) each LIBOR Loan shall be converted to an ABR Loan at the end of the Interest Period applicable thereto. This Section 9 shall serve as notice to the Borrower from the Administrative Agent of the determination by the Majority Lenders to make such election pursuant to Section 2.7(b) of the Credit Agreement.</w:t>
      </w:r>
    </w:p>
    <w:p>
      <w:pPr>
        <w:spacing w:after="0" w:line="141" w:lineRule="exact"/>
        <w:rPr>
          <w:rFonts w:ascii="Arial" w:cs="Arial" w:eastAsia="Arial" w:hAnsi="Arial"/>
          <w:sz w:val="19"/>
          <w:szCs w:val="19"/>
          <w:color w:val="auto"/>
        </w:rPr>
      </w:pPr>
    </w:p>
    <w:p>
      <w:pPr>
        <w:jc w:val="both"/>
        <w:ind w:firstLine="656"/>
        <w:spacing w:after="0" w:line="231" w:lineRule="auto"/>
        <w:tabs>
          <w:tab w:leader="none" w:pos="1093"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More Favorable Terms</w:t>
      </w:r>
      <w:r>
        <w:rPr>
          <w:rFonts w:ascii="Arial" w:cs="Arial" w:eastAsia="Arial" w:hAnsi="Arial"/>
          <w:sz w:val="20"/>
          <w:szCs w:val="20"/>
          <w:color w:val="auto"/>
        </w:rPr>
        <w:t>. To the extent that any other forbearance, standstill or other similar agreement entered into by any Credit Party (any such agreement, a “</w:t>
      </w:r>
      <w:r>
        <w:rPr>
          <w:rFonts w:ascii="Arial" w:cs="Arial" w:eastAsia="Arial" w:hAnsi="Arial"/>
          <w:sz w:val="20"/>
          <w:szCs w:val="20"/>
          <w:b w:val="1"/>
          <w:bCs w:val="1"/>
          <w:color w:val="auto"/>
        </w:rPr>
        <w:t>Third Party Forbearance Agreement</w:t>
      </w:r>
      <w:r>
        <w:rPr>
          <w:rFonts w:ascii="Arial" w:cs="Arial" w:eastAsia="Arial" w:hAnsi="Arial"/>
          <w:sz w:val="20"/>
          <w:szCs w:val="20"/>
          <w:color w:val="auto"/>
        </w:rPr>
        <w:t>”), or any amendment to any Third Party Forbearance Agreement, in each case, entered into or agreed on or after the date of this Agreement and during the Forbearance Period, provides any benefit or right (including, without limitation, the benefit of a forbearance period of shorter duration than the Forbearance Period and the payment of any fees in connection with such forbearance) to any creditor party thereto that is more favorable than the benefits and rights provided to the Administrative Agent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55" w:right="339" w:bottom="1440" w:gutter="0" w:footer="0" w:header="0"/>
        </w:sectPr>
      </w:pPr>
    </w:p>
    <w:bookmarkStart w:id="42" w:name="page43"/>
    <w:bookmarkEnd w:id="42"/>
    <w:p>
      <w:pPr>
        <w:jc w:val="both"/>
        <w:spacing w:after="0" w:line="234" w:lineRule="auto"/>
        <w:rPr>
          <w:sz w:val="20"/>
          <w:szCs w:val="20"/>
          <w:color w:val="auto"/>
        </w:rPr>
      </w:pPr>
      <w:r>
        <w:rPr>
          <w:rFonts w:ascii="Arial" w:cs="Arial" w:eastAsia="Arial" w:hAnsi="Arial"/>
          <w:sz w:val="20"/>
          <w:szCs w:val="20"/>
          <w:color w:val="auto"/>
        </w:rPr>
        <w:t>the Forbearing Lenders under this Agreement, taking into account the terms and conditions of the underlying debt financing documents in effect with such creditor party, this Agreement shall be deemed to be amended so as to cause any such benefit or right to be incorporated into this Agreement concurrently with making any such benefit or right available, and on comparable terms as it is made available, to any such other creditor.</w:t>
      </w:r>
    </w:p>
    <w:p>
      <w:pPr>
        <w:spacing w:after="0" w:line="143" w:lineRule="exact"/>
        <w:rPr>
          <w:sz w:val="20"/>
          <w:szCs w:val="20"/>
          <w:color w:val="auto"/>
        </w:rPr>
      </w:pPr>
    </w:p>
    <w:p>
      <w:pPr>
        <w:jc w:val="both"/>
        <w:ind w:firstLine="656"/>
        <w:spacing w:after="0"/>
        <w:tabs>
          <w:tab w:leader="none" w:pos="114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8" w:lineRule="exact"/>
        <w:rPr>
          <w:rFonts w:ascii="Arial" w:cs="Arial" w:eastAsia="Arial" w:hAnsi="Arial"/>
          <w:sz w:val="19"/>
          <w:szCs w:val="19"/>
          <w:color w:val="auto"/>
        </w:rPr>
      </w:pPr>
    </w:p>
    <w:p>
      <w:pPr>
        <w:jc w:val="both"/>
        <w:ind w:firstLine="656"/>
        <w:spacing w:after="0" w:line="232" w:lineRule="auto"/>
        <w:tabs>
          <w:tab w:leader="none" w:pos="109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37" w:lineRule="exact"/>
        <w:rPr>
          <w:rFonts w:ascii="Arial" w:cs="Arial" w:eastAsia="Arial" w:hAnsi="Arial"/>
          <w:sz w:val="20"/>
          <w:szCs w:val="20"/>
          <w:color w:val="auto"/>
        </w:rPr>
      </w:pPr>
    </w:p>
    <w:p>
      <w:pPr>
        <w:jc w:val="both"/>
        <w:ind w:firstLine="656"/>
        <w:spacing w:after="0" w:line="258" w:lineRule="auto"/>
        <w:tabs>
          <w:tab w:leader="none" w:pos="1161"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4" w:lineRule="exact"/>
        <w:rPr>
          <w:rFonts w:ascii="Arial" w:cs="Arial" w:eastAsia="Arial" w:hAnsi="Arial"/>
          <w:sz w:val="19"/>
          <w:szCs w:val="19"/>
          <w:color w:val="auto"/>
        </w:rPr>
      </w:pPr>
    </w:p>
    <w:p>
      <w:pPr>
        <w:jc w:val="both"/>
        <w:ind w:firstLine="656"/>
        <w:spacing w:after="0" w:line="234" w:lineRule="auto"/>
        <w:tabs>
          <w:tab w:leader="none" w:pos="112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42" w:lineRule="exact"/>
        <w:rPr>
          <w:rFonts w:ascii="Arial" w:cs="Arial" w:eastAsia="Arial" w:hAnsi="Arial"/>
          <w:sz w:val="20"/>
          <w:szCs w:val="20"/>
          <w:color w:val="auto"/>
        </w:rPr>
      </w:pPr>
    </w:p>
    <w:p>
      <w:pPr>
        <w:ind w:firstLine="656"/>
        <w:spacing w:after="0" w:line="246" w:lineRule="auto"/>
        <w:tabs>
          <w:tab w:leader="none" w:pos="1255"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60"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55" w:right="339" w:bottom="1440" w:gutter="0" w:footer="0" w:header="0"/>
        </w:sectPr>
      </w:pPr>
    </w:p>
    <w:bookmarkStart w:id="43" w:name="page44"/>
    <w:bookmarkEnd w:id="43"/>
    <w:p>
      <w:pPr>
        <w:jc w:val="both"/>
        <w:spacing w:after="0" w:line="237" w:lineRule="auto"/>
        <w:rPr>
          <w:sz w:val="20"/>
          <w:szCs w:val="20"/>
          <w:color w:val="auto"/>
        </w:rPr>
      </w:pPr>
      <w:r>
        <w:rPr>
          <w:rFonts w:ascii="Arial" w:cs="Arial" w:eastAsia="Arial" w:hAnsi="Arial"/>
          <w:sz w:val="20"/>
          <w:szCs w:val="20"/>
          <w:color w:val="auto"/>
        </w:rPr>
        <w:t>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42" w:lineRule="exact"/>
        <w:rPr>
          <w:sz w:val="20"/>
          <w:szCs w:val="20"/>
          <w:color w:val="auto"/>
        </w:rPr>
      </w:pPr>
    </w:p>
    <w:p>
      <w:pPr>
        <w:jc w:val="both"/>
        <w:ind w:firstLine="656"/>
        <w:spacing w:after="0" w:line="267"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21 hereof, the Released Parties, shall have any rights hereunder or be entitled to rely on this Agreement and all third-party beneficiary rights (other than the rights of the Released Parties under Section 21 hereof) are hereby expressly disclaimed.</w:t>
      </w:r>
    </w:p>
    <w:p>
      <w:pPr>
        <w:spacing w:after="0" w:line="118" w:lineRule="exact"/>
        <w:rPr>
          <w:rFonts w:ascii="Arial" w:cs="Arial" w:eastAsia="Arial" w:hAnsi="Arial"/>
          <w:sz w:val="18"/>
          <w:szCs w:val="18"/>
          <w:color w:val="auto"/>
        </w:rPr>
      </w:pPr>
    </w:p>
    <w:p>
      <w:pPr>
        <w:jc w:val="both"/>
        <w:ind w:firstLine="656"/>
        <w:spacing w:after="0" w:line="263" w:lineRule="auto"/>
        <w:tabs>
          <w:tab w:leader="none" w:pos="128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21" w:lineRule="exact"/>
        <w:rPr>
          <w:rFonts w:ascii="Arial" w:cs="Arial" w:eastAsia="Arial" w:hAnsi="Arial"/>
          <w:sz w:val="18"/>
          <w:szCs w:val="18"/>
          <w:color w:val="auto"/>
        </w:rPr>
      </w:pPr>
    </w:p>
    <w:p>
      <w:pPr>
        <w:ind w:firstLine="656"/>
        <w:spacing w:after="0" w:line="246" w:lineRule="auto"/>
        <w:tabs>
          <w:tab w:leader="none" w:pos="1147"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Further Assurances</w:t>
      </w:r>
      <w:r>
        <w:rPr>
          <w:rFonts w:ascii="Arial" w:cs="Arial" w:eastAsia="Arial" w:hAnsi="Arial"/>
          <w:sz w:val="20"/>
          <w:szCs w:val="20"/>
          <w:color w:val="auto"/>
        </w:rPr>
        <w:t>. Each of the Credit Parties hereby agrees to execute and deliver from time to time such other documents and take such other actions as may be reasonably requested in order to effectuate the terms hereof.</w:t>
      </w:r>
    </w:p>
    <w:p>
      <w:pPr>
        <w:spacing w:after="0" w:line="136" w:lineRule="exact"/>
        <w:rPr>
          <w:rFonts w:ascii="Arial" w:cs="Arial" w:eastAsia="Arial" w:hAnsi="Arial"/>
          <w:sz w:val="20"/>
          <w:szCs w:val="20"/>
          <w:color w:val="auto"/>
        </w:rPr>
      </w:pPr>
    </w:p>
    <w:p>
      <w:pPr>
        <w:jc w:val="both"/>
        <w:ind w:firstLine="656"/>
        <w:spacing w:after="0" w:line="253" w:lineRule="auto"/>
        <w:tabs>
          <w:tab w:leader="none" w:pos="110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Reaffirmation</w:t>
      </w:r>
      <w:r>
        <w:rPr>
          <w:rFonts w:ascii="Arial" w:cs="Arial" w:eastAsia="Arial" w:hAnsi="Arial"/>
          <w:sz w:val="18"/>
          <w:szCs w:val="18"/>
          <w:color w:val="auto"/>
        </w:rPr>
        <w:t>. By its signature set forth below, each Credit Party hereby ratifies and confirms to the Administrative Agent and the Lenders that, after giving effect to this Agreement and the transactions contemplated hereby, each of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Collateral Documents to secure the Obligations and agrees that such security interests and Liens remain in full force and effect and are hereby ratified, reaffirmed and confirmed in all respects.</w:t>
      </w:r>
    </w:p>
    <w:p>
      <w:pPr>
        <w:spacing w:after="0" w:line="138" w:lineRule="exact"/>
        <w:rPr>
          <w:rFonts w:ascii="Arial" w:cs="Arial" w:eastAsia="Arial" w:hAnsi="Arial"/>
          <w:sz w:val="18"/>
          <w:szCs w:val="18"/>
          <w:color w:val="auto"/>
        </w:rPr>
      </w:pPr>
    </w:p>
    <w:p>
      <w:pPr>
        <w:jc w:val="both"/>
        <w:ind w:firstLine="656"/>
        <w:spacing w:after="0" w:line="237" w:lineRule="auto"/>
        <w:tabs>
          <w:tab w:leader="none" w:pos="1161"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Releases</w:t>
      </w:r>
      <w:r>
        <w:rPr>
          <w:rFonts w:ascii="Arial" w:cs="Arial" w:eastAsia="Arial" w:hAnsi="Arial"/>
          <w:sz w:val="20"/>
          <w:szCs w:val="20"/>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55"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8"/>
          <w:szCs w:val="18"/>
          <w:color w:val="auto"/>
        </w:rPr>
        <w:t>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Forbearance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21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21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55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[Signature Page to Forbearance Agreement (1.25L)]</w:t>
      </w:r>
    </w:p>
    <w:p>
      <w:pPr>
        <w:sectPr>
          <w:pgSz w:w="11900" w:h="16838" w:orient="portrait"/>
          <w:cols w:equalWidth="0" w:num="1">
            <w:col w:w="9479"/>
          </w:cols>
          <w:pgMar w:left="980" w:top="339" w:right="1440" w:bottom="1440" w:gutter="0" w:footer="0" w:header="0"/>
          <w:type w:val="continuous"/>
        </w:sectPr>
      </w:pPr>
    </w:p>
    <w:bookmarkStart w:id="46" w:name="page47"/>
    <w:bookmarkEnd w:id="46"/>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Forbearance Agreement (1.25L)]</w:t>
      </w:r>
    </w:p>
    <w:p>
      <w:pPr>
        <w:sectPr>
          <w:pgSz w:w="11900" w:h="16838" w:orient="portrait"/>
          <w:cols w:equalWidth="0" w:num="1">
            <w:col w:w="9019"/>
          </w:cols>
          <w:pgMar w:left="1440" w:top="495" w:right="1440" w:bottom="1440" w:gutter="0" w:footer="0" w:header="0"/>
        </w:sectPr>
      </w:pPr>
    </w:p>
    <w:bookmarkStart w:id="47" w:name="page48"/>
    <w:bookmarkEnd w:id="47"/>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[Signature Page to Forbearance Agreement (1.25L)]</w:t>
      </w:r>
    </w:p>
    <w:p>
      <w:pPr>
        <w:sectPr>
          <w:pgSz w:w="11900" w:h="16838" w:orient="portrait"/>
          <w:cols w:equalWidth="0" w:num="1">
            <w:col w:w="9560"/>
          </w:cols>
          <w:pgMar w:left="1440" w:top="495" w:right="899" w:bottom="1440" w:gutter="0" w:footer="0" w:header="0"/>
        </w:sectPr>
      </w:pPr>
    </w:p>
    <w:bookmarkStart w:id="48" w:name="page49"/>
    <w:bookmarkEnd w:id="48"/>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Forbearance Agreement (1.25L)]</w:t>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lowerLetter"/>
      <w:start w:val="4"/>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lvl w:ilvl="1">
      <w:lvlJc w:val="left"/>
      <w:lvlText w:val="(%2)"/>
      <w:numFmt w:val="lowerLetter"/>
      <w:start w:val="1"/>
    </w:lvl>
  </w:abstractNum>
  <w:abstractNum w:abstractNumId="4">
    <w:nsid w:val="2D1D5A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
    <w:nsid w:val="6763845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6">
    <w:nsid w:val="75A2A8D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
    <w:nsid w:val="8EDBDAB"/>
    <w:multiLevelType w:val="hybridMultilevel"/>
    <w:lvl w:ilvl="0">
      <w:lvlJc w:val="left"/>
      <w:lvlText w:val="(%1)"/>
      <w:numFmt w:val="lowerLetter"/>
      <w:start w:val="2"/>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decimal"/>
      <w:start w:val="3"/>
    </w:lvl>
  </w:abstractNum>
  <w:abstractNum w:abstractNumId="10">
    <w:nsid w:val="B03E0C6"/>
    <w:multiLevelType w:val="hybridMultilevel"/>
    <w:lvl w:ilvl="0">
      <w:lvlJc w:val="left"/>
      <w:lvlText w:val="%1."/>
      <w:numFmt w:val="decimal"/>
      <w:start w:val="4"/>
    </w:lvl>
    <w:lvl w:ilvl="1">
      <w:lvlJc w:val="left"/>
      <w:lvlText w:val="(%2)"/>
      <w:numFmt w:val="lowerLetter"/>
      <w:start w:val="1"/>
    </w:lvl>
  </w:abstractNum>
  <w:abstractNum w:abstractNumId="11">
    <w:nsid w:val="189A769B"/>
    <w:multiLevelType w:val="hybridMultilevel"/>
    <w:lvl w:ilvl="0">
      <w:lvlJc w:val="left"/>
      <w:lvlText w:val="%1"/>
      <w:numFmt w:val="decimal"/>
      <w:start w:val="1"/>
    </w:lvl>
    <w:lvl w:ilvl="1">
      <w:lvlJc w:val="left"/>
      <w:lvlText w:val="(%2)"/>
      <w:numFmt w:val="lowerLetter"/>
      <w:start w:val="2"/>
    </w:lvl>
  </w:abstractNum>
  <w:abstractNum w:abstractNumId="12">
    <w:nsid w:val="54E49EB4"/>
    <w:multiLevelType w:val="hybridMultilevel"/>
    <w:lvl w:ilvl="0">
      <w:lvlJc w:val="left"/>
      <w:lvlText w:val="%1."/>
      <w:numFmt w:val="decimal"/>
      <w:start w:val="8"/>
    </w:lvl>
    <w:lvl w:ilvl="1">
      <w:lvlJc w:val="left"/>
      <w:lvlText w:val="%2"/>
      <w:numFmt w:val="lowerLetter"/>
      <w:start w:val="1"/>
    </w:lvl>
  </w:abstractNum>
  <w:abstractNum w:abstractNumId="13">
    <w:nsid w:val="71F32454"/>
    <w:multiLevelType w:val="hybridMultilevel"/>
    <w:lvl w:ilvl="0">
      <w:lvlJc w:val="left"/>
      <w:lvlText w:val="%1."/>
      <w:numFmt w:val="decimal"/>
      <w:start w:val="11"/>
    </w:lvl>
  </w:abstractNum>
  <w:abstractNum w:abstractNumId="14">
    <w:nsid w:val="2CA88611"/>
    <w:multiLevelType w:val="hybridMultilevel"/>
    <w:lvl w:ilvl="0">
      <w:lvlJc w:val="left"/>
      <w:lvlText w:val="%1."/>
      <w:numFmt w:val="decimal"/>
      <w:start w:val="17"/>
    </w:lvl>
  </w:abstractNum>
  <w:abstractNum w:abstractNumId="15">
    <w:nsid w:val="836C40E"/>
    <w:multiLevelType w:val="hybridMultilevel"/>
    <w:lvl w:ilvl="0">
      <w:lvlJc w:val="left"/>
      <w:lvlText w:val="%1."/>
      <w:numFmt w:val="decimal"/>
      <w:start w:val="21"/>
    </w:lvl>
  </w:abstractNum>
  <w:abstractNum w:abstractNumId="16">
    <w:nsid w:val="2901D82"/>
    <w:multiLevelType w:val="hybridMultilevel"/>
    <w:lvl w:ilvl="0">
      <w:lvlJc w:val="left"/>
      <w:lvlText w:val="%1."/>
      <w:numFmt w:val="decimal"/>
      <w:start w:val="1"/>
    </w:lvl>
    <w:lvl w:ilvl="1">
      <w:lvlJc w:val="left"/>
      <w:lvlText w:val="(%2)"/>
      <w:numFmt w:val="lowerLetter"/>
      <w:start w:val="1"/>
    </w:lvl>
  </w:abstractNum>
  <w:abstractNum w:abstractNumId="17">
    <w:nsid w:val="3A95F874"/>
    <w:multiLevelType w:val="hybridMultilevel"/>
    <w:lvl w:ilvl="0">
      <w:lvlJc w:val="left"/>
      <w:lvlText w:val="%1"/>
      <w:numFmt w:val="decimal"/>
      <w:start w:val="1"/>
    </w:lvl>
    <w:lvl w:ilvl="1">
      <w:lvlJc w:val="left"/>
      <w:lvlText w:val="(%2)"/>
      <w:numFmt w:val="lowerLetter"/>
      <w:start w:val="3"/>
    </w:lvl>
  </w:abstractNum>
  <w:abstractNum w:abstractNumId="18">
    <w:nsid w:val="8138641"/>
    <w:multiLevelType w:val="hybridMultilevel"/>
    <w:lvl w:ilvl="0">
      <w:lvlJc w:val="left"/>
      <w:lvlText w:val="%1."/>
      <w:numFmt w:val="decimal"/>
      <w:start w:val="2"/>
    </w:lvl>
    <w:lvl w:ilvl="1">
      <w:lvlJc w:val="left"/>
      <w:lvlText w:val="(%2)"/>
      <w:numFmt w:val="lowerLetter"/>
      <w:start w:val="1"/>
    </w:lvl>
  </w:abstractNum>
  <w:abstractNum w:abstractNumId="19">
    <w:nsid w:val="1E7FF521"/>
    <w:multiLevelType w:val="hybridMultilevel"/>
    <w:lvl w:ilvl="0">
      <w:lvlJc w:val="left"/>
      <w:lvlText w:val="(%1)"/>
      <w:numFmt w:val="lowerLetter"/>
      <w:start w:val="3"/>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decimal"/>
      <w:start w:val="3"/>
    </w:lvl>
  </w:abstractNum>
  <w:abstractNum w:abstractNumId="22">
    <w:nsid w:val="6CEAF087"/>
    <w:multiLevelType w:val="hybridMultilevel"/>
    <w:lvl w:ilvl="0">
      <w:lvlJc w:val="left"/>
      <w:lvlText w:val="%1."/>
      <w:numFmt w:val="decimal"/>
      <w:start w:val="4"/>
    </w:lvl>
  </w:abstractNum>
  <w:abstractNum w:abstractNumId="23">
    <w:nsid w:val="22221A70"/>
    <w:multiLevelType w:val="hybridMultilevel"/>
    <w:lvl w:ilvl="0">
      <w:lvlJc w:val="left"/>
      <w:lvlText w:val="%1."/>
      <w:numFmt w:val="decimal"/>
      <w:start w:val="5"/>
    </w:lvl>
    <w:lvl w:ilvl="1">
      <w:lvlJc w:val="left"/>
      <w:lvlText w:val="(%2)"/>
      <w:numFmt w:val="lowerLetter"/>
      <w:start w:val="1"/>
    </w:lvl>
  </w:abstractNum>
  <w:abstractNum w:abstractNumId="24">
    <w:nsid w:val="4516DDE9"/>
    <w:multiLevelType w:val="hybridMultilevel"/>
    <w:lvl w:ilvl="0">
      <w:lvlJc w:val="left"/>
      <w:lvlText w:val="%1"/>
      <w:numFmt w:val="decimal"/>
      <w:start w:val="1"/>
    </w:lvl>
    <w:lvl w:ilvl="1">
      <w:lvlJc w:val="left"/>
      <w:lvlText w:val="(%2)"/>
      <w:numFmt w:val="lowerLetter"/>
      <w:start w:val="2"/>
    </w:lvl>
  </w:abstractNum>
  <w:abstractNum w:abstractNumId="25">
    <w:nsid w:val="3006C83E"/>
    <w:multiLevelType w:val="hybridMultilevel"/>
    <w:lvl w:ilvl="0">
      <w:lvlJc w:val="left"/>
      <w:lvlText w:val="%1."/>
      <w:numFmt w:val="decimal"/>
      <w:start w:val="8"/>
    </w:lvl>
    <w:lvl w:ilvl="1">
      <w:lvlJc w:val="left"/>
      <w:lvlText w:val="%2"/>
      <w:numFmt w:val="lowerLetter"/>
      <w:start w:val="1"/>
    </w:lvl>
  </w:abstractNum>
  <w:abstractNum w:abstractNumId="26">
    <w:nsid w:val="614FD4A1"/>
    <w:multiLevelType w:val="hybridMultilevel"/>
    <w:lvl w:ilvl="0">
      <w:lvlJc w:val="left"/>
      <w:lvlText w:val="%1."/>
      <w:numFmt w:val="decimal"/>
      <w:start w:val="10"/>
    </w:lvl>
  </w:abstractNum>
  <w:abstractNum w:abstractNumId="27">
    <w:nsid w:val="419AC241"/>
    <w:multiLevelType w:val="hybridMultilevel"/>
    <w:lvl w:ilvl="0">
      <w:lvlJc w:val="left"/>
      <w:lvlText w:val="%1."/>
      <w:numFmt w:val="decimal"/>
      <w:start w:val="16"/>
    </w:lvl>
  </w:abstractNum>
  <w:abstractNum w:abstractNumId="28">
    <w:nsid w:val="5577F8E1"/>
    <w:multiLevelType w:val="hybridMultilevel"/>
    <w:lvl w:ilvl="0">
      <w:lvlJc w:val="left"/>
      <w:lvlText w:val="%1."/>
      <w:numFmt w:val="decimal"/>
      <w:start w:val="21"/>
    </w:lvl>
  </w:abstractNum>
  <w:abstractNum w:abstractNumId="29">
    <w:nsid w:val="440BADFC"/>
    <w:multiLevelType w:val="hybridMultilevel"/>
    <w:lvl w:ilvl="0">
      <w:lvlJc w:val="left"/>
      <w:lvlText w:val="%1."/>
      <w:numFmt w:val="decimal"/>
      <w:start w:val="1"/>
    </w:lvl>
    <w:lvl w:ilvl="1">
      <w:lvlJc w:val="left"/>
      <w:lvlText w:val="(%2)"/>
      <w:numFmt w:val="lowerLetter"/>
      <w:start w:val="1"/>
    </w:lvl>
  </w:abstractNum>
  <w:abstractNum w:abstractNumId="30">
    <w:nsid w:val="5072367"/>
    <w:multiLevelType w:val="hybridMultilevel"/>
    <w:lvl w:ilvl="0">
      <w:lvlJc w:val="left"/>
      <w:lvlText w:val="%1"/>
      <w:numFmt w:val="decimal"/>
      <w:start w:val="1"/>
    </w:lvl>
    <w:lvl w:ilvl="1">
      <w:lvlJc w:val="left"/>
      <w:lvlText w:val="(%2)"/>
      <w:numFmt w:val="lowerLetter"/>
      <w:start w:val="3"/>
    </w:lvl>
  </w:abstractNum>
  <w:abstractNum w:abstractNumId="31">
    <w:nsid w:val="3804823E"/>
    <w:multiLevelType w:val="hybridMultilevel"/>
    <w:lvl w:ilvl="0">
      <w:lvlJc w:val="left"/>
      <w:lvlText w:val="%1."/>
      <w:numFmt w:val="decimal"/>
      <w:start w:val="2"/>
    </w:lvl>
    <w:lvl w:ilvl="1">
      <w:lvlJc w:val="left"/>
      <w:lvlText w:val="(%2)"/>
      <w:numFmt w:val="lowerLetter"/>
      <w:start w:val="1"/>
    </w:lvl>
  </w:abstractNum>
  <w:abstractNum w:abstractNumId="32">
    <w:nsid w:val="77465F01"/>
    <w:multiLevelType w:val="hybridMultilevel"/>
    <w:lvl w:ilvl="0">
      <w:lvlJc w:val="left"/>
      <w:lvlText w:val="(%1)"/>
      <w:numFmt w:val="lowerLetter"/>
      <w:start w:val="4"/>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3"/>
    </w:lvl>
  </w:abstractNum>
  <w:abstractNum w:abstractNumId="35">
    <w:nsid w:val="2463B9EA"/>
    <w:multiLevelType w:val="hybridMultilevel"/>
    <w:lvl w:ilvl="0">
      <w:lvlJc w:val="left"/>
      <w:lvlText w:val="%1."/>
      <w:numFmt w:val="decimal"/>
      <w:start w:val="4"/>
    </w:lvl>
  </w:abstractNum>
  <w:abstractNum w:abstractNumId="36">
    <w:nsid w:val="5E884ADC"/>
    <w:multiLevelType w:val="hybridMultilevel"/>
    <w:lvl w:ilvl="0">
      <w:lvlJc w:val="left"/>
      <w:lvlText w:val="%1."/>
      <w:numFmt w:val="decimal"/>
      <w:start w:val="6"/>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3"/>
    </w:lvl>
  </w:abstractNum>
  <w:abstractNum w:abstractNumId="38">
    <w:nsid w:val="2D517796"/>
    <w:multiLevelType w:val="hybridMultilevel"/>
    <w:lvl w:ilvl="0">
      <w:lvlJc w:val="left"/>
      <w:lvlText w:val="%1."/>
      <w:numFmt w:val="decimal"/>
      <w:start w:val="8"/>
    </w:lvl>
    <w:lvl w:ilvl="1">
      <w:lvlJc w:val="left"/>
      <w:lvlText w:val="%2"/>
      <w:numFmt w:val="lowerLetter"/>
      <w:start w:val="1"/>
    </w:lvl>
  </w:abstractNum>
  <w:abstractNum w:abstractNumId="39">
    <w:nsid w:val="580BD78F"/>
    <w:multiLevelType w:val="hybridMultilevel"/>
    <w:lvl w:ilvl="0">
      <w:lvlJc w:val="left"/>
      <w:lvlText w:val="%1."/>
      <w:numFmt w:val="decimal"/>
      <w:start w:val="11"/>
    </w:lvl>
  </w:abstractNum>
  <w:abstractNum w:abstractNumId="40">
    <w:nsid w:val="153EA438"/>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2020-06-08T07:15:44Z</dcterms:created>
  <dcterms:modified xsi:type="dcterms:W3CDTF">2020-06-08T07:15:44Z</dcterms:modified>
</cp:coreProperties>
</file>