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551815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760"/>
        <w:spacing w:after="0"/>
        <w:rPr>
          <w:sz w:val="20"/>
          <w:szCs w:val="20"/>
          <w:color w:val="auto"/>
        </w:rPr>
      </w:pPr>
      <w:r>
        <w:rPr>
          <w:rFonts w:ascii="Arial" w:cs="Arial" w:eastAsia="Arial" w:hAnsi="Arial"/>
          <w:sz w:val="18"/>
          <w:szCs w:val="18"/>
          <w:color w:val="auto"/>
        </w:rPr>
        <w:t>_____________________</w:t>
      </w:r>
    </w:p>
    <w:p>
      <w:pPr>
        <w:spacing w:after="0" w:line="15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 8-K</w:t>
      </w:r>
    </w:p>
    <w:p>
      <w:pPr>
        <w:spacing w:after="0" w:line="27" w:lineRule="exact"/>
        <w:rPr>
          <w:sz w:val="24"/>
          <w:szCs w:val="24"/>
          <w:color w:val="auto"/>
        </w:rPr>
      </w:pPr>
    </w:p>
    <w:p>
      <w:pPr>
        <w:ind w:left="4760"/>
        <w:spacing w:after="0"/>
        <w:rPr>
          <w:sz w:val="20"/>
          <w:szCs w:val="20"/>
          <w:color w:val="auto"/>
        </w:rPr>
      </w:pPr>
      <w:r>
        <w:rPr>
          <w:rFonts w:ascii="Arial" w:cs="Arial" w:eastAsia="Arial" w:hAnsi="Arial"/>
          <w:sz w:val="18"/>
          <w:szCs w:val="18"/>
          <w:color w:val="auto"/>
        </w:rPr>
        <w:t>_____________________</w:t>
      </w:r>
    </w:p>
    <w:p>
      <w:pPr>
        <w:spacing w:after="0" w:line="153" w:lineRule="exact"/>
        <w:rPr>
          <w:sz w:val="24"/>
          <w:szCs w:val="24"/>
          <w:color w:val="auto"/>
        </w:rPr>
      </w:pPr>
    </w:p>
    <w:p>
      <w:pPr>
        <w:ind w:left="4880"/>
        <w:spacing w:after="0"/>
        <w:rPr>
          <w:sz w:val="20"/>
          <w:szCs w:val="20"/>
          <w:color w:val="auto"/>
        </w:rPr>
      </w:pPr>
      <w:r>
        <w:rPr>
          <w:rFonts w:ascii="Arial" w:cs="Arial" w:eastAsia="Arial" w:hAnsi="Arial"/>
          <w:sz w:val="18"/>
          <w:szCs w:val="18"/>
          <w:b w:val="1"/>
          <w:bCs w:val="1"/>
          <w:color w:val="auto"/>
        </w:rPr>
        <w:t>CURRENT REPORT</w:t>
      </w:r>
    </w:p>
    <w:p>
      <w:pPr>
        <w:spacing w:after="0" w:line="171"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EXCHANGE ACT OF 1934</w:t>
      </w:r>
    </w:p>
    <w:p>
      <w:pPr>
        <w:spacing w:after="0" w:line="153"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Date of report (Date of earliest event reported): August 1, 2019</w:t>
      </w:r>
    </w:p>
    <w:p>
      <w:pPr>
        <w:spacing w:after="0" w:line="198" w:lineRule="exact"/>
        <w:rPr>
          <w:sz w:val="24"/>
          <w:szCs w:val="24"/>
          <w:color w:val="auto"/>
        </w:rPr>
      </w:pPr>
    </w:p>
    <w:p>
      <w:pPr>
        <w:ind w:left="4760"/>
        <w:spacing w:after="0"/>
        <w:rPr>
          <w:sz w:val="20"/>
          <w:szCs w:val="20"/>
          <w:color w:val="auto"/>
        </w:rPr>
      </w:pPr>
      <w:r>
        <w:rPr>
          <w:rFonts w:ascii="Arial" w:cs="Arial" w:eastAsia="Arial" w:hAnsi="Arial"/>
          <w:sz w:val="18"/>
          <w:szCs w:val="18"/>
          <w:color w:val="auto"/>
        </w:rPr>
        <w:t>_____________________</w:t>
      </w:r>
    </w:p>
    <w:p>
      <w:pPr>
        <w:spacing w:after="0" w:line="27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California Resources Corporation</w:t>
      </w:r>
    </w:p>
    <w:p>
      <w:pPr>
        <w:spacing w:after="0" w:line="6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Charter)</w:t>
      </w:r>
    </w:p>
    <w:p>
      <w:pPr>
        <w:spacing w:after="0" w:line="63" w:lineRule="exact"/>
        <w:rPr>
          <w:sz w:val="24"/>
          <w:szCs w:val="24"/>
          <w:color w:val="auto"/>
        </w:rPr>
      </w:pPr>
    </w:p>
    <w:p>
      <w:pPr>
        <w:ind w:left="4780"/>
        <w:spacing w:after="0"/>
        <w:rPr>
          <w:sz w:val="20"/>
          <w:szCs w:val="20"/>
          <w:color w:val="auto"/>
        </w:rPr>
      </w:pPr>
      <w:r>
        <w:rPr>
          <w:rFonts w:ascii="Arial" w:cs="Arial" w:eastAsia="Arial" w:hAnsi="Arial"/>
          <w:sz w:val="18"/>
          <w:szCs w:val="18"/>
          <w:color w:val="auto"/>
        </w:rPr>
        <w:t>_____________________</w:t>
      </w:r>
    </w:p>
    <w:p>
      <w:pPr>
        <w:sectPr>
          <w:pgSz w:w="11900" w:h="16838" w:orient="portrait"/>
          <w:cols w:equalWidth="0" w:num="1">
            <w:col w:w="11300"/>
          </w:cols>
          <w:pgMar w:left="240" w:top="1404" w:right="359" w:bottom="1440" w:gutter="0" w:footer="0" w:header="0"/>
        </w:sectPr>
      </w:pPr>
    </w:p>
    <w:p>
      <w:pPr>
        <w:spacing w:after="0" w:line="383"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63" w:lineRule="exact"/>
        <w:rPr>
          <w:sz w:val="24"/>
          <w:szCs w:val="24"/>
          <w:color w:val="auto"/>
        </w:rPr>
      </w:pPr>
    </w:p>
    <w:p>
      <w:pPr>
        <w:jc w:val="center"/>
        <w:ind w:right="2260"/>
        <w:spacing w:after="0"/>
        <w:rPr>
          <w:sz w:val="20"/>
          <w:szCs w:val="20"/>
          <w:color w:val="auto"/>
        </w:rPr>
      </w:pPr>
      <w:r>
        <w:rPr>
          <w:rFonts w:ascii="Arial" w:cs="Arial" w:eastAsia="Arial" w:hAnsi="Arial"/>
          <w:sz w:val="16"/>
          <w:szCs w:val="16"/>
          <w:b w:val="1"/>
          <w:bCs w:val="1"/>
          <w:color w:val="auto"/>
        </w:rPr>
        <w:t>001-36478</w:t>
      </w:r>
    </w:p>
    <w:p>
      <w:pPr>
        <w:spacing w:after="0" w:line="20" w:lineRule="exact"/>
        <w:rPr>
          <w:sz w:val="24"/>
          <w:szCs w:val="24"/>
          <w:color w:val="auto"/>
        </w:rPr>
      </w:pPr>
      <w:r>
        <w:rPr>
          <w:sz w:val="24"/>
          <w:szCs w:val="24"/>
          <w:color w:val="auto"/>
        </w:rPr>
        <w:br w:type="column"/>
      </w: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46-5670947</w:t>
      </w:r>
    </w:p>
    <w:p>
      <w:pPr>
        <w:spacing w:after="0" w:line="90" w:lineRule="exact"/>
        <w:rPr>
          <w:sz w:val="24"/>
          <w:szCs w:val="24"/>
          <w:color w:val="auto"/>
        </w:rPr>
      </w:pPr>
    </w:p>
    <w:p>
      <w:pPr>
        <w:sectPr>
          <w:pgSz w:w="11900" w:h="16838" w:orient="portrait"/>
          <w:cols w:equalWidth="0" w:num="3">
            <w:col w:w="4620" w:space="720"/>
            <w:col w:w="3040" w:space="720"/>
            <w:col w:w="2200"/>
          </w:cols>
          <w:pgMar w:left="240" w:top="1404" w:right="359" w:bottom="1440" w:gutter="0" w:footer="0" w:header="0"/>
          <w:type w:val="continuous"/>
        </w:sectPr>
      </w:pPr>
    </w:p>
    <w:p>
      <w:pPr>
        <w:jc w:val="center"/>
        <w:ind w:right="740"/>
        <w:spacing w:after="0"/>
        <w:rPr>
          <w:sz w:val="20"/>
          <w:szCs w:val="20"/>
          <w:color w:val="auto"/>
        </w:rPr>
      </w:pPr>
      <w:r>
        <w:rPr>
          <w:rFonts w:ascii="Arial" w:cs="Arial" w:eastAsia="Arial" w:hAnsi="Arial"/>
          <w:sz w:val="16"/>
          <w:szCs w:val="16"/>
          <w:color w:val="auto"/>
        </w:rPr>
        <w:t>(State or Other Jurisdiction of</w:t>
      </w:r>
    </w:p>
    <w:p>
      <w:pPr>
        <w:spacing w:after="0" w:line="46" w:lineRule="exact"/>
        <w:rPr>
          <w:sz w:val="24"/>
          <w:szCs w:val="24"/>
          <w:color w:val="auto"/>
        </w:rPr>
      </w:pPr>
    </w:p>
    <w:p>
      <w:pPr>
        <w:jc w:val="center"/>
        <w:ind w:right="74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jc w:val="center"/>
        <w:ind w:right="1080"/>
        <w:spacing w:after="0"/>
        <w:rPr>
          <w:sz w:val="20"/>
          <w:szCs w:val="20"/>
          <w:color w:val="auto"/>
        </w:rPr>
      </w:pPr>
      <w:r>
        <w:rPr>
          <w:rFonts w:ascii="Arial" w:cs="Arial" w:eastAsia="Arial" w:hAnsi="Arial"/>
          <w:sz w:val="18"/>
          <w:szCs w:val="18"/>
          <w:color w:val="auto"/>
        </w:rPr>
        <w:t>(IRS Employer</w:t>
      </w:r>
    </w:p>
    <w:p>
      <w:pPr>
        <w:spacing w:after="0" w:line="23" w:lineRule="exact"/>
        <w:rPr>
          <w:sz w:val="24"/>
          <w:szCs w:val="24"/>
          <w:color w:val="auto"/>
        </w:rPr>
      </w:pPr>
    </w:p>
    <w:p>
      <w:pPr>
        <w:jc w:val="center"/>
        <w:ind w:right="108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20" w:space="720"/>
            <w:col w:w="2420"/>
          </w:cols>
          <w:pgMar w:left="240" w:top="1404" w:right="359" w:bottom="1440" w:gutter="0" w:footer="0" w:header="0"/>
          <w:type w:val="continuous"/>
        </w:sectPr>
      </w:pPr>
    </w:p>
    <w:p>
      <w:pPr>
        <w:spacing w:after="0" w:line="169" w:lineRule="exact"/>
        <w:rPr>
          <w:sz w:val="24"/>
          <w:szCs w:val="24"/>
          <w:color w:val="auto"/>
        </w:rPr>
      </w:pPr>
    </w:p>
    <w:p>
      <w:pPr>
        <w:jc w:val="center"/>
        <w:ind w:right="1880"/>
        <w:spacing w:after="0"/>
        <w:rPr>
          <w:sz w:val="20"/>
          <w:szCs w:val="20"/>
          <w:color w:val="auto"/>
        </w:rPr>
      </w:pPr>
      <w:r>
        <w:rPr>
          <w:rFonts w:ascii="Arial" w:cs="Arial" w:eastAsia="Arial" w:hAnsi="Arial"/>
          <w:sz w:val="16"/>
          <w:szCs w:val="16"/>
          <w:b w:val="1"/>
          <w:bCs w:val="1"/>
          <w:color w:val="auto"/>
        </w:rPr>
        <w:t>27200 Tourney Road, Suite 315</w:t>
      </w:r>
    </w:p>
    <w:p>
      <w:pPr>
        <w:spacing w:after="0" w:line="50"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Santa Clarita, California</w:t>
      </w:r>
    </w:p>
    <w:p>
      <w:pPr>
        <w:spacing w:after="0" w:line="20" w:lineRule="exact"/>
        <w:rPr>
          <w:sz w:val="24"/>
          <w:szCs w:val="24"/>
          <w:color w:val="auto"/>
        </w:rPr>
      </w:pPr>
      <w:r>
        <w:rPr>
          <w:sz w:val="24"/>
          <w:szCs w:val="24"/>
          <w:color w:val="auto"/>
        </w:rPr>
        <w:br w:type="column"/>
      </w:r>
    </w:p>
    <w:p>
      <w:pPr>
        <w:spacing w:after="0" w:line="36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91355</w:t>
      </w:r>
    </w:p>
    <w:p>
      <w:pPr>
        <w:spacing w:after="0" w:line="90" w:lineRule="exact"/>
        <w:rPr>
          <w:sz w:val="24"/>
          <w:szCs w:val="24"/>
          <w:color w:val="auto"/>
        </w:rPr>
      </w:pPr>
    </w:p>
    <w:p>
      <w:pPr>
        <w:sectPr>
          <w:pgSz w:w="11900" w:h="16838" w:orient="portrait"/>
          <w:cols w:equalWidth="0" w:num="2">
            <w:col w:w="7620" w:space="720"/>
            <w:col w:w="2960"/>
          </w:cols>
          <w:pgMar w:left="240" w:top="1404" w:right="359" w:bottom="1440" w:gutter="0" w:footer="0" w:header="0"/>
          <w:type w:val="continuous"/>
        </w:sectPr>
      </w:pPr>
    </w:p>
    <w:p>
      <w:pPr>
        <w:ind w:left="14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460" w:space="720"/>
            <w:col w:w="3120"/>
          </w:cols>
          <w:pgMar w:left="240" w:top="1404" w:right="359" w:bottom="1440" w:gutter="0" w:footer="0" w:header="0"/>
          <w:type w:val="continuous"/>
        </w:sectPr>
      </w:pPr>
    </w:p>
    <w:p>
      <w:pPr>
        <w:spacing w:after="0" w:line="17"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(888) 848-4754</w:t>
      </w:r>
    </w:p>
    <w:p>
      <w:pPr>
        <w:spacing w:after="0" w:line="171" w:lineRule="exact"/>
        <w:rPr>
          <w:sz w:val="24"/>
          <w:szCs w:val="24"/>
          <w:color w:val="auto"/>
        </w:rPr>
      </w:pPr>
    </w:p>
    <w:p>
      <w:pPr>
        <w:ind w:left="556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9" w:lineRule="exact"/>
        <w:rPr>
          <w:sz w:val="24"/>
          <w:szCs w:val="24"/>
          <w:color w:val="auto"/>
        </w:rPr>
      </w:pPr>
    </w:p>
    <w:p>
      <w:pPr>
        <w:ind w:left="4760"/>
        <w:spacing w:after="0"/>
        <w:rPr>
          <w:sz w:val="20"/>
          <w:szCs w:val="20"/>
          <w:color w:val="auto"/>
        </w:rPr>
      </w:pPr>
      <w:r>
        <w:rPr>
          <w:rFonts w:ascii="Arial" w:cs="Arial" w:eastAsia="Arial" w:hAnsi="Arial"/>
          <w:sz w:val="18"/>
          <w:szCs w:val="18"/>
          <w:color w:val="auto"/>
        </w:rPr>
        <w:t>_____________________</w:t>
      </w:r>
    </w:p>
    <w:p>
      <w:pPr>
        <w:spacing w:after="0" w:line="15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16"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171"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1404" w:right="359" w:bottom="1440" w:gutter="0" w:footer="0" w:header="0"/>
          <w:type w:val="continuous"/>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7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On August 1, 2019, California Resources Corporation (the “Company”) issued a press release announcing its financial condition and results of operations for the three months ended June 30, 2019. A copy of the press release is furnished as Exhibit 99.1 to this report on Form 8-K, and is incorporated herein by reference.</w:t>
      </w:r>
    </w:p>
    <w:p>
      <w:pPr>
        <w:spacing w:after="0" w:line="127" w:lineRule="exact"/>
        <w:rPr>
          <w:sz w:val="20"/>
          <w:szCs w:val="20"/>
          <w:color w:val="auto"/>
        </w:rPr>
      </w:pPr>
    </w:p>
    <w:p>
      <w:pPr>
        <w:ind w:right="420" w:firstLine="648"/>
        <w:spacing w:after="0" w:line="312" w:lineRule="auto"/>
        <w:rPr>
          <w:sz w:val="20"/>
          <w:szCs w:val="20"/>
          <w:color w:val="auto"/>
        </w:rPr>
      </w:pPr>
      <w:r>
        <w:rPr>
          <w:rFonts w:ascii="Arial" w:cs="Arial" w:eastAsia="Arial" w:hAnsi="Arial"/>
          <w:sz w:val="16"/>
          <w:szCs w:val="16"/>
          <w:color w:val="auto"/>
        </w:rPr>
        <w:t>The information contained in this report and the exhibit hereto shall not be deemed to be “filed” for purposes of Section 18 of the Securities Exchange Act of 1934, as amended, (the “Exchange Act”), and shall not be incorporated by reference into any filings made by the Company under the Securities Act of 1933, as amended (the “Securities Act”), or the Exchange Act, except as may be expressly set forth by specific reference in such filing.</w:t>
      </w:r>
    </w:p>
    <w:p>
      <w:pPr>
        <w:spacing w:after="0" w:line="93"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Statements contained in this exhibit to this report that state the Company’s or its management’s expectations or predictions of the future are forward-looking statements intended to be covered by the safe harbor provisions of the Securities Act and the Exchange Act. It is important to note that the Company’s actual results could differ materially from those projected in such forward-looking statements. Factors that could affect these results include those mentioned in the documents that the Company has filed with the Securities and Exchange Commission (the “SEC”).</w:t>
      </w:r>
    </w:p>
    <w:p>
      <w:pPr>
        <w:spacing w:after="0" w:line="117" w:lineRule="exact"/>
        <w:rPr>
          <w:sz w:val="20"/>
          <w:szCs w:val="20"/>
          <w:color w:val="auto"/>
        </w:rPr>
      </w:pPr>
    </w:p>
    <w:p>
      <w:pPr>
        <w:jc w:val="both"/>
        <w:ind w:right="160" w:firstLine="648"/>
        <w:spacing w:after="0" w:line="312" w:lineRule="auto"/>
        <w:rPr>
          <w:sz w:val="20"/>
          <w:szCs w:val="20"/>
          <w:color w:val="auto"/>
        </w:rPr>
      </w:pPr>
      <w:r>
        <w:rPr>
          <w:rFonts w:ascii="Arial" w:cs="Arial" w:eastAsia="Arial" w:hAnsi="Arial"/>
          <w:sz w:val="16"/>
          <w:szCs w:val="16"/>
          <w:color w:val="auto"/>
        </w:rPr>
        <w:t>The Company undertakes no duty or obligation to publicly update or revise the information contained in this report, although the Company may do so from time to time as management believes is warranted. Any such updating may be made through the filing of other reports or documents with the SEC, through press releases or through other public disclosure including disclosure in the Investor Relations portion of the Company’s website.</w:t>
      </w:r>
    </w:p>
    <w:p>
      <w:pPr>
        <w:spacing w:after="0" w:line="25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 Exhibits.</w:t>
      </w:r>
    </w:p>
    <w:p>
      <w:pPr>
        <w:spacing w:after="0" w:line="262" w:lineRule="exact"/>
        <w:rPr>
          <w:sz w:val="20"/>
          <w:szCs w:val="20"/>
          <w:color w:val="auto"/>
        </w:rPr>
      </w:pPr>
    </w:p>
    <w:tbl>
      <w:tblPr>
        <w:tblLayout w:type="fixed"/>
        <w:tblInd w:w="1120" w:type="dxa"/>
        <w:tblCellMar>
          <w:top w:w="0" w:type="dxa"/>
          <w:left w:w="0" w:type="dxa"/>
          <w:bottom w:w="0" w:type="dxa"/>
          <w:right w:w="0" w:type="dxa"/>
        </w:tblCellMar>
      </w:tblPr>
      <w:tr>
        <w:trPr>
          <w:trHeight w:val="207"/>
        </w:trPr>
        <w:tc>
          <w:tcPr>
            <w:tcW w:w="2040" w:type="dxa"/>
            <w:vAlign w:val="bottom"/>
            <w:gridSpan w:val="4"/>
          </w:tcPr>
          <w:p>
            <w:pPr>
              <w:jc w:val="center"/>
              <w:ind w:right="1160"/>
              <w:spacing w:after="0"/>
              <w:rPr>
                <w:sz w:val="20"/>
                <w:szCs w:val="20"/>
                <w:color w:val="auto"/>
              </w:rPr>
            </w:pPr>
            <w:r>
              <w:rPr>
                <w:rFonts w:ascii="Arial" w:cs="Arial" w:eastAsia="Arial" w:hAnsi="Arial"/>
                <w:sz w:val="18"/>
                <w:szCs w:val="18"/>
                <w:b w:val="1"/>
                <w:bCs w:val="1"/>
                <w:color w:val="auto"/>
                <w:w w:val="93"/>
              </w:rPr>
              <w:t>Exhibit No.</w:t>
            </w:r>
          </w:p>
        </w:tc>
        <w:tc>
          <w:tcPr>
            <w:tcW w:w="256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50"/>
        </w:trPr>
        <w:tc>
          <w:tcPr>
            <w:tcW w:w="600" w:type="dxa"/>
            <w:vAlign w:val="bottom"/>
            <w:gridSpan w:val="2"/>
          </w:tcPr>
          <w:p>
            <w:pPr>
              <w:jc w:val="center"/>
              <w:spacing w:after="0"/>
              <w:rPr>
                <w:rFonts w:ascii="Arial" w:cs="Arial" w:eastAsia="Arial" w:hAnsi="Arial"/>
                <w:sz w:val="18"/>
                <w:szCs w:val="18"/>
                <w:color w:val="0000FF"/>
              </w:rPr>
            </w:pPr>
            <w:hyperlink w:anchor="page4">
              <w:r>
                <w:rPr>
                  <w:rFonts w:ascii="Arial" w:cs="Arial" w:eastAsia="Arial" w:hAnsi="Arial"/>
                  <w:sz w:val="18"/>
                  <w:szCs w:val="18"/>
                  <w:color w:val="0000FF"/>
                </w:rPr>
                <w:t>99.</w:t>
              </w:r>
              <w:r>
                <w:rPr>
                  <w:rFonts w:ascii="Arial" w:cs="Arial" w:eastAsia="Arial" w:hAnsi="Arial"/>
                  <w:sz w:val="18"/>
                  <w:szCs w:val="18"/>
                  <w:u w:val="single" w:color="auto"/>
                  <w:color w:val="0000FF"/>
                </w:rPr>
                <w:t>1</w:t>
              </w:r>
            </w:hyperlink>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560" w:type="dxa"/>
            <w:vAlign w:val="bottom"/>
            <w:gridSpan w:val="2"/>
          </w:tcPr>
          <w:p>
            <w:pPr>
              <w:spacing w:after="0"/>
              <w:rPr>
                <w:rFonts w:ascii="Arial" w:cs="Arial" w:eastAsia="Arial" w:hAnsi="Arial"/>
                <w:sz w:val="18"/>
                <w:szCs w:val="18"/>
                <w:color w:val="0000FF"/>
                <w:w w:val="86"/>
              </w:rPr>
            </w:pPr>
            <w:hyperlink w:anchor="page4">
              <w:r>
                <w:rPr>
                  <w:rFonts w:ascii="Arial" w:cs="Arial" w:eastAsia="Arial" w:hAnsi="Arial"/>
                  <w:sz w:val="18"/>
                  <w:szCs w:val="18"/>
                  <w:color w:val="0000FF"/>
                  <w:w w:val="86"/>
                </w:rPr>
                <w:t>Press Release dated August 1, 2019</w:t>
              </w:r>
            </w:hyperlink>
          </w:p>
        </w:tc>
      </w:tr>
      <w:tr>
        <w:trPr>
          <w:trHeight w:val="20"/>
        </w:trPr>
        <w:tc>
          <w:tcPr>
            <w:tcW w:w="3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r>
    </w:tbl>
    <w:p>
      <w:pPr>
        <w:sectPr>
          <w:pgSz w:w="11900" w:h="16838" w:orient="portrait"/>
          <w:cols w:equalWidth="0" w:num="1">
            <w:col w:w="11420"/>
          </w:cols>
          <w:pgMar w:left="240" w:top="580" w:right="23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/s/ Roy Pineci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31750</wp:posOffset>
            </wp:positionV>
            <wp:extent cx="42024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02430" cy="8890"/>
                    </a:xfrm>
                    <a:prstGeom prst="rect">
                      <a:avLst/>
                    </a:prstGeom>
                    <a:noFill/>
                  </pic:spPr>
                </pic:pic>
              </a:graphicData>
            </a:graphic>
          </wp:anchor>
        </w:drawing>
      </w:r>
    </w:p>
    <w:p>
      <w:pPr>
        <w:sectPr>
          <w:pgSz w:w="11900" w:h="16838" w:orient="portrait"/>
          <w:cols w:equalWidth="0" w:num="1">
            <w:col w:w="10940"/>
          </w:cols>
          <w:pgMar w:left="240" w:top="580" w:right="719" w:bottom="1440" w:gutter="0" w:footer="0" w:header="0"/>
        </w:sectPr>
      </w:pPr>
    </w:p>
    <w:p>
      <w:pPr>
        <w:spacing w:after="0" w:line="77" w:lineRule="exact"/>
        <w:rPr>
          <w:sz w:val="20"/>
          <w:szCs w:val="20"/>
          <w:color w:val="auto"/>
        </w:rPr>
      </w:pPr>
    </w:p>
    <w:p>
      <w:pPr>
        <w:ind w:left="482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Roy Pineci</w:t>
      </w:r>
    </w:p>
    <w:p>
      <w:pPr>
        <w:spacing w:after="0" w:line="86" w:lineRule="exact"/>
        <w:rPr>
          <w:sz w:val="20"/>
          <w:szCs w:val="20"/>
          <w:color w:val="auto"/>
        </w:rPr>
      </w:pPr>
    </w:p>
    <w:p>
      <w:pPr>
        <w:sectPr>
          <w:pgSz w:w="11900" w:h="16838" w:orient="portrait"/>
          <w:cols w:equalWidth="0" w:num="2">
            <w:col w:w="5300" w:space="560"/>
            <w:col w:w="5080"/>
          </w:cols>
          <w:pgMar w:left="240" w:top="580" w:right="719" w:bottom="1440" w:gutter="0" w:footer="0" w:header="0"/>
          <w:type w:val="continuous"/>
        </w:sectPr>
      </w:pPr>
    </w:p>
    <w:p>
      <w:pPr>
        <w:ind w:left="48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Executive Vice President, Finance</w:t>
      </w:r>
    </w:p>
    <w:p>
      <w:pPr>
        <w:spacing w:after="0" w:line="222" w:lineRule="exact"/>
        <w:rPr>
          <w:sz w:val="20"/>
          <w:szCs w:val="20"/>
          <w:color w:val="auto"/>
        </w:rPr>
      </w:pPr>
    </w:p>
    <w:p>
      <w:pPr>
        <w:sectPr>
          <w:pgSz w:w="11900" w:h="16838" w:orient="portrait"/>
          <w:cols w:equalWidth="0" w:num="2">
            <w:col w:w="5220" w:space="640"/>
            <w:col w:w="5080"/>
          </w:cols>
          <w:pgMar w:left="240" w:top="580" w:right="7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color w:val="auto"/>
        </w:rPr>
        <w:t>DATED: August 1, 2019</w:t>
      </w:r>
    </w:p>
    <w:p>
      <w:pPr>
        <w:sectPr>
          <w:pgSz w:w="11900" w:h="16838" w:orient="portrait"/>
          <w:cols w:equalWidth="0" w:num="1">
            <w:col w:w="10940"/>
          </w:cols>
          <w:pgMar w:left="240" w:top="580" w:right="719" w:bottom="1440" w:gutter="0" w:footer="0" w:header="0"/>
          <w:type w:val="continuous"/>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5380355</wp:posOffset>
            </wp:positionH>
            <wp:positionV relativeFrom="page">
              <wp:posOffset>791845</wp:posOffset>
            </wp:positionV>
            <wp:extent cx="2023745" cy="5657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023745" cy="56578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99.1</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NEWS RELEASE</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California Resources Corporation Announces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Second Quarter 2019 Results</w:t>
      </w:r>
    </w:p>
    <w:p>
      <w:pPr>
        <w:spacing w:after="0" w:line="200" w:lineRule="exact"/>
        <w:rPr>
          <w:sz w:val="20"/>
          <w:szCs w:val="20"/>
          <w:color w:val="auto"/>
        </w:rPr>
      </w:pPr>
    </w:p>
    <w:p>
      <w:pPr>
        <w:spacing w:after="0" w:line="225" w:lineRule="exact"/>
        <w:rPr>
          <w:sz w:val="20"/>
          <w:szCs w:val="20"/>
          <w:color w:val="auto"/>
        </w:rPr>
      </w:pPr>
    </w:p>
    <w:p>
      <w:pPr>
        <w:jc w:val="both"/>
        <w:ind w:firstLine="324"/>
        <w:spacing w:after="0" w:line="228" w:lineRule="auto"/>
        <w:rPr>
          <w:sz w:val="20"/>
          <w:szCs w:val="20"/>
          <w:color w:val="auto"/>
        </w:rPr>
      </w:pPr>
      <w:r>
        <w:rPr>
          <w:rFonts w:ascii="Arial" w:cs="Arial" w:eastAsia="Arial" w:hAnsi="Arial"/>
          <w:sz w:val="22"/>
          <w:szCs w:val="22"/>
          <w:color w:val="auto"/>
        </w:rPr>
        <w:t>LOS ANGELES, August 1, 2019 - California Resources Corporation (NYSE: CRC), an independent California-based oil and gas exploration and production company, today reported net income attributable to common stock of $12 million, or $0.24 per diluted share, for the second quarter of 2019. Adjusted net loss</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was $14 million, or $0.29 per diluted share. Operational and financial highlights for the second quarter of 2019 were as follows:</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Highlights</w:t>
      </w:r>
    </w:p>
    <w:p>
      <w:pPr>
        <w:spacing w:after="0" w:line="27" w:lineRule="exact"/>
        <w:rPr>
          <w:sz w:val="20"/>
          <w:szCs w:val="20"/>
          <w:color w:val="auto"/>
        </w:rPr>
      </w:pPr>
    </w:p>
    <w:p>
      <w:pPr>
        <w:ind w:left="340" w:right="300" w:hanging="264"/>
        <w:spacing w:after="0" w:line="215" w:lineRule="auto"/>
        <w:tabs>
          <w:tab w:leader="none" w:pos="340" w:val="left"/>
        </w:tabs>
        <w:numPr>
          <w:ilvl w:val="0"/>
          <w:numId w:val="2"/>
        </w:numPr>
        <w:rPr>
          <w:rFonts w:ascii="Arial" w:cs="Arial" w:eastAsia="Arial" w:hAnsi="Arial"/>
          <w:sz w:val="22"/>
          <w:szCs w:val="22"/>
          <w:color w:val="auto"/>
        </w:rPr>
      </w:pPr>
      <w:r>
        <w:rPr>
          <w:rFonts w:ascii="Arial" w:cs="Arial" w:eastAsia="Arial" w:hAnsi="Arial"/>
          <w:sz w:val="22"/>
          <w:szCs w:val="22"/>
          <w:color w:val="auto"/>
        </w:rPr>
        <w:t>Reported adjusted EBITDAX</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of $255 million; adjusted EBITDAX margin</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of 39%; net cash provided by operating activities of $114 million</w:t>
      </w:r>
    </w:p>
    <w:p>
      <w:pPr>
        <w:ind w:left="340" w:right="40" w:hanging="264"/>
        <w:spacing w:after="0" w:line="243" w:lineRule="auto"/>
        <w:tabs>
          <w:tab w:leader="none" w:pos="340" w:val="left"/>
        </w:tabs>
        <w:numPr>
          <w:ilvl w:val="0"/>
          <w:numId w:val="2"/>
        </w:numPr>
        <w:rPr>
          <w:rFonts w:ascii="Arial" w:cs="Arial" w:eastAsia="Arial" w:hAnsi="Arial"/>
          <w:sz w:val="22"/>
          <w:szCs w:val="22"/>
          <w:color w:val="auto"/>
        </w:rPr>
      </w:pPr>
      <w:r>
        <w:rPr>
          <w:rFonts w:ascii="Arial" w:cs="Arial" w:eastAsia="Arial" w:hAnsi="Arial"/>
          <w:sz w:val="22"/>
          <w:szCs w:val="22"/>
          <w:color w:val="auto"/>
        </w:rPr>
        <w:t>Second quarter 2019 average daily production of 129,000 barrels of oil equivalent (BOE) per day, and oil production of 79,000 barrels per day</w:t>
      </w:r>
    </w:p>
    <w:p>
      <w:pPr>
        <w:ind w:left="340" w:hanging="264"/>
        <w:spacing w:after="0"/>
        <w:tabs>
          <w:tab w:leader="none" w:pos="340" w:val="left"/>
        </w:tabs>
        <w:numPr>
          <w:ilvl w:val="0"/>
          <w:numId w:val="2"/>
        </w:numPr>
        <w:rPr>
          <w:rFonts w:ascii="Arial" w:cs="Arial" w:eastAsia="Arial" w:hAnsi="Arial"/>
          <w:sz w:val="22"/>
          <w:szCs w:val="22"/>
          <w:color w:val="auto"/>
        </w:rPr>
      </w:pPr>
      <w:r>
        <w:rPr>
          <w:rFonts w:ascii="Arial" w:cs="Arial" w:eastAsia="Arial" w:hAnsi="Arial"/>
          <w:sz w:val="22"/>
          <w:szCs w:val="22"/>
          <w:color w:val="auto"/>
        </w:rPr>
        <w:t>CRC invested $124 million of internally funded capital and $140 million including JV capital</w:t>
      </w:r>
    </w:p>
    <w:p>
      <w:pPr>
        <w:spacing w:after="0" w:line="3" w:lineRule="exact"/>
        <w:rPr>
          <w:rFonts w:ascii="Arial" w:cs="Arial" w:eastAsia="Arial" w:hAnsi="Arial"/>
          <w:sz w:val="22"/>
          <w:szCs w:val="22"/>
          <w:color w:val="auto"/>
        </w:rPr>
      </w:pPr>
    </w:p>
    <w:p>
      <w:pPr>
        <w:ind w:left="340" w:hanging="264"/>
        <w:spacing w:after="0"/>
        <w:tabs>
          <w:tab w:leader="none" w:pos="340" w:val="left"/>
        </w:tabs>
        <w:numPr>
          <w:ilvl w:val="0"/>
          <w:numId w:val="2"/>
        </w:numPr>
        <w:rPr>
          <w:rFonts w:ascii="Arial" w:cs="Arial" w:eastAsia="Arial" w:hAnsi="Arial"/>
          <w:sz w:val="22"/>
          <w:szCs w:val="22"/>
          <w:color w:val="auto"/>
        </w:rPr>
      </w:pPr>
      <w:r>
        <w:rPr>
          <w:rFonts w:ascii="Arial" w:cs="Arial" w:eastAsia="Arial" w:hAnsi="Arial"/>
          <w:sz w:val="22"/>
          <w:szCs w:val="22"/>
          <w:color w:val="auto"/>
        </w:rPr>
        <w:t>Drilled 33 wells in the San Joaquin basin and 6 wells in the Los Angeles basin including JV wells</w:t>
      </w:r>
    </w:p>
    <w:p>
      <w:pPr>
        <w:spacing w:after="0" w:line="3" w:lineRule="exact"/>
        <w:rPr>
          <w:rFonts w:ascii="Arial" w:cs="Arial" w:eastAsia="Arial" w:hAnsi="Arial"/>
          <w:sz w:val="22"/>
          <w:szCs w:val="22"/>
          <w:color w:val="auto"/>
        </w:rPr>
      </w:pPr>
    </w:p>
    <w:p>
      <w:pPr>
        <w:ind w:left="340" w:right="320" w:hanging="264"/>
        <w:spacing w:after="0" w:line="249" w:lineRule="auto"/>
        <w:tabs>
          <w:tab w:leader="none" w:pos="340" w:val="left"/>
        </w:tabs>
        <w:numPr>
          <w:ilvl w:val="0"/>
          <w:numId w:val="2"/>
        </w:numPr>
        <w:rPr>
          <w:rFonts w:ascii="Arial" w:cs="Arial" w:eastAsia="Arial" w:hAnsi="Arial"/>
          <w:sz w:val="22"/>
          <w:szCs w:val="22"/>
          <w:color w:val="auto"/>
        </w:rPr>
      </w:pPr>
      <w:r>
        <w:rPr>
          <w:rFonts w:ascii="Arial" w:cs="Arial" w:eastAsia="Arial" w:hAnsi="Arial"/>
          <w:sz w:val="22"/>
          <w:szCs w:val="22"/>
          <w:color w:val="auto"/>
        </w:rPr>
        <w:t>Entered into a joint venture with subsidiaries of Colony Capital, Inc. to invest up to $500 million to further develop our flagship Elk Hills field, with an initial commitment of $320 million</w:t>
      </w:r>
    </w:p>
    <w:p>
      <w:pPr>
        <w:spacing w:after="0" w:line="245" w:lineRule="exact"/>
        <w:rPr>
          <w:sz w:val="20"/>
          <w:szCs w:val="20"/>
          <w:color w:val="auto"/>
        </w:rPr>
      </w:pPr>
    </w:p>
    <w:p>
      <w:pPr>
        <w:ind w:firstLine="324"/>
        <w:spacing w:after="0" w:line="244" w:lineRule="auto"/>
        <w:rPr>
          <w:sz w:val="20"/>
          <w:szCs w:val="20"/>
          <w:color w:val="auto"/>
        </w:rPr>
      </w:pPr>
      <w:r>
        <w:rPr>
          <w:rFonts w:ascii="Arial" w:cs="Arial" w:eastAsia="Arial" w:hAnsi="Arial"/>
          <w:sz w:val="22"/>
          <w:szCs w:val="22"/>
          <w:color w:val="auto"/>
        </w:rPr>
        <w:t>Todd Stevens, CRC's President and Chief Executive Officer, said, "Our portfolio of quality assets continues to attract outside capital seeking reliable returns. Our three largest development joint ventures potentially provide for over $1 billion from our partners to drill our broad project inventory. We remain disciplined in utilizing our internal VCI metric to dynamically allocate our capital to maximize value in our portfolio. Strengthening our balance sheet remains a top focus and we're continuing to target 10 to 15 percent of our discretionary cash flow towards balance sheet strengthening. We continue to pursue other transactions that will enhance these efforts. Our capital plan calls for CRC's investments to be modestly lower in the second half of the year, while JV capital will increase with our new partner's investment. This will result in a slight increase in production through the end of the year."</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Second Quarter 2019 Results</w:t>
      </w:r>
    </w:p>
    <w:p>
      <w:pPr>
        <w:spacing w:after="0" w:line="30" w:lineRule="exact"/>
        <w:rPr>
          <w:sz w:val="20"/>
          <w:szCs w:val="20"/>
          <w:color w:val="auto"/>
        </w:rPr>
      </w:pPr>
    </w:p>
    <w:p>
      <w:pPr>
        <w:jc w:val="both"/>
        <w:ind w:firstLine="324"/>
        <w:spacing w:after="0" w:line="219" w:lineRule="auto"/>
        <w:rPr>
          <w:sz w:val="20"/>
          <w:szCs w:val="20"/>
          <w:color w:val="auto"/>
        </w:rPr>
      </w:pPr>
      <w:r>
        <w:rPr>
          <w:rFonts w:ascii="Arial" w:cs="Arial" w:eastAsia="Arial" w:hAnsi="Arial"/>
          <w:sz w:val="22"/>
          <w:szCs w:val="22"/>
          <w:color w:val="auto"/>
        </w:rPr>
        <w:t>For the second quarter of 2019, CRC reported net income attributable to common stock of $12 million, or $0.24 per diluted share, compared to a loss of $82 million, or $1.70 per diluted share, for the same period of 2018. Adjusted net loss</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for both the second quarter of 2019 and 2018 was $14 million, or $0.29 per diluted share. Second quarter 2019 adjusted net loss</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excluded a net gain of $20 million on debt repurchases, $4 million of non-cash derivative gains on commodity derivatives and income of $2 million, net, for unusual and infrequent items.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420"/>
          </w:cols>
          <w:pgMar w:left="240" w:top="1440" w:right="239" w:bottom="1440" w:gutter="0" w:footer="0" w:header="0"/>
        </w:sectPr>
      </w:pPr>
    </w:p>
    <w:bookmarkStart w:id="4" w:name="page5"/>
    <w:bookmarkEnd w:id="4"/>
    <w:p>
      <w:pPr>
        <w:ind w:right="160" w:firstLine="324"/>
        <w:spacing w:after="0" w:line="215" w:lineRule="auto"/>
        <w:rPr>
          <w:sz w:val="20"/>
          <w:szCs w:val="20"/>
          <w:color w:val="auto"/>
        </w:rPr>
      </w:pPr>
      <w:r>
        <w:rPr>
          <w:rFonts w:ascii="Arial" w:cs="Arial" w:eastAsia="Arial" w:hAnsi="Arial"/>
          <w:sz w:val="22"/>
          <w:szCs w:val="22"/>
          <w:color w:val="auto"/>
        </w:rPr>
        <w:t>Adjusted EBITDAX</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for the second quarter of 2019 was $255 million and cash provided by operating activities was $114 million.</w:t>
      </w:r>
    </w:p>
    <w:p>
      <w:pPr>
        <w:ind w:right="40" w:firstLine="324"/>
        <w:spacing w:after="0" w:line="243" w:lineRule="auto"/>
        <w:rPr>
          <w:sz w:val="20"/>
          <w:szCs w:val="20"/>
          <w:color w:val="auto"/>
        </w:rPr>
      </w:pPr>
      <w:r>
        <w:rPr>
          <w:rFonts w:ascii="Arial" w:cs="Arial" w:eastAsia="Arial" w:hAnsi="Arial"/>
          <w:sz w:val="22"/>
          <w:szCs w:val="22"/>
          <w:color w:val="auto"/>
        </w:rPr>
        <w:t>Total daily production volumes decreased 4% year-over-year, from 134,000 BOE per day for the second quarter of 2018 to 129,000 BOE per day for the second quarter of 2019. Total daily production for the second quarter of 2019 was lower partially due to a strategic divestiture which was completed in the second quarter of 2019. The divestiture, together with PSC effects, reduced our second quarter 2019 production by over 2,000 BOE per day. Non-recurring events including power and plant outages lowered quarterly production by 1,000 BOE per day. Oil volumes averaged 79,000 barrels per day, NGL volumes averaged 16,000 barrels per day and gas volumes averaged 203,000 thousand cubic feet (Mcf) per day.</w:t>
      </w:r>
    </w:p>
    <w:p>
      <w:pPr>
        <w:spacing w:after="0" w:line="3"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2"/>
          <w:szCs w:val="22"/>
          <w:color w:val="auto"/>
        </w:rPr>
        <w:t>Despite lower Brent index prices, our realized crude oil prices, including the effect of settled hedges, increased by $6.55 per barrel from $64.11 in the second quarter of 2018 to $70.66 per barrel in the second quarter of 2019. In the second quarter of 2019, hedge settlements increased our realized crude oil prices by $1.89 per barrel compared to a reduction of $9.08 per barrel in the prior year period. Realized NGL prices were $27.82 per barrel, down $14.31 over the prior year period as local and national markets experienced excess supply resulting from Canadian imports coupled with weaker demand. Realized natural gas prices were $2.33 per Mcf for the second quarter of 2019, $0.08 higher than the same prior year period due to stronger California demand.</w:t>
      </w:r>
    </w:p>
    <w:p>
      <w:pPr>
        <w:spacing w:after="0" w:line="3" w:lineRule="exact"/>
        <w:rPr>
          <w:sz w:val="20"/>
          <w:szCs w:val="20"/>
          <w:color w:val="auto"/>
        </w:rPr>
      </w:pPr>
    </w:p>
    <w:p>
      <w:pPr>
        <w:jc w:val="both"/>
        <w:ind w:right="20" w:firstLine="324"/>
        <w:spacing w:after="0" w:line="243" w:lineRule="auto"/>
        <w:rPr>
          <w:sz w:val="20"/>
          <w:szCs w:val="20"/>
          <w:color w:val="auto"/>
        </w:rPr>
      </w:pPr>
      <w:r>
        <w:rPr>
          <w:rFonts w:ascii="Arial" w:cs="Arial" w:eastAsia="Arial" w:hAnsi="Arial"/>
          <w:sz w:val="22"/>
          <w:szCs w:val="22"/>
          <w:color w:val="auto"/>
        </w:rPr>
        <w:t>Production costs for the second quarter of 2019 were $230 million compared to $231 million for the second quarter of 2018.</w:t>
      </w:r>
    </w:p>
    <w:p>
      <w:pPr>
        <w:spacing w:after="0" w:line="1"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2"/>
          <w:szCs w:val="22"/>
          <w:color w:val="auto"/>
        </w:rPr>
        <w:t>General and administrative (G&amp;A) expenses were $79 million for the second quarter of 2019 compared to $90 million for the same prior-year period. CRC's obligation for cash-settled stock-based compensation awards is adjusted for changes in our stock price at the end of each quarter and the related expense decreased approximately $16 million due to a lower stock price in the second quarter of 2019. This decrease was partially offset by higher overhead expenses in 2019.</w:t>
      </w:r>
    </w:p>
    <w:p>
      <w:pPr>
        <w:spacing w:after="0" w:line="2" w:lineRule="exact"/>
        <w:rPr>
          <w:sz w:val="20"/>
          <w:szCs w:val="20"/>
          <w:color w:val="auto"/>
        </w:rPr>
      </w:pPr>
    </w:p>
    <w:p>
      <w:pPr>
        <w:jc w:val="both"/>
        <w:ind w:right="20" w:firstLine="324"/>
        <w:spacing w:after="0" w:line="243" w:lineRule="auto"/>
        <w:rPr>
          <w:sz w:val="20"/>
          <w:szCs w:val="20"/>
          <w:color w:val="auto"/>
        </w:rPr>
      </w:pPr>
      <w:r>
        <w:rPr>
          <w:rFonts w:ascii="Arial" w:cs="Arial" w:eastAsia="Arial" w:hAnsi="Arial"/>
          <w:sz w:val="22"/>
          <w:szCs w:val="22"/>
          <w:color w:val="auto"/>
        </w:rPr>
        <w:t>CRC reported taxes other than on income of $36 million for the second quarter of 2019 compared to $37 million for the same prior-year period. Exploration expense was $10 million for the second quarter of 2019, $4 million higher than the same prior-year period.</w:t>
      </w:r>
    </w:p>
    <w:p>
      <w:pPr>
        <w:spacing w:after="0" w:line="1"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2"/>
          <w:szCs w:val="22"/>
          <w:color w:val="auto"/>
        </w:rPr>
        <w:t>CRC's internally funded capital investment for the second quarter of 2019 totaled $124 million, of which $89 million was directed to drilling and capital workovers. CRC's JV partner Benefit Street Partners (BSP) also invested $16 million, which is included in CRC's consolidated results.</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Six-Month Results</w:t>
      </w:r>
    </w:p>
    <w:p>
      <w:pPr>
        <w:spacing w:after="0" w:line="30" w:lineRule="exact"/>
        <w:rPr>
          <w:sz w:val="20"/>
          <w:szCs w:val="20"/>
          <w:color w:val="auto"/>
        </w:rPr>
      </w:pPr>
    </w:p>
    <w:p>
      <w:pPr>
        <w:jc w:val="both"/>
        <w:ind w:firstLine="324"/>
        <w:spacing w:after="0" w:line="225" w:lineRule="auto"/>
        <w:rPr>
          <w:sz w:val="20"/>
          <w:szCs w:val="20"/>
          <w:color w:val="auto"/>
        </w:rPr>
      </w:pPr>
      <w:r>
        <w:rPr>
          <w:rFonts w:ascii="Arial" w:cs="Arial" w:eastAsia="Arial" w:hAnsi="Arial"/>
          <w:sz w:val="22"/>
          <w:szCs w:val="22"/>
          <w:color w:val="auto"/>
        </w:rPr>
        <w:t>For the first six months of 2019, CRC net loss attributable to common stock was $55 million, or $1.13 per diluted share, compared to a loss of $84 million, or $1.81 per diluted share, for the same period of 2018. Including hedge settlements, the 2019 results reflected higher year-over-year revenue despite a lower oil price environment. Adjusted net income</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for the first six months of 2019 was $17 million, or $0.35 per diluted share, compared with an adjusted net loss </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of $6 million, or $0.13 per diluted share, for the same period of 2018. The 2019 adjusted net income</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excluded $93 million of non-cash derivative losses, a net gain of $26 million from debt repurchases and a net $5 million charge related to other unusual and infrequent items.</w:t>
      </w:r>
    </w:p>
    <w:p>
      <w:pPr>
        <w:spacing w:after="0" w:line="7"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2"/>
          <w:szCs w:val="22"/>
          <w:color w:val="auto"/>
        </w:rPr>
        <w:t>Total daily production volumes averaged 131,000 BOE per day for the first six months of 2019, compared with 129,000 BOE per day for the same period in 2018, an increase of 2 percent. The 2018 volumes reflected only one quarter of production from the Elk Hills acquisition. The 2019 volumes reflected the effect of a strategic divestiture and non-recurring events in the second quarter.</w:t>
      </w:r>
    </w:p>
    <w:p>
      <w:pPr>
        <w:spacing w:after="0" w:line="2"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2"/>
          <w:szCs w:val="22"/>
          <w:color w:val="auto"/>
        </w:rPr>
        <w:t>In the first six months of 2019, realized crude oil prices, including the effect of settled hedges, increased $4.43 per barrel to $67.90 per barrel from $63.47 per barrel for the same period in 2018. Settled hedges increased 2019 realized crude oil prices by $1.93 per barrel, compared with a</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420"/>
          </w:cols>
          <w:pgMar w:left="240" w:top="603" w:right="239" w:bottom="1440" w:gutter="0" w:footer="0" w:header="0"/>
        </w:sectPr>
      </w:pPr>
    </w:p>
    <w:bookmarkStart w:id="5" w:name="page6"/>
    <w:bookmarkEnd w:id="5"/>
    <w:p>
      <w:pPr>
        <w:jc w:val="both"/>
        <w:spacing w:after="0" w:line="243" w:lineRule="auto"/>
        <w:rPr>
          <w:sz w:val="20"/>
          <w:szCs w:val="20"/>
          <w:color w:val="auto"/>
        </w:rPr>
      </w:pPr>
      <w:r>
        <w:rPr>
          <w:rFonts w:ascii="Arial" w:cs="Arial" w:eastAsia="Arial" w:hAnsi="Arial"/>
          <w:sz w:val="22"/>
          <w:szCs w:val="22"/>
          <w:color w:val="auto"/>
        </w:rPr>
        <w:t>reduction of $6.88 per barrel for the same period in 2018. Realized NGL prices decreased 18 percent, or $7.66 per barrel to $34.97 per barrel in the first six months of 2019 from $42.63 per barrel for the same period of 2018. Realized natural gas prices increased to $2.87 per Mcf, compared with $2.51 per Mcf for the same period in 2018.</w:t>
      </w:r>
    </w:p>
    <w:p>
      <w:pPr>
        <w:spacing w:after="0" w:line="1"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2"/>
          <w:szCs w:val="22"/>
          <w:color w:val="auto"/>
        </w:rPr>
        <w:t>Production costs for the first six months of 2019 were $463 million, or $19.54 per BOE, compared to $443 million, or $19.01 per BOE, for the same period in 2018. The increase is primarily attributable to the Elk Hills transaction, higher surface operations and maintenance costs and other items, partially offset by lower downhole maintenance activity and lower costs resulting from the Lost Hills divestiture. Per unit production costs, excluding the effect of PSCs, were $17.99 and $17.44 per BOE for the first six months of 2019 and 2018, respectively.</w:t>
      </w:r>
    </w:p>
    <w:p>
      <w:pPr>
        <w:spacing w:after="0" w:line="2"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2"/>
          <w:szCs w:val="22"/>
          <w:color w:val="auto"/>
        </w:rPr>
        <w:t>G&amp;A expenses for the first six months of 2019 were $162 million and for the first six months of 2018 were $153 million, with the increase largely due to higher expenses across a number of functions, partially offset by lower equity compensation expense in the first half of 2019.</w:t>
      </w:r>
    </w:p>
    <w:p>
      <w:pPr>
        <w:spacing w:after="0" w:line="1"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2"/>
          <w:szCs w:val="22"/>
          <w:color w:val="auto"/>
        </w:rPr>
        <w:t>Taxes other than on income of $77 million for the first six months of 2019 were comparable to the same period of 2018, when taxes were $75 million. Exploration expense of $20 million for the first six months of 2019 was $6 million higher than the same period of 2018.</w:t>
      </w:r>
    </w:p>
    <w:p>
      <w:pPr>
        <w:spacing w:after="0" w:line="1"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2"/>
          <w:szCs w:val="22"/>
          <w:color w:val="auto"/>
        </w:rPr>
        <w:t>Capital investment in the first six months of 2019 totaled $228 million excluding JV capital, of which $158 million was directed to drilling and capital workovers. BSP also invested $43 million, which is included in CRC's consolidated results.</w:t>
      </w:r>
    </w:p>
    <w:p>
      <w:pPr>
        <w:spacing w:after="0" w:line="1"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22"/>
          <w:szCs w:val="22"/>
          <w:color w:val="auto"/>
        </w:rPr>
        <w:t>Cash provided by operating activities for the first six months of 2019 was $272 million and free cash flow was $44 million after taking into account capital investment that was funded by BSP.</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Operational Update</w:t>
      </w:r>
    </w:p>
    <w:p>
      <w:pPr>
        <w:spacing w:after="0" w:line="30"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2"/>
          <w:szCs w:val="22"/>
          <w:color w:val="auto"/>
        </w:rPr>
        <w:t>In the second quarter of 2019, CRC operated an average of seven drilling rigs, with two rigs focused on conventional primary production, two on waterfloods, one on steamfloods and two on unconventional production. With total invested capital, we drilled 39 development wells and no exploration wells (5 steamflood, 20 waterflood, 4 primary and 10 unconventional). Steamfloods and waterfloods have different production profiles and longer response times than typical conventional wells and, as a result, the full production contribution may not be experienced in the same period that the well is drilled. The San Joaquin basin produced 94,000 BOE per day and operated six rigs. The Los Angeles basin contributed 24,000 BOE per day of production and operated one rig directed toward waterflood projects. The Ventura and Sacramento basins, where we had no active drilling program, produced 6,000 BOE per day and 5,000 BOE per day,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2019 Capital Budget</w:t>
      </w:r>
    </w:p>
    <w:p>
      <w:pPr>
        <w:spacing w:after="0" w:line="30"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2"/>
          <w:szCs w:val="22"/>
          <w:color w:val="auto"/>
        </w:rPr>
        <w:t>CRC’s internally funded investments will be largely directed to short payout projects, such as primary drilling of both vertical and lateral wells and capital workovers, and low-risk projects including waterflood and steamflood investments that maintain base production. CRC estimates its 2019 internally funded capital program will range from $350 million to $385 million. CRC entered into a JV with subsidiaries of Colony Capital, Inc. (collectively, "Colony") in July 2019. As a result, CRC will increase its JV investment contributions to a range of $175 to $225 million for 2019. CRC anticipates a total capital program of approximately $525 to $610 million for the year.</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420"/>
          </w:cols>
          <w:pgMar w:left="240" w:top="606" w:right="2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u w:val="single" w:color="auto"/>
          <w:color w:val="auto"/>
        </w:rPr>
        <w:t>Strategic Asset Divestiture</w:t>
      </w:r>
    </w:p>
    <w:p>
      <w:pPr>
        <w:spacing w:after="0" w:line="30" w:lineRule="exact"/>
        <w:rPr>
          <w:sz w:val="20"/>
          <w:szCs w:val="20"/>
          <w:color w:val="auto"/>
        </w:rPr>
      </w:pPr>
    </w:p>
    <w:p>
      <w:pPr>
        <w:ind w:right="260" w:firstLine="324"/>
        <w:spacing w:after="0" w:line="244" w:lineRule="auto"/>
        <w:rPr>
          <w:sz w:val="20"/>
          <w:szCs w:val="20"/>
          <w:color w:val="auto"/>
        </w:rPr>
      </w:pPr>
      <w:r>
        <w:rPr>
          <w:rFonts w:ascii="Arial" w:cs="Arial" w:eastAsia="Arial" w:hAnsi="Arial"/>
          <w:sz w:val="22"/>
          <w:szCs w:val="22"/>
          <w:color w:val="auto"/>
        </w:rPr>
        <w:t>As previously disclosed, CRC sold 50% of its working interest and transferred operatorship in certain zones in our Lost Hills field in the San Joaquin Basin on May 1, 2019. The total consideration was in excess of $200 million, including approximately $168 million in cash before transaction costs and a carried 200-well development program to be drilled through 2023 with an estimated value of $35 million. The cash proceeds of $165 million, net of transaction costs and purchase price adjustments, were used to pay down the revolver. CRC also benefits from accelerated development from the drilling carry.</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Recent Joint Venture</w:t>
      </w:r>
    </w:p>
    <w:p>
      <w:pPr>
        <w:spacing w:after="0" w:line="30" w:lineRule="exact"/>
        <w:rPr>
          <w:sz w:val="20"/>
          <w:szCs w:val="20"/>
          <w:color w:val="auto"/>
        </w:rPr>
      </w:pPr>
    </w:p>
    <w:p>
      <w:pPr>
        <w:ind w:right="20" w:firstLine="324"/>
        <w:spacing w:after="0" w:line="243" w:lineRule="auto"/>
        <w:rPr>
          <w:sz w:val="20"/>
          <w:szCs w:val="20"/>
          <w:color w:val="auto"/>
        </w:rPr>
      </w:pPr>
      <w:r>
        <w:rPr>
          <w:rFonts w:ascii="Arial" w:cs="Arial" w:eastAsia="Arial" w:hAnsi="Arial"/>
          <w:sz w:val="22"/>
          <w:szCs w:val="22"/>
          <w:color w:val="auto"/>
        </w:rPr>
        <w:t>In July 2019, CRC entered into a JV with Colony, under which Colony has committed to invest $320 million for the development of portions of our flagship Elk Hills field, located in the San Joaquin basin. Colony's total investment may be increased to $500 million, subject to the mutual agreement of the parties. The initial commitment will cover multiple development opportunities in portions of the Elk Hills field and is intended to be invested over approximately three years in accordance with a development plan that has been agreed to by the parties consisting of 275 wells. Colony will fund 100% of the development wells and will earn a 90% working interest in those wells. If Colony receives an agreed upon return, CRC's working interest will increase from 10% to 82.5%.</w:t>
      </w:r>
    </w:p>
    <w:p>
      <w:pPr>
        <w:spacing w:after="0" w:line="3" w:lineRule="exact"/>
        <w:rPr>
          <w:sz w:val="20"/>
          <w:szCs w:val="20"/>
          <w:color w:val="auto"/>
        </w:rPr>
      </w:pPr>
    </w:p>
    <w:p>
      <w:pPr>
        <w:ind w:right="240" w:firstLine="324"/>
        <w:spacing w:after="0" w:line="249" w:lineRule="auto"/>
        <w:rPr>
          <w:sz w:val="20"/>
          <w:szCs w:val="20"/>
          <w:color w:val="auto"/>
        </w:rPr>
      </w:pPr>
      <w:r>
        <w:rPr>
          <w:rFonts w:ascii="Arial" w:cs="Arial" w:eastAsia="Arial" w:hAnsi="Arial"/>
          <w:sz w:val="22"/>
          <w:szCs w:val="22"/>
          <w:color w:val="auto"/>
        </w:rPr>
        <w:t>Colony also received a warrant to purchase up to 1.25 million shares of our common stock, at an exercise price of $40 per share.</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Repurchases and Balance Sheet Update</w:t>
      </w:r>
    </w:p>
    <w:p>
      <w:pPr>
        <w:spacing w:after="0" w:line="30" w:lineRule="exact"/>
        <w:rPr>
          <w:sz w:val="20"/>
          <w:szCs w:val="20"/>
          <w:color w:val="auto"/>
        </w:rPr>
      </w:pPr>
    </w:p>
    <w:p>
      <w:pPr>
        <w:ind w:right="60" w:firstLine="324"/>
        <w:spacing w:after="0" w:line="246" w:lineRule="auto"/>
        <w:rPr>
          <w:sz w:val="20"/>
          <w:szCs w:val="20"/>
          <w:color w:val="auto"/>
        </w:rPr>
      </w:pPr>
      <w:r>
        <w:rPr>
          <w:rFonts w:ascii="Arial" w:cs="Arial" w:eastAsia="Arial" w:hAnsi="Arial"/>
          <w:sz w:val="22"/>
          <w:szCs w:val="22"/>
          <w:color w:val="auto"/>
        </w:rPr>
        <w:t>During the second quarter of 2019, CRC repurchased $58 million in face value of CRC's Second Lien Notes for $45 million, bringing the aggregate face value of Second Lien Notes repurchased since issuance to approximately $260 million. Total net debt outstanding at the end of the second quarter was $5.1 billion.</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Hedging Update</w:t>
      </w:r>
    </w:p>
    <w:p>
      <w:pPr>
        <w:spacing w:after="0" w:line="30"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2"/>
          <w:szCs w:val="22"/>
          <w:color w:val="auto"/>
        </w:rPr>
        <w:t>CRC continues to execute an opportunistic hedging program to protect its cash flow, operating margins and capital program, while maintaining adequate liquidity. For the third and fourth quarters of 2019, CRC has protected the downside price risk on 40,000 and 35,000 barrels per day at approximately $73 Brent and $76 Brent, respectively. These put spreads provide full upside to oil price movements and downside protection until Brent prices drop below approximately $58 and $60 per barrel in the third and fourth quarters, respectively, at which point we receive Brent plus approximately $15 per barrel. For the first and second quarters of 2020, CRC has protected the downside risk of 25,000 and 10,000 barrels per day at approximately $72 Brent and $70 Brent, respectively. These put spreads provide downside price protection until Brent prices drop below $57 and $55 per barrel in the first and second quarters, respectively, at which point we receive Brent plus $15 per barrel. CRC also entered into a swap for 5,000 barrels per day in the second quarter of 2020 at approximately $70 Brent, which is subject to another 5,000 barrel per day at the same price at the option of the counterparties. See Attachment 8 for more details.</w:t>
      </w:r>
    </w:p>
    <w:p>
      <w:pPr>
        <w:spacing w:after="0" w:line="242" w:lineRule="exact"/>
        <w:rPr>
          <w:sz w:val="20"/>
          <w:szCs w:val="20"/>
          <w:color w:val="auto"/>
        </w:rPr>
      </w:pPr>
    </w:p>
    <w:p>
      <w:pPr>
        <w:jc w:val="both"/>
        <w:ind w:firstLine="8"/>
        <w:spacing w:after="0" w:line="233" w:lineRule="auto"/>
        <w:tabs>
          <w:tab w:leader="none" w:pos="90" w:val="left"/>
        </w:tabs>
        <w:numPr>
          <w:ilvl w:val="0"/>
          <w:numId w:val="3"/>
        </w:numPr>
        <w:rPr>
          <w:rFonts w:ascii="Arial" w:cs="Arial" w:eastAsia="Arial" w:hAnsi="Arial"/>
          <w:sz w:val="22"/>
          <w:szCs w:val="22"/>
          <w:color w:val="auto"/>
          <w:vertAlign w:val="superscript"/>
        </w:rPr>
      </w:pPr>
      <w:r>
        <w:rPr>
          <w:rFonts w:ascii="Arial" w:cs="Arial" w:eastAsia="Arial" w:hAnsi="Arial"/>
          <w:sz w:val="18"/>
          <w:szCs w:val="18"/>
          <w:color w:val="auto"/>
        </w:rPr>
        <w:t>See Attachment 3 for non-GAAP financial measures of adjusted EBITDAX, adjusted EBITDAX margin, production costs (excluding the effects of PSC-type contracts) and adjusted net income (loss), including reconciliations to their most directly comparable GAAP measure, where applicable.</w:t>
      </w: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420"/>
          </w:cols>
          <w:pgMar w:left="240" w:top="836" w:right="2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u w:val="single" w:color="auto"/>
          <w:color w:val="auto"/>
        </w:rPr>
        <w:t>Conference Call Details</w:t>
      </w:r>
    </w:p>
    <w:p>
      <w:pPr>
        <w:spacing w:after="0" w:line="4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22"/>
          <w:szCs w:val="22"/>
          <w:color w:val="auto"/>
        </w:rPr>
        <w:t xml:space="preserve">To participate in today’s conference call scheduled for 5:00 P.M. Eastern Daylight Time, either dial (877) 328-5505 (International calls please dial +1 (412) 317-5421) or access via webcast at </w:t>
      </w:r>
      <w:r>
        <w:rPr>
          <w:rFonts w:ascii="Arial" w:cs="Arial" w:eastAsia="Arial" w:hAnsi="Arial"/>
          <w:sz w:val="22"/>
          <w:szCs w:val="22"/>
          <w:color w:val="421BFF"/>
        </w:rPr>
        <w:t>www.crc.com</w:t>
      </w:r>
      <w:r>
        <w:rPr>
          <w:rFonts w:ascii="Arial" w:cs="Arial" w:eastAsia="Arial" w:hAnsi="Arial"/>
          <w:sz w:val="22"/>
          <w:szCs w:val="22"/>
          <w:color w:val="auto"/>
        </w:rPr>
        <w:t xml:space="preserve">, fifteen minutes prior to the scheduled start time to register. Participants may also pre-register for the conference call at </w:t>
      </w:r>
      <w:r>
        <w:rPr>
          <w:rFonts w:ascii="Arial" w:cs="Arial" w:eastAsia="Arial" w:hAnsi="Arial"/>
          <w:sz w:val="22"/>
          <w:szCs w:val="22"/>
          <w:color w:val="421BFF"/>
        </w:rPr>
        <w:t xml:space="preserve">http://dpregister.com/10132315. </w:t>
      </w:r>
      <w:r>
        <w:rPr>
          <w:rFonts w:ascii="Arial" w:cs="Arial" w:eastAsia="Arial" w:hAnsi="Arial"/>
          <w:sz w:val="22"/>
          <w:szCs w:val="22"/>
          <w:color w:val="000000"/>
        </w:rPr>
        <w:t>A digital replay of the conference call will be archived for approximately 30 days and</w:t>
      </w:r>
      <w:r>
        <w:rPr>
          <w:rFonts w:ascii="Arial" w:cs="Arial" w:eastAsia="Arial" w:hAnsi="Arial"/>
          <w:sz w:val="22"/>
          <w:szCs w:val="22"/>
          <w:color w:val="421BFF"/>
        </w:rPr>
        <w:t xml:space="preserve"> </w:t>
      </w:r>
      <w:r>
        <w:rPr>
          <w:rFonts w:ascii="Arial" w:cs="Arial" w:eastAsia="Arial" w:hAnsi="Arial"/>
          <w:sz w:val="22"/>
          <w:szCs w:val="22"/>
          <w:color w:val="000000"/>
        </w:rPr>
        <w:t xml:space="preserve">supplemental slides for the conference call will be available online in the Investor Relations section of </w:t>
      </w:r>
      <w:r>
        <w:rPr>
          <w:rFonts w:ascii="Arial" w:cs="Arial" w:eastAsia="Arial" w:hAnsi="Arial"/>
          <w:sz w:val="22"/>
          <w:szCs w:val="22"/>
          <w:color w:val="421BFF"/>
        </w:rPr>
        <w:t>www.crc.com.</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About California Resources Corporation</w:t>
      </w:r>
    </w:p>
    <w:p>
      <w:pPr>
        <w:spacing w:after="0" w:line="30" w:lineRule="exact"/>
        <w:rPr>
          <w:sz w:val="20"/>
          <w:szCs w:val="20"/>
          <w:color w:val="auto"/>
        </w:rPr>
      </w:pPr>
    </w:p>
    <w:p>
      <w:pPr>
        <w:jc w:val="both"/>
        <w:ind w:firstLine="324"/>
        <w:spacing w:after="0" w:line="245" w:lineRule="auto"/>
        <w:rPr>
          <w:sz w:val="20"/>
          <w:szCs w:val="20"/>
          <w:color w:val="auto"/>
        </w:rPr>
      </w:pPr>
      <w:r>
        <w:rPr>
          <w:rFonts w:ascii="Arial" w:cs="Arial" w:eastAsia="Arial" w:hAnsi="Arial"/>
          <w:sz w:val="22"/>
          <w:szCs w:val="22"/>
          <w:color w:val="auto"/>
        </w:rPr>
        <w:t>California Resources Corporation is the largest oil and natural gas exploration and production company in California on a gross-operated basis. CRC operates its world-class resource base exclusively within the State of California, applying complementary and integrated infrastructure to gather, process and market its production. Using advanced technology, California Resources Corporation focuses on safely and responsibly supplying affordable energy for California by Californians.</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Forward-Looking Statements</w:t>
      </w:r>
    </w:p>
    <w:p>
      <w:pPr>
        <w:spacing w:after="0" w:line="43" w:lineRule="exact"/>
        <w:rPr>
          <w:sz w:val="20"/>
          <w:szCs w:val="20"/>
          <w:color w:val="auto"/>
        </w:rPr>
      </w:pPr>
    </w:p>
    <w:p>
      <w:pPr>
        <w:jc w:val="both"/>
        <w:ind w:right="500" w:firstLine="324"/>
        <w:spacing w:after="0" w:line="243" w:lineRule="auto"/>
        <w:rPr>
          <w:sz w:val="20"/>
          <w:szCs w:val="20"/>
          <w:color w:val="auto"/>
        </w:rPr>
      </w:pPr>
      <w:r>
        <w:rPr>
          <w:rFonts w:ascii="Arial" w:cs="Arial" w:eastAsia="Arial" w:hAnsi="Arial"/>
          <w:sz w:val="22"/>
          <w:szCs w:val="22"/>
          <w:color w:val="auto"/>
        </w:rPr>
        <w:t>This presentation contains forward-looking statements that involve risks and uncertainties that could materially affect CRC's expected results of operations, liquidity, cash flows and business prospects. Such statements include those regarding CRC's expectations as to its future:</w:t>
      </w:r>
    </w:p>
    <w:p>
      <w:pPr>
        <w:spacing w:after="0" w:line="1" w:lineRule="exact"/>
        <w:rPr>
          <w:sz w:val="20"/>
          <w:szCs w:val="20"/>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22"/>
          <w:szCs w:val="22"/>
          <w:color w:val="auto"/>
        </w:rPr>
        <w:t>financial position, liquidity, cash flows and results of operations</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22"/>
          <w:szCs w:val="22"/>
          <w:color w:val="auto"/>
        </w:rPr>
        <w:t>business prospects</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22"/>
          <w:szCs w:val="22"/>
          <w:color w:val="auto"/>
        </w:rPr>
        <w:t>transactions and projects</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22"/>
          <w:szCs w:val="22"/>
          <w:color w:val="auto"/>
        </w:rPr>
        <w:t>operating costs</w:t>
      </w:r>
    </w:p>
    <w:p>
      <w:pPr>
        <w:spacing w:after="0" w:line="3" w:lineRule="exact"/>
        <w:rPr>
          <w:rFonts w:ascii="Arial" w:cs="Arial" w:eastAsia="Arial" w:hAnsi="Arial"/>
          <w:sz w:val="22"/>
          <w:szCs w:val="22"/>
          <w:color w:val="auto"/>
        </w:rPr>
      </w:pPr>
    </w:p>
    <w:p>
      <w:pPr>
        <w:ind w:left="660" w:right="560" w:hanging="328"/>
        <w:spacing w:after="0" w:line="243" w:lineRule="auto"/>
        <w:tabs>
          <w:tab w:leader="none" w:pos="660" w:val="left"/>
        </w:tabs>
        <w:numPr>
          <w:ilvl w:val="0"/>
          <w:numId w:val="4"/>
        </w:numPr>
        <w:rPr>
          <w:rFonts w:ascii="Arial" w:cs="Arial" w:eastAsia="Arial" w:hAnsi="Arial"/>
          <w:sz w:val="22"/>
          <w:szCs w:val="22"/>
          <w:color w:val="auto"/>
        </w:rPr>
      </w:pPr>
      <w:r>
        <w:rPr>
          <w:rFonts w:ascii="Arial" w:cs="Arial" w:eastAsia="Arial" w:hAnsi="Arial"/>
          <w:sz w:val="22"/>
          <w:szCs w:val="22"/>
          <w:color w:val="auto"/>
        </w:rPr>
        <w:t>Value Creation Index (VCI) metrics, which are based on certain estimates including future production rates, costs and commodity prices</w:t>
      </w: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22"/>
          <w:szCs w:val="22"/>
          <w:color w:val="auto"/>
        </w:rPr>
        <w:t>operations and operational results including production, hedging and capital investment</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22"/>
          <w:szCs w:val="22"/>
          <w:color w:val="auto"/>
        </w:rPr>
        <w:t>budgets and maintenance capital requirements</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22"/>
          <w:szCs w:val="22"/>
          <w:color w:val="auto"/>
        </w:rPr>
        <w:t>reserves</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22"/>
          <w:szCs w:val="22"/>
          <w:color w:val="auto"/>
        </w:rPr>
        <w:t>type curves</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22"/>
          <w:szCs w:val="22"/>
          <w:color w:val="auto"/>
        </w:rPr>
        <w:t>expected synergies from acquisitions and joint ventures</w:t>
      </w:r>
    </w:p>
    <w:p>
      <w:pPr>
        <w:spacing w:after="0" w:line="4" w:lineRule="exact"/>
        <w:rPr>
          <w:sz w:val="20"/>
          <w:szCs w:val="20"/>
          <w:color w:val="auto"/>
        </w:rPr>
      </w:pPr>
    </w:p>
    <w:p>
      <w:pPr>
        <w:ind w:right="100" w:firstLine="324"/>
        <w:spacing w:after="0" w:line="255" w:lineRule="auto"/>
        <w:rPr>
          <w:sz w:val="20"/>
          <w:szCs w:val="20"/>
          <w:color w:val="auto"/>
        </w:rPr>
      </w:pPr>
      <w:r>
        <w:rPr>
          <w:rFonts w:ascii="Arial" w:cs="Arial" w:eastAsia="Arial" w:hAnsi="Arial"/>
          <w:sz w:val="21"/>
          <w:szCs w:val="21"/>
          <w:color w:val="auto"/>
        </w:rPr>
        <w:t>Actual results may differ from anticipated results, sometimes materially, and reported results should not be considered an indication of future performance. While CRC believes assumptions or bases underlying its expectations are reasonable and makes them in good faith, they almost always vary from actual results, sometimes materially. CRC also believes third-party statements it cites are accurate, but has not independently verified them and does not warrant their accuracy or completeness. Factors (but not necessarily all the factors) that could cause results to differ include:</w:t>
      </w: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commodity price changes</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debt limitations on CRC's financial flexibility</w:t>
      </w:r>
    </w:p>
    <w:p>
      <w:pPr>
        <w:spacing w:after="0" w:line="3" w:lineRule="exact"/>
        <w:rPr>
          <w:rFonts w:ascii="Arial" w:cs="Arial" w:eastAsia="Arial" w:hAnsi="Arial"/>
          <w:sz w:val="22"/>
          <w:szCs w:val="22"/>
          <w:color w:val="auto"/>
        </w:rPr>
      </w:pPr>
    </w:p>
    <w:p>
      <w:pPr>
        <w:ind w:left="660" w:right="180" w:hanging="328"/>
        <w:spacing w:after="0" w:line="243"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insufficient cash flow to fund planned investments, debt repurchases, distributions to JV partners or changes to CRC's capital plan</w:t>
      </w: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inability to enter into desirable transactions, including acquisitions, asset sales and joint ventures</w:t>
      </w:r>
    </w:p>
    <w:p>
      <w:pPr>
        <w:spacing w:after="0" w:line="3" w:lineRule="exact"/>
        <w:rPr>
          <w:rFonts w:ascii="Arial" w:cs="Arial" w:eastAsia="Arial" w:hAnsi="Arial"/>
          <w:sz w:val="22"/>
          <w:szCs w:val="22"/>
          <w:color w:val="auto"/>
        </w:rPr>
      </w:pPr>
    </w:p>
    <w:p>
      <w:pPr>
        <w:ind w:left="660" w:right="620" w:hanging="328"/>
        <w:spacing w:after="0" w:line="249"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legislative or regulatory changes, including those related to drilling, completion, well stimulation, operation, maintenance or abandonment of wells or facilities, managing</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420"/>
          </w:cols>
          <w:pgMar w:left="240" w:top="580" w:right="239" w:bottom="1440" w:gutter="0" w:footer="0" w:header="0"/>
        </w:sectPr>
      </w:pPr>
    </w:p>
    <w:bookmarkStart w:id="8" w:name="page9"/>
    <w:bookmarkEnd w:id="8"/>
    <w:p>
      <w:pPr>
        <w:ind w:left="660" w:right="220"/>
        <w:spacing w:after="0" w:line="243" w:lineRule="auto"/>
        <w:rPr>
          <w:sz w:val="20"/>
          <w:szCs w:val="20"/>
          <w:color w:val="auto"/>
        </w:rPr>
      </w:pPr>
      <w:r>
        <w:rPr>
          <w:rFonts w:ascii="Arial" w:cs="Arial" w:eastAsia="Arial" w:hAnsi="Arial"/>
          <w:sz w:val="22"/>
          <w:szCs w:val="22"/>
          <w:color w:val="auto"/>
        </w:rPr>
        <w:t>energy, water, land, greenhouse gases or other emissions, protection of health, safety and the environment, or transportation, marketing and sale of CRC's products</w:t>
      </w:r>
    </w:p>
    <w:p>
      <w:pPr>
        <w:spacing w:after="0" w:line="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joint ventures and acquisitions and CRC's ability to achieve expected synergies</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the recoverability of resources and unexpected geologic conditions</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incorrect estimates of reserves and related future cash flows and the inability to replace reserves</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changes in business strategy</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PSC effects on production and unit production costs</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effect of stock price on costs associated with incentive compensation</w:t>
      </w:r>
    </w:p>
    <w:p>
      <w:pPr>
        <w:spacing w:after="0" w:line="3" w:lineRule="exact"/>
        <w:rPr>
          <w:rFonts w:ascii="Arial" w:cs="Arial" w:eastAsia="Arial" w:hAnsi="Arial"/>
          <w:sz w:val="22"/>
          <w:szCs w:val="22"/>
          <w:color w:val="auto"/>
        </w:rPr>
      </w:pPr>
    </w:p>
    <w:p>
      <w:pPr>
        <w:ind w:left="660" w:right="620" w:hanging="328"/>
        <w:spacing w:after="0" w:line="243" w:lineRule="auto"/>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insufficient capital, including as a result of lender restrictions, unavailability of capital markets or inability to attract potential investors</w:t>
      </w: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effects of hedging transactions</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equipment, service or labor price inflation or unavailability</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availability or timing of, or conditions imposed on, permits and approvals</w:t>
      </w:r>
    </w:p>
    <w:p>
      <w:pPr>
        <w:spacing w:after="0" w:line="3" w:lineRule="exact"/>
        <w:rPr>
          <w:rFonts w:ascii="Arial" w:cs="Arial" w:eastAsia="Arial" w:hAnsi="Arial"/>
          <w:sz w:val="22"/>
          <w:szCs w:val="22"/>
          <w:color w:val="auto"/>
        </w:rPr>
      </w:pPr>
    </w:p>
    <w:p>
      <w:pPr>
        <w:ind w:left="660" w:hanging="328"/>
        <w:spacing w:after="0" w:line="243" w:lineRule="auto"/>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lower-than-expected production, reserves or resources from development projects, joint ventures or acquisitions, or higher-than-expected decline rates</w:t>
      </w:r>
    </w:p>
    <w:p>
      <w:pPr>
        <w:ind w:left="660" w:right="220" w:hanging="328"/>
        <w:spacing w:after="0" w:line="243" w:lineRule="auto"/>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disruptions due to accidents, mechanical failures, transportation or storage constraints, natural disasters, labor difficulties, cyber attacks or other catastrophic events</w:t>
      </w:r>
    </w:p>
    <w:p>
      <w:pPr>
        <w:ind w:left="660" w:right="260" w:hanging="328"/>
        <w:spacing w:after="0" w:line="243" w:lineRule="auto"/>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factors discussed in “Item 1A - Risk Factors” in CRC's Annual Report on Form 10-K available on its website at crc.com.</w:t>
      </w:r>
    </w:p>
    <w:p>
      <w:pPr>
        <w:spacing w:after="0" w:line="1" w:lineRule="exact"/>
        <w:rPr>
          <w:sz w:val="20"/>
          <w:szCs w:val="20"/>
          <w:color w:val="auto"/>
        </w:rPr>
      </w:pPr>
    </w:p>
    <w:p>
      <w:pPr>
        <w:ind w:right="160" w:firstLine="324"/>
        <w:spacing w:after="0" w:line="244" w:lineRule="auto"/>
        <w:rPr>
          <w:sz w:val="20"/>
          <w:szCs w:val="20"/>
          <w:color w:val="auto"/>
        </w:rPr>
      </w:pPr>
      <w:r>
        <w:rPr>
          <w:rFonts w:ascii="Arial" w:cs="Arial" w:eastAsia="Arial" w:hAnsi="Arial"/>
          <w:sz w:val="22"/>
          <w:szCs w:val="22"/>
          <w:color w:val="auto"/>
        </w:rPr>
        <w:t>Words such as "anticipate," "believe," "continue," "could," "estimate," "expect," "goal," "intend," "likely," "may," "might," "plan," "potential," "project," "seek," "should," "target, "will" or "would" and similar words that reflect the prospective nature of events or outcomes typically identify forward-looking statements. Any forward-looking statement speaks only as of the date on which such statement is made and CRC undertakes no obligation to correct or update any forward-looking statement, whether as a result of new information, future events or otherwise, except as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580" w:type="dxa"/>
            <w:vAlign w:val="bottom"/>
            <w:gridSpan w:val="4"/>
          </w:tcPr>
          <w:p>
            <w:pPr>
              <w:spacing w:after="0"/>
              <w:rPr>
                <w:sz w:val="20"/>
                <w:szCs w:val="20"/>
                <w:color w:val="auto"/>
              </w:rPr>
            </w:pPr>
            <w:r>
              <w:rPr>
                <w:rFonts w:ascii="Arial" w:cs="Arial" w:eastAsia="Arial" w:hAnsi="Arial"/>
                <w:sz w:val="22"/>
                <w:szCs w:val="22"/>
                <w:b w:val="1"/>
                <w:bCs w:val="1"/>
                <w:color w:val="auto"/>
              </w:rPr>
              <w:t>Contacts:</w:t>
            </w:r>
          </w:p>
        </w:tc>
        <w:tc>
          <w:tcPr>
            <w:tcW w:w="1160" w:type="dxa"/>
            <w:vAlign w:val="bottom"/>
          </w:tcPr>
          <w:p>
            <w:pPr>
              <w:spacing w:after="0"/>
              <w:rPr>
                <w:sz w:val="21"/>
                <w:szCs w:val="21"/>
                <w:color w:val="auto"/>
              </w:rPr>
            </w:pPr>
          </w:p>
        </w:tc>
        <w:tc>
          <w:tcPr>
            <w:tcW w:w="2780" w:type="dxa"/>
            <w:vAlign w:val="bottom"/>
          </w:tcPr>
          <w:p>
            <w:pPr>
              <w:spacing w:after="0"/>
              <w:rPr>
                <w:sz w:val="21"/>
                <w:szCs w:val="21"/>
                <w:color w:val="auto"/>
              </w:rPr>
            </w:pPr>
          </w:p>
        </w:tc>
      </w:tr>
      <w:tr>
        <w:trPr>
          <w:trHeight w:val="20"/>
        </w:trPr>
        <w:tc>
          <w:tcPr>
            <w:tcW w:w="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676"/>
        </w:trPr>
        <w:tc>
          <w:tcPr>
            <w:tcW w:w="4580" w:type="dxa"/>
            <w:vAlign w:val="bottom"/>
            <w:gridSpan w:val="4"/>
          </w:tcPr>
          <w:p>
            <w:pPr>
              <w:ind w:left="40"/>
              <w:spacing w:after="0"/>
              <w:rPr>
                <w:sz w:val="20"/>
                <w:szCs w:val="20"/>
                <w:color w:val="auto"/>
              </w:rPr>
            </w:pPr>
            <w:r>
              <w:rPr>
                <w:rFonts w:ascii="Arial" w:cs="Arial" w:eastAsia="Arial" w:hAnsi="Arial"/>
                <w:sz w:val="22"/>
                <w:szCs w:val="22"/>
                <w:color w:val="auto"/>
              </w:rPr>
              <w:t>Scott Espenshade (Investor Relations)</w:t>
            </w:r>
          </w:p>
        </w:tc>
        <w:tc>
          <w:tcPr>
            <w:tcW w:w="3940" w:type="dxa"/>
            <w:vAlign w:val="bottom"/>
            <w:gridSpan w:val="2"/>
          </w:tcPr>
          <w:p>
            <w:pPr>
              <w:ind w:left="1160"/>
              <w:spacing w:after="0"/>
              <w:rPr>
                <w:sz w:val="20"/>
                <w:szCs w:val="20"/>
                <w:color w:val="auto"/>
              </w:rPr>
            </w:pPr>
            <w:r>
              <w:rPr>
                <w:rFonts w:ascii="Arial" w:cs="Arial" w:eastAsia="Arial" w:hAnsi="Arial"/>
                <w:sz w:val="22"/>
                <w:szCs w:val="22"/>
                <w:color w:val="auto"/>
              </w:rPr>
              <w:t>Margita Thompson (Media)</w:t>
            </w:r>
          </w:p>
        </w:tc>
      </w:tr>
      <w:tr>
        <w:trPr>
          <w:trHeight w:val="243"/>
        </w:trPr>
        <w:tc>
          <w:tcPr>
            <w:tcW w:w="2760" w:type="dxa"/>
            <w:vAlign w:val="bottom"/>
            <w:gridSpan w:val="3"/>
          </w:tcPr>
          <w:p>
            <w:pPr>
              <w:ind w:left="40"/>
              <w:spacing w:after="0" w:line="243" w:lineRule="exact"/>
              <w:rPr>
                <w:sz w:val="20"/>
                <w:szCs w:val="20"/>
                <w:color w:val="auto"/>
              </w:rPr>
            </w:pPr>
            <w:r>
              <w:rPr>
                <w:rFonts w:ascii="Arial" w:cs="Arial" w:eastAsia="Arial" w:hAnsi="Arial"/>
                <w:sz w:val="22"/>
                <w:szCs w:val="22"/>
                <w:color w:val="auto"/>
              </w:rPr>
              <w:t>818-661-6010</w:t>
            </w:r>
          </w:p>
        </w:tc>
        <w:tc>
          <w:tcPr>
            <w:tcW w:w="1820" w:type="dxa"/>
            <w:vAlign w:val="bottom"/>
          </w:tcPr>
          <w:p>
            <w:pPr>
              <w:spacing w:after="0"/>
              <w:rPr>
                <w:sz w:val="21"/>
                <w:szCs w:val="21"/>
                <w:color w:val="auto"/>
              </w:rPr>
            </w:pPr>
          </w:p>
        </w:tc>
        <w:tc>
          <w:tcPr>
            <w:tcW w:w="3940" w:type="dxa"/>
            <w:vAlign w:val="bottom"/>
            <w:gridSpan w:val="2"/>
          </w:tcPr>
          <w:p>
            <w:pPr>
              <w:ind w:left="1160"/>
              <w:spacing w:after="0" w:line="243" w:lineRule="exact"/>
              <w:rPr>
                <w:sz w:val="20"/>
                <w:szCs w:val="20"/>
                <w:color w:val="auto"/>
              </w:rPr>
            </w:pPr>
            <w:r>
              <w:rPr>
                <w:rFonts w:ascii="Arial" w:cs="Arial" w:eastAsia="Arial" w:hAnsi="Arial"/>
                <w:sz w:val="22"/>
                <w:szCs w:val="22"/>
                <w:color w:val="auto"/>
              </w:rPr>
              <w:t>818-661-6005</w:t>
            </w:r>
          </w:p>
        </w:tc>
      </w:tr>
      <w:tr>
        <w:trPr>
          <w:trHeight w:val="209"/>
        </w:trPr>
        <w:tc>
          <w:tcPr>
            <w:tcW w:w="4580" w:type="dxa"/>
            <w:vAlign w:val="bottom"/>
            <w:gridSpan w:val="4"/>
          </w:tcPr>
          <w:p>
            <w:pPr>
              <w:ind w:left="40"/>
              <w:spacing w:after="0" w:line="209" w:lineRule="exact"/>
              <w:rPr>
                <w:sz w:val="20"/>
                <w:szCs w:val="20"/>
                <w:color w:val="auto"/>
              </w:rPr>
            </w:pPr>
            <w:r>
              <w:rPr>
                <w:rFonts w:ascii="Arial" w:cs="Arial" w:eastAsia="Arial" w:hAnsi="Arial"/>
                <w:sz w:val="22"/>
                <w:szCs w:val="22"/>
                <w:color w:val="421BFF"/>
              </w:rPr>
              <w:t>Scott.Espenshade@crc.com</w:t>
            </w:r>
          </w:p>
        </w:tc>
        <w:tc>
          <w:tcPr>
            <w:tcW w:w="3940" w:type="dxa"/>
            <w:vAlign w:val="bottom"/>
            <w:gridSpan w:val="2"/>
          </w:tcPr>
          <w:p>
            <w:pPr>
              <w:ind w:left="1160"/>
              <w:spacing w:after="0" w:line="209" w:lineRule="exact"/>
              <w:rPr>
                <w:sz w:val="20"/>
                <w:szCs w:val="20"/>
                <w:color w:val="auto"/>
              </w:rPr>
            </w:pPr>
            <w:r>
              <w:rPr>
                <w:rFonts w:ascii="Arial" w:cs="Arial" w:eastAsia="Arial" w:hAnsi="Arial"/>
                <w:sz w:val="22"/>
                <w:szCs w:val="22"/>
                <w:color w:val="421BFF"/>
                <w:w w:val="97"/>
              </w:rPr>
              <w:t>Margita.Thompson@crc.com</w:t>
            </w:r>
          </w:p>
        </w:tc>
      </w:tr>
      <w:tr>
        <w:trPr>
          <w:trHeight w:val="20"/>
        </w:trPr>
        <w:tc>
          <w:tcPr>
            <w:tcW w:w="40" w:type="dxa"/>
            <w:vAlign w:val="bottom"/>
          </w:tcPr>
          <w:p>
            <w:pPr>
              <w:spacing w:after="0" w:line="20" w:lineRule="exact"/>
              <w:rPr>
                <w:sz w:val="1"/>
                <w:szCs w:val="1"/>
                <w:color w:val="auto"/>
              </w:rPr>
            </w:pPr>
          </w:p>
        </w:tc>
        <w:tc>
          <w:tcPr>
            <w:tcW w:w="960" w:type="dxa"/>
            <w:vAlign w:val="bottom"/>
            <w:shd w:val="clear" w:color="auto" w:fill="421BFF"/>
          </w:tcPr>
          <w:p>
            <w:pPr>
              <w:spacing w:after="0" w:line="20" w:lineRule="exact"/>
              <w:rPr>
                <w:sz w:val="1"/>
                <w:szCs w:val="1"/>
                <w:color w:val="auto"/>
              </w:rPr>
            </w:pPr>
          </w:p>
        </w:tc>
        <w:tc>
          <w:tcPr>
            <w:tcW w:w="1760" w:type="dxa"/>
            <w:vAlign w:val="bottom"/>
            <w:shd w:val="clear" w:color="auto" w:fill="421B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780" w:type="dxa"/>
            <w:vAlign w:val="bottom"/>
            <w:shd w:val="clear" w:color="auto" w:fill="421BFF"/>
          </w:tcPr>
          <w:p>
            <w:pPr>
              <w:spacing w:after="0" w:line="20" w:lineRule="exact"/>
              <w:rPr>
                <w:sz w:val="1"/>
                <w:szCs w:val="1"/>
                <w:color w:val="auto"/>
              </w:rPr>
            </w:pPr>
          </w:p>
        </w:tc>
      </w:tr>
      <w:tr>
        <w:trPr>
          <w:trHeight w:val="507"/>
        </w:trPr>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940" w:type="dxa"/>
            <w:vAlign w:val="bottom"/>
            <w:gridSpan w:val="2"/>
          </w:tcPr>
          <w:p>
            <w:pPr>
              <w:ind w:left="840"/>
              <w:spacing w:after="0"/>
              <w:rPr>
                <w:sz w:val="20"/>
                <w:szCs w:val="20"/>
                <w:color w:val="auto"/>
              </w:rPr>
            </w:pPr>
            <w:r>
              <w:rPr>
                <w:rFonts w:ascii="Arial" w:cs="Arial" w:eastAsia="Arial" w:hAnsi="Arial"/>
                <w:sz w:val="18"/>
                <w:szCs w:val="18"/>
                <w:color w:val="auto"/>
              </w:rPr>
              <w:t>Page 6</w:t>
            </w:r>
          </w:p>
        </w:tc>
      </w:tr>
    </w:tbl>
    <w:p>
      <w:pPr>
        <w:sectPr>
          <w:pgSz w:w="11900" w:h="16838" w:orient="portrait"/>
          <w:cols w:equalWidth="0" w:num="1">
            <w:col w:w="11400"/>
          </w:cols>
          <w:pgMar w:left="240" w:top="606" w:right="25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3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Attachment 1</w:t>
            </w: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245"/>
        </w:trPr>
        <w:tc>
          <w:tcPr>
            <w:tcW w:w="40" w:type="dxa"/>
            <w:vAlign w:val="bottom"/>
          </w:tcPr>
          <w:p>
            <w:pPr>
              <w:spacing w:after="0"/>
              <w:rPr>
                <w:sz w:val="21"/>
                <w:szCs w:val="21"/>
                <w:color w:val="auto"/>
              </w:rPr>
            </w:pPr>
          </w:p>
        </w:tc>
        <w:tc>
          <w:tcPr>
            <w:tcW w:w="5800" w:type="dxa"/>
            <w:vAlign w:val="bottom"/>
            <w:gridSpan w:val="4"/>
          </w:tcPr>
          <w:p>
            <w:pPr>
              <w:spacing w:after="0"/>
              <w:rPr>
                <w:sz w:val="20"/>
                <w:szCs w:val="20"/>
                <w:color w:val="auto"/>
              </w:rPr>
            </w:pPr>
            <w:r>
              <w:rPr>
                <w:rFonts w:ascii="Arial" w:cs="Arial" w:eastAsia="Arial" w:hAnsi="Arial"/>
                <w:sz w:val="14"/>
                <w:szCs w:val="14"/>
                <w:b w:val="1"/>
                <w:bCs w:val="1"/>
                <w:color w:val="auto"/>
              </w:rPr>
              <w:t>SUMMARY OF RESULTS</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6"/>
        </w:trPr>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Second Quarter</w:t>
            </w:r>
          </w:p>
        </w:tc>
        <w:tc>
          <w:tcPr>
            <w:tcW w:w="8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Six Months</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64"/>
        </w:trPr>
        <w:tc>
          <w:tcPr>
            <w:tcW w:w="40" w:type="dxa"/>
            <w:vAlign w:val="bottom"/>
            <w:tcBorders>
              <w:bottom w:val="single" w:sz="8" w:color="auto"/>
            </w:tcBorders>
          </w:tcPr>
          <w:p>
            <w:pPr>
              <w:spacing w:after="0"/>
              <w:rPr>
                <w:sz w:val="22"/>
                <w:szCs w:val="22"/>
                <w:color w:val="auto"/>
              </w:rPr>
            </w:pPr>
          </w:p>
        </w:tc>
        <w:tc>
          <w:tcPr>
            <w:tcW w:w="568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 and shares in millions, except per share amounts)</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2018</w:t>
            </w:r>
          </w:p>
        </w:tc>
        <w:tc>
          <w:tcPr>
            <w:tcW w:w="2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22"/>
                <w:szCs w:val="22"/>
                <w:color w:val="auto"/>
              </w:rPr>
            </w:pPr>
          </w:p>
        </w:tc>
      </w:tr>
      <w:tr>
        <w:trPr>
          <w:trHeight w:val="391"/>
        </w:trPr>
        <w:tc>
          <w:tcPr>
            <w:tcW w:w="40" w:type="dxa"/>
            <w:vAlign w:val="bottom"/>
          </w:tcPr>
          <w:p>
            <w:pPr>
              <w:spacing w:after="0"/>
              <w:rPr>
                <w:sz w:val="24"/>
                <w:szCs w:val="24"/>
                <w:color w:val="auto"/>
              </w:rPr>
            </w:pPr>
          </w:p>
        </w:tc>
        <w:tc>
          <w:tcPr>
            <w:tcW w:w="18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Statements of Operations:</w:t>
            </w:r>
          </w:p>
        </w:tc>
        <w:tc>
          <w:tcPr>
            <w:tcW w:w="4000" w:type="dxa"/>
            <w:vAlign w:val="bottom"/>
            <w:gridSpan w:val="2"/>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9"/>
        </w:trPr>
        <w:tc>
          <w:tcPr>
            <w:tcW w:w="40" w:type="dxa"/>
            <w:vAlign w:val="bottom"/>
          </w:tcPr>
          <w:p>
            <w:pPr>
              <w:spacing w:after="0"/>
              <w:rPr>
                <w:sz w:val="24"/>
                <w:szCs w:val="24"/>
                <w:color w:val="auto"/>
              </w:rPr>
            </w:pPr>
          </w:p>
        </w:tc>
        <w:tc>
          <w:tcPr>
            <w:tcW w:w="5800" w:type="dxa"/>
            <w:vAlign w:val="bottom"/>
            <w:gridSpan w:val="4"/>
          </w:tcPr>
          <w:p>
            <w:pPr>
              <w:spacing w:after="0"/>
              <w:rPr>
                <w:sz w:val="20"/>
                <w:szCs w:val="20"/>
                <w:color w:val="auto"/>
              </w:rPr>
            </w:pPr>
            <w:r>
              <w:rPr>
                <w:rFonts w:ascii="Arial" w:cs="Arial" w:eastAsia="Arial" w:hAnsi="Arial"/>
                <w:sz w:val="14"/>
                <w:szCs w:val="14"/>
                <w:b w:val="1"/>
                <w:bCs w:val="1"/>
                <w:color w:val="auto"/>
              </w:rPr>
              <w:t>Revenues and Other</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5800" w:type="dxa"/>
            <w:vAlign w:val="bottom"/>
            <w:gridSpan w:val="4"/>
          </w:tcPr>
          <w:p>
            <w:pPr>
              <w:spacing w:after="0"/>
              <w:rPr>
                <w:sz w:val="20"/>
                <w:szCs w:val="20"/>
                <w:color w:val="auto"/>
              </w:rPr>
            </w:pPr>
            <w:r>
              <w:rPr>
                <w:rFonts w:ascii="Arial" w:cs="Arial" w:eastAsia="Arial" w:hAnsi="Arial"/>
                <w:sz w:val="14"/>
                <w:szCs w:val="14"/>
                <w:color w:val="auto"/>
              </w:rPr>
              <w:t>Oil and gas sales</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578</w:t>
            </w:r>
          </w:p>
        </w:tc>
        <w:tc>
          <w:tcPr>
            <w:tcW w:w="120" w:type="dxa"/>
            <w:vAlign w:val="bottom"/>
          </w:tcPr>
          <w:p>
            <w:pPr>
              <w:spacing w:after="0"/>
              <w:rPr>
                <w:sz w:val="23"/>
                <w:szCs w:val="23"/>
                <w:color w:val="auto"/>
              </w:rPr>
            </w:pPr>
          </w:p>
        </w:tc>
        <w:tc>
          <w:tcPr>
            <w:tcW w:w="4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657</w:t>
            </w:r>
          </w:p>
        </w:tc>
        <w:tc>
          <w:tcPr>
            <w:tcW w:w="220" w:type="dxa"/>
            <w:vAlign w:val="bottom"/>
          </w:tcPr>
          <w:p>
            <w:pPr>
              <w:spacing w:after="0"/>
              <w:rPr>
                <w:sz w:val="23"/>
                <w:szCs w:val="23"/>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1,179</w:t>
            </w:r>
          </w:p>
        </w:tc>
        <w:tc>
          <w:tcPr>
            <w:tcW w:w="100" w:type="dxa"/>
            <w:vAlign w:val="bottom"/>
          </w:tcPr>
          <w:p>
            <w:pPr>
              <w:spacing w:after="0"/>
              <w:rPr>
                <w:sz w:val="23"/>
                <w:szCs w:val="23"/>
                <w:color w:val="auto"/>
              </w:rPr>
            </w:pPr>
          </w:p>
        </w:tc>
        <w:tc>
          <w:tcPr>
            <w:tcW w:w="3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1,232</w:t>
            </w:r>
          </w:p>
        </w:tc>
        <w:tc>
          <w:tcPr>
            <w:tcW w:w="10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5800" w:type="dxa"/>
            <w:vAlign w:val="bottom"/>
            <w:gridSpan w:val="4"/>
          </w:tcPr>
          <w:p>
            <w:pPr>
              <w:spacing w:after="0"/>
              <w:rPr>
                <w:sz w:val="20"/>
                <w:szCs w:val="20"/>
                <w:color w:val="auto"/>
              </w:rPr>
            </w:pPr>
            <w:r>
              <w:rPr>
                <w:rFonts w:ascii="Arial" w:cs="Arial" w:eastAsia="Arial" w:hAnsi="Arial"/>
                <w:sz w:val="14"/>
                <w:szCs w:val="14"/>
                <w:color w:val="auto"/>
              </w:rPr>
              <w:t>Net derivative gain (loss) from commodity contracts</w:t>
            </w:r>
          </w:p>
        </w:tc>
        <w:tc>
          <w:tcPr>
            <w:tcW w:w="30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21</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(167)</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(68)</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(205)</w:t>
            </w:r>
          </w:p>
        </w:tc>
        <w:tc>
          <w:tcPr>
            <w:tcW w:w="100" w:type="dxa"/>
            <w:vAlign w:val="bottom"/>
          </w:tcPr>
          <w:p>
            <w:pPr>
              <w:spacing w:after="0"/>
              <w:rPr>
                <w:sz w:val="23"/>
                <w:szCs w:val="23"/>
                <w:color w:val="auto"/>
              </w:rPr>
            </w:pPr>
          </w:p>
        </w:tc>
      </w:tr>
      <w:tr>
        <w:trPr>
          <w:trHeight w:val="276"/>
        </w:trPr>
        <w:tc>
          <w:tcPr>
            <w:tcW w:w="40" w:type="dxa"/>
            <w:vAlign w:val="bottom"/>
          </w:tcPr>
          <w:p>
            <w:pPr>
              <w:spacing w:after="0"/>
              <w:rPr>
                <w:sz w:val="24"/>
                <w:szCs w:val="24"/>
                <w:color w:val="auto"/>
              </w:rPr>
            </w:pPr>
          </w:p>
        </w:tc>
        <w:tc>
          <w:tcPr>
            <w:tcW w:w="5800" w:type="dxa"/>
            <w:vAlign w:val="bottom"/>
            <w:gridSpan w:val="4"/>
          </w:tcPr>
          <w:p>
            <w:pPr>
              <w:spacing w:after="0"/>
              <w:rPr>
                <w:sz w:val="20"/>
                <w:szCs w:val="20"/>
                <w:color w:val="auto"/>
              </w:rPr>
            </w:pPr>
            <w:r>
              <w:rPr>
                <w:rFonts w:ascii="Arial" w:cs="Arial" w:eastAsia="Arial" w:hAnsi="Arial"/>
                <w:sz w:val="14"/>
                <w:szCs w:val="14"/>
                <w:color w:val="auto"/>
              </w:rPr>
              <w:t>Other revenue</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54</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w:t>
            </w:r>
          </w:p>
        </w:tc>
        <w:tc>
          <w:tcPr>
            <w:tcW w:w="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232</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131</w:t>
            </w:r>
          </w:p>
        </w:tc>
        <w:tc>
          <w:tcPr>
            <w:tcW w:w="100" w:type="dxa"/>
            <w:vAlign w:val="bottom"/>
          </w:tcPr>
          <w:p>
            <w:pPr>
              <w:spacing w:after="0"/>
              <w:rPr>
                <w:sz w:val="24"/>
                <w:szCs w:val="24"/>
                <w:color w:val="auto"/>
              </w:rPr>
            </w:pPr>
          </w:p>
        </w:tc>
      </w:tr>
      <w:tr>
        <w:trPr>
          <w:trHeight w:val="250"/>
        </w:trPr>
        <w:tc>
          <w:tcPr>
            <w:tcW w:w="40" w:type="dxa"/>
            <w:vAlign w:val="bottom"/>
          </w:tcPr>
          <w:p>
            <w:pPr>
              <w:spacing w:after="0"/>
              <w:rPr>
                <w:sz w:val="21"/>
                <w:szCs w:val="21"/>
                <w:color w:val="auto"/>
              </w:rPr>
            </w:pPr>
          </w:p>
        </w:tc>
        <w:tc>
          <w:tcPr>
            <w:tcW w:w="5800" w:type="dxa"/>
            <w:vAlign w:val="bottom"/>
            <w:gridSpan w:val="4"/>
          </w:tcPr>
          <w:p>
            <w:pPr>
              <w:ind w:left="80"/>
              <w:spacing w:after="0"/>
              <w:rPr>
                <w:sz w:val="20"/>
                <w:szCs w:val="20"/>
                <w:color w:val="auto"/>
              </w:rPr>
            </w:pPr>
            <w:r>
              <w:rPr>
                <w:rFonts w:ascii="Arial" w:cs="Arial" w:eastAsia="Arial" w:hAnsi="Arial"/>
                <w:sz w:val="14"/>
                <w:szCs w:val="14"/>
                <w:color w:val="auto"/>
              </w:rPr>
              <w:t>Total revenues and other</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653</w:t>
            </w:r>
          </w:p>
        </w:tc>
        <w:tc>
          <w:tcPr>
            <w:tcW w:w="12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549</w:t>
            </w:r>
          </w:p>
        </w:tc>
        <w:tc>
          <w:tcPr>
            <w:tcW w:w="2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1,343</w:t>
            </w: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1,158</w:t>
            </w:r>
          </w:p>
        </w:tc>
        <w:tc>
          <w:tcPr>
            <w:tcW w:w="100" w:type="dxa"/>
            <w:vAlign w:val="bottom"/>
          </w:tcPr>
          <w:p>
            <w:pPr>
              <w:spacing w:after="0"/>
              <w:rPr>
                <w:sz w:val="21"/>
                <w:szCs w:val="21"/>
                <w:color w:val="auto"/>
              </w:rPr>
            </w:pPr>
          </w:p>
        </w:tc>
      </w:tr>
      <w:tr>
        <w:trPr>
          <w:trHeight w:val="420"/>
        </w:trPr>
        <w:tc>
          <w:tcPr>
            <w:tcW w:w="40" w:type="dxa"/>
            <w:vAlign w:val="bottom"/>
          </w:tcPr>
          <w:p>
            <w:pPr>
              <w:spacing w:after="0"/>
              <w:rPr>
                <w:sz w:val="24"/>
                <w:szCs w:val="24"/>
                <w:color w:val="auto"/>
              </w:rPr>
            </w:pPr>
          </w:p>
        </w:tc>
        <w:tc>
          <w:tcPr>
            <w:tcW w:w="5800" w:type="dxa"/>
            <w:vAlign w:val="bottom"/>
            <w:gridSpan w:val="4"/>
          </w:tcPr>
          <w:p>
            <w:pPr>
              <w:spacing w:after="0"/>
              <w:rPr>
                <w:sz w:val="20"/>
                <w:szCs w:val="20"/>
                <w:color w:val="auto"/>
              </w:rPr>
            </w:pPr>
            <w:r>
              <w:rPr>
                <w:rFonts w:ascii="Arial" w:cs="Arial" w:eastAsia="Arial" w:hAnsi="Arial"/>
                <w:sz w:val="14"/>
                <w:szCs w:val="14"/>
                <w:b w:val="1"/>
                <w:bCs w:val="1"/>
                <w:color w:val="auto"/>
              </w:rPr>
              <w:t>Costs and Other</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5800" w:type="dxa"/>
            <w:vAlign w:val="bottom"/>
            <w:gridSpan w:val="4"/>
          </w:tcPr>
          <w:p>
            <w:pPr>
              <w:spacing w:after="0"/>
              <w:rPr>
                <w:sz w:val="20"/>
                <w:szCs w:val="20"/>
                <w:color w:val="auto"/>
              </w:rPr>
            </w:pPr>
            <w:r>
              <w:rPr>
                <w:rFonts w:ascii="Arial" w:cs="Arial" w:eastAsia="Arial" w:hAnsi="Arial"/>
                <w:sz w:val="14"/>
                <w:szCs w:val="14"/>
                <w:color w:val="auto"/>
              </w:rPr>
              <w:t>Production costs</w:t>
            </w:r>
          </w:p>
        </w:tc>
        <w:tc>
          <w:tcPr>
            <w:tcW w:w="30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230</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231</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463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443</w:t>
            </w:r>
          </w:p>
        </w:tc>
        <w:tc>
          <w:tcPr>
            <w:tcW w:w="10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5800" w:type="dxa"/>
            <w:vAlign w:val="bottom"/>
            <w:gridSpan w:val="4"/>
          </w:tcPr>
          <w:p>
            <w:pPr>
              <w:spacing w:after="0"/>
              <w:rPr>
                <w:sz w:val="20"/>
                <w:szCs w:val="20"/>
                <w:color w:val="auto"/>
              </w:rPr>
            </w:pPr>
            <w:r>
              <w:rPr>
                <w:rFonts w:ascii="Arial" w:cs="Arial" w:eastAsia="Arial" w:hAnsi="Arial"/>
                <w:sz w:val="14"/>
                <w:szCs w:val="14"/>
                <w:color w:val="auto"/>
              </w:rPr>
              <w:t>General and administrative expenses</w:t>
            </w:r>
          </w:p>
        </w:tc>
        <w:tc>
          <w:tcPr>
            <w:tcW w:w="30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79</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90</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162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153</w:t>
            </w:r>
          </w:p>
        </w:tc>
        <w:tc>
          <w:tcPr>
            <w:tcW w:w="10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5800" w:type="dxa"/>
            <w:vAlign w:val="bottom"/>
            <w:gridSpan w:val="4"/>
          </w:tcPr>
          <w:p>
            <w:pPr>
              <w:spacing w:after="0"/>
              <w:rPr>
                <w:sz w:val="20"/>
                <w:szCs w:val="20"/>
                <w:color w:val="auto"/>
              </w:rPr>
            </w:pPr>
            <w:r>
              <w:rPr>
                <w:rFonts w:ascii="Arial" w:cs="Arial" w:eastAsia="Arial" w:hAnsi="Arial"/>
                <w:sz w:val="14"/>
                <w:szCs w:val="14"/>
                <w:color w:val="auto"/>
              </w:rPr>
              <w:t>Depreciation, depletion and amortization</w:t>
            </w:r>
          </w:p>
        </w:tc>
        <w:tc>
          <w:tcPr>
            <w:tcW w:w="30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121</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125</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239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244</w:t>
            </w:r>
          </w:p>
        </w:tc>
        <w:tc>
          <w:tcPr>
            <w:tcW w:w="10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5800" w:type="dxa"/>
            <w:vAlign w:val="bottom"/>
            <w:gridSpan w:val="4"/>
          </w:tcPr>
          <w:p>
            <w:pPr>
              <w:spacing w:after="0"/>
              <w:rPr>
                <w:sz w:val="20"/>
                <w:szCs w:val="20"/>
                <w:color w:val="auto"/>
              </w:rPr>
            </w:pPr>
            <w:r>
              <w:rPr>
                <w:rFonts w:ascii="Arial" w:cs="Arial" w:eastAsia="Arial" w:hAnsi="Arial"/>
                <w:sz w:val="14"/>
                <w:szCs w:val="14"/>
                <w:color w:val="auto"/>
              </w:rPr>
              <w:t>Taxes other than on income</w:t>
            </w:r>
          </w:p>
        </w:tc>
        <w:tc>
          <w:tcPr>
            <w:tcW w:w="30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36</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37</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77</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5800" w:type="dxa"/>
            <w:vAlign w:val="bottom"/>
            <w:gridSpan w:val="4"/>
          </w:tcPr>
          <w:p>
            <w:pPr>
              <w:spacing w:after="0"/>
              <w:rPr>
                <w:sz w:val="20"/>
                <w:szCs w:val="20"/>
                <w:color w:val="auto"/>
              </w:rPr>
            </w:pPr>
            <w:r>
              <w:rPr>
                <w:rFonts w:ascii="Arial" w:cs="Arial" w:eastAsia="Arial" w:hAnsi="Arial"/>
                <w:sz w:val="14"/>
                <w:szCs w:val="14"/>
                <w:color w:val="auto"/>
              </w:rPr>
              <w:t>Exploration expense</w:t>
            </w:r>
          </w:p>
        </w:tc>
        <w:tc>
          <w:tcPr>
            <w:tcW w:w="30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10</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20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3"/>
                <w:szCs w:val="23"/>
                <w:color w:val="auto"/>
              </w:rPr>
            </w:pPr>
          </w:p>
        </w:tc>
      </w:tr>
      <w:tr>
        <w:trPr>
          <w:trHeight w:val="276"/>
        </w:trPr>
        <w:tc>
          <w:tcPr>
            <w:tcW w:w="40" w:type="dxa"/>
            <w:vAlign w:val="bottom"/>
          </w:tcPr>
          <w:p>
            <w:pPr>
              <w:spacing w:after="0"/>
              <w:rPr>
                <w:sz w:val="24"/>
                <w:szCs w:val="24"/>
                <w:color w:val="auto"/>
              </w:rPr>
            </w:pPr>
          </w:p>
        </w:tc>
        <w:tc>
          <w:tcPr>
            <w:tcW w:w="5800" w:type="dxa"/>
            <w:vAlign w:val="bottom"/>
            <w:gridSpan w:val="4"/>
          </w:tcPr>
          <w:p>
            <w:pPr>
              <w:spacing w:after="0"/>
              <w:rPr>
                <w:sz w:val="20"/>
                <w:szCs w:val="20"/>
                <w:color w:val="auto"/>
              </w:rPr>
            </w:pPr>
            <w:r>
              <w:rPr>
                <w:rFonts w:ascii="Arial" w:cs="Arial" w:eastAsia="Arial" w:hAnsi="Arial"/>
                <w:sz w:val="14"/>
                <w:szCs w:val="14"/>
                <w:color w:val="auto"/>
              </w:rPr>
              <w:t>Other expenses, net</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55</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w:t>
            </w:r>
          </w:p>
        </w:tc>
        <w:tc>
          <w:tcPr>
            <w:tcW w:w="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203</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24"/>
                <w:szCs w:val="24"/>
                <w:color w:val="auto"/>
              </w:rPr>
            </w:pPr>
          </w:p>
        </w:tc>
      </w:tr>
      <w:tr>
        <w:trPr>
          <w:trHeight w:val="250"/>
        </w:trPr>
        <w:tc>
          <w:tcPr>
            <w:tcW w:w="40" w:type="dxa"/>
            <w:vAlign w:val="bottom"/>
          </w:tcPr>
          <w:p>
            <w:pPr>
              <w:spacing w:after="0"/>
              <w:rPr>
                <w:sz w:val="21"/>
                <w:szCs w:val="21"/>
                <w:color w:val="auto"/>
              </w:rPr>
            </w:pPr>
          </w:p>
        </w:tc>
        <w:tc>
          <w:tcPr>
            <w:tcW w:w="5800" w:type="dxa"/>
            <w:vAlign w:val="bottom"/>
            <w:gridSpan w:val="4"/>
          </w:tcPr>
          <w:p>
            <w:pPr>
              <w:ind w:left="80"/>
              <w:spacing w:after="0"/>
              <w:rPr>
                <w:sz w:val="20"/>
                <w:szCs w:val="20"/>
                <w:color w:val="auto"/>
              </w:rPr>
            </w:pPr>
            <w:r>
              <w:rPr>
                <w:rFonts w:ascii="Arial" w:cs="Arial" w:eastAsia="Arial" w:hAnsi="Arial"/>
                <w:sz w:val="14"/>
                <w:szCs w:val="14"/>
                <w:color w:val="auto"/>
              </w:rPr>
              <w:t>Total costs and other</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531</w:t>
            </w:r>
          </w:p>
        </w:tc>
        <w:tc>
          <w:tcPr>
            <w:tcW w:w="12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538</w:t>
            </w:r>
          </w:p>
        </w:tc>
        <w:tc>
          <w:tcPr>
            <w:tcW w:w="2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1,164</w:t>
            </w: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1,039</w:t>
            </w:r>
          </w:p>
        </w:tc>
        <w:tc>
          <w:tcPr>
            <w:tcW w:w="100" w:type="dxa"/>
            <w:vAlign w:val="bottom"/>
          </w:tcPr>
          <w:p>
            <w:pPr>
              <w:spacing w:after="0"/>
              <w:rPr>
                <w:sz w:val="21"/>
                <w:szCs w:val="21"/>
                <w:color w:val="auto"/>
              </w:rPr>
            </w:pPr>
          </w:p>
        </w:tc>
      </w:tr>
      <w:tr>
        <w:trPr>
          <w:trHeight w:val="433"/>
        </w:trPr>
        <w:tc>
          <w:tcPr>
            <w:tcW w:w="40" w:type="dxa"/>
            <w:vAlign w:val="bottom"/>
          </w:tcPr>
          <w:p>
            <w:pPr>
              <w:spacing w:after="0"/>
              <w:rPr>
                <w:sz w:val="24"/>
                <w:szCs w:val="24"/>
                <w:color w:val="auto"/>
              </w:rPr>
            </w:pPr>
          </w:p>
        </w:tc>
        <w:tc>
          <w:tcPr>
            <w:tcW w:w="5800" w:type="dxa"/>
            <w:vAlign w:val="bottom"/>
            <w:gridSpan w:val="4"/>
          </w:tcPr>
          <w:p>
            <w:pPr>
              <w:spacing w:after="0"/>
              <w:rPr>
                <w:sz w:val="20"/>
                <w:szCs w:val="20"/>
                <w:color w:val="auto"/>
              </w:rPr>
            </w:pPr>
            <w:r>
              <w:rPr>
                <w:rFonts w:ascii="Arial" w:cs="Arial" w:eastAsia="Arial" w:hAnsi="Arial"/>
                <w:sz w:val="14"/>
                <w:szCs w:val="14"/>
                <w:b w:val="1"/>
                <w:bCs w:val="1"/>
                <w:color w:val="auto"/>
              </w:rPr>
              <w:t>Operating Income</w:t>
            </w:r>
          </w:p>
        </w:tc>
        <w:tc>
          <w:tcPr>
            <w:tcW w:w="300" w:type="dxa"/>
            <w:vAlign w:val="bottom"/>
          </w:tcPr>
          <w:p>
            <w:pPr>
              <w:spacing w:after="0"/>
              <w:rPr>
                <w:sz w:val="24"/>
                <w:szCs w:val="24"/>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122</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179</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119</w:t>
            </w:r>
          </w:p>
        </w:tc>
        <w:tc>
          <w:tcPr>
            <w:tcW w:w="100" w:type="dxa"/>
            <w:vAlign w:val="bottom"/>
          </w:tcPr>
          <w:p>
            <w:pPr>
              <w:spacing w:after="0"/>
              <w:rPr>
                <w:sz w:val="24"/>
                <w:szCs w:val="24"/>
                <w:color w:val="auto"/>
              </w:rPr>
            </w:pPr>
          </w:p>
        </w:tc>
      </w:tr>
      <w:tr>
        <w:trPr>
          <w:trHeight w:val="405"/>
        </w:trPr>
        <w:tc>
          <w:tcPr>
            <w:tcW w:w="40" w:type="dxa"/>
            <w:vAlign w:val="bottom"/>
          </w:tcPr>
          <w:p>
            <w:pPr>
              <w:spacing w:after="0"/>
              <w:rPr>
                <w:sz w:val="24"/>
                <w:szCs w:val="24"/>
                <w:color w:val="auto"/>
              </w:rPr>
            </w:pPr>
          </w:p>
        </w:tc>
        <w:tc>
          <w:tcPr>
            <w:tcW w:w="5800" w:type="dxa"/>
            <w:vAlign w:val="bottom"/>
            <w:gridSpan w:val="4"/>
          </w:tcPr>
          <w:p>
            <w:pPr>
              <w:spacing w:after="0"/>
              <w:rPr>
                <w:sz w:val="20"/>
                <w:szCs w:val="20"/>
                <w:color w:val="auto"/>
              </w:rPr>
            </w:pPr>
            <w:r>
              <w:rPr>
                <w:rFonts w:ascii="Arial" w:cs="Arial" w:eastAsia="Arial" w:hAnsi="Arial"/>
                <w:sz w:val="14"/>
                <w:szCs w:val="14"/>
                <w:b w:val="1"/>
                <w:bCs w:val="1"/>
                <w:color w:val="auto"/>
              </w:rPr>
              <w:t>Non-Operating (Loss) Income</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5800" w:type="dxa"/>
            <w:vAlign w:val="bottom"/>
            <w:gridSpan w:val="4"/>
          </w:tcPr>
          <w:p>
            <w:pPr>
              <w:spacing w:after="0"/>
              <w:rPr>
                <w:sz w:val="20"/>
                <w:szCs w:val="20"/>
                <w:color w:val="auto"/>
              </w:rPr>
            </w:pPr>
            <w:r>
              <w:rPr>
                <w:rFonts w:ascii="Arial" w:cs="Arial" w:eastAsia="Arial" w:hAnsi="Arial"/>
                <w:sz w:val="14"/>
                <w:szCs w:val="14"/>
                <w:color w:val="auto"/>
              </w:rPr>
              <w:t>Interest and debt expense, net</w:t>
            </w: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(98)</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(94)</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(198)</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(186)</w:t>
            </w:r>
          </w:p>
        </w:tc>
        <w:tc>
          <w:tcPr>
            <w:tcW w:w="10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5800" w:type="dxa"/>
            <w:vAlign w:val="bottom"/>
            <w:gridSpan w:val="4"/>
          </w:tcPr>
          <w:p>
            <w:pPr>
              <w:spacing w:after="0"/>
              <w:rPr>
                <w:sz w:val="20"/>
                <w:szCs w:val="20"/>
                <w:color w:val="auto"/>
              </w:rPr>
            </w:pPr>
            <w:r>
              <w:rPr>
                <w:rFonts w:ascii="Arial" w:cs="Arial" w:eastAsia="Arial" w:hAnsi="Arial"/>
                <w:sz w:val="14"/>
                <w:szCs w:val="14"/>
                <w:color w:val="auto"/>
              </w:rPr>
              <w:t>Net gain on early extinguishment of debt</w:t>
            </w:r>
          </w:p>
        </w:tc>
        <w:tc>
          <w:tcPr>
            <w:tcW w:w="30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20</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24</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26</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5800" w:type="dxa"/>
            <w:vAlign w:val="bottom"/>
            <w:gridSpan w:val="4"/>
          </w:tcPr>
          <w:p>
            <w:pPr>
              <w:spacing w:after="0"/>
              <w:rPr>
                <w:sz w:val="20"/>
                <w:szCs w:val="20"/>
                <w:color w:val="auto"/>
              </w:rPr>
            </w:pPr>
            <w:r>
              <w:rPr>
                <w:rFonts w:ascii="Arial" w:cs="Arial" w:eastAsia="Arial" w:hAnsi="Arial"/>
                <w:sz w:val="14"/>
                <w:szCs w:val="14"/>
                <w:color w:val="auto"/>
              </w:rPr>
              <w:t>Gain on asset divestitures</w:t>
            </w:r>
          </w:p>
        </w:tc>
        <w:tc>
          <w:tcPr>
            <w:tcW w:w="300" w:type="dxa"/>
            <w:vAlign w:val="bottom"/>
          </w:tcPr>
          <w:p>
            <w:pPr>
              <w:spacing w:after="0"/>
              <w:rPr>
                <w:sz w:val="23"/>
                <w:szCs w:val="2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r>
      <w:tr>
        <w:trPr>
          <w:trHeight w:val="276"/>
        </w:trPr>
        <w:tc>
          <w:tcPr>
            <w:tcW w:w="40" w:type="dxa"/>
            <w:vAlign w:val="bottom"/>
          </w:tcPr>
          <w:p>
            <w:pPr>
              <w:spacing w:after="0"/>
              <w:rPr>
                <w:sz w:val="24"/>
                <w:szCs w:val="24"/>
                <w:color w:val="auto"/>
              </w:rPr>
            </w:pPr>
          </w:p>
        </w:tc>
        <w:tc>
          <w:tcPr>
            <w:tcW w:w="5800" w:type="dxa"/>
            <w:vAlign w:val="bottom"/>
            <w:gridSpan w:val="4"/>
          </w:tcPr>
          <w:p>
            <w:pPr>
              <w:spacing w:after="0"/>
              <w:rPr>
                <w:sz w:val="20"/>
                <w:szCs w:val="20"/>
                <w:color w:val="auto"/>
              </w:rPr>
            </w:pPr>
            <w:r>
              <w:rPr>
                <w:rFonts w:ascii="Arial" w:cs="Arial" w:eastAsia="Arial" w:hAnsi="Arial"/>
                <w:sz w:val="14"/>
                <w:szCs w:val="14"/>
                <w:color w:val="auto"/>
              </w:rPr>
              <w:t>Other non-operating expenses</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4"/>
                <w:szCs w:val="24"/>
                <w:color w:val="auto"/>
              </w:rPr>
            </w:pPr>
          </w:p>
        </w:tc>
      </w:tr>
      <w:tr>
        <w:trPr>
          <w:trHeight w:val="379"/>
        </w:trPr>
        <w:tc>
          <w:tcPr>
            <w:tcW w:w="40" w:type="dxa"/>
            <w:vAlign w:val="bottom"/>
          </w:tcPr>
          <w:p>
            <w:pPr>
              <w:spacing w:after="0"/>
              <w:rPr>
                <w:sz w:val="24"/>
                <w:szCs w:val="24"/>
                <w:color w:val="auto"/>
              </w:rPr>
            </w:pPr>
          </w:p>
        </w:tc>
        <w:tc>
          <w:tcPr>
            <w:tcW w:w="5800" w:type="dxa"/>
            <w:vAlign w:val="bottom"/>
            <w:gridSpan w:val="4"/>
          </w:tcPr>
          <w:p>
            <w:pPr>
              <w:spacing w:after="0"/>
              <w:rPr>
                <w:sz w:val="20"/>
                <w:szCs w:val="20"/>
                <w:color w:val="auto"/>
              </w:rPr>
            </w:pPr>
            <w:r>
              <w:rPr>
                <w:rFonts w:ascii="Arial" w:cs="Arial" w:eastAsia="Arial" w:hAnsi="Arial"/>
                <w:sz w:val="14"/>
                <w:szCs w:val="14"/>
                <w:b w:val="1"/>
                <w:bCs w:val="1"/>
                <w:color w:val="auto"/>
              </w:rPr>
              <w:t>Income (Loss) Before Income Taxes</w:t>
            </w:r>
          </w:p>
        </w:tc>
        <w:tc>
          <w:tcPr>
            <w:tcW w:w="300" w:type="dxa"/>
            <w:vAlign w:val="bottom"/>
          </w:tcPr>
          <w:p>
            <w:pPr>
              <w:spacing w:after="0"/>
              <w:rPr>
                <w:sz w:val="24"/>
                <w:szCs w:val="24"/>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41</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(63)</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24"/>
                <w:szCs w:val="24"/>
                <w:color w:val="auto"/>
              </w:rPr>
            </w:pPr>
          </w:p>
        </w:tc>
      </w:tr>
      <w:tr>
        <w:trPr>
          <w:trHeight w:val="276"/>
        </w:trPr>
        <w:tc>
          <w:tcPr>
            <w:tcW w:w="40" w:type="dxa"/>
            <w:vAlign w:val="bottom"/>
          </w:tcPr>
          <w:p>
            <w:pPr>
              <w:spacing w:after="0"/>
              <w:rPr>
                <w:sz w:val="24"/>
                <w:szCs w:val="24"/>
                <w:color w:val="auto"/>
              </w:rPr>
            </w:pPr>
          </w:p>
        </w:tc>
        <w:tc>
          <w:tcPr>
            <w:tcW w:w="5800" w:type="dxa"/>
            <w:vAlign w:val="bottom"/>
            <w:gridSpan w:val="4"/>
          </w:tcPr>
          <w:p>
            <w:pPr>
              <w:spacing w:after="0"/>
              <w:rPr>
                <w:sz w:val="20"/>
                <w:szCs w:val="20"/>
                <w:color w:val="auto"/>
              </w:rPr>
            </w:pPr>
            <w:r>
              <w:rPr>
                <w:rFonts w:ascii="Arial" w:cs="Arial" w:eastAsia="Arial" w:hAnsi="Arial"/>
                <w:sz w:val="14"/>
                <w:szCs w:val="14"/>
                <w:color w:val="auto"/>
              </w:rPr>
              <w:t>Income tax</w:t>
            </w:r>
          </w:p>
        </w:tc>
        <w:tc>
          <w:tcPr>
            <w:tcW w:w="300" w:type="dxa"/>
            <w:vAlign w:val="bottom"/>
          </w:tcPr>
          <w:p>
            <w:pPr>
              <w:spacing w:after="0"/>
              <w:rPr>
                <w:sz w:val="24"/>
                <w:szCs w:val="2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24"/>
                <w:szCs w:val="24"/>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r>
      <w:tr>
        <w:trPr>
          <w:trHeight w:val="244"/>
        </w:trPr>
        <w:tc>
          <w:tcPr>
            <w:tcW w:w="40" w:type="dxa"/>
            <w:vAlign w:val="bottom"/>
          </w:tcPr>
          <w:p>
            <w:pPr>
              <w:spacing w:after="0"/>
              <w:rPr>
                <w:sz w:val="21"/>
                <w:szCs w:val="21"/>
                <w:color w:val="auto"/>
              </w:rPr>
            </w:pPr>
          </w:p>
        </w:tc>
        <w:tc>
          <w:tcPr>
            <w:tcW w:w="5800" w:type="dxa"/>
            <w:vAlign w:val="bottom"/>
            <w:gridSpan w:val="4"/>
          </w:tcPr>
          <w:p>
            <w:pPr>
              <w:spacing w:after="0"/>
              <w:rPr>
                <w:sz w:val="20"/>
                <w:szCs w:val="20"/>
                <w:color w:val="auto"/>
              </w:rPr>
            </w:pPr>
            <w:r>
              <w:rPr>
                <w:rFonts w:ascii="Arial" w:cs="Arial" w:eastAsia="Arial" w:hAnsi="Arial"/>
                <w:sz w:val="14"/>
                <w:szCs w:val="14"/>
                <w:b w:val="1"/>
                <w:bCs w:val="1"/>
                <w:color w:val="auto"/>
              </w:rPr>
              <w:t>Net Income (Loss)</w:t>
            </w:r>
          </w:p>
        </w:tc>
        <w:tc>
          <w:tcPr>
            <w:tcW w:w="3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41</w:t>
            </w:r>
          </w:p>
        </w:tc>
        <w:tc>
          <w:tcPr>
            <w:tcW w:w="120" w:type="dxa"/>
            <w:vAlign w:val="bottom"/>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(63)</w:t>
            </w:r>
          </w:p>
        </w:tc>
        <w:tc>
          <w:tcPr>
            <w:tcW w:w="2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21"/>
                <w:szCs w:val="21"/>
                <w:color w:val="auto"/>
              </w:rPr>
            </w:pPr>
          </w:p>
        </w:tc>
      </w:tr>
      <w:tr>
        <w:trPr>
          <w:trHeight w:val="276"/>
        </w:trPr>
        <w:tc>
          <w:tcPr>
            <w:tcW w:w="40" w:type="dxa"/>
            <w:vAlign w:val="bottom"/>
          </w:tcPr>
          <w:p>
            <w:pPr>
              <w:spacing w:after="0"/>
              <w:rPr>
                <w:sz w:val="24"/>
                <w:szCs w:val="24"/>
                <w:color w:val="auto"/>
              </w:rPr>
            </w:pPr>
          </w:p>
        </w:tc>
        <w:tc>
          <w:tcPr>
            <w:tcW w:w="5800" w:type="dxa"/>
            <w:vAlign w:val="bottom"/>
            <w:gridSpan w:val="4"/>
          </w:tcPr>
          <w:p>
            <w:pPr>
              <w:spacing w:after="0"/>
              <w:rPr>
                <w:sz w:val="20"/>
                <w:szCs w:val="20"/>
                <w:color w:val="auto"/>
              </w:rPr>
            </w:pPr>
            <w:r>
              <w:rPr>
                <w:rFonts w:ascii="Arial" w:cs="Arial" w:eastAsia="Arial" w:hAnsi="Arial"/>
                <w:sz w:val="14"/>
                <w:szCs w:val="14"/>
                <w:color w:val="auto"/>
              </w:rPr>
              <w:t>Net income attributable to noncontrolling interests</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(52)</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4"/>
                <w:szCs w:val="24"/>
                <w:color w:val="auto"/>
              </w:rPr>
            </w:pPr>
          </w:p>
        </w:tc>
      </w:tr>
      <w:tr>
        <w:trPr>
          <w:trHeight w:val="243"/>
        </w:trPr>
        <w:tc>
          <w:tcPr>
            <w:tcW w:w="40" w:type="dxa"/>
            <w:vAlign w:val="bottom"/>
          </w:tcPr>
          <w:p>
            <w:pPr>
              <w:spacing w:after="0"/>
              <w:rPr>
                <w:sz w:val="21"/>
                <w:szCs w:val="21"/>
                <w:color w:val="auto"/>
              </w:rPr>
            </w:pPr>
          </w:p>
        </w:tc>
        <w:tc>
          <w:tcPr>
            <w:tcW w:w="5800" w:type="dxa"/>
            <w:vAlign w:val="bottom"/>
            <w:gridSpan w:val="4"/>
          </w:tcPr>
          <w:p>
            <w:pPr>
              <w:spacing w:after="0"/>
              <w:rPr>
                <w:sz w:val="20"/>
                <w:szCs w:val="20"/>
                <w:color w:val="auto"/>
              </w:rPr>
            </w:pPr>
            <w:r>
              <w:rPr>
                <w:rFonts w:ascii="Arial" w:cs="Arial" w:eastAsia="Arial" w:hAnsi="Arial"/>
                <w:sz w:val="14"/>
                <w:szCs w:val="14"/>
                <w:b w:val="1"/>
                <w:bCs w:val="1"/>
                <w:color w:val="auto"/>
              </w:rPr>
              <w:t>Net Income (Loss) Attributable to Common Stock</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12</w:t>
            </w:r>
          </w:p>
        </w:tc>
        <w:tc>
          <w:tcPr>
            <w:tcW w:w="120" w:type="dxa"/>
            <w:vAlign w:val="bottom"/>
          </w:tcPr>
          <w:p>
            <w:pPr>
              <w:spacing w:after="0"/>
              <w:rPr>
                <w:sz w:val="21"/>
                <w:szCs w:val="21"/>
                <w:color w:val="auto"/>
              </w:rPr>
            </w:pPr>
          </w:p>
        </w:tc>
        <w:tc>
          <w:tcPr>
            <w:tcW w:w="4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w:t>
            </w:r>
          </w:p>
        </w:tc>
        <w:tc>
          <w:tcPr>
            <w:tcW w:w="220" w:type="dxa"/>
            <w:vAlign w:val="bottom"/>
          </w:tcPr>
          <w:p>
            <w:pPr>
              <w:spacing w:after="0"/>
              <w:rPr>
                <w:sz w:val="21"/>
                <w:szCs w:val="21"/>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(55)</w:t>
            </w:r>
          </w:p>
        </w:tc>
        <w:tc>
          <w:tcPr>
            <w:tcW w:w="100" w:type="dxa"/>
            <w:vAlign w:val="bottom"/>
          </w:tcPr>
          <w:p>
            <w:pPr>
              <w:spacing w:after="0"/>
              <w:rPr>
                <w:sz w:val="21"/>
                <w:szCs w:val="21"/>
                <w:color w:val="auto"/>
              </w:rPr>
            </w:pPr>
          </w:p>
        </w:tc>
        <w:tc>
          <w:tcPr>
            <w:tcW w:w="3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5"/>
        </w:trPr>
        <w:tc>
          <w:tcPr>
            <w:tcW w:w="40" w:type="dxa"/>
            <w:vAlign w:val="bottom"/>
          </w:tcPr>
          <w:p>
            <w:pPr>
              <w:spacing w:after="0"/>
              <w:rPr>
                <w:sz w:val="24"/>
                <w:szCs w:val="24"/>
                <w:color w:val="auto"/>
              </w:rPr>
            </w:pPr>
          </w:p>
        </w:tc>
        <w:tc>
          <w:tcPr>
            <w:tcW w:w="5800" w:type="dxa"/>
            <w:vAlign w:val="bottom"/>
            <w:gridSpan w:val="4"/>
          </w:tcPr>
          <w:p>
            <w:pPr>
              <w:spacing w:after="0"/>
              <w:rPr>
                <w:sz w:val="20"/>
                <w:szCs w:val="20"/>
                <w:color w:val="auto"/>
              </w:rPr>
            </w:pPr>
            <w:r>
              <w:rPr>
                <w:rFonts w:ascii="Arial" w:cs="Arial" w:eastAsia="Arial" w:hAnsi="Arial"/>
                <w:sz w:val="14"/>
                <w:szCs w:val="14"/>
                <w:color w:val="auto"/>
              </w:rPr>
              <w:t>Net income (loss) attributable to common stock per share - basic</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0.25</w:t>
            </w:r>
          </w:p>
        </w:tc>
        <w:tc>
          <w:tcPr>
            <w:tcW w:w="120" w:type="dxa"/>
            <w:vAlign w:val="bottom"/>
          </w:tcPr>
          <w:p>
            <w:pPr>
              <w:spacing w:after="0"/>
              <w:rPr>
                <w:sz w:val="24"/>
                <w:szCs w:val="24"/>
                <w:color w:val="auto"/>
              </w:rPr>
            </w:pPr>
          </w:p>
        </w:tc>
        <w:tc>
          <w:tcPr>
            <w:tcW w:w="4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(1.70)</w:t>
            </w:r>
          </w:p>
        </w:tc>
        <w:tc>
          <w:tcPr>
            <w:tcW w:w="220" w:type="dxa"/>
            <w:vAlign w:val="bottom"/>
          </w:tcPr>
          <w:p>
            <w:pPr>
              <w:spacing w:after="0"/>
              <w:rPr>
                <w:sz w:val="24"/>
                <w:szCs w:val="24"/>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(1.13)</w:t>
            </w:r>
          </w:p>
        </w:tc>
        <w:tc>
          <w:tcPr>
            <w:tcW w:w="100" w:type="dxa"/>
            <w:vAlign w:val="bottom"/>
          </w:tcPr>
          <w:p>
            <w:pPr>
              <w:spacing w:after="0"/>
              <w:rPr>
                <w:sz w:val="24"/>
                <w:szCs w:val="24"/>
                <w:color w:val="auto"/>
              </w:rPr>
            </w:pPr>
          </w:p>
        </w:tc>
        <w:tc>
          <w:tcPr>
            <w:tcW w:w="3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(1.81)</w:t>
            </w:r>
          </w:p>
        </w:tc>
        <w:tc>
          <w:tcPr>
            <w:tcW w:w="10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5800" w:type="dxa"/>
            <w:vAlign w:val="bottom"/>
            <w:gridSpan w:val="4"/>
          </w:tcPr>
          <w:p>
            <w:pPr>
              <w:spacing w:after="0"/>
              <w:rPr>
                <w:sz w:val="20"/>
                <w:szCs w:val="20"/>
                <w:color w:val="auto"/>
              </w:rPr>
            </w:pPr>
            <w:r>
              <w:rPr>
                <w:rFonts w:ascii="Arial" w:cs="Arial" w:eastAsia="Arial" w:hAnsi="Arial"/>
                <w:sz w:val="14"/>
                <w:szCs w:val="14"/>
                <w:color w:val="auto"/>
              </w:rPr>
              <w:t>Net income (loss) attributable to common stock per share - diluted</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0.24</w:t>
            </w:r>
          </w:p>
        </w:tc>
        <w:tc>
          <w:tcPr>
            <w:tcW w:w="120" w:type="dxa"/>
            <w:vAlign w:val="bottom"/>
          </w:tcPr>
          <w:p>
            <w:pPr>
              <w:spacing w:after="0"/>
              <w:rPr>
                <w:sz w:val="23"/>
                <w:szCs w:val="23"/>
                <w:color w:val="auto"/>
              </w:rPr>
            </w:pPr>
          </w:p>
        </w:tc>
        <w:tc>
          <w:tcPr>
            <w:tcW w:w="4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(1.70)</w:t>
            </w:r>
          </w:p>
        </w:tc>
        <w:tc>
          <w:tcPr>
            <w:tcW w:w="220" w:type="dxa"/>
            <w:vAlign w:val="bottom"/>
          </w:tcPr>
          <w:p>
            <w:pPr>
              <w:spacing w:after="0"/>
              <w:rPr>
                <w:sz w:val="23"/>
                <w:szCs w:val="23"/>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(1.13)</w:t>
            </w:r>
          </w:p>
        </w:tc>
        <w:tc>
          <w:tcPr>
            <w:tcW w:w="100" w:type="dxa"/>
            <w:vAlign w:val="bottom"/>
          </w:tcPr>
          <w:p>
            <w:pPr>
              <w:spacing w:after="0"/>
              <w:rPr>
                <w:sz w:val="23"/>
                <w:szCs w:val="23"/>
                <w:color w:val="auto"/>
              </w:rPr>
            </w:pPr>
          </w:p>
        </w:tc>
        <w:tc>
          <w:tcPr>
            <w:tcW w:w="3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(1.81)</w:t>
            </w:r>
          </w:p>
        </w:tc>
        <w:tc>
          <w:tcPr>
            <w:tcW w:w="100" w:type="dxa"/>
            <w:vAlign w:val="bottom"/>
          </w:tcPr>
          <w:p>
            <w:pPr>
              <w:spacing w:after="0"/>
              <w:rPr>
                <w:sz w:val="23"/>
                <w:szCs w:val="23"/>
                <w:color w:val="auto"/>
              </w:rPr>
            </w:pPr>
          </w:p>
        </w:tc>
      </w:tr>
      <w:tr>
        <w:trPr>
          <w:trHeight w:val="486"/>
        </w:trPr>
        <w:tc>
          <w:tcPr>
            <w:tcW w:w="40" w:type="dxa"/>
            <w:vAlign w:val="bottom"/>
          </w:tcPr>
          <w:p>
            <w:pPr>
              <w:spacing w:after="0"/>
              <w:rPr>
                <w:sz w:val="24"/>
                <w:szCs w:val="24"/>
                <w:color w:val="auto"/>
              </w:rPr>
            </w:pPr>
          </w:p>
        </w:tc>
        <w:tc>
          <w:tcPr>
            <w:tcW w:w="5800" w:type="dxa"/>
            <w:vAlign w:val="bottom"/>
            <w:gridSpan w:val="4"/>
          </w:tcPr>
          <w:p>
            <w:pPr>
              <w:spacing w:after="0"/>
              <w:rPr>
                <w:sz w:val="20"/>
                <w:szCs w:val="20"/>
                <w:color w:val="auto"/>
              </w:rPr>
            </w:pPr>
            <w:r>
              <w:rPr>
                <w:rFonts w:ascii="Arial" w:cs="Arial" w:eastAsia="Arial" w:hAnsi="Arial"/>
                <w:sz w:val="14"/>
                <w:szCs w:val="14"/>
                <w:color w:val="auto"/>
              </w:rPr>
              <w:t>Adjusted net (loss) income</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(14)</w:t>
            </w:r>
          </w:p>
        </w:tc>
        <w:tc>
          <w:tcPr>
            <w:tcW w:w="120" w:type="dxa"/>
            <w:vAlign w:val="bottom"/>
          </w:tcPr>
          <w:p>
            <w:pPr>
              <w:spacing w:after="0"/>
              <w:rPr>
                <w:sz w:val="24"/>
                <w:szCs w:val="24"/>
                <w:color w:val="auto"/>
              </w:rPr>
            </w:pPr>
          </w:p>
        </w:tc>
        <w:tc>
          <w:tcPr>
            <w:tcW w:w="4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(14)</w:t>
            </w:r>
          </w:p>
        </w:tc>
        <w:tc>
          <w:tcPr>
            <w:tcW w:w="220" w:type="dxa"/>
            <w:vAlign w:val="bottom"/>
          </w:tcPr>
          <w:p>
            <w:pPr>
              <w:spacing w:after="0"/>
              <w:rPr>
                <w:sz w:val="24"/>
                <w:szCs w:val="24"/>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17</w:t>
            </w:r>
          </w:p>
        </w:tc>
        <w:tc>
          <w:tcPr>
            <w:tcW w:w="100" w:type="dxa"/>
            <w:vAlign w:val="bottom"/>
          </w:tcPr>
          <w:p>
            <w:pPr>
              <w:spacing w:after="0"/>
              <w:rPr>
                <w:sz w:val="24"/>
                <w:szCs w:val="24"/>
                <w:color w:val="auto"/>
              </w:rPr>
            </w:pPr>
          </w:p>
        </w:tc>
        <w:tc>
          <w:tcPr>
            <w:tcW w:w="3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5800" w:type="dxa"/>
            <w:vAlign w:val="bottom"/>
            <w:gridSpan w:val="4"/>
          </w:tcPr>
          <w:p>
            <w:pPr>
              <w:spacing w:after="0"/>
              <w:rPr>
                <w:sz w:val="20"/>
                <w:szCs w:val="20"/>
                <w:color w:val="auto"/>
              </w:rPr>
            </w:pPr>
            <w:r>
              <w:rPr>
                <w:rFonts w:ascii="Arial" w:cs="Arial" w:eastAsia="Arial" w:hAnsi="Arial"/>
                <w:sz w:val="14"/>
                <w:szCs w:val="14"/>
                <w:color w:val="auto"/>
              </w:rPr>
              <w:t>Adjusted net (loss) income per share - basic</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(0.29)</w:t>
            </w:r>
          </w:p>
        </w:tc>
        <w:tc>
          <w:tcPr>
            <w:tcW w:w="120" w:type="dxa"/>
            <w:vAlign w:val="bottom"/>
          </w:tcPr>
          <w:p>
            <w:pPr>
              <w:spacing w:after="0"/>
              <w:rPr>
                <w:sz w:val="23"/>
                <w:szCs w:val="23"/>
                <w:color w:val="auto"/>
              </w:rPr>
            </w:pPr>
          </w:p>
        </w:tc>
        <w:tc>
          <w:tcPr>
            <w:tcW w:w="4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(0.29)</w:t>
            </w:r>
          </w:p>
        </w:tc>
        <w:tc>
          <w:tcPr>
            <w:tcW w:w="220" w:type="dxa"/>
            <w:vAlign w:val="bottom"/>
          </w:tcPr>
          <w:p>
            <w:pPr>
              <w:spacing w:after="0"/>
              <w:rPr>
                <w:sz w:val="23"/>
                <w:szCs w:val="23"/>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0.35</w:t>
            </w:r>
          </w:p>
        </w:tc>
        <w:tc>
          <w:tcPr>
            <w:tcW w:w="100" w:type="dxa"/>
            <w:vAlign w:val="bottom"/>
          </w:tcPr>
          <w:p>
            <w:pPr>
              <w:spacing w:after="0"/>
              <w:rPr>
                <w:sz w:val="23"/>
                <w:szCs w:val="23"/>
                <w:color w:val="auto"/>
              </w:rPr>
            </w:pPr>
          </w:p>
        </w:tc>
        <w:tc>
          <w:tcPr>
            <w:tcW w:w="3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(0.13)</w:t>
            </w:r>
          </w:p>
        </w:tc>
        <w:tc>
          <w:tcPr>
            <w:tcW w:w="10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5800" w:type="dxa"/>
            <w:vAlign w:val="bottom"/>
            <w:gridSpan w:val="4"/>
          </w:tcPr>
          <w:p>
            <w:pPr>
              <w:spacing w:after="0"/>
              <w:rPr>
                <w:sz w:val="20"/>
                <w:szCs w:val="20"/>
                <w:color w:val="auto"/>
              </w:rPr>
            </w:pPr>
            <w:r>
              <w:rPr>
                <w:rFonts w:ascii="Arial" w:cs="Arial" w:eastAsia="Arial" w:hAnsi="Arial"/>
                <w:sz w:val="14"/>
                <w:szCs w:val="14"/>
                <w:color w:val="auto"/>
              </w:rPr>
              <w:t>Adjusted net (loss) income per share - diluted</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(0.29)</w:t>
            </w:r>
          </w:p>
        </w:tc>
        <w:tc>
          <w:tcPr>
            <w:tcW w:w="120" w:type="dxa"/>
            <w:vAlign w:val="bottom"/>
          </w:tcPr>
          <w:p>
            <w:pPr>
              <w:spacing w:after="0"/>
              <w:rPr>
                <w:sz w:val="23"/>
                <w:szCs w:val="23"/>
                <w:color w:val="auto"/>
              </w:rPr>
            </w:pPr>
          </w:p>
        </w:tc>
        <w:tc>
          <w:tcPr>
            <w:tcW w:w="4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(0.29)</w:t>
            </w:r>
          </w:p>
        </w:tc>
        <w:tc>
          <w:tcPr>
            <w:tcW w:w="220" w:type="dxa"/>
            <w:vAlign w:val="bottom"/>
          </w:tcPr>
          <w:p>
            <w:pPr>
              <w:spacing w:after="0"/>
              <w:rPr>
                <w:sz w:val="23"/>
                <w:szCs w:val="23"/>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0.35</w:t>
            </w:r>
          </w:p>
        </w:tc>
        <w:tc>
          <w:tcPr>
            <w:tcW w:w="100" w:type="dxa"/>
            <w:vAlign w:val="bottom"/>
          </w:tcPr>
          <w:p>
            <w:pPr>
              <w:spacing w:after="0"/>
              <w:rPr>
                <w:sz w:val="23"/>
                <w:szCs w:val="23"/>
                <w:color w:val="auto"/>
              </w:rPr>
            </w:pPr>
          </w:p>
        </w:tc>
        <w:tc>
          <w:tcPr>
            <w:tcW w:w="3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(0.13)</w:t>
            </w:r>
          </w:p>
        </w:tc>
        <w:tc>
          <w:tcPr>
            <w:tcW w:w="100" w:type="dxa"/>
            <w:vAlign w:val="bottom"/>
          </w:tcPr>
          <w:p>
            <w:pPr>
              <w:spacing w:after="0"/>
              <w:rPr>
                <w:sz w:val="23"/>
                <w:szCs w:val="23"/>
                <w:color w:val="auto"/>
              </w:rPr>
            </w:pPr>
          </w:p>
        </w:tc>
      </w:tr>
      <w:tr>
        <w:trPr>
          <w:trHeight w:val="459"/>
        </w:trPr>
        <w:tc>
          <w:tcPr>
            <w:tcW w:w="40" w:type="dxa"/>
            <w:vAlign w:val="bottom"/>
          </w:tcPr>
          <w:p>
            <w:pPr>
              <w:spacing w:after="0"/>
              <w:rPr>
                <w:sz w:val="24"/>
                <w:szCs w:val="24"/>
                <w:color w:val="auto"/>
              </w:rPr>
            </w:pPr>
          </w:p>
        </w:tc>
        <w:tc>
          <w:tcPr>
            <w:tcW w:w="5800" w:type="dxa"/>
            <w:vAlign w:val="bottom"/>
            <w:gridSpan w:val="4"/>
          </w:tcPr>
          <w:p>
            <w:pPr>
              <w:spacing w:after="0"/>
              <w:rPr>
                <w:sz w:val="20"/>
                <w:szCs w:val="20"/>
                <w:color w:val="auto"/>
              </w:rPr>
            </w:pPr>
            <w:r>
              <w:rPr>
                <w:rFonts w:ascii="Arial" w:cs="Arial" w:eastAsia="Arial" w:hAnsi="Arial"/>
                <w:sz w:val="14"/>
                <w:szCs w:val="14"/>
                <w:color w:val="auto"/>
              </w:rPr>
              <w:t>Weighted-average common shares outstanding - basic</w:t>
            </w:r>
          </w:p>
        </w:tc>
        <w:tc>
          <w:tcPr>
            <w:tcW w:w="300" w:type="dxa"/>
            <w:vAlign w:val="bottom"/>
          </w:tcPr>
          <w:p>
            <w:pPr>
              <w:spacing w:after="0"/>
              <w:rPr>
                <w:sz w:val="24"/>
                <w:szCs w:val="24"/>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48.9</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48.2</w:t>
            </w:r>
          </w:p>
        </w:tc>
        <w:tc>
          <w:tcPr>
            <w:tcW w:w="220" w:type="dxa"/>
            <w:vAlign w:val="bottom"/>
          </w:tcPr>
          <w:p>
            <w:pPr>
              <w:spacing w:after="0"/>
              <w:rPr>
                <w:sz w:val="24"/>
                <w:szCs w:val="24"/>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48.8</w:t>
            </w:r>
          </w:p>
        </w:tc>
        <w:tc>
          <w:tcPr>
            <w:tcW w:w="100" w:type="dxa"/>
            <w:vAlign w:val="bottom"/>
          </w:tcPr>
          <w:p>
            <w:pPr>
              <w:spacing w:after="0"/>
              <w:rPr>
                <w:sz w:val="24"/>
                <w:szCs w:val="24"/>
                <w:color w:val="auto"/>
              </w:rPr>
            </w:pPr>
          </w:p>
        </w:tc>
        <w:tc>
          <w:tcPr>
            <w:tcW w:w="3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46.3</w:t>
            </w:r>
          </w:p>
        </w:tc>
        <w:tc>
          <w:tcPr>
            <w:tcW w:w="10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5800" w:type="dxa"/>
            <w:vAlign w:val="bottom"/>
            <w:gridSpan w:val="4"/>
          </w:tcPr>
          <w:p>
            <w:pPr>
              <w:spacing w:after="0"/>
              <w:rPr>
                <w:sz w:val="20"/>
                <w:szCs w:val="20"/>
                <w:color w:val="auto"/>
              </w:rPr>
            </w:pPr>
            <w:r>
              <w:rPr>
                <w:rFonts w:ascii="Arial" w:cs="Arial" w:eastAsia="Arial" w:hAnsi="Arial"/>
                <w:sz w:val="14"/>
                <w:szCs w:val="14"/>
                <w:color w:val="auto"/>
              </w:rPr>
              <w:t>Weighted-average common shares outstanding - diluted</w:t>
            </w:r>
          </w:p>
        </w:tc>
        <w:tc>
          <w:tcPr>
            <w:tcW w:w="30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49.2</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48.2</w:t>
            </w:r>
          </w:p>
        </w:tc>
        <w:tc>
          <w:tcPr>
            <w:tcW w:w="220" w:type="dxa"/>
            <w:vAlign w:val="bottom"/>
          </w:tcPr>
          <w:p>
            <w:pPr>
              <w:spacing w:after="0"/>
              <w:rPr>
                <w:sz w:val="23"/>
                <w:szCs w:val="23"/>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48.8</w:t>
            </w:r>
          </w:p>
        </w:tc>
        <w:tc>
          <w:tcPr>
            <w:tcW w:w="100" w:type="dxa"/>
            <w:vAlign w:val="bottom"/>
          </w:tcPr>
          <w:p>
            <w:pPr>
              <w:spacing w:after="0"/>
              <w:rPr>
                <w:sz w:val="23"/>
                <w:szCs w:val="23"/>
                <w:color w:val="auto"/>
              </w:rPr>
            </w:pPr>
          </w:p>
        </w:tc>
        <w:tc>
          <w:tcPr>
            <w:tcW w:w="3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46.3</w:t>
            </w:r>
          </w:p>
        </w:tc>
        <w:tc>
          <w:tcPr>
            <w:tcW w:w="100" w:type="dxa"/>
            <w:vAlign w:val="bottom"/>
          </w:tcPr>
          <w:p>
            <w:pPr>
              <w:spacing w:after="0"/>
              <w:rPr>
                <w:sz w:val="23"/>
                <w:szCs w:val="23"/>
                <w:color w:val="auto"/>
              </w:rPr>
            </w:pPr>
          </w:p>
        </w:tc>
      </w:tr>
      <w:tr>
        <w:trPr>
          <w:trHeight w:val="459"/>
        </w:trPr>
        <w:tc>
          <w:tcPr>
            <w:tcW w:w="40" w:type="dxa"/>
            <w:vAlign w:val="bottom"/>
          </w:tcPr>
          <w:p>
            <w:pPr>
              <w:spacing w:after="0"/>
              <w:rPr>
                <w:sz w:val="24"/>
                <w:szCs w:val="24"/>
                <w:color w:val="auto"/>
              </w:rPr>
            </w:pPr>
          </w:p>
        </w:tc>
        <w:tc>
          <w:tcPr>
            <w:tcW w:w="5800" w:type="dxa"/>
            <w:vAlign w:val="bottom"/>
            <w:gridSpan w:val="4"/>
          </w:tcPr>
          <w:p>
            <w:pPr>
              <w:spacing w:after="0"/>
              <w:rPr>
                <w:sz w:val="20"/>
                <w:szCs w:val="20"/>
                <w:color w:val="auto"/>
              </w:rPr>
            </w:pPr>
            <w:r>
              <w:rPr>
                <w:rFonts w:ascii="Arial" w:cs="Arial" w:eastAsia="Arial" w:hAnsi="Arial"/>
                <w:sz w:val="14"/>
                <w:szCs w:val="14"/>
                <w:color w:val="auto"/>
              </w:rPr>
              <w:t>Adjusted EBITDAX</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255</w:t>
            </w:r>
          </w:p>
        </w:tc>
        <w:tc>
          <w:tcPr>
            <w:tcW w:w="120" w:type="dxa"/>
            <w:vAlign w:val="bottom"/>
          </w:tcPr>
          <w:p>
            <w:pPr>
              <w:spacing w:after="0"/>
              <w:rPr>
                <w:sz w:val="24"/>
                <w:szCs w:val="24"/>
                <w:color w:val="auto"/>
              </w:rPr>
            </w:pPr>
          </w:p>
        </w:tc>
        <w:tc>
          <w:tcPr>
            <w:tcW w:w="4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245</w:t>
            </w:r>
          </w:p>
        </w:tc>
        <w:tc>
          <w:tcPr>
            <w:tcW w:w="220" w:type="dxa"/>
            <w:vAlign w:val="bottom"/>
          </w:tcPr>
          <w:p>
            <w:pPr>
              <w:spacing w:after="0"/>
              <w:rPr>
                <w:sz w:val="24"/>
                <w:szCs w:val="24"/>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556</w:t>
            </w:r>
          </w:p>
        </w:tc>
        <w:tc>
          <w:tcPr>
            <w:tcW w:w="100" w:type="dxa"/>
            <w:vAlign w:val="bottom"/>
          </w:tcPr>
          <w:p>
            <w:pPr>
              <w:spacing w:after="0"/>
              <w:rPr>
                <w:sz w:val="24"/>
                <w:szCs w:val="24"/>
                <w:color w:val="auto"/>
              </w:rPr>
            </w:pPr>
          </w:p>
        </w:tc>
        <w:tc>
          <w:tcPr>
            <w:tcW w:w="3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495</w:t>
            </w:r>
          </w:p>
        </w:tc>
        <w:tc>
          <w:tcPr>
            <w:tcW w:w="10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5800" w:type="dxa"/>
            <w:vAlign w:val="bottom"/>
            <w:gridSpan w:val="4"/>
          </w:tcPr>
          <w:p>
            <w:pPr>
              <w:spacing w:after="0"/>
              <w:rPr>
                <w:sz w:val="20"/>
                <w:szCs w:val="20"/>
                <w:color w:val="auto"/>
              </w:rPr>
            </w:pPr>
            <w:r>
              <w:rPr>
                <w:rFonts w:ascii="Arial" w:cs="Arial" w:eastAsia="Arial" w:hAnsi="Arial"/>
                <w:sz w:val="14"/>
                <w:szCs w:val="14"/>
                <w:color w:val="auto"/>
              </w:rPr>
              <w:t>Effective tax rate</w:t>
            </w:r>
          </w:p>
        </w:tc>
        <w:tc>
          <w:tcPr>
            <w:tcW w:w="30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0%</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0%</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100" w:type="dxa"/>
            <w:vAlign w:val="bottom"/>
          </w:tcPr>
          <w:p>
            <w:pPr>
              <w:spacing w:after="0"/>
              <w:rPr>
                <w:sz w:val="23"/>
                <w:szCs w:val="23"/>
                <w:color w:val="auto"/>
              </w:rPr>
            </w:pPr>
          </w:p>
        </w:tc>
      </w:tr>
      <w:tr>
        <w:trPr>
          <w:trHeight w:val="377"/>
        </w:trPr>
        <w:tc>
          <w:tcPr>
            <w:tcW w:w="40" w:type="dxa"/>
            <w:vAlign w:val="bottom"/>
          </w:tcPr>
          <w:p>
            <w:pPr>
              <w:spacing w:after="0"/>
              <w:rPr>
                <w:sz w:val="24"/>
                <w:szCs w:val="24"/>
                <w:color w:val="auto"/>
              </w:rPr>
            </w:pPr>
          </w:p>
        </w:tc>
        <w:tc>
          <w:tcPr>
            <w:tcW w:w="1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Cash Flow Data:</w:t>
            </w:r>
          </w:p>
        </w:tc>
        <w:tc>
          <w:tcPr>
            <w:tcW w:w="4680" w:type="dxa"/>
            <w:vAlign w:val="bottom"/>
            <w:gridSpan w:val="3"/>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9"/>
        </w:trPr>
        <w:tc>
          <w:tcPr>
            <w:tcW w:w="40" w:type="dxa"/>
            <w:vAlign w:val="bottom"/>
          </w:tcPr>
          <w:p>
            <w:pPr>
              <w:spacing w:after="0"/>
              <w:rPr>
                <w:sz w:val="24"/>
                <w:szCs w:val="24"/>
                <w:color w:val="auto"/>
              </w:rPr>
            </w:pPr>
          </w:p>
        </w:tc>
        <w:tc>
          <w:tcPr>
            <w:tcW w:w="5800" w:type="dxa"/>
            <w:vAlign w:val="bottom"/>
            <w:gridSpan w:val="4"/>
          </w:tcPr>
          <w:p>
            <w:pPr>
              <w:spacing w:after="0"/>
              <w:rPr>
                <w:sz w:val="20"/>
                <w:szCs w:val="20"/>
                <w:color w:val="auto"/>
              </w:rPr>
            </w:pPr>
            <w:r>
              <w:rPr>
                <w:rFonts w:ascii="Arial" w:cs="Arial" w:eastAsia="Arial" w:hAnsi="Arial"/>
                <w:sz w:val="14"/>
                <w:szCs w:val="14"/>
                <w:color w:val="auto"/>
              </w:rPr>
              <w:t>Net cash provided by operating activities</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114</w:t>
            </w:r>
          </w:p>
        </w:tc>
        <w:tc>
          <w:tcPr>
            <w:tcW w:w="120" w:type="dxa"/>
            <w:vAlign w:val="bottom"/>
          </w:tcPr>
          <w:p>
            <w:pPr>
              <w:spacing w:after="0"/>
              <w:rPr>
                <w:sz w:val="24"/>
                <w:szCs w:val="24"/>
                <w:color w:val="auto"/>
              </w:rPr>
            </w:pPr>
          </w:p>
        </w:tc>
        <w:tc>
          <w:tcPr>
            <w:tcW w:w="4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34</w:t>
            </w:r>
          </w:p>
        </w:tc>
        <w:tc>
          <w:tcPr>
            <w:tcW w:w="220" w:type="dxa"/>
            <w:vAlign w:val="bottom"/>
          </w:tcPr>
          <w:p>
            <w:pPr>
              <w:spacing w:after="0"/>
              <w:rPr>
                <w:sz w:val="24"/>
                <w:szCs w:val="24"/>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272</w:t>
            </w:r>
          </w:p>
        </w:tc>
        <w:tc>
          <w:tcPr>
            <w:tcW w:w="100" w:type="dxa"/>
            <w:vAlign w:val="bottom"/>
          </w:tcPr>
          <w:p>
            <w:pPr>
              <w:spacing w:after="0"/>
              <w:rPr>
                <w:sz w:val="24"/>
                <w:szCs w:val="24"/>
                <w:color w:val="auto"/>
              </w:rPr>
            </w:pPr>
          </w:p>
        </w:tc>
        <w:tc>
          <w:tcPr>
            <w:tcW w:w="3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234</w:t>
            </w:r>
          </w:p>
        </w:tc>
        <w:tc>
          <w:tcPr>
            <w:tcW w:w="10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5800" w:type="dxa"/>
            <w:vAlign w:val="bottom"/>
            <w:gridSpan w:val="4"/>
          </w:tcPr>
          <w:p>
            <w:pPr>
              <w:spacing w:after="0"/>
              <w:rPr>
                <w:sz w:val="20"/>
                <w:szCs w:val="20"/>
                <w:color w:val="auto"/>
              </w:rPr>
            </w:pPr>
            <w:r>
              <w:rPr>
                <w:rFonts w:ascii="Arial" w:cs="Arial" w:eastAsia="Arial" w:hAnsi="Arial"/>
                <w:sz w:val="14"/>
                <w:szCs w:val="14"/>
                <w:color w:val="auto"/>
              </w:rPr>
              <w:t>Net cash provided (used) in investing activities</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12</w:t>
            </w:r>
          </w:p>
        </w:tc>
        <w:tc>
          <w:tcPr>
            <w:tcW w:w="120" w:type="dxa"/>
            <w:vAlign w:val="bottom"/>
          </w:tcPr>
          <w:p>
            <w:pPr>
              <w:spacing w:after="0"/>
              <w:rPr>
                <w:sz w:val="23"/>
                <w:szCs w:val="23"/>
                <w:color w:val="auto"/>
              </w:rPr>
            </w:pPr>
          </w:p>
        </w:tc>
        <w:tc>
          <w:tcPr>
            <w:tcW w:w="4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(669)</w:t>
            </w:r>
          </w:p>
        </w:tc>
        <w:tc>
          <w:tcPr>
            <w:tcW w:w="220" w:type="dxa"/>
            <w:vAlign w:val="bottom"/>
          </w:tcPr>
          <w:p>
            <w:pPr>
              <w:spacing w:after="0"/>
              <w:rPr>
                <w:sz w:val="23"/>
                <w:szCs w:val="23"/>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(170)</w:t>
            </w:r>
          </w:p>
        </w:tc>
        <w:tc>
          <w:tcPr>
            <w:tcW w:w="100" w:type="dxa"/>
            <w:vAlign w:val="bottom"/>
          </w:tcPr>
          <w:p>
            <w:pPr>
              <w:spacing w:after="0"/>
              <w:rPr>
                <w:sz w:val="23"/>
                <w:szCs w:val="23"/>
                <w:color w:val="auto"/>
              </w:rPr>
            </w:pPr>
          </w:p>
        </w:tc>
        <w:tc>
          <w:tcPr>
            <w:tcW w:w="3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(807)</w:t>
            </w:r>
          </w:p>
        </w:tc>
        <w:tc>
          <w:tcPr>
            <w:tcW w:w="10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5800" w:type="dxa"/>
            <w:vAlign w:val="bottom"/>
            <w:gridSpan w:val="4"/>
          </w:tcPr>
          <w:p>
            <w:pPr>
              <w:spacing w:after="0"/>
              <w:rPr>
                <w:sz w:val="20"/>
                <w:szCs w:val="20"/>
                <w:color w:val="auto"/>
              </w:rPr>
            </w:pPr>
            <w:r>
              <w:rPr>
                <w:rFonts w:ascii="Arial" w:cs="Arial" w:eastAsia="Arial" w:hAnsi="Arial"/>
                <w:sz w:val="14"/>
                <w:szCs w:val="14"/>
                <w:color w:val="auto"/>
              </w:rPr>
              <w:t>Net cash (used) provided by financing activities</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(142)</w:t>
            </w:r>
          </w:p>
        </w:tc>
        <w:tc>
          <w:tcPr>
            <w:tcW w:w="120" w:type="dxa"/>
            <w:vAlign w:val="bottom"/>
          </w:tcPr>
          <w:p>
            <w:pPr>
              <w:spacing w:after="0"/>
              <w:rPr>
                <w:sz w:val="23"/>
                <w:szCs w:val="23"/>
                <w:color w:val="auto"/>
              </w:rPr>
            </w:pPr>
          </w:p>
        </w:tc>
        <w:tc>
          <w:tcPr>
            <w:tcW w:w="4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183</w:t>
            </w:r>
          </w:p>
        </w:tc>
        <w:tc>
          <w:tcPr>
            <w:tcW w:w="220" w:type="dxa"/>
            <w:vAlign w:val="bottom"/>
          </w:tcPr>
          <w:p>
            <w:pPr>
              <w:spacing w:after="0"/>
              <w:rPr>
                <w:sz w:val="23"/>
                <w:szCs w:val="23"/>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(92)</w:t>
            </w:r>
          </w:p>
        </w:tc>
        <w:tc>
          <w:tcPr>
            <w:tcW w:w="100" w:type="dxa"/>
            <w:vAlign w:val="bottom"/>
          </w:tcPr>
          <w:p>
            <w:pPr>
              <w:spacing w:after="0"/>
              <w:rPr>
                <w:sz w:val="23"/>
                <w:szCs w:val="23"/>
                <w:color w:val="auto"/>
              </w:rPr>
            </w:pPr>
          </w:p>
        </w:tc>
        <w:tc>
          <w:tcPr>
            <w:tcW w:w="3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595</w:t>
            </w:r>
          </w:p>
        </w:tc>
        <w:tc>
          <w:tcPr>
            <w:tcW w:w="100" w:type="dxa"/>
            <w:vAlign w:val="bottom"/>
          </w:tcPr>
          <w:p>
            <w:pPr>
              <w:spacing w:after="0"/>
              <w:rPr>
                <w:sz w:val="23"/>
                <w:szCs w:val="23"/>
                <w:color w:val="auto"/>
              </w:rPr>
            </w:pPr>
          </w:p>
        </w:tc>
      </w:tr>
    </w:tbl>
    <w:p>
      <w:pPr>
        <w:spacing w:after="0" w:line="200" w:lineRule="exact"/>
        <w:rPr>
          <w:sz w:val="20"/>
          <w:szCs w:val="20"/>
          <w:color w:val="auto"/>
        </w:rPr>
      </w:pPr>
    </w:p>
    <w:p>
      <w:pPr>
        <w:sectPr>
          <w:pgSz w:w="11900" w:h="16838" w:orient="portrait"/>
          <w:cols w:equalWidth="0" w:num="1">
            <w:col w:w="11420"/>
          </w:cols>
          <w:pgMar w:left="240" w:top="964" w:right="239" w:bottom="1440" w:gutter="0" w:footer="0" w:header="0"/>
        </w:sect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420"/>
          </w:cols>
          <w:pgMar w:left="240" w:top="964" w:right="239"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6"/>
                <w:szCs w:val="16"/>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December 31,</w:t>
            </w:r>
          </w:p>
        </w:tc>
        <w:tc>
          <w:tcPr>
            <w:tcW w:w="340" w:type="dxa"/>
            <w:vAlign w:val="bottom"/>
          </w:tcPr>
          <w:p>
            <w:pPr>
              <w:spacing w:after="0"/>
              <w:rPr>
                <w:sz w:val="16"/>
                <w:szCs w:val="16"/>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FFFFFF"/>
              </w:rPr>
              <w:t>Twelve Months</w:t>
            </w: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76"/>
        </w:trPr>
        <w:tc>
          <w:tcPr>
            <w:tcW w:w="40" w:type="dxa"/>
            <w:vAlign w:val="bottom"/>
            <w:tcBorders>
              <w:bottom w:val="single" w:sz="8" w:color="auto"/>
            </w:tcBorders>
          </w:tcPr>
          <w:p>
            <w:pPr>
              <w:spacing w:after="0"/>
              <w:rPr>
                <w:sz w:val="24"/>
                <w:szCs w:val="24"/>
                <w:color w:val="auto"/>
              </w:rPr>
            </w:pPr>
          </w:p>
        </w:tc>
        <w:tc>
          <w:tcPr>
            <w:tcW w:w="56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 and shares in millions)</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2018</w:t>
            </w:r>
          </w:p>
        </w:tc>
        <w:tc>
          <w:tcPr>
            <w:tcW w:w="340" w:type="dxa"/>
            <w:vAlign w:val="bottom"/>
          </w:tcPr>
          <w:p>
            <w:pPr>
              <w:spacing w:after="0"/>
              <w:rPr>
                <w:sz w:val="24"/>
                <w:szCs w:val="24"/>
                <w:color w:val="auto"/>
              </w:rPr>
            </w:pPr>
          </w:p>
        </w:tc>
        <w:tc>
          <w:tcPr>
            <w:tcW w:w="1160" w:type="dxa"/>
            <w:vAlign w:val="bottom"/>
          </w:tcPr>
          <w:p>
            <w:pPr>
              <w:jc w:val="right"/>
              <w:ind w:right="428"/>
              <w:spacing w:after="0"/>
              <w:rPr>
                <w:sz w:val="20"/>
                <w:szCs w:val="20"/>
                <w:color w:val="auto"/>
              </w:rPr>
            </w:pPr>
            <w:r>
              <w:rPr>
                <w:rFonts w:ascii="Arial" w:cs="Arial" w:eastAsia="Arial" w:hAnsi="Arial"/>
                <w:sz w:val="14"/>
                <w:szCs w:val="14"/>
                <w:b w:val="1"/>
                <w:bCs w:val="1"/>
                <w:color w:val="FFFFFF"/>
              </w:rPr>
              <w:t>2018</w:t>
            </w:r>
          </w:p>
        </w:tc>
        <w:tc>
          <w:tcPr>
            <w:tcW w:w="360" w:type="dxa"/>
            <w:vAlign w:val="bottom"/>
          </w:tcPr>
          <w:p>
            <w:pPr>
              <w:spacing w:after="0"/>
              <w:rPr>
                <w:sz w:val="24"/>
                <w:szCs w:val="24"/>
                <w:color w:val="auto"/>
              </w:rPr>
            </w:pPr>
          </w:p>
        </w:tc>
        <w:tc>
          <w:tcPr>
            <w:tcW w:w="900" w:type="dxa"/>
            <w:vAlign w:val="bottom"/>
          </w:tcPr>
          <w:p>
            <w:pPr>
              <w:jc w:val="right"/>
              <w:ind w:right="328"/>
              <w:spacing w:after="0"/>
              <w:rPr>
                <w:sz w:val="20"/>
                <w:szCs w:val="20"/>
                <w:color w:val="auto"/>
              </w:rPr>
            </w:pPr>
            <w:r>
              <w:rPr>
                <w:rFonts w:ascii="Arial" w:cs="Arial" w:eastAsia="Arial" w:hAnsi="Arial"/>
                <w:sz w:val="14"/>
                <w:szCs w:val="14"/>
                <w:color w:val="FFFFFF"/>
              </w:rPr>
              <w:t>2017</w:t>
            </w:r>
          </w:p>
        </w:tc>
      </w:tr>
      <w:tr>
        <w:trPr>
          <w:trHeight w:val="391"/>
        </w:trPr>
        <w:tc>
          <w:tcPr>
            <w:tcW w:w="40" w:type="dxa"/>
            <w:vAlign w:val="bottom"/>
          </w:tcPr>
          <w:p>
            <w:pPr>
              <w:spacing w:after="0"/>
              <w:rPr>
                <w:sz w:val="24"/>
                <w:szCs w:val="24"/>
                <w:color w:val="auto"/>
              </w:rPr>
            </w:pPr>
          </w:p>
        </w:tc>
        <w:tc>
          <w:tcPr>
            <w:tcW w:w="2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Selected Balance Sheet Data:</w:t>
            </w:r>
          </w:p>
        </w:tc>
        <w:tc>
          <w:tcPr>
            <w:tcW w:w="378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9"/>
        </w:trPr>
        <w:tc>
          <w:tcPr>
            <w:tcW w:w="40" w:type="dxa"/>
            <w:vAlign w:val="bottom"/>
          </w:tcPr>
          <w:p>
            <w:pPr>
              <w:spacing w:after="0"/>
              <w:rPr>
                <w:sz w:val="24"/>
                <w:szCs w:val="24"/>
                <w:color w:val="auto"/>
              </w:rPr>
            </w:pPr>
          </w:p>
        </w:tc>
        <w:tc>
          <w:tcPr>
            <w:tcW w:w="5800" w:type="dxa"/>
            <w:vAlign w:val="bottom"/>
            <w:gridSpan w:val="3"/>
          </w:tcPr>
          <w:p>
            <w:pPr>
              <w:spacing w:after="0"/>
              <w:rPr>
                <w:sz w:val="20"/>
                <w:szCs w:val="20"/>
                <w:color w:val="auto"/>
              </w:rPr>
            </w:pPr>
            <w:r>
              <w:rPr>
                <w:rFonts w:ascii="Arial" w:cs="Arial" w:eastAsia="Arial" w:hAnsi="Arial"/>
                <w:sz w:val="14"/>
                <w:szCs w:val="14"/>
                <w:color w:val="auto"/>
              </w:rPr>
              <w:t>Total current assets</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b w:val="1"/>
                <w:bCs w:val="1"/>
                <w:color w:val="auto"/>
              </w:rPr>
              <w:t>522</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640</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FFFFFF"/>
              </w:rPr>
              <w:t>$</w:t>
            </w:r>
          </w:p>
        </w:tc>
        <w:tc>
          <w:tcPr>
            <w:tcW w:w="1160" w:type="dxa"/>
            <w:vAlign w:val="bottom"/>
          </w:tcPr>
          <w:p>
            <w:pPr>
              <w:jc w:val="right"/>
              <w:ind w:right="68"/>
              <w:spacing w:after="0"/>
              <w:rPr>
                <w:sz w:val="20"/>
                <w:szCs w:val="20"/>
                <w:color w:val="auto"/>
              </w:rPr>
            </w:pPr>
            <w:r>
              <w:rPr>
                <w:rFonts w:ascii="Arial" w:cs="Arial" w:eastAsia="Arial" w:hAnsi="Arial"/>
                <w:sz w:val="14"/>
                <w:szCs w:val="14"/>
                <w:b w:val="1"/>
                <w:bCs w:val="1"/>
                <w:color w:val="FFFFFF"/>
              </w:rPr>
              <w:t>461</w:t>
            </w:r>
          </w:p>
        </w:tc>
        <w:tc>
          <w:tcPr>
            <w:tcW w:w="360" w:type="dxa"/>
            <w:vAlign w:val="bottom"/>
          </w:tcPr>
          <w:p>
            <w:pPr>
              <w:jc w:val="right"/>
              <w:ind w:right="108"/>
              <w:spacing w:after="0"/>
              <w:rPr>
                <w:sz w:val="20"/>
                <w:szCs w:val="20"/>
                <w:color w:val="auto"/>
              </w:rPr>
            </w:pPr>
            <w:r>
              <w:rPr>
                <w:rFonts w:ascii="Arial" w:cs="Arial" w:eastAsia="Arial" w:hAnsi="Arial"/>
                <w:sz w:val="14"/>
                <w:szCs w:val="14"/>
                <w:color w:val="FFFFFF"/>
              </w:rPr>
              <w:t>$</w:t>
            </w:r>
          </w:p>
        </w:tc>
        <w:tc>
          <w:tcPr>
            <w:tcW w:w="900" w:type="dxa"/>
            <w:vAlign w:val="bottom"/>
          </w:tcPr>
          <w:p>
            <w:pPr>
              <w:jc w:val="right"/>
              <w:spacing w:after="0"/>
              <w:rPr>
                <w:sz w:val="20"/>
                <w:szCs w:val="20"/>
                <w:color w:val="auto"/>
              </w:rPr>
            </w:pPr>
            <w:r>
              <w:rPr>
                <w:rFonts w:ascii="Arial" w:cs="Arial" w:eastAsia="Arial" w:hAnsi="Arial"/>
                <w:sz w:val="14"/>
                <w:szCs w:val="14"/>
                <w:color w:val="FFFFFF"/>
              </w:rPr>
              <w:t>248</w:t>
            </w:r>
          </w:p>
        </w:tc>
      </w:tr>
      <w:tr>
        <w:trPr>
          <w:trHeight w:val="270"/>
        </w:trPr>
        <w:tc>
          <w:tcPr>
            <w:tcW w:w="40" w:type="dxa"/>
            <w:vAlign w:val="bottom"/>
          </w:tcPr>
          <w:p>
            <w:pPr>
              <w:spacing w:after="0"/>
              <w:rPr>
                <w:sz w:val="23"/>
                <w:szCs w:val="23"/>
                <w:color w:val="auto"/>
              </w:rPr>
            </w:pPr>
          </w:p>
        </w:tc>
        <w:tc>
          <w:tcPr>
            <w:tcW w:w="5800" w:type="dxa"/>
            <w:vAlign w:val="bottom"/>
            <w:gridSpan w:val="3"/>
          </w:tcPr>
          <w:p>
            <w:pPr>
              <w:spacing w:after="0"/>
              <w:rPr>
                <w:sz w:val="20"/>
                <w:szCs w:val="20"/>
                <w:color w:val="auto"/>
              </w:rPr>
            </w:pPr>
            <w:r>
              <w:rPr>
                <w:rFonts w:ascii="Arial" w:cs="Arial" w:eastAsia="Arial" w:hAnsi="Arial"/>
                <w:sz w:val="14"/>
                <w:szCs w:val="14"/>
                <w:color w:val="auto"/>
              </w:rPr>
              <w:t>Total property, plant and equipment, net</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b w:val="1"/>
                <w:bCs w:val="1"/>
                <w:color w:val="auto"/>
              </w:rPr>
              <w:t>6,409</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6,455</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FFFFFF"/>
              </w:rPr>
              <w:t>$</w:t>
            </w:r>
          </w:p>
        </w:tc>
        <w:tc>
          <w:tcPr>
            <w:tcW w:w="1160" w:type="dxa"/>
            <w:vAlign w:val="bottom"/>
          </w:tcPr>
          <w:p>
            <w:pPr>
              <w:jc w:val="right"/>
              <w:ind w:right="28"/>
              <w:spacing w:after="0"/>
              <w:rPr>
                <w:sz w:val="20"/>
                <w:szCs w:val="20"/>
                <w:color w:val="auto"/>
              </w:rPr>
            </w:pPr>
            <w:r>
              <w:rPr>
                <w:rFonts w:ascii="Arial" w:cs="Arial" w:eastAsia="Arial" w:hAnsi="Arial"/>
                <w:sz w:val="14"/>
                <w:szCs w:val="14"/>
                <w:b w:val="1"/>
                <w:bCs w:val="1"/>
                <w:color w:val="FFFFFF"/>
              </w:rPr>
              <w:t>(1,156)</w:t>
            </w:r>
          </w:p>
        </w:tc>
        <w:tc>
          <w:tcPr>
            <w:tcW w:w="360" w:type="dxa"/>
            <w:vAlign w:val="bottom"/>
          </w:tcPr>
          <w:p>
            <w:pPr>
              <w:jc w:val="right"/>
              <w:ind w:right="108"/>
              <w:spacing w:after="0"/>
              <w:rPr>
                <w:sz w:val="20"/>
                <w:szCs w:val="20"/>
                <w:color w:val="auto"/>
              </w:rPr>
            </w:pPr>
            <w:r>
              <w:rPr>
                <w:rFonts w:ascii="Arial" w:cs="Arial" w:eastAsia="Arial" w:hAnsi="Arial"/>
                <w:sz w:val="14"/>
                <w:szCs w:val="14"/>
                <w:color w:val="FFFFFF"/>
              </w:rPr>
              <w:t>$</w:t>
            </w:r>
          </w:p>
        </w:tc>
        <w:tc>
          <w:tcPr>
            <w:tcW w:w="900" w:type="dxa"/>
            <w:vAlign w:val="bottom"/>
          </w:tcPr>
          <w:p>
            <w:pPr>
              <w:jc w:val="right"/>
              <w:spacing w:after="0"/>
              <w:rPr>
                <w:sz w:val="20"/>
                <w:szCs w:val="20"/>
                <w:color w:val="auto"/>
              </w:rPr>
            </w:pPr>
            <w:r>
              <w:rPr>
                <w:rFonts w:ascii="Arial" w:cs="Arial" w:eastAsia="Arial" w:hAnsi="Arial"/>
                <w:sz w:val="14"/>
                <w:szCs w:val="14"/>
                <w:color w:val="FFFFFF"/>
              </w:rPr>
              <w:t>(313)</w:t>
            </w:r>
          </w:p>
        </w:tc>
      </w:tr>
      <w:tr>
        <w:trPr>
          <w:trHeight w:val="270"/>
        </w:trPr>
        <w:tc>
          <w:tcPr>
            <w:tcW w:w="40" w:type="dxa"/>
            <w:vAlign w:val="bottom"/>
          </w:tcPr>
          <w:p>
            <w:pPr>
              <w:spacing w:after="0"/>
              <w:rPr>
                <w:sz w:val="23"/>
                <w:szCs w:val="23"/>
                <w:color w:val="auto"/>
              </w:rPr>
            </w:pPr>
          </w:p>
        </w:tc>
        <w:tc>
          <w:tcPr>
            <w:tcW w:w="5800" w:type="dxa"/>
            <w:vAlign w:val="bottom"/>
            <w:gridSpan w:val="3"/>
          </w:tcPr>
          <w:p>
            <w:pPr>
              <w:spacing w:after="0"/>
              <w:rPr>
                <w:sz w:val="20"/>
                <w:szCs w:val="20"/>
                <w:color w:val="auto"/>
              </w:rPr>
            </w:pPr>
            <w:r>
              <w:rPr>
                <w:rFonts w:ascii="Arial" w:cs="Arial" w:eastAsia="Arial" w:hAnsi="Arial"/>
                <w:sz w:val="14"/>
                <w:szCs w:val="14"/>
                <w:color w:val="auto"/>
              </w:rPr>
              <w:t>Total current liabilities</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b w:val="1"/>
                <w:bCs w:val="1"/>
                <w:color w:val="auto"/>
              </w:rPr>
              <w:t>610</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607</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FFFFFF"/>
              </w:rPr>
              <w:t>$</w:t>
            </w:r>
          </w:p>
        </w:tc>
        <w:tc>
          <w:tcPr>
            <w:tcW w:w="1160" w:type="dxa"/>
            <w:vAlign w:val="bottom"/>
          </w:tcPr>
          <w:p>
            <w:pPr>
              <w:jc w:val="right"/>
              <w:ind w:right="68"/>
              <w:spacing w:after="0"/>
              <w:rPr>
                <w:sz w:val="20"/>
                <w:szCs w:val="20"/>
                <w:color w:val="auto"/>
              </w:rPr>
            </w:pPr>
            <w:r>
              <w:rPr>
                <w:rFonts w:ascii="Arial" w:cs="Arial" w:eastAsia="Arial" w:hAnsi="Arial"/>
                <w:sz w:val="14"/>
                <w:szCs w:val="14"/>
                <w:b w:val="1"/>
                <w:bCs w:val="1"/>
                <w:color w:val="FFFFFF"/>
              </w:rPr>
              <w:t>692</w:t>
            </w:r>
          </w:p>
        </w:tc>
        <w:tc>
          <w:tcPr>
            <w:tcW w:w="360" w:type="dxa"/>
            <w:vAlign w:val="bottom"/>
          </w:tcPr>
          <w:p>
            <w:pPr>
              <w:jc w:val="right"/>
              <w:ind w:right="108"/>
              <w:spacing w:after="0"/>
              <w:rPr>
                <w:sz w:val="20"/>
                <w:szCs w:val="20"/>
                <w:color w:val="auto"/>
              </w:rPr>
            </w:pPr>
            <w:r>
              <w:rPr>
                <w:rFonts w:ascii="Arial" w:cs="Arial" w:eastAsia="Arial" w:hAnsi="Arial"/>
                <w:sz w:val="14"/>
                <w:szCs w:val="14"/>
                <w:color w:val="FFFFFF"/>
              </w:rPr>
              <w:t>$</w:t>
            </w:r>
          </w:p>
        </w:tc>
        <w:tc>
          <w:tcPr>
            <w:tcW w:w="900" w:type="dxa"/>
            <w:vAlign w:val="bottom"/>
          </w:tcPr>
          <w:p>
            <w:pPr>
              <w:jc w:val="right"/>
              <w:spacing w:after="0"/>
              <w:rPr>
                <w:sz w:val="20"/>
                <w:szCs w:val="20"/>
                <w:color w:val="auto"/>
              </w:rPr>
            </w:pPr>
            <w:r>
              <w:rPr>
                <w:rFonts w:ascii="Arial" w:cs="Arial" w:eastAsia="Arial" w:hAnsi="Arial"/>
                <w:sz w:val="14"/>
                <w:szCs w:val="14"/>
                <w:color w:val="FFFFFF"/>
              </w:rPr>
              <w:t>73</w:t>
            </w:r>
          </w:p>
        </w:tc>
      </w:tr>
      <w:tr>
        <w:trPr>
          <w:trHeight w:val="270"/>
        </w:trPr>
        <w:tc>
          <w:tcPr>
            <w:tcW w:w="40" w:type="dxa"/>
            <w:vAlign w:val="bottom"/>
          </w:tcPr>
          <w:p>
            <w:pPr>
              <w:spacing w:after="0"/>
              <w:rPr>
                <w:sz w:val="23"/>
                <w:szCs w:val="23"/>
                <w:color w:val="auto"/>
              </w:rPr>
            </w:pPr>
          </w:p>
        </w:tc>
        <w:tc>
          <w:tcPr>
            <w:tcW w:w="5800" w:type="dxa"/>
            <w:vAlign w:val="bottom"/>
            <w:gridSpan w:val="3"/>
          </w:tcPr>
          <w:p>
            <w:pPr>
              <w:spacing w:after="0"/>
              <w:rPr>
                <w:sz w:val="20"/>
                <w:szCs w:val="20"/>
                <w:color w:val="auto"/>
              </w:rPr>
            </w:pPr>
            <w:r>
              <w:rPr>
                <w:rFonts w:ascii="Arial" w:cs="Arial" w:eastAsia="Arial" w:hAnsi="Arial"/>
                <w:sz w:val="14"/>
                <w:szCs w:val="14"/>
                <w:color w:val="auto"/>
              </w:rPr>
              <w:t>Long-term debt</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b w:val="1"/>
                <w:bCs w:val="1"/>
                <w:color w:val="auto"/>
              </w:rPr>
              <w:t>5,060</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5,251</w:t>
            </w: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5800" w:type="dxa"/>
            <w:vAlign w:val="bottom"/>
            <w:gridSpan w:val="3"/>
          </w:tcPr>
          <w:p>
            <w:pPr>
              <w:spacing w:after="0"/>
              <w:rPr>
                <w:sz w:val="20"/>
                <w:szCs w:val="20"/>
                <w:color w:val="auto"/>
              </w:rPr>
            </w:pPr>
            <w:r>
              <w:rPr>
                <w:rFonts w:ascii="Arial" w:cs="Arial" w:eastAsia="Arial" w:hAnsi="Arial"/>
                <w:sz w:val="14"/>
                <w:szCs w:val="14"/>
                <w:color w:val="auto"/>
              </w:rPr>
              <w:t>Other long-term liabilities</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b w:val="1"/>
                <w:bCs w:val="1"/>
                <w:color w:val="auto"/>
              </w:rPr>
              <w:t>679</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575</w:t>
            </w: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5800" w:type="dxa"/>
            <w:vAlign w:val="bottom"/>
            <w:gridSpan w:val="3"/>
          </w:tcPr>
          <w:p>
            <w:pPr>
              <w:spacing w:after="0"/>
              <w:rPr>
                <w:sz w:val="20"/>
                <w:szCs w:val="20"/>
                <w:color w:val="auto"/>
              </w:rPr>
            </w:pPr>
            <w:r>
              <w:rPr>
                <w:rFonts w:ascii="Arial" w:cs="Arial" w:eastAsia="Arial" w:hAnsi="Arial"/>
                <w:sz w:val="14"/>
                <w:szCs w:val="14"/>
                <w:color w:val="auto"/>
              </w:rPr>
              <w:t>Mezzanine equity</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b w:val="1"/>
                <w:bCs w:val="1"/>
                <w:color w:val="auto"/>
              </w:rPr>
              <w:t>777</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756</w:t>
            </w: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5800" w:type="dxa"/>
            <w:vAlign w:val="bottom"/>
            <w:gridSpan w:val="3"/>
          </w:tcPr>
          <w:p>
            <w:pPr>
              <w:spacing w:after="0"/>
              <w:rPr>
                <w:sz w:val="20"/>
                <w:szCs w:val="20"/>
                <w:color w:val="auto"/>
              </w:rPr>
            </w:pPr>
            <w:r>
              <w:rPr>
                <w:rFonts w:ascii="Arial" w:cs="Arial" w:eastAsia="Arial" w:hAnsi="Arial"/>
                <w:sz w:val="14"/>
                <w:szCs w:val="14"/>
                <w:color w:val="auto"/>
              </w:rPr>
              <w:t>Equity</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(279)</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(247)</w:t>
            </w: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432"/>
        </w:trPr>
        <w:tc>
          <w:tcPr>
            <w:tcW w:w="40" w:type="dxa"/>
            <w:vAlign w:val="bottom"/>
          </w:tcPr>
          <w:p>
            <w:pPr>
              <w:spacing w:after="0"/>
              <w:rPr>
                <w:sz w:val="24"/>
                <w:szCs w:val="24"/>
                <w:color w:val="auto"/>
              </w:rPr>
            </w:pPr>
          </w:p>
        </w:tc>
        <w:tc>
          <w:tcPr>
            <w:tcW w:w="5800" w:type="dxa"/>
            <w:vAlign w:val="bottom"/>
            <w:gridSpan w:val="3"/>
          </w:tcPr>
          <w:p>
            <w:pPr>
              <w:spacing w:after="0"/>
              <w:rPr>
                <w:sz w:val="20"/>
                <w:szCs w:val="20"/>
                <w:color w:val="auto"/>
              </w:rPr>
            </w:pPr>
            <w:r>
              <w:rPr>
                <w:rFonts w:ascii="Arial" w:cs="Arial" w:eastAsia="Arial" w:hAnsi="Arial"/>
                <w:sz w:val="14"/>
                <w:szCs w:val="14"/>
                <w:color w:val="auto"/>
              </w:rPr>
              <w:t>Outstanding shares as of</w:t>
            </w:r>
          </w:p>
        </w:tc>
        <w:tc>
          <w:tcPr>
            <w:tcW w:w="240" w:type="dxa"/>
            <w:vAlign w:val="bottom"/>
          </w:tcPr>
          <w:p>
            <w:pPr>
              <w:spacing w:after="0"/>
              <w:rPr>
                <w:sz w:val="24"/>
                <w:szCs w:val="24"/>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b w:val="1"/>
                <w:bCs w:val="1"/>
                <w:color w:val="auto"/>
              </w:rPr>
              <w:t>49.0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48.7</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247650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STOCK-BASED COMPENSATION</w:t>
      </w:r>
    </w:p>
    <w:p>
      <w:pPr>
        <w:spacing w:after="0" w:line="235" w:lineRule="exact"/>
        <w:rPr>
          <w:sz w:val="20"/>
          <w:szCs w:val="20"/>
          <w:color w:val="auto"/>
        </w:rPr>
      </w:pPr>
    </w:p>
    <w:p>
      <w:pPr>
        <w:ind w:left="40" w:right="120"/>
        <w:spacing w:after="0" w:line="245" w:lineRule="auto"/>
        <w:rPr>
          <w:sz w:val="20"/>
          <w:szCs w:val="20"/>
          <w:color w:val="auto"/>
        </w:rPr>
      </w:pPr>
      <w:r>
        <w:rPr>
          <w:rFonts w:ascii="Arial" w:cs="Arial" w:eastAsia="Arial" w:hAnsi="Arial"/>
          <w:sz w:val="14"/>
          <w:szCs w:val="14"/>
          <w:color w:val="auto"/>
        </w:rPr>
        <w:t>Our consolidated results of operations for the three months and six months ended June 30, 2019 and 2018 include the effects of long-term stock-based compensation plans under which awards are granted annually to executives, non-executive employees and non-employee directors that are either settled with shares of our common stock or cash. Our equity-settled awards granted to executives include stock options, restricted stock units and performance stock units that either cliff vest at the end of a three-year period or vest ratably over a three-year period, some of which are partially settled in cash. Our equity-settled awards granted to non-employee directors are restricted stock units that either vest at the grant date or cliff vest after one year. Our cash-settled awards granted to non-executive employees vest ratably over a three-year period.</w:t>
      </w:r>
    </w:p>
    <w:p>
      <w:pPr>
        <w:spacing w:after="0" w:line="124" w:lineRule="exact"/>
        <w:rPr>
          <w:sz w:val="20"/>
          <w:szCs w:val="20"/>
          <w:color w:val="auto"/>
        </w:rPr>
      </w:pPr>
    </w:p>
    <w:p>
      <w:pPr>
        <w:ind w:left="40" w:right="120"/>
        <w:spacing w:after="0" w:line="247" w:lineRule="auto"/>
        <w:rPr>
          <w:sz w:val="20"/>
          <w:szCs w:val="20"/>
          <w:color w:val="auto"/>
        </w:rPr>
      </w:pPr>
      <w:r>
        <w:rPr>
          <w:rFonts w:ascii="Arial" w:cs="Arial" w:eastAsia="Arial" w:hAnsi="Arial"/>
          <w:sz w:val="14"/>
          <w:szCs w:val="14"/>
          <w:color w:val="auto"/>
        </w:rPr>
        <w:t>Changes in our stock price introduce volatility in our results of operations because we pay cash-settled awards based on our stock price on the vesting date and accounting rules require that we adjust our obligation for unvested awards to the amount that would be paid using our stock price at the end of each reporting period. Cash-settled awards, including executive awards partially settled in cash, account for approximately 50% of our total outstanding awards. Equity-settled awards are not similarly adjusted for changes in our stock price.</w:t>
      </w:r>
    </w:p>
    <w:p>
      <w:pPr>
        <w:sectPr>
          <w:pgSz w:w="11900" w:h="16838" w:orient="portrait"/>
          <w:cols w:equalWidth="0" w:num="1">
            <w:col w:w="11320"/>
          </w:cols>
          <w:pgMar w:left="240" w:top="802" w:right="339" w:bottom="1440" w:gutter="0" w:footer="0" w:header="0"/>
        </w:sectPr>
      </w:pPr>
    </w:p>
    <w:p>
      <w:pPr>
        <w:spacing w:after="0" w:line="121" w:lineRule="exact"/>
        <w:rPr>
          <w:sz w:val="20"/>
          <w:szCs w:val="20"/>
          <w:color w:val="auto"/>
        </w:rPr>
      </w:pPr>
    </w:p>
    <w:p>
      <w:pPr>
        <w:ind w:left="40"/>
        <w:spacing w:after="0"/>
        <w:rPr>
          <w:sz w:val="20"/>
          <w:szCs w:val="20"/>
          <w:color w:val="auto"/>
        </w:rPr>
      </w:pPr>
      <w:r>
        <w:rPr>
          <w:rFonts w:ascii="Arial" w:cs="Arial" w:eastAsia="Arial" w:hAnsi="Arial"/>
          <w:sz w:val="14"/>
          <w:szCs w:val="14"/>
          <w:color w:val="auto"/>
        </w:rPr>
        <w:t>Stock-based compensation is included in both general and administrative expenses and production costs as shown in the table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Second Quarter</w:t>
            </w:r>
          </w:p>
        </w:tc>
        <w:tc>
          <w:tcPr>
            <w:tcW w:w="800" w:type="dxa"/>
            <w:vAlign w:val="bottom"/>
            <w:tcBorders>
              <w:bottom w:val="single" w:sz="8" w:color="auto"/>
            </w:tcBorders>
          </w:tcPr>
          <w:p>
            <w:pPr>
              <w:spacing w:after="0"/>
              <w:rPr>
                <w:sz w:val="15"/>
                <w:szCs w:val="15"/>
                <w:color w:val="auto"/>
              </w:rPr>
            </w:pPr>
          </w:p>
        </w:tc>
      </w:tr>
      <w:tr>
        <w:trPr>
          <w:trHeight w:val="264"/>
        </w:trPr>
        <w:tc>
          <w:tcPr>
            <w:tcW w:w="57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 in millions, except per BOE amounts)</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2018</w:t>
            </w:r>
          </w:p>
        </w:tc>
      </w:tr>
      <w:tr>
        <w:trPr>
          <w:trHeight w:val="433"/>
        </w:trPr>
        <w:tc>
          <w:tcPr>
            <w:tcW w:w="5840" w:type="dxa"/>
            <w:vAlign w:val="bottom"/>
            <w:gridSpan w:val="2"/>
          </w:tcPr>
          <w:p>
            <w:pPr>
              <w:ind w:left="40"/>
              <w:spacing w:after="0"/>
              <w:rPr>
                <w:sz w:val="20"/>
                <w:szCs w:val="20"/>
                <w:color w:val="auto"/>
              </w:rPr>
            </w:pPr>
            <w:r>
              <w:rPr>
                <w:rFonts w:ascii="Arial" w:cs="Arial" w:eastAsia="Arial" w:hAnsi="Arial"/>
                <w:sz w:val="14"/>
                <w:szCs w:val="14"/>
                <w:b w:val="1"/>
                <w:bCs w:val="1"/>
                <w:color w:val="auto"/>
              </w:rPr>
              <w:t>General and administrative expenses</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4"/>
                <w:szCs w:val="14"/>
                <w:color w:val="auto"/>
              </w:rPr>
              <w:t>Cash-settled awards</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3</w:t>
            </w:r>
          </w:p>
        </w:tc>
        <w:tc>
          <w:tcPr>
            <w:tcW w:w="120" w:type="dxa"/>
            <w:vAlign w:val="bottom"/>
          </w:tcPr>
          <w:p>
            <w:pPr>
              <w:spacing w:after="0"/>
              <w:rPr>
                <w:sz w:val="23"/>
                <w:szCs w:val="23"/>
                <w:color w:val="auto"/>
              </w:rPr>
            </w:pPr>
          </w:p>
        </w:tc>
        <w:tc>
          <w:tcPr>
            <w:tcW w:w="4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19</w:t>
            </w:r>
          </w:p>
        </w:tc>
      </w:tr>
      <w:tr>
        <w:trPr>
          <w:trHeight w:val="276"/>
        </w:trPr>
        <w:tc>
          <w:tcPr>
            <w:tcW w:w="5840" w:type="dxa"/>
            <w:vAlign w:val="bottom"/>
            <w:gridSpan w:val="2"/>
          </w:tcPr>
          <w:p>
            <w:pPr>
              <w:ind w:left="40"/>
              <w:spacing w:after="0"/>
              <w:rPr>
                <w:sz w:val="20"/>
                <w:szCs w:val="20"/>
                <w:color w:val="auto"/>
              </w:rPr>
            </w:pPr>
            <w:r>
              <w:rPr>
                <w:rFonts w:ascii="Arial" w:cs="Arial" w:eastAsia="Arial" w:hAnsi="Arial"/>
                <w:sz w:val="14"/>
                <w:szCs w:val="14"/>
                <w:color w:val="auto"/>
              </w:rPr>
              <w:t>Equity-settled awards</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w:t>
            </w:r>
          </w:p>
        </w:tc>
      </w:tr>
      <w:tr>
        <w:trPr>
          <w:trHeight w:val="250"/>
        </w:trPr>
        <w:tc>
          <w:tcPr>
            <w:tcW w:w="5840" w:type="dxa"/>
            <w:vAlign w:val="bottom"/>
            <w:gridSpan w:val="2"/>
          </w:tcPr>
          <w:p>
            <w:pPr>
              <w:ind w:left="160"/>
              <w:spacing w:after="0"/>
              <w:rPr>
                <w:sz w:val="20"/>
                <w:szCs w:val="20"/>
                <w:color w:val="auto"/>
              </w:rPr>
            </w:pPr>
            <w:r>
              <w:rPr>
                <w:rFonts w:ascii="Arial" w:cs="Arial" w:eastAsia="Arial" w:hAnsi="Arial"/>
                <w:sz w:val="14"/>
                <w:szCs w:val="14"/>
                <w:color w:val="auto"/>
              </w:rPr>
              <w:t>Total stock-based compensation in G&amp;A</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7</w:t>
            </w:r>
          </w:p>
        </w:tc>
        <w:tc>
          <w:tcPr>
            <w:tcW w:w="120" w:type="dxa"/>
            <w:vAlign w:val="bottom"/>
          </w:tcPr>
          <w:p>
            <w:pPr>
              <w:spacing w:after="0"/>
              <w:rPr>
                <w:sz w:val="21"/>
                <w:szCs w:val="21"/>
                <w:color w:val="auto"/>
              </w:rPr>
            </w:pPr>
          </w:p>
        </w:tc>
        <w:tc>
          <w:tcPr>
            <w:tcW w:w="4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w:t>
            </w:r>
          </w:p>
        </w:tc>
      </w:tr>
      <w:tr>
        <w:trPr>
          <w:trHeight w:val="244"/>
        </w:trPr>
        <w:tc>
          <w:tcPr>
            <w:tcW w:w="5840" w:type="dxa"/>
            <w:vAlign w:val="bottom"/>
            <w:gridSpan w:val="2"/>
          </w:tcPr>
          <w:p>
            <w:pPr>
              <w:ind w:left="160"/>
              <w:spacing w:after="0"/>
              <w:rPr>
                <w:sz w:val="20"/>
                <w:szCs w:val="20"/>
                <w:color w:val="auto"/>
              </w:rPr>
            </w:pPr>
            <w:r>
              <w:rPr>
                <w:rFonts w:ascii="Arial" w:cs="Arial" w:eastAsia="Arial" w:hAnsi="Arial"/>
                <w:sz w:val="14"/>
                <w:szCs w:val="14"/>
                <w:color w:val="auto"/>
              </w:rPr>
              <w:t>Total stock-based compensation in G&amp;A per Boe</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0.60</w:t>
            </w:r>
          </w:p>
        </w:tc>
        <w:tc>
          <w:tcPr>
            <w:tcW w:w="120" w:type="dxa"/>
            <w:vAlign w:val="bottom"/>
          </w:tcPr>
          <w:p>
            <w:pPr>
              <w:spacing w:after="0"/>
              <w:rPr>
                <w:sz w:val="21"/>
                <w:szCs w:val="21"/>
                <w:color w:val="auto"/>
              </w:rPr>
            </w:pPr>
          </w:p>
        </w:tc>
        <w:tc>
          <w:tcPr>
            <w:tcW w:w="4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1.89</w:t>
            </w:r>
          </w:p>
        </w:tc>
      </w:tr>
      <w:tr>
        <w:trPr>
          <w:trHeight w:val="594"/>
        </w:trPr>
        <w:tc>
          <w:tcPr>
            <w:tcW w:w="5840" w:type="dxa"/>
            <w:vAlign w:val="bottom"/>
            <w:gridSpan w:val="2"/>
          </w:tcPr>
          <w:p>
            <w:pPr>
              <w:ind w:left="40"/>
              <w:spacing w:after="0"/>
              <w:rPr>
                <w:sz w:val="20"/>
                <w:szCs w:val="20"/>
                <w:color w:val="auto"/>
              </w:rPr>
            </w:pPr>
            <w:r>
              <w:rPr>
                <w:rFonts w:ascii="Arial" w:cs="Arial" w:eastAsia="Arial" w:hAnsi="Arial"/>
                <w:sz w:val="14"/>
                <w:szCs w:val="14"/>
                <w:b w:val="1"/>
                <w:bCs w:val="1"/>
                <w:color w:val="auto"/>
              </w:rPr>
              <w:t>Production costs</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4"/>
                <w:szCs w:val="14"/>
                <w:color w:val="auto"/>
              </w:rPr>
              <w:t>Cash-settled awards</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23"/>
                <w:szCs w:val="23"/>
                <w:color w:val="auto"/>
              </w:rPr>
            </w:pPr>
          </w:p>
        </w:tc>
        <w:tc>
          <w:tcPr>
            <w:tcW w:w="4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5</w:t>
            </w:r>
          </w:p>
        </w:tc>
      </w:tr>
      <w:tr>
        <w:trPr>
          <w:trHeight w:val="276"/>
        </w:trPr>
        <w:tc>
          <w:tcPr>
            <w:tcW w:w="5840" w:type="dxa"/>
            <w:vAlign w:val="bottom"/>
            <w:gridSpan w:val="2"/>
          </w:tcPr>
          <w:p>
            <w:pPr>
              <w:ind w:left="40"/>
              <w:spacing w:after="0"/>
              <w:rPr>
                <w:sz w:val="20"/>
                <w:szCs w:val="20"/>
                <w:color w:val="auto"/>
              </w:rPr>
            </w:pPr>
            <w:r>
              <w:rPr>
                <w:rFonts w:ascii="Arial" w:cs="Arial" w:eastAsia="Arial" w:hAnsi="Arial"/>
                <w:sz w:val="14"/>
                <w:szCs w:val="14"/>
                <w:color w:val="auto"/>
              </w:rPr>
              <w:t>Equity-settled awards</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w:t>
            </w:r>
          </w:p>
        </w:tc>
      </w:tr>
      <w:tr>
        <w:trPr>
          <w:trHeight w:val="250"/>
        </w:trPr>
        <w:tc>
          <w:tcPr>
            <w:tcW w:w="5840" w:type="dxa"/>
            <w:vAlign w:val="bottom"/>
            <w:gridSpan w:val="2"/>
          </w:tcPr>
          <w:p>
            <w:pPr>
              <w:ind w:left="200"/>
              <w:spacing w:after="0"/>
              <w:rPr>
                <w:sz w:val="20"/>
                <w:szCs w:val="20"/>
                <w:color w:val="auto"/>
              </w:rPr>
            </w:pPr>
            <w:r>
              <w:rPr>
                <w:rFonts w:ascii="Arial" w:cs="Arial" w:eastAsia="Arial" w:hAnsi="Arial"/>
                <w:sz w:val="14"/>
                <w:szCs w:val="14"/>
                <w:color w:val="auto"/>
              </w:rPr>
              <w:t>Total stock-based compensation in production costs</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w:t>
            </w:r>
          </w:p>
        </w:tc>
        <w:tc>
          <w:tcPr>
            <w:tcW w:w="120" w:type="dxa"/>
            <w:vAlign w:val="bottom"/>
          </w:tcPr>
          <w:p>
            <w:pPr>
              <w:spacing w:after="0"/>
              <w:rPr>
                <w:sz w:val="21"/>
                <w:szCs w:val="21"/>
                <w:color w:val="auto"/>
              </w:rPr>
            </w:pPr>
          </w:p>
        </w:tc>
        <w:tc>
          <w:tcPr>
            <w:tcW w:w="4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w:t>
            </w:r>
          </w:p>
        </w:tc>
      </w:tr>
      <w:tr>
        <w:trPr>
          <w:trHeight w:val="244"/>
        </w:trPr>
        <w:tc>
          <w:tcPr>
            <w:tcW w:w="5840" w:type="dxa"/>
            <w:vAlign w:val="bottom"/>
            <w:gridSpan w:val="2"/>
          </w:tcPr>
          <w:p>
            <w:pPr>
              <w:ind w:left="160"/>
              <w:spacing w:after="0"/>
              <w:rPr>
                <w:sz w:val="20"/>
                <w:szCs w:val="20"/>
                <w:color w:val="auto"/>
              </w:rPr>
            </w:pPr>
            <w:r>
              <w:rPr>
                <w:rFonts w:ascii="Arial" w:cs="Arial" w:eastAsia="Arial" w:hAnsi="Arial"/>
                <w:sz w:val="14"/>
                <w:szCs w:val="14"/>
                <w:color w:val="auto"/>
              </w:rPr>
              <w:t>Total stock-based compensation in production costs per Boe</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0.17</w:t>
            </w:r>
          </w:p>
        </w:tc>
        <w:tc>
          <w:tcPr>
            <w:tcW w:w="120" w:type="dxa"/>
            <w:vAlign w:val="bottom"/>
          </w:tcPr>
          <w:p>
            <w:pPr>
              <w:spacing w:after="0"/>
              <w:rPr>
                <w:sz w:val="21"/>
                <w:szCs w:val="21"/>
                <w:color w:val="auto"/>
              </w:rPr>
            </w:pPr>
          </w:p>
        </w:tc>
        <w:tc>
          <w:tcPr>
            <w:tcW w:w="4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0.49</w:t>
            </w:r>
          </w:p>
        </w:tc>
      </w:tr>
      <w:tr>
        <w:trPr>
          <w:trHeight w:val="336"/>
        </w:trPr>
        <w:tc>
          <w:tcPr>
            <w:tcW w:w="5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r>
        <w:trPr>
          <w:trHeight w:val="237"/>
        </w:trPr>
        <w:tc>
          <w:tcPr>
            <w:tcW w:w="5840" w:type="dxa"/>
            <w:vAlign w:val="bottom"/>
            <w:gridSpan w:val="2"/>
          </w:tcPr>
          <w:p>
            <w:pPr>
              <w:ind w:left="40"/>
              <w:spacing w:after="0"/>
              <w:rPr>
                <w:sz w:val="20"/>
                <w:szCs w:val="20"/>
                <w:color w:val="auto"/>
              </w:rPr>
            </w:pPr>
            <w:r>
              <w:rPr>
                <w:rFonts w:ascii="Arial" w:cs="Arial" w:eastAsia="Arial" w:hAnsi="Arial"/>
                <w:sz w:val="14"/>
                <w:szCs w:val="14"/>
                <w:color w:val="auto"/>
              </w:rPr>
              <w:t>Total company stock-based compensation</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9</w:t>
            </w:r>
          </w:p>
        </w:tc>
        <w:tc>
          <w:tcPr>
            <w:tcW w:w="120" w:type="dxa"/>
            <w:vAlign w:val="bottom"/>
          </w:tcPr>
          <w:p>
            <w:pPr>
              <w:spacing w:after="0"/>
              <w:rPr>
                <w:sz w:val="20"/>
                <w:szCs w:val="20"/>
                <w:color w:val="auto"/>
              </w:rPr>
            </w:pPr>
          </w:p>
        </w:tc>
        <w:tc>
          <w:tcPr>
            <w:tcW w:w="4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w:t>
            </w:r>
          </w:p>
        </w:tc>
      </w:tr>
      <w:tr>
        <w:trPr>
          <w:trHeight w:val="20"/>
        </w:trPr>
        <w:tc>
          <w:tcPr>
            <w:tcW w:w="5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12"/>
        </w:trPr>
        <w:tc>
          <w:tcPr>
            <w:tcW w:w="5840" w:type="dxa"/>
            <w:vAlign w:val="bottom"/>
            <w:gridSpan w:val="2"/>
          </w:tcPr>
          <w:p>
            <w:pPr>
              <w:ind w:left="40"/>
              <w:spacing w:after="0"/>
              <w:rPr>
                <w:sz w:val="20"/>
                <w:szCs w:val="20"/>
                <w:color w:val="auto"/>
              </w:rPr>
            </w:pPr>
            <w:r>
              <w:rPr>
                <w:rFonts w:ascii="Arial" w:cs="Arial" w:eastAsia="Arial" w:hAnsi="Arial"/>
                <w:sz w:val="14"/>
                <w:szCs w:val="14"/>
                <w:color w:val="auto"/>
              </w:rPr>
              <w:t>Total company stock-based compensation per Boe</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0.77</w:t>
            </w:r>
          </w:p>
        </w:tc>
        <w:tc>
          <w:tcPr>
            <w:tcW w:w="120" w:type="dxa"/>
            <w:vAlign w:val="bottom"/>
          </w:tcPr>
          <w:p>
            <w:pPr>
              <w:spacing w:after="0"/>
              <w:rPr>
                <w:sz w:val="18"/>
                <w:szCs w:val="18"/>
                <w:color w:val="auto"/>
              </w:rPr>
            </w:pPr>
          </w:p>
        </w:tc>
        <w:tc>
          <w:tcPr>
            <w:tcW w:w="4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2.38</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Six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6465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85" w:lineRule="exact"/>
        <w:rPr>
          <w:sz w:val="20"/>
          <w:szCs w:val="20"/>
          <w:color w:val="auto"/>
        </w:rPr>
      </w:pPr>
    </w:p>
    <w:p>
      <w:pPr>
        <w:ind w:left="460"/>
        <w:spacing w:after="0"/>
        <w:tabs>
          <w:tab w:leader="none" w:pos="180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16465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0" w:type="dxa"/>
            <w:vAlign w:val="bottom"/>
          </w:tcPr>
          <w:p>
            <w:pPr>
              <w:jc w:val="right"/>
              <w:ind w:right="308"/>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16"/>
                <w:szCs w:val="16"/>
                <w:color w:val="auto"/>
              </w:rPr>
            </w:pPr>
          </w:p>
        </w:tc>
        <w:tc>
          <w:tcPr>
            <w:tcW w:w="50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22</w:t>
            </w:r>
          </w:p>
        </w:tc>
      </w:tr>
      <w:tr>
        <w:trPr>
          <w:trHeight w:val="276"/>
        </w:trPr>
        <w:tc>
          <w:tcPr>
            <w:tcW w:w="4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7</w:t>
            </w: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w:t>
            </w:r>
          </w:p>
        </w:tc>
      </w:tr>
      <w:tr>
        <w:trPr>
          <w:trHeight w:val="250"/>
        </w:trPr>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w:t>
            </w:r>
          </w:p>
        </w:tc>
        <w:tc>
          <w:tcPr>
            <w:tcW w:w="100" w:type="dxa"/>
            <w:vAlign w:val="bottom"/>
          </w:tcPr>
          <w:p>
            <w:pPr>
              <w:spacing w:after="0"/>
              <w:rPr>
                <w:sz w:val="21"/>
                <w:szCs w:val="21"/>
                <w:color w:val="auto"/>
              </w:rPr>
            </w:pPr>
          </w:p>
        </w:tc>
        <w:tc>
          <w:tcPr>
            <w:tcW w:w="5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w:t>
            </w:r>
          </w:p>
        </w:tc>
      </w:tr>
      <w:tr>
        <w:trPr>
          <w:trHeight w:val="244"/>
        </w:trPr>
        <w:tc>
          <w:tcPr>
            <w:tcW w:w="480" w:type="dxa"/>
            <w:vAlign w:val="bottom"/>
          </w:tcPr>
          <w:p>
            <w:pPr>
              <w:jc w:val="right"/>
              <w:ind w:right="308"/>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b w:val="1"/>
                <w:bCs w:val="1"/>
                <w:color w:val="auto"/>
              </w:rPr>
              <w:t>0.84</w:t>
            </w:r>
          </w:p>
        </w:tc>
        <w:tc>
          <w:tcPr>
            <w:tcW w:w="100" w:type="dxa"/>
            <w:vAlign w:val="bottom"/>
          </w:tcPr>
          <w:p>
            <w:pPr>
              <w:spacing w:after="0"/>
              <w:rPr>
                <w:sz w:val="21"/>
                <w:szCs w:val="21"/>
                <w:color w:val="auto"/>
              </w:rPr>
            </w:pPr>
          </w:p>
        </w:tc>
        <w:tc>
          <w:tcPr>
            <w:tcW w:w="50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1.24</w:t>
            </w:r>
          </w:p>
        </w:tc>
      </w:tr>
      <w:tr>
        <w:trPr>
          <w:trHeight w:val="864"/>
        </w:trPr>
        <w:tc>
          <w:tcPr>
            <w:tcW w:w="480" w:type="dxa"/>
            <w:vAlign w:val="bottom"/>
          </w:tcPr>
          <w:p>
            <w:pPr>
              <w:jc w:val="right"/>
              <w:ind w:right="308"/>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24"/>
                <w:szCs w:val="24"/>
                <w:color w:val="auto"/>
              </w:rPr>
            </w:pPr>
          </w:p>
        </w:tc>
        <w:tc>
          <w:tcPr>
            <w:tcW w:w="50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6</w:t>
            </w:r>
          </w:p>
        </w:tc>
      </w:tr>
      <w:tr>
        <w:trPr>
          <w:trHeight w:val="276"/>
        </w:trPr>
        <w:tc>
          <w:tcPr>
            <w:tcW w:w="4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r>
      <w:tr>
        <w:trPr>
          <w:trHeight w:val="250"/>
        </w:trPr>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6</w:t>
            </w:r>
          </w:p>
        </w:tc>
        <w:tc>
          <w:tcPr>
            <w:tcW w:w="100" w:type="dxa"/>
            <w:vAlign w:val="bottom"/>
          </w:tcPr>
          <w:p>
            <w:pPr>
              <w:spacing w:after="0"/>
              <w:rPr>
                <w:sz w:val="21"/>
                <w:szCs w:val="21"/>
                <w:color w:val="auto"/>
              </w:rPr>
            </w:pPr>
          </w:p>
        </w:tc>
        <w:tc>
          <w:tcPr>
            <w:tcW w:w="5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w:t>
            </w:r>
          </w:p>
        </w:tc>
      </w:tr>
      <w:tr>
        <w:trPr>
          <w:trHeight w:val="244"/>
        </w:trPr>
        <w:tc>
          <w:tcPr>
            <w:tcW w:w="480" w:type="dxa"/>
            <w:vAlign w:val="bottom"/>
          </w:tcPr>
          <w:p>
            <w:pPr>
              <w:jc w:val="right"/>
              <w:ind w:right="308"/>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b w:val="1"/>
                <w:bCs w:val="1"/>
                <w:color w:val="auto"/>
              </w:rPr>
              <w:t>0.25</w:t>
            </w:r>
          </w:p>
        </w:tc>
        <w:tc>
          <w:tcPr>
            <w:tcW w:w="100" w:type="dxa"/>
            <w:vAlign w:val="bottom"/>
          </w:tcPr>
          <w:p>
            <w:pPr>
              <w:spacing w:after="0"/>
              <w:rPr>
                <w:sz w:val="21"/>
                <w:szCs w:val="21"/>
                <w:color w:val="auto"/>
              </w:rPr>
            </w:pPr>
          </w:p>
        </w:tc>
        <w:tc>
          <w:tcPr>
            <w:tcW w:w="50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0.34</w:t>
            </w:r>
          </w:p>
        </w:tc>
      </w:tr>
      <w:tr>
        <w:trPr>
          <w:trHeight w:val="336"/>
        </w:trPr>
        <w:tc>
          <w:tcPr>
            <w:tcW w:w="4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r>
        <w:trPr>
          <w:trHeight w:val="231"/>
        </w:trPr>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26</w:t>
            </w:r>
          </w:p>
        </w:tc>
        <w:tc>
          <w:tcPr>
            <w:tcW w:w="100" w:type="dxa"/>
            <w:vAlign w:val="bottom"/>
          </w:tcPr>
          <w:p>
            <w:pPr>
              <w:spacing w:after="0"/>
              <w:rPr>
                <w:sz w:val="20"/>
                <w:szCs w:val="20"/>
                <w:color w:val="auto"/>
              </w:rPr>
            </w:pPr>
          </w:p>
        </w:tc>
        <w:tc>
          <w:tcPr>
            <w:tcW w:w="5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w:t>
            </w: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18"/>
        </w:trPr>
        <w:tc>
          <w:tcPr>
            <w:tcW w:w="480" w:type="dxa"/>
            <w:vAlign w:val="bottom"/>
          </w:tcPr>
          <w:p>
            <w:pPr>
              <w:jc w:val="right"/>
              <w:ind w:right="308"/>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b w:val="1"/>
                <w:bCs w:val="1"/>
                <w:color w:val="auto"/>
              </w:rPr>
              <w:t>1.09</w:t>
            </w:r>
          </w:p>
        </w:tc>
        <w:tc>
          <w:tcPr>
            <w:tcW w:w="100" w:type="dxa"/>
            <w:vAlign w:val="bottom"/>
          </w:tcPr>
          <w:p>
            <w:pPr>
              <w:spacing w:after="0"/>
              <w:rPr>
                <w:sz w:val="18"/>
                <w:szCs w:val="18"/>
                <w:color w:val="auto"/>
              </w:rPr>
            </w:pPr>
          </w:p>
        </w:tc>
        <w:tc>
          <w:tcPr>
            <w:tcW w:w="50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1.58</w:t>
            </w:r>
          </w:p>
        </w:tc>
      </w:tr>
    </w:tbl>
    <w:p>
      <w:pPr>
        <w:spacing w:after="0" w:line="200" w:lineRule="exact"/>
        <w:rPr>
          <w:sz w:val="20"/>
          <w:szCs w:val="20"/>
          <w:color w:val="auto"/>
        </w:rPr>
      </w:pPr>
    </w:p>
    <w:p>
      <w:pPr>
        <w:sectPr>
          <w:pgSz w:w="11900" w:h="16838" w:orient="portrait"/>
          <w:cols w:equalWidth="0" w:num="2">
            <w:col w:w="8560" w:space="160"/>
            <w:col w:w="2600"/>
          </w:cols>
          <w:pgMar w:left="240" w:top="802" w:right="339" w:bottom="1440" w:gutter="0" w:footer="0" w:header="0"/>
          <w:type w:val="continuous"/>
        </w:sectPr>
      </w:pPr>
    </w:p>
    <w:p>
      <w:pPr>
        <w:spacing w:after="0" w:line="37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320"/>
          </w:cols>
          <w:pgMar w:left="240" w:top="802" w:right="339" w:bottom="1440" w:gutter="0" w:footer="0" w:header="0"/>
          <w:type w:val="continuous"/>
        </w:sectPr>
      </w:pPr>
    </w:p>
    <w:bookmarkStart w:id="11" w:name="page12"/>
    <w:bookmarkEnd w:id="11"/>
    <w:p>
      <w:pPr>
        <w:ind w:left="4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483235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t>DERIVATIVE GAINS AND LOSSES</w:t>
      </w:r>
    </w:p>
    <w:p>
      <w:pPr>
        <w:spacing w:after="0" w:line="195" w:lineRule="exact"/>
        <w:rPr>
          <w:sz w:val="20"/>
          <w:szCs w:val="20"/>
          <w:color w:val="auto"/>
        </w:rPr>
      </w:pPr>
    </w:p>
    <w:p>
      <w:pPr>
        <w:ind w:left="40" w:right="140"/>
        <w:spacing w:after="0" w:line="258" w:lineRule="auto"/>
        <w:rPr>
          <w:sz w:val="20"/>
          <w:szCs w:val="20"/>
          <w:color w:val="auto"/>
        </w:rPr>
      </w:pPr>
      <w:r>
        <w:rPr>
          <w:rFonts w:ascii="Arial" w:cs="Arial" w:eastAsia="Arial" w:hAnsi="Arial"/>
          <w:sz w:val="14"/>
          <w:szCs w:val="14"/>
          <w:color w:val="auto"/>
        </w:rPr>
        <w:t>The following table presents the components of our net derivative gains and losses from commodity contracts and our non-cash derivative loss from interest-rate contracts. Our non-cash derivative loss from interest-rate contracts is reported in other non-operating expenses.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Second Quarter</w:t>
            </w:r>
          </w:p>
        </w:tc>
        <w:tc>
          <w:tcPr>
            <w:tcW w:w="8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color w:val="auto"/>
              </w:rPr>
              <w:t>Six Months</w:t>
            </w: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57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 millions)</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2018</w:t>
            </w:r>
          </w:p>
        </w:tc>
        <w:tc>
          <w:tcPr>
            <w:tcW w:w="2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2018</w:t>
            </w:r>
          </w:p>
        </w:tc>
        <w:tc>
          <w:tcPr>
            <w:tcW w:w="0" w:type="dxa"/>
            <w:vAlign w:val="bottom"/>
          </w:tcPr>
          <w:p>
            <w:pPr>
              <w:spacing w:after="0"/>
              <w:rPr>
                <w:sz w:val="1"/>
                <w:szCs w:val="1"/>
                <w:color w:val="auto"/>
              </w:rPr>
            </w:pPr>
          </w:p>
        </w:tc>
      </w:tr>
      <w:tr>
        <w:trPr>
          <w:trHeight w:val="258"/>
        </w:trPr>
        <w:tc>
          <w:tcPr>
            <w:tcW w:w="5840" w:type="dxa"/>
            <w:vAlign w:val="bottom"/>
            <w:gridSpan w:val="2"/>
          </w:tcPr>
          <w:p>
            <w:pPr>
              <w:ind w:left="40"/>
              <w:spacing w:after="0"/>
              <w:rPr>
                <w:sz w:val="20"/>
                <w:szCs w:val="20"/>
                <w:color w:val="auto"/>
              </w:rPr>
            </w:pPr>
            <w:r>
              <w:rPr>
                <w:rFonts w:ascii="Arial" w:cs="Arial" w:eastAsia="Arial" w:hAnsi="Arial"/>
                <w:sz w:val="14"/>
                <w:szCs w:val="14"/>
                <w:b w:val="1"/>
                <w:bCs w:val="1"/>
                <w:color w:val="auto"/>
              </w:rPr>
              <w:t>Commodity Contracts:</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840" w:type="dxa"/>
            <w:vAlign w:val="bottom"/>
            <w:gridSpan w:val="2"/>
          </w:tcPr>
          <w:p>
            <w:pPr>
              <w:ind w:left="180"/>
              <w:spacing w:after="0"/>
              <w:rPr>
                <w:sz w:val="20"/>
                <w:szCs w:val="20"/>
                <w:color w:val="auto"/>
              </w:rPr>
            </w:pPr>
            <w:r>
              <w:rPr>
                <w:rFonts w:ascii="Arial" w:cs="Arial" w:eastAsia="Arial" w:hAnsi="Arial"/>
                <w:sz w:val="14"/>
                <w:szCs w:val="14"/>
                <w:color w:val="auto"/>
              </w:rPr>
              <w:t>Non-cash derivative gain (loss) excluding noncontrolling interest</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4</w:t>
            </w:r>
          </w:p>
        </w:tc>
        <w:tc>
          <w:tcPr>
            <w:tcW w:w="120" w:type="dxa"/>
            <w:vAlign w:val="bottom"/>
          </w:tcPr>
          <w:p>
            <w:pPr>
              <w:spacing w:after="0"/>
              <w:rPr>
                <w:sz w:val="23"/>
                <w:szCs w:val="23"/>
                <w:color w:val="auto"/>
              </w:rPr>
            </w:pPr>
          </w:p>
        </w:tc>
        <w:tc>
          <w:tcPr>
            <w:tcW w:w="4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(92)</w:t>
            </w:r>
          </w:p>
        </w:tc>
        <w:tc>
          <w:tcPr>
            <w:tcW w:w="220" w:type="dxa"/>
            <w:vAlign w:val="bottom"/>
          </w:tcPr>
          <w:p>
            <w:pPr>
              <w:spacing w:after="0"/>
              <w:rPr>
                <w:sz w:val="23"/>
                <w:szCs w:val="23"/>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(93)</w:t>
            </w:r>
          </w:p>
        </w:tc>
        <w:tc>
          <w:tcPr>
            <w:tcW w:w="100" w:type="dxa"/>
            <w:vAlign w:val="bottom"/>
          </w:tcPr>
          <w:p>
            <w:pPr>
              <w:spacing w:after="0"/>
              <w:rPr>
                <w:sz w:val="23"/>
                <w:szCs w:val="23"/>
                <w:color w:val="auto"/>
              </w:rPr>
            </w:pPr>
          </w:p>
        </w:tc>
        <w:tc>
          <w:tcPr>
            <w:tcW w:w="4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276"/>
        </w:trPr>
        <w:tc>
          <w:tcPr>
            <w:tcW w:w="5840" w:type="dxa"/>
            <w:vAlign w:val="bottom"/>
            <w:gridSpan w:val="2"/>
          </w:tcPr>
          <w:p>
            <w:pPr>
              <w:ind w:left="180"/>
              <w:spacing w:after="0"/>
              <w:rPr>
                <w:sz w:val="20"/>
                <w:szCs w:val="20"/>
                <w:color w:val="auto"/>
              </w:rPr>
            </w:pPr>
            <w:r>
              <w:rPr>
                <w:rFonts w:ascii="Arial" w:cs="Arial" w:eastAsia="Arial" w:hAnsi="Arial"/>
                <w:sz w:val="14"/>
                <w:szCs w:val="14"/>
                <w:color w:val="auto"/>
              </w:rPr>
              <w:t>Non-cash derivative gain (loss) - noncontrolling interest</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44"/>
        </w:trPr>
        <w:tc>
          <w:tcPr>
            <w:tcW w:w="5840" w:type="dxa"/>
            <w:vAlign w:val="bottom"/>
            <w:gridSpan w:val="2"/>
          </w:tcPr>
          <w:p>
            <w:pPr>
              <w:ind w:left="320"/>
              <w:spacing w:after="0"/>
              <w:rPr>
                <w:sz w:val="20"/>
                <w:szCs w:val="20"/>
                <w:color w:val="auto"/>
              </w:rPr>
            </w:pPr>
            <w:r>
              <w:rPr>
                <w:rFonts w:ascii="Arial" w:cs="Arial" w:eastAsia="Arial" w:hAnsi="Arial"/>
                <w:sz w:val="14"/>
                <w:szCs w:val="14"/>
                <w:color w:val="auto"/>
              </w:rPr>
              <w:t>Total non-cash changes</w:t>
            </w:r>
          </w:p>
        </w:tc>
        <w:tc>
          <w:tcPr>
            <w:tcW w:w="30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(99)</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(96)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276"/>
        </w:trPr>
        <w:tc>
          <w:tcPr>
            <w:tcW w:w="5840" w:type="dxa"/>
            <w:vAlign w:val="bottom"/>
            <w:gridSpan w:val="2"/>
          </w:tcPr>
          <w:p>
            <w:pPr>
              <w:ind w:left="160"/>
              <w:spacing w:after="0"/>
              <w:rPr>
                <w:sz w:val="20"/>
                <w:szCs w:val="20"/>
                <w:color w:val="auto"/>
              </w:rPr>
            </w:pPr>
            <w:r>
              <w:rPr>
                <w:rFonts w:ascii="Arial" w:cs="Arial" w:eastAsia="Arial" w:hAnsi="Arial"/>
                <w:sz w:val="14"/>
                <w:szCs w:val="14"/>
                <w:color w:val="auto"/>
              </w:rPr>
              <w:t>Net proceeds (payments) on settled commodity derivatives</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14</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w:t>
            </w:r>
          </w:p>
        </w:tc>
        <w:tc>
          <w:tcPr>
            <w:tcW w:w="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28</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243"/>
        </w:trPr>
        <w:tc>
          <w:tcPr>
            <w:tcW w:w="5840" w:type="dxa"/>
            <w:vAlign w:val="bottom"/>
            <w:gridSpan w:val="2"/>
          </w:tcPr>
          <w:p>
            <w:pPr>
              <w:ind w:left="160"/>
              <w:spacing w:after="0"/>
              <w:rPr>
                <w:sz w:val="20"/>
                <w:szCs w:val="20"/>
                <w:color w:val="auto"/>
              </w:rPr>
            </w:pPr>
            <w:r>
              <w:rPr>
                <w:rFonts w:ascii="Arial" w:cs="Arial" w:eastAsia="Arial" w:hAnsi="Arial"/>
                <w:sz w:val="14"/>
                <w:szCs w:val="14"/>
                <w:color w:val="auto"/>
              </w:rPr>
              <w:t>Net derivative gain (loss) from commodity contracts</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21</w:t>
            </w:r>
          </w:p>
        </w:tc>
        <w:tc>
          <w:tcPr>
            <w:tcW w:w="120" w:type="dxa"/>
            <w:vAlign w:val="bottom"/>
          </w:tcPr>
          <w:p>
            <w:pPr>
              <w:spacing w:after="0"/>
              <w:rPr>
                <w:sz w:val="21"/>
                <w:szCs w:val="21"/>
                <w:color w:val="auto"/>
              </w:rPr>
            </w:pPr>
          </w:p>
        </w:tc>
        <w:tc>
          <w:tcPr>
            <w:tcW w:w="4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w:t>
            </w:r>
          </w:p>
        </w:tc>
        <w:tc>
          <w:tcPr>
            <w:tcW w:w="220" w:type="dxa"/>
            <w:vAlign w:val="bottom"/>
          </w:tcPr>
          <w:p>
            <w:pPr>
              <w:spacing w:after="0"/>
              <w:rPr>
                <w:sz w:val="21"/>
                <w:szCs w:val="21"/>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(68)</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w:t>
            </w:r>
          </w:p>
        </w:tc>
        <w:tc>
          <w:tcPr>
            <w:tcW w:w="0" w:type="dxa"/>
            <w:vAlign w:val="bottom"/>
          </w:tcPr>
          <w:p>
            <w:pPr>
              <w:spacing w:after="0"/>
              <w:rPr>
                <w:sz w:val="1"/>
                <w:szCs w:val="1"/>
                <w:color w:val="auto"/>
              </w:rPr>
            </w:pPr>
          </w:p>
        </w:tc>
      </w:tr>
      <w:tr>
        <w:trPr>
          <w:trHeight w:val="20"/>
        </w:trPr>
        <w:tc>
          <w:tcPr>
            <w:tcW w:w="5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Interest-Rate Contracts:</w:t>
            </w: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5840" w:type="dxa"/>
            <w:vAlign w:val="bottom"/>
            <w:gridSpan w:val="2"/>
            <w:vMerge w:val="continue"/>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840" w:type="dxa"/>
            <w:vAlign w:val="bottom"/>
            <w:gridSpan w:val="2"/>
          </w:tcPr>
          <w:p>
            <w:pPr>
              <w:ind w:left="160"/>
              <w:spacing w:after="0"/>
              <w:rPr>
                <w:sz w:val="20"/>
                <w:szCs w:val="20"/>
                <w:color w:val="auto"/>
              </w:rPr>
            </w:pPr>
            <w:r>
              <w:rPr>
                <w:rFonts w:ascii="Arial" w:cs="Arial" w:eastAsia="Arial" w:hAnsi="Arial"/>
                <w:sz w:val="14"/>
                <w:szCs w:val="14"/>
                <w:color w:val="auto"/>
              </w:rPr>
              <w:t>Non-cash derivative loss</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21"/>
                <w:szCs w:val="21"/>
                <w:color w:val="auto"/>
              </w:rPr>
            </w:pPr>
          </w:p>
        </w:tc>
        <w:tc>
          <w:tcPr>
            <w:tcW w:w="4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21"/>
                <w:szCs w:val="21"/>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320"/>
          </w:cols>
          <w:pgMar w:left="240" w:top="842"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96"/>
        </w:trPr>
        <w:tc>
          <w:tcPr>
            <w:tcW w:w="57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Attachment 2</w:t>
            </w:r>
          </w:p>
        </w:tc>
      </w:tr>
      <w:tr>
        <w:trPr>
          <w:trHeight w:val="20"/>
        </w:trPr>
        <w:tc>
          <w:tcPr>
            <w:tcW w:w="5840" w:type="dxa"/>
            <w:vAlign w:val="bottom"/>
            <w:tcBorders>
              <w:bottom w:val="single" w:sz="8" w:color="auto"/>
            </w:tcBorders>
            <w:gridSpan w:val="2"/>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245"/>
        </w:trPr>
        <w:tc>
          <w:tcPr>
            <w:tcW w:w="5840" w:type="dxa"/>
            <w:vAlign w:val="bottom"/>
            <w:gridSpan w:val="2"/>
          </w:tcPr>
          <w:p>
            <w:pPr>
              <w:ind w:left="40"/>
              <w:spacing w:after="0"/>
              <w:rPr>
                <w:sz w:val="20"/>
                <w:szCs w:val="20"/>
                <w:color w:val="auto"/>
              </w:rPr>
            </w:pPr>
            <w:r>
              <w:rPr>
                <w:rFonts w:ascii="Arial" w:cs="Arial" w:eastAsia="Arial" w:hAnsi="Arial"/>
                <w:sz w:val="14"/>
                <w:szCs w:val="14"/>
                <w:b w:val="1"/>
                <w:bCs w:val="1"/>
                <w:color w:val="auto"/>
              </w:rPr>
              <w:t>PRODUCTION STATISTICS</w:t>
            </w: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546"/>
        </w:trPr>
        <w:tc>
          <w:tcPr>
            <w:tcW w:w="5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color w:val="auto"/>
              </w:rPr>
              <w:t>Second Quarter</w:t>
            </w:r>
          </w:p>
        </w:tc>
        <w:tc>
          <w:tcPr>
            <w:tcW w:w="8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Borders>
              <w:bottom w:val="single" w:sz="8" w:color="auto"/>
            </w:tcBorders>
            <w:gridSpan w:val="3"/>
          </w:tcPr>
          <w:p>
            <w:pPr>
              <w:ind w:left="960"/>
              <w:spacing w:after="0"/>
              <w:rPr>
                <w:sz w:val="20"/>
                <w:szCs w:val="20"/>
                <w:color w:val="auto"/>
              </w:rPr>
            </w:pPr>
            <w:r>
              <w:rPr>
                <w:rFonts w:ascii="Arial" w:cs="Arial" w:eastAsia="Arial" w:hAnsi="Arial"/>
                <w:sz w:val="14"/>
                <w:szCs w:val="14"/>
                <w:color w:val="auto"/>
              </w:rPr>
              <w:t>Six Months</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64"/>
        </w:trPr>
        <w:tc>
          <w:tcPr>
            <w:tcW w:w="5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Net Oil, NGLs and Natural Gas Production Per Day</w:t>
            </w:r>
          </w:p>
        </w:tc>
        <w:tc>
          <w:tcPr>
            <w:tcW w:w="120" w:type="dxa"/>
            <w:vAlign w:val="bottom"/>
          </w:tcPr>
          <w:p>
            <w:pPr>
              <w:spacing w:after="0"/>
              <w:rPr>
                <w:sz w:val="22"/>
                <w:szCs w:val="22"/>
                <w:color w:val="auto"/>
              </w:rPr>
            </w:pPr>
          </w:p>
        </w:tc>
        <w:tc>
          <w:tcPr>
            <w:tcW w:w="12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w w:val="96"/>
              </w:rPr>
              <w:t>2018</w:t>
            </w:r>
          </w:p>
        </w:tc>
        <w:tc>
          <w:tcPr>
            <w:tcW w:w="220" w:type="dxa"/>
            <w:vAlign w:val="bottom"/>
          </w:tcPr>
          <w:p>
            <w:pPr>
              <w:spacing w:after="0"/>
              <w:rPr>
                <w:sz w:val="22"/>
                <w:szCs w:val="22"/>
                <w:color w:val="auto"/>
              </w:rPr>
            </w:pPr>
          </w:p>
        </w:tc>
        <w:tc>
          <w:tcPr>
            <w:tcW w:w="12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22"/>
                <w:szCs w:val="22"/>
                <w:color w:val="auto"/>
              </w:rPr>
            </w:pPr>
          </w:p>
        </w:tc>
      </w:tr>
      <w:tr>
        <w:trPr>
          <w:trHeight w:val="474"/>
        </w:trPr>
        <w:tc>
          <w:tcPr>
            <w:tcW w:w="5840" w:type="dxa"/>
            <w:vAlign w:val="bottom"/>
            <w:gridSpan w:val="2"/>
          </w:tcPr>
          <w:p>
            <w:pPr>
              <w:ind w:left="40"/>
              <w:spacing w:after="0"/>
              <w:rPr>
                <w:sz w:val="20"/>
                <w:szCs w:val="20"/>
                <w:color w:val="auto"/>
              </w:rPr>
            </w:pPr>
            <w:r>
              <w:rPr>
                <w:rFonts w:ascii="Arial" w:cs="Arial" w:eastAsia="Arial" w:hAnsi="Arial"/>
                <w:sz w:val="14"/>
                <w:szCs w:val="14"/>
                <w:b w:val="1"/>
                <w:bCs w:val="1"/>
                <w:color w:val="auto"/>
              </w:rPr>
              <w:t>Oil (MBbl/d)</w:t>
            </w: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5840" w:type="dxa"/>
            <w:vAlign w:val="bottom"/>
            <w:gridSpan w:val="2"/>
          </w:tcPr>
          <w:p>
            <w:pPr>
              <w:ind w:left="80"/>
              <w:spacing w:after="0"/>
              <w:rPr>
                <w:sz w:val="20"/>
                <w:szCs w:val="20"/>
                <w:color w:val="auto"/>
              </w:rPr>
            </w:pPr>
            <w:r>
              <w:rPr>
                <w:rFonts w:ascii="Arial" w:cs="Arial" w:eastAsia="Arial" w:hAnsi="Arial"/>
                <w:sz w:val="14"/>
                <w:szCs w:val="14"/>
                <w:color w:val="auto"/>
              </w:rPr>
              <w:t>San Joaquin Basin</w:t>
            </w:r>
          </w:p>
        </w:tc>
        <w:tc>
          <w:tcPr>
            <w:tcW w:w="1280" w:type="dxa"/>
            <w:vAlign w:val="bottom"/>
          </w:tcPr>
          <w:p>
            <w:pPr>
              <w:jc w:val="right"/>
              <w:ind w:right="48"/>
              <w:spacing w:after="0"/>
              <w:rPr>
                <w:sz w:val="20"/>
                <w:szCs w:val="20"/>
                <w:color w:val="auto"/>
              </w:rPr>
            </w:pPr>
            <w:r>
              <w:rPr>
                <w:rFonts w:ascii="Arial" w:cs="Arial" w:eastAsia="Arial" w:hAnsi="Arial"/>
                <w:sz w:val="14"/>
                <w:szCs w:val="14"/>
                <w:b w:val="1"/>
                <w:bCs w:val="1"/>
                <w:color w:val="auto"/>
              </w:rPr>
              <w:t>52</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54</w:t>
            </w:r>
          </w:p>
        </w:tc>
        <w:tc>
          <w:tcPr>
            <w:tcW w:w="22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b w:val="1"/>
                <w:bCs w:val="1"/>
                <w:color w:val="auto"/>
              </w:rPr>
              <w:t>54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23"/>
                <w:szCs w:val="23"/>
                <w:color w:val="auto"/>
              </w:rPr>
            </w:pPr>
          </w:p>
        </w:tc>
      </w:tr>
      <w:tr>
        <w:trPr>
          <w:trHeight w:val="270"/>
        </w:trPr>
        <w:tc>
          <w:tcPr>
            <w:tcW w:w="5840" w:type="dxa"/>
            <w:vAlign w:val="bottom"/>
            <w:gridSpan w:val="2"/>
          </w:tcPr>
          <w:p>
            <w:pPr>
              <w:ind w:left="80"/>
              <w:spacing w:after="0"/>
              <w:rPr>
                <w:sz w:val="20"/>
                <w:szCs w:val="20"/>
                <w:color w:val="auto"/>
              </w:rPr>
            </w:pPr>
            <w:r>
              <w:rPr>
                <w:rFonts w:ascii="Arial" w:cs="Arial" w:eastAsia="Arial" w:hAnsi="Arial"/>
                <w:sz w:val="14"/>
                <w:szCs w:val="14"/>
                <w:color w:val="auto"/>
              </w:rPr>
              <w:t>Los Angeles Basin</w:t>
            </w:r>
          </w:p>
        </w:tc>
        <w:tc>
          <w:tcPr>
            <w:tcW w:w="1280" w:type="dxa"/>
            <w:vAlign w:val="bottom"/>
          </w:tcPr>
          <w:p>
            <w:pPr>
              <w:jc w:val="right"/>
              <w:ind w:right="48"/>
              <w:spacing w:after="0"/>
              <w:rPr>
                <w:sz w:val="20"/>
                <w:szCs w:val="20"/>
                <w:color w:val="auto"/>
              </w:rPr>
            </w:pPr>
            <w:r>
              <w:rPr>
                <w:rFonts w:ascii="Arial" w:cs="Arial" w:eastAsia="Arial" w:hAnsi="Arial"/>
                <w:sz w:val="14"/>
                <w:szCs w:val="14"/>
                <w:b w:val="1"/>
                <w:bCs w:val="1"/>
                <w:color w:val="auto"/>
              </w:rPr>
              <w:t>23</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25</w:t>
            </w:r>
          </w:p>
        </w:tc>
        <w:tc>
          <w:tcPr>
            <w:tcW w:w="22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b w:val="1"/>
                <w:bCs w:val="1"/>
                <w:color w:val="auto"/>
              </w:rPr>
              <w:t>24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3"/>
                <w:szCs w:val="23"/>
                <w:color w:val="auto"/>
              </w:rPr>
            </w:pPr>
          </w:p>
        </w:tc>
      </w:tr>
      <w:tr>
        <w:trPr>
          <w:trHeight w:val="276"/>
        </w:trPr>
        <w:tc>
          <w:tcPr>
            <w:tcW w:w="5840" w:type="dxa"/>
            <w:vAlign w:val="bottom"/>
            <w:gridSpan w:val="2"/>
          </w:tcPr>
          <w:p>
            <w:pPr>
              <w:ind w:left="80"/>
              <w:spacing w:after="0"/>
              <w:rPr>
                <w:sz w:val="20"/>
                <w:szCs w:val="20"/>
                <w:color w:val="auto"/>
              </w:rPr>
            </w:pPr>
            <w:r>
              <w:rPr>
                <w:rFonts w:ascii="Arial" w:cs="Arial" w:eastAsia="Arial" w:hAnsi="Arial"/>
                <w:sz w:val="14"/>
                <w:szCs w:val="14"/>
                <w:color w:val="auto"/>
              </w:rPr>
              <w:t>Ventura Basin</w:t>
            </w: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c>
          <w:tcPr>
            <w:tcW w:w="220" w:type="dxa"/>
            <w:vAlign w:val="bottom"/>
          </w:tcPr>
          <w:p>
            <w:pPr>
              <w:spacing w:after="0"/>
              <w:rPr>
                <w:sz w:val="24"/>
                <w:szCs w:val="24"/>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4"/>
                <w:szCs w:val="24"/>
                <w:color w:val="auto"/>
              </w:rPr>
            </w:pPr>
          </w:p>
        </w:tc>
      </w:tr>
      <w:tr>
        <w:trPr>
          <w:trHeight w:val="244"/>
        </w:trPr>
        <w:tc>
          <w:tcPr>
            <w:tcW w:w="5840" w:type="dxa"/>
            <w:vAlign w:val="bottom"/>
            <w:gridSpan w:val="2"/>
          </w:tcPr>
          <w:p>
            <w:pPr>
              <w:ind w:left="80"/>
              <w:spacing w:after="0"/>
              <w:rPr>
                <w:sz w:val="20"/>
                <w:szCs w:val="20"/>
                <w:color w:val="auto"/>
              </w:rPr>
            </w:pPr>
            <w:r>
              <w:rPr>
                <w:rFonts w:ascii="Arial" w:cs="Arial" w:eastAsia="Arial" w:hAnsi="Arial"/>
                <w:sz w:val="14"/>
                <w:szCs w:val="14"/>
                <w:color w:val="auto"/>
              </w:rPr>
              <w:t>Total</w:t>
            </w:r>
          </w:p>
        </w:tc>
        <w:tc>
          <w:tcPr>
            <w:tcW w:w="1280" w:type="dxa"/>
            <w:vAlign w:val="bottom"/>
          </w:tcPr>
          <w:p>
            <w:pPr>
              <w:jc w:val="right"/>
              <w:ind w:right="48"/>
              <w:spacing w:after="0"/>
              <w:rPr>
                <w:sz w:val="20"/>
                <w:szCs w:val="20"/>
                <w:color w:val="auto"/>
              </w:rPr>
            </w:pPr>
            <w:r>
              <w:rPr>
                <w:rFonts w:ascii="Arial" w:cs="Arial" w:eastAsia="Arial" w:hAnsi="Arial"/>
                <w:sz w:val="14"/>
                <w:szCs w:val="14"/>
                <w:b w:val="1"/>
                <w:bCs w:val="1"/>
                <w:color w:val="auto"/>
              </w:rPr>
              <w:t>79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83</w:t>
            </w:r>
          </w:p>
        </w:tc>
        <w:tc>
          <w:tcPr>
            <w:tcW w:w="220" w:type="dxa"/>
            <w:vAlign w:val="bottom"/>
          </w:tcPr>
          <w:p>
            <w:pPr>
              <w:spacing w:after="0"/>
              <w:rPr>
                <w:sz w:val="21"/>
                <w:szCs w:val="21"/>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b w:val="1"/>
                <w:bCs w:val="1"/>
                <w:color w:val="auto"/>
              </w:rPr>
              <w:t>82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21"/>
                <w:szCs w:val="21"/>
                <w:color w:val="auto"/>
              </w:rPr>
            </w:pPr>
          </w:p>
        </w:tc>
      </w:tr>
      <w:tr>
        <w:trPr>
          <w:trHeight w:val="608"/>
        </w:trPr>
        <w:tc>
          <w:tcPr>
            <w:tcW w:w="5840" w:type="dxa"/>
            <w:vAlign w:val="bottom"/>
            <w:gridSpan w:val="2"/>
          </w:tcPr>
          <w:p>
            <w:pPr>
              <w:ind w:left="40"/>
              <w:spacing w:after="0"/>
              <w:rPr>
                <w:sz w:val="20"/>
                <w:szCs w:val="20"/>
                <w:color w:val="auto"/>
              </w:rPr>
            </w:pPr>
            <w:r>
              <w:rPr>
                <w:rFonts w:ascii="Arial" w:cs="Arial" w:eastAsia="Arial" w:hAnsi="Arial"/>
                <w:sz w:val="14"/>
                <w:szCs w:val="14"/>
                <w:b w:val="1"/>
                <w:bCs w:val="1"/>
                <w:color w:val="auto"/>
              </w:rPr>
              <w:t>NGLs (MBbl/d)</w:t>
            </w: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5840" w:type="dxa"/>
            <w:vAlign w:val="bottom"/>
            <w:gridSpan w:val="2"/>
          </w:tcPr>
          <w:p>
            <w:pPr>
              <w:ind w:left="80"/>
              <w:spacing w:after="0"/>
              <w:rPr>
                <w:sz w:val="20"/>
                <w:szCs w:val="20"/>
                <w:color w:val="auto"/>
              </w:rPr>
            </w:pPr>
            <w:r>
              <w:rPr>
                <w:rFonts w:ascii="Arial" w:cs="Arial" w:eastAsia="Arial" w:hAnsi="Arial"/>
                <w:sz w:val="14"/>
                <w:szCs w:val="14"/>
                <w:color w:val="auto"/>
              </w:rPr>
              <w:t>San Joaquin Basin</w:t>
            </w:r>
          </w:p>
        </w:tc>
        <w:tc>
          <w:tcPr>
            <w:tcW w:w="1280" w:type="dxa"/>
            <w:vAlign w:val="bottom"/>
          </w:tcPr>
          <w:p>
            <w:pPr>
              <w:jc w:val="right"/>
              <w:ind w:right="48"/>
              <w:spacing w:after="0"/>
              <w:rPr>
                <w:sz w:val="20"/>
                <w:szCs w:val="20"/>
                <w:color w:val="auto"/>
              </w:rPr>
            </w:pPr>
            <w:r>
              <w:rPr>
                <w:rFonts w:ascii="Arial" w:cs="Arial" w:eastAsia="Arial" w:hAnsi="Arial"/>
                <w:sz w:val="14"/>
                <w:szCs w:val="14"/>
                <w:b w:val="1"/>
                <w:bCs w:val="1"/>
                <w:color w:val="auto"/>
              </w:rPr>
              <w:t>15</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22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b w:val="1"/>
                <w:bCs w:val="1"/>
                <w:color w:val="auto"/>
              </w:rPr>
              <w:t>14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3"/>
                <w:szCs w:val="23"/>
                <w:color w:val="auto"/>
              </w:rPr>
            </w:pPr>
          </w:p>
        </w:tc>
      </w:tr>
      <w:tr>
        <w:trPr>
          <w:trHeight w:val="276"/>
        </w:trPr>
        <w:tc>
          <w:tcPr>
            <w:tcW w:w="5840" w:type="dxa"/>
            <w:vAlign w:val="bottom"/>
            <w:gridSpan w:val="2"/>
          </w:tcPr>
          <w:p>
            <w:pPr>
              <w:ind w:left="80"/>
              <w:spacing w:after="0"/>
              <w:rPr>
                <w:sz w:val="20"/>
                <w:szCs w:val="20"/>
                <w:color w:val="auto"/>
              </w:rPr>
            </w:pPr>
            <w:r>
              <w:rPr>
                <w:rFonts w:ascii="Arial" w:cs="Arial" w:eastAsia="Arial" w:hAnsi="Arial"/>
                <w:sz w:val="14"/>
                <w:szCs w:val="14"/>
                <w:color w:val="auto"/>
              </w:rPr>
              <w:t>Ventura Basin</w:t>
            </w: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24"/>
                <w:szCs w:val="24"/>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r>
      <w:tr>
        <w:trPr>
          <w:trHeight w:val="244"/>
        </w:trPr>
        <w:tc>
          <w:tcPr>
            <w:tcW w:w="5840" w:type="dxa"/>
            <w:vAlign w:val="bottom"/>
            <w:gridSpan w:val="2"/>
          </w:tcPr>
          <w:p>
            <w:pPr>
              <w:ind w:left="80"/>
              <w:spacing w:after="0"/>
              <w:rPr>
                <w:sz w:val="20"/>
                <w:szCs w:val="20"/>
                <w:color w:val="auto"/>
              </w:rPr>
            </w:pPr>
            <w:r>
              <w:rPr>
                <w:rFonts w:ascii="Arial" w:cs="Arial" w:eastAsia="Arial" w:hAnsi="Arial"/>
                <w:sz w:val="14"/>
                <w:szCs w:val="14"/>
                <w:color w:val="auto"/>
              </w:rPr>
              <w:t>Total</w:t>
            </w:r>
          </w:p>
        </w:tc>
        <w:tc>
          <w:tcPr>
            <w:tcW w:w="1280" w:type="dxa"/>
            <w:vAlign w:val="bottom"/>
          </w:tcPr>
          <w:p>
            <w:pPr>
              <w:jc w:val="right"/>
              <w:ind w:right="48"/>
              <w:spacing w:after="0"/>
              <w:rPr>
                <w:sz w:val="20"/>
                <w:szCs w:val="20"/>
                <w:color w:val="auto"/>
              </w:rPr>
            </w:pPr>
            <w:r>
              <w:rPr>
                <w:rFonts w:ascii="Arial" w:cs="Arial" w:eastAsia="Arial" w:hAnsi="Arial"/>
                <w:sz w:val="14"/>
                <w:szCs w:val="14"/>
                <w:b w:val="1"/>
                <w:bCs w:val="1"/>
                <w:color w:val="auto"/>
              </w:rPr>
              <w:t>16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220" w:type="dxa"/>
            <w:vAlign w:val="bottom"/>
          </w:tcPr>
          <w:p>
            <w:pPr>
              <w:spacing w:after="0"/>
              <w:rPr>
                <w:sz w:val="21"/>
                <w:szCs w:val="21"/>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b w:val="1"/>
                <w:bCs w:val="1"/>
                <w:color w:val="auto"/>
              </w:rPr>
              <w:t>15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1"/>
                <w:szCs w:val="21"/>
                <w:color w:val="auto"/>
              </w:rPr>
            </w:pPr>
          </w:p>
        </w:tc>
      </w:tr>
      <w:tr>
        <w:trPr>
          <w:trHeight w:val="608"/>
        </w:trPr>
        <w:tc>
          <w:tcPr>
            <w:tcW w:w="5840" w:type="dxa"/>
            <w:vAlign w:val="bottom"/>
            <w:gridSpan w:val="2"/>
          </w:tcPr>
          <w:p>
            <w:pPr>
              <w:ind w:left="40"/>
              <w:spacing w:after="0"/>
              <w:rPr>
                <w:sz w:val="20"/>
                <w:szCs w:val="20"/>
                <w:color w:val="auto"/>
              </w:rPr>
            </w:pPr>
            <w:r>
              <w:rPr>
                <w:rFonts w:ascii="Arial" w:cs="Arial" w:eastAsia="Arial" w:hAnsi="Arial"/>
                <w:sz w:val="14"/>
                <w:szCs w:val="14"/>
                <w:b w:val="1"/>
                <w:bCs w:val="1"/>
                <w:color w:val="auto"/>
              </w:rPr>
              <w:t>Natural Gas (MMcf/d)</w:t>
            </w: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5840" w:type="dxa"/>
            <w:vAlign w:val="bottom"/>
            <w:gridSpan w:val="2"/>
          </w:tcPr>
          <w:p>
            <w:pPr>
              <w:ind w:left="80"/>
              <w:spacing w:after="0"/>
              <w:rPr>
                <w:sz w:val="20"/>
                <w:szCs w:val="20"/>
                <w:color w:val="auto"/>
              </w:rPr>
            </w:pPr>
            <w:r>
              <w:rPr>
                <w:rFonts w:ascii="Arial" w:cs="Arial" w:eastAsia="Arial" w:hAnsi="Arial"/>
                <w:sz w:val="14"/>
                <w:szCs w:val="14"/>
                <w:color w:val="auto"/>
              </w:rPr>
              <w:t>San Joaquin Basin</w:t>
            </w:r>
          </w:p>
        </w:tc>
        <w:tc>
          <w:tcPr>
            <w:tcW w:w="1280" w:type="dxa"/>
            <w:vAlign w:val="bottom"/>
          </w:tcPr>
          <w:p>
            <w:pPr>
              <w:jc w:val="right"/>
              <w:ind w:right="48"/>
              <w:spacing w:after="0"/>
              <w:rPr>
                <w:sz w:val="20"/>
                <w:szCs w:val="20"/>
                <w:color w:val="auto"/>
              </w:rPr>
            </w:pPr>
            <w:r>
              <w:rPr>
                <w:rFonts w:ascii="Arial" w:cs="Arial" w:eastAsia="Arial" w:hAnsi="Arial"/>
                <w:sz w:val="14"/>
                <w:szCs w:val="14"/>
                <w:b w:val="1"/>
                <w:bCs w:val="1"/>
                <w:color w:val="auto"/>
              </w:rPr>
              <w:t>164</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172</w:t>
            </w:r>
          </w:p>
        </w:tc>
        <w:tc>
          <w:tcPr>
            <w:tcW w:w="22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b w:val="1"/>
                <w:bCs w:val="1"/>
                <w:color w:val="auto"/>
              </w:rPr>
              <w:t>164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157</w:t>
            </w:r>
          </w:p>
        </w:tc>
        <w:tc>
          <w:tcPr>
            <w:tcW w:w="100" w:type="dxa"/>
            <w:vAlign w:val="bottom"/>
          </w:tcPr>
          <w:p>
            <w:pPr>
              <w:spacing w:after="0"/>
              <w:rPr>
                <w:sz w:val="23"/>
                <w:szCs w:val="23"/>
                <w:color w:val="auto"/>
              </w:rPr>
            </w:pPr>
          </w:p>
        </w:tc>
      </w:tr>
      <w:tr>
        <w:trPr>
          <w:trHeight w:val="270"/>
        </w:trPr>
        <w:tc>
          <w:tcPr>
            <w:tcW w:w="5840" w:type="dxa"/>
            <w:vAlign w:val="bottom"/>
            <w:gridSpan w:val="2"/>
          </w:tcPr>
          <w:p>
            <w:pPr>
              <w:ind w:left="80"/>
              <w:spacing w:after="0"/>
              <w:rPr>
                <w:sz w:val="20"/>
                <w:szCs w:val="20"/>
                <w:color w:val="auto"/>
              </w:rPr>
            </w:pPr>
            <w:r>
              <w:rPr>
                <w:rFonts w:ascii="Arial" w:cs="Arial" w:eastAsia="Arial" w:hAnsi="Arial"/>
                <w:sz w:val="14"/>
                <w:szCs w:val="14"/>
                <w:color w:val="auto"/>
              </w:rPr>
              <w:t>Los Angeles Basin</w:t>
            </w:r>
          </w:p>
        </w:tc>
        <w:tc>
          <w:tcPr>
            <w:tcW w:w="1280" w:type="dxa"/>
            <w:vAlign w:val="bottom"/>
          </w:tcPr>
          <w:p>
            <w:pPr>
              <w:jc w:val="right"/>
              <w:ind w:right="48"/>
              <w:spacing w:after="0"/>
              <w:rPr>
                <w:sz w:val="20"/>
                <w:szCs w:val="20"/>
                <w:color w:val="auto"/>
              </w:rPr>
            </w:pPr>
            <w:r>
              <w:rPr>
                <w:rFonts w:ascii="Arial" w:cs="Arial" w:eastAsia="Arial" w:hAnsi="Arial"/>
                <w:sz w:val="14"/>
                <w:szCs w:val="14"/>
                <w:b w:val="1"/>
                <w:bCs w:val="1"/>
                <w:color w:val="auto"/>
              </w:rPr>
              <w:t>3</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r>
      <w:tr>
        <w:trPr>
          <w:trHeight w:val="270"/>
        </w:trPr>
        <w:tc>
          <w:tcPr>
            <w:tcW w:w="5840" w:type="dxa"/>
            <w:vAlign w:val="bottom"/>
            <w:gridSpan w:val="2"/>
          </w:tcPr>
          <w:p>
            <w:pPr>
              <w:ind w:left="80"/>
              <w:spacing w:after="0"/>
              <w:rPr>
                <w:sz w:val="20"/>
                <w:szCs w:val="20"/>
                <w:color w:val="auto"/>
              </w:rPr>
            </w:pPr>
            <w:r>
              <w:rPr>
                <w:rFonts w:ascii="Arial" w:cs="Arial" w:eastAsia="Arial" w:hAnsi="Arial"/>
                <w:sz w:val="14"/>
                <w:szCs w:val="14"/>
                <w:color w:val="auto"/>
              </w:rPr>
              <w:t>Ventura Basin</w:t>
            </w:r>
          </w:p>
        </w:tc>
        <w:tc>
          <w:tcPr>
            <w:tcW w:w="1280" w:type="dxa"/>
            <w:vAlign w:val="bottom"/>
          </w:tcPr>
          <w:p>
            <w:pPr>
              <w:jc w:val="right"/>
              <w:ind w:right="48"/>
              <w:spacing w:after="0"/>
              <w:rPr>
                <w:sz w:val="20"/>
                <w:szCs w:val="20"/>
                <w:color w:val="auto"/>
              </w:rPr>
            </w:pPr>
            <w:r>
              <w:rPr>
                <w:rFonts w:ascii="Arial" w:cs="Arial" w:eastAsia="Arial" w:hAnsi="Arial"/>
                <w:sz w:val="14"/>
                <w:szCs w:val="14"/>
                <w:b w:val="1"/>
                <w:bCs w:val="1"/>
                <w:color w:val="auto"/>
              </w:rPr>
              <w:t>6</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22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b w:val="1"/>
                <w:bCs w:val="1"/>
                <w:color w:val="auto"/>
              </w:rPr>
              <w:t>6</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3"/>
                <w:szCs w:val="23"/>
                <w:color w:val="auto"/>
              </w:rPr>
            </w:pPr>
          </w:p>
        </w:tc>
      </w:tr>
      <w:tr>
        <w:trPr>
          <w:trHeight w:val="276"/>
        </w:trPr>
        <w:tc>
          <w:tcPr>
            <w:tcW w:w="5840" w:type="dxa"/>
            <w:vAlign w:val="bottom"/>
            <w:gridSpan w:val="2"/>
          </w:tcPr>
          <w:p>
            <w:pPr>
              <w:ind w:left="80"/>
              <w:spacing w:after="0"/>
              <w:rPr>
                <w:sz w:val="20"/>
                <w:szCs w:val="20"/>
                <w:color w:val="auto"/>
              </w:rPr>
            </w:pPr>
            <w:r>
              <w:rPr>
                <w:rFonts w:ascii="Arial" w:cs="Arial" w:eastAsia="Arial" w:hAnsi="Arial"/>
                <w:sz w:val="14"/>
                <w:szCs w:val="14"/>
                <w:color w:val="auto"/>
              </w:rPr>
              <w:t>Sacramento Basin</w:t>
            </w: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30</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w:t>
            </w:r>
          </w:p>
        </w:tc>
        <w:tc>
          <w:tcPr>
            <w:tcW w:w="220" w:type="dxa"/>
            <w:vAlign w:val="bottom"/>
          </w:tcPr>
          <w:p>
            <w:pPr>
              <w:spacing w:after="0"/>
              <w:rPr>
                <w:sz w:val="24"/>
                <w:szCs w:val="24"/>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29</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24"/>
                <w:szCs w:val="24"/>
                <w:color w:val="auto"/>
              </w:rPr>
            </w:pPr>
          </w:p>
        </w:tc>
      </w:tr>
      <w:tr>
        <w:trPr>
          <w:trHeight w:val="244"/>
        </w:trPr>
        <w:tc>
          <w:tcPr>
            <w:tcW w:w="5840" w:type="dxa"/>
            <w:vAlign w:val="bottom"/>
            <w:gridSpan w:val="2"/>
          </w:tcPr>
          <w:p>
            <w:pPr>
              <w:ind w:left="80"/>
              <w:spacing w:after="0"/>
              <w:rPr>
                <w:sz w:val="20"/>
                <w:szCs w:val="20"/>
                <w:color w:val="auto"/>
              </w:rPr>
            </w:pPr>
            <w:r>
              <w:rPr>
                <w:rFonts w:ascii="Arial" w:cs="Arial" w:eastAsia="Arial" w:hAnsi="Arial"/>
                <w:sz w:val="14"/>
                <w:szCs w:val="14"/>
                <w:color w:val="auto"/>
              </w:rPr>
              <w:t>Total</w:t>
            </w:r>
          </w:p>
        </w:tc>
        <w:tc>
          <w:tcPr>
            <w:tcW w:w="1280" w:type="dxa"/>
            <w:vAlign w:val="bottom"/>
          </w:tcPr>
          <w:p>
            <w:pPr>
              <w:jc w:val="right"/>
              <w:ind w:right="48"/>
              <w:spacing w:after="0"/>
              <w:rPr>
                <w:sz w:val="20"/>
                <w:szCs w:val="20"/>
                <w:color w:val="auto"/>
              </w:rPr>
            </w:pPr>
            <w:r>
              <w:rPr>
                <w:rFonts w:ascii="Arial" w:cs="Arial" w:eastAsia="Arial" w:hAnsi="Arial"/>
                <w:sz w:val="14"/>
                <w:szCs w:val="14"/>
                <w:b w:val="1"/>
                <w:bCs w:val="1"/>
                <w:color w:val="auto"/>
              </w:rPr>
              <w:t>203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210</w:t>
            </w:r>
          </w:p>
        </w:tc>
        <w:tc>
          <w:tcPr>
            <w:tcW w:w="220" w:type="dxa"/>
            <w:vAlign w:val="bottom"/>
          </w:tcPr>
          <w:p>
            <w:pPr>
              <w:spacing w:after="0"/>
              <w:rPr>
                <w:sz w:val="21"/>
                <w:szCs w:val="21"/>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b w:val="1"/>
                <w:bCs w:val="1"/>
                <w:color w:val="auto"/>
              </w:rPr>
              <w:t>202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196</w:t>
            </w:r>
          </w:p>
        </w:tc>
        <w:tc>
          <w:tcPr>
            <w:tcW w:w="100" w:type="dxa"/>
            <w:vAlign w:val="bottom"/>
          </w:tcPr>
          <w:p>
            <w:pPr>
              <w:spacing w:after="0"/>
              <w:rPr>
                <w:sz w:val="21"/>
                <w:szCs w:val="21"/>
                <w:color w:val="auto"/>
              </w:rPr>
            </w:pPr>
          </w:p>
        </w:tc>
      </w:tr>
      <w:tr>
        <w:trPr>
          <w:trHeight w:val="350"/>
        </w:trPr>
        <w:tc>
          <w:tcPr>
            <w:tcW w:w="5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584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 Production (MBoe/d)</w:t>
            </w: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129</w:t>
            </w:r>
          </w:p>
        </w:tc>
        <w:tc>
          <w:tcPr>
            <w:tcW w:w="1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134</w:t>
            </w:r>
          </w:p>
        </w:tc>
        <w:tc>
          <w:tcPr>
            <w:tcW w:w="220" w:type="dxa"/>
            <w:vAlign w:val="bottom"/>
          </w:tcPr>
          <w:p>
            <w:pPr>
              <w:spacing w:after="0"/>
              <w:rPr>
                <w:sz w:val="20"/>
                <w:szCs w:val="20"/>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131</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20"/>
                <w:szCs w:val="20"/>
                <w:color w:val="auto"/>
              </w:rPr>
            </w:pPr>
          </w:p>
        </w:tc>
      </w:tr>
      <w:tr>
        <w:trPr>
          <w:trHeight w:val="20"/>
        </w:trPr>
        <w:tc>
          <w:tcPr>
            <w:tcW w:w="5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40" w:right="180"/>
        <w:spacing w:after="0" w:line="250" w:lineRule="auto"/>
        <w:rPr>
          <w:sz w:val="20"/>
          <w:szCs w:val="20"/>
          <w:color w:val="auto"/>
        </w:rPr>
      </w:pPr>
      <w:r>
        <w:rPr>
          <w:rFonts w:ascii="Arial" w:cs="Arial" w:eastAsia="Arial" w:hAnsi="Arial"/>
          <w:sz w:val="14"/>
          <w:szCs w:val="14"/>
          <w:color w:val="auto"/>
        </w:rPr>
        <w:t>Note: MBbl/d refers to thousands of barrels per day; MMcf/d refers to millions of cubic feet per day; MBoe/d refers to thousands of barrels of oil equivalent (Boe) per day. Natural gas volumes have been converted to Boe based on the equivalence of energy content of six thousand cubic feet of natural gas to one barrel of oil. Barrels of oil equivalence does not necessarily result in price equivalence.</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420"/>
          </w:cols>
          <w:pgMar w:left="240" w:top="748" w:right="239" w:bottom="1440" w:gutter="0" w:footer="0" w:header="0"/>
        </w:sectPr>
      </w:pPr>
    </w:p>
    <w:bookmarkStart w:id="13" w:name="page14"/>
    <w:bookmarkEnd w:id="13"/>
    <w:p>
      <w:pPr>
        <w:jc w:val="right"/>
        <w:spacing w:after="0"/>
        <w:rPr>
          <w:sz w:val="20"/>
          <w:szCs w:val="20"/>
          <w:color w:val="auto"/>
        </w:rPr>
      </w:pPr>
      <w:r>
        <w:rPr>
          <w:rFonts w:ascii="Arial" w:cs="Arial" w:eastAsia="Arial" w:hAnsi="Arial"/>
          <w:sz w:val="14"/>
          <w:szCs w:val="14"/>
          <w:b w:val="1"/>
          <w:bCs w:val="1"/>
          <w:color w:val="auto"/>
        </w:rPr>
        <w:t>Attachment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26035</wp:posOffset>
            </wp:positionV>
            <wp:extent cx="72034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43180</wp:posOffset>
            </wp:positionV>
            <wp:extent cx="72034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76"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NON-GAAP FINANCIAL MEASURES AND RECONCILIATIONS</w:t>
      </w:r>
    </w:p>
    <w:p>
      <w:pPr>
        <w:spacing w:after="0" w:line="195" w:lineRule="exact"/>
        <w:rPr>
          <w:sz w:val="20"/>
          <w:szCs w:val="20"/>
          <w:color w:val="auto"/>
        </w:rPr>
      </w:pPr>
    </w:p>
    <w:p>
      <w:pPr>
        <w:ind w:left="60" w:right="140"/>
        <w:spacing w:after="0" w:line="244" w:lineRule="auto"/>
        <w:rPr>
          <w:sz w:val="20"/>
          <w:szCs w:val="20"/>
          <w:color w:val="auto"/>
        </w:rPr>
      </w:pPr>
      <w:r>
        <w:rPr>
          <w:rFonts w:ascii="Arial" w:cs="Arial" w:eastAsia="Arial" w:hAnsi="Arial"/>
          <w:sz w:val="14"/>
          <w:szCs w:val="14"/>
          <w:color w:val="auto"/>
        </w:rPr>
        <w:t>Our results of operations, which are presented in accordance with generally accepted accounting principles (GAAP), can include the effects of unusual, out-of-period and infrequent transactions and events affecting earnings that vary widely and unpredictably (in particular certain non-cash items such as derivative gains and losses) in nature, timing, amount and frequency. Therefore, management uses certain non-GAAP measures to assess our financial condition, results of operations and cash flows. These measures are widely used by the industry, the investment community and our lenders. Although these are non-GAAP measures, the amounts included in the calculations were computed in accordance with GAAP. Certain items excluded from these non-GAAP measures are significant components in understanding and assessing our financial performance, such as our cost of capital and tax structure, as well as the historic cost of depreciable and depletable assets. These measures should be read in conjunction with the information contained in our financial statements prepared in accordance with GAAP.</w:t>
      </w:r>
    </w:p>
    <w:p>
      <w:pPr>
        <w:spacing w:after="0" w:line="205" w:lineRule="exact"/>
        <w:rPr>
          <w:sz w:val="20"/>
          <w:szCs w:val="20"/>
          <w:color w:val="auto"/>
        </w:rPr>
      </w:pPr>
    </w:p>
    <w:p>
      <w:pPr>
        <w:ind w:left="60" w:right="380"/>
        <w:spacing w:after="0" w:line="258" w:lineRule="auto"/>
        <w:rPr>
          <w:sz w:val="20"/>
          <w:szCs w:val="20"/>
          <w:color w:val="auto"/>
        </w:rPr>
      </w:pPr>
      <w:r>
        <w:rPr>
          <w:rFonts w:ascii="Arial" w:cs="Arial" w:eastAsia="Arial" w:hAnsi="Arial"/>
          <w:sz w:val="14"/>
          <w:szCs w:val="14"/>
          <w:color w:val="auto"/>
        </w:rPr>
        <w:t>Below are additional disclosures regarding each of the non-GAAP measures reported in this press release, including reconciliations to their most directly comparable GAAP measure where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ADJUSTED NET INCOME (LOSS)</w:t>
      </w:r>
    </w:p>
    <w:p>
      <w:pPr>
        <w:spacing w:after="0" w:line="195" w:lineRule="exact"/>
        <w:rPr>
          <w:sz w:val="20"/>
          <w:szCs w:val="20"/>
          <w:color w:val="auto"/>
        </w:rPr>
      </w:pPr>
    </w:p>
    <w:p>
      <w:pPr>
        <w:ind w:left="40" w:right="100"/>
        <w:spacing w:after="0" w:line="244" w:lineRule="auto"/>
        <w:rPr>
          <w:sz w:val="20"/>
          <w:szCs w:val="20"/>
          <w:color w:val="auto"/>
        </w:rPr>
      </w:pPr>
      <w:r>
        <w:rPr>
          <w:rFonts w:ascii="Arial" w:cs="Arial" w:eastAsia="Arial" w:hAnsi="Arial"/>
          <w:sz w:val="14"/>
          <w:szCs w:val="14"/>
          <w:color w:val="auto"/>
        </w:rPr>
        <w:t>Management uses a measure called adjusted net income (loss) to provide useful information to investors interested in comparing our core operations between periods and our performance to our peers. This measure is not meant to disassociate the effects of unusual, out-of-period and infrequent items affecting earnings from management's performance but rather is meant to provide useful information to investors interested in comparing our financial performance between periods. Reported earnings are considered representative of management's performance over the long term. Adjusted net income (loss) is not considered to be an alternative to net income (loss) reported in accordance with GAAP. The following table presents a reconciliation of the GAAP financial measure of net income (loss) attributable to common stock to the non-GAAP financial measure of adjusted net income (loss) and presents the GAAP financial measure of net income (loss) attributable to common stock per diluted share and the non-GAAP financial measure of adjusted net income (loss) per diluted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83820</wp:posOffset>
            </wp:positionV>
            <wp:extent cx="34734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Second Quarter</w:t>
            </w:r>
          </w:p>
        </w:tc>
        <w:tc>
          <w:tcPr>
            <w:tcW w:w="8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color w:val="auto"/>
              </w:rPr>
              <w:t>Six Months</w:t>
            </w:r>
          </w:p>
        </w:tc>
        <w:tc>
          <w:tcPr>
            <w:tcW w:w="860" w:type="dxa"/>
            <w:vAlign w:val="bottom"/>
            <w:tcBorders>
              <w:bottom w:val="single" w:sz="8" w:color="auto"/>
            </w:tcBorders>
          </w:tcPr>
          <w:p>
            <w:pPr>
              <w:spacing w:after="0"/>
              <w:rPr>
                <w:sz w:val="15"/>
                <w:szCs w:val="15"/>
                <w:color w:val="auto"/>
              </w:rPr>
            </w:pPr>
          </w:p>
        </w:tc>
      </w:tr>
      <w:tr>
        <w:trPr>
          <w:trHeight w:val="264"/>
        </w:trPr>
        <w:tc>
          <w:tcPr>
            <w:tcW w:w="57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 millions, except per share amounts)</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2018</w:t>
            </w:r>
          </w:p>
        </w:tc>
        <w:tc>
          <w:tcPr>
            <w:tcW w:w="2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2018</w:t>
            </w:r>
          </w:p>
        </w:tc>
      </w:tr>
      <w:tr>
        <w:trPr>
          <w:trHeight w:val="244"/>
        </w:trPr>
        <w:tc>
          <w:tcPr>
            <w:tcW w:w="5840" w:type="dxa"/>
            <w:vAlign w:val="bottom"/>
            <w:gridSpan w:val="2"/>
          </w:tcPr>
          <w:p>
            <w:pPr>
              <w:ind w:left="40"/>
              <w:spacing w:after="0"/>
              <w:rPr>
                <w:sz w:val="20"/>
                <w:szCs w:val="20"/>
                <w:color w:val="auto"/>
              </w:rPr>
            </w:pPr>
            <w:r>
              <w:rPr>
                <w:rFonts w:ascii="Arial" w:cs="Arial" w:eastAsia="Arial" w:hAnsi="Arial"/>
                <w:sz w:val="14"/>
                <w:szCs w:val="14"/>
                <w:color w:val="auto"/>
              </w:rPr>
              <w:t>Net income (loss)</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41</w:t>
            </w:r>
          </w:p>
        </w:tc>
        <w:tc>
          <w:tcPr>
            <w:tcW w:w="120" w:type="dxa"/>
            <w:vAlign w:val="bottom"/>
          </w:tcPr>
          <w:p>
            <w:pPr>
              <w:spacing w:after="0"/>
              <w:rPr>
                <w:sz w:val="21"/>
                <w:szCs w:val="21"/>
                <w:color w:val="auto"/>
              </w:rPr>
            </w:pPr>
          </w:p>
        </w:tc>
        <w:tc>
          <w:tcPr>
            <w:tcW w:w="4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(63)</w:t>
            </w:r>
          </w:p>
        </w:tc>
        <w:tc>
          <w:tcPr>
            <w:tcW w:w="220" w:type="dxa"/>
            <w:vAlign w:val="bottom"/>
          </w:tcPr>
          <w:p>
            <w:pPr>
              <w:spacing w:after="0"/>
              <w:rPr>
                <w:sz w:val="21"/>
                <w:szCs w:val="21"/>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21"/>
                <w:szCs w:val="21"/>
                <w:color w:val="auto"/>
              </w:rPr>
            </w:pPr>
          </w:p>
        </w:tc>
        <w:tc>
          <w:tcPr>
            <w:tcW w:w="4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(54)</w:t>
            </w:r>
          </w:p>
        </w:tc>
      </w:tr>
      <w:tr>
        <w:trPr>
          <w:trHeight w:val="276"/>
        </w:trPr>
        <w:tc>
          <w:tcPr>
            <w:tcW w:w="5840" w:type="dxa"/>
            <w:vAlign w:val="bottom"/>
            <w:gridSpan w:val="2"/>
          </w:tcPr>
          <w:p>
            <w:pPr>
              <w:ind w:left="40"/>
              <w:spacing w:after="0"/>
              <w:rPr>
                <w:sz w:val="20"/>
                <w:szCs w:val="20"/>
                <w:color w:val="auto"/>
              </w:rPr>
            </w:pPr>
            <w:r>
              <w:rPr>
                <w:rFonts w:ascii="Arial" w:cs="Arial" w:eastAsia="Arial" w:hAnsi="Arial"/>
                <w:sz w:val="14"/>
                <w:szCs w:val="14"/>
                <w:color w:val="auto"/>
              </w:rPr>
              <w:t>Net income attributable to noncontrolling interests</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(52)</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r>
      <w:tr>
        <w:trPr>
          <w:trHeight w:val="244"/>
        </w:trPr>
        <w:tc>
          <w:tcPr>
            <w:tcW w:w="5840" w:type="dxa"/>
            <w:vAlign w:val="bottom"/>
            <w:gridSpan w:val="2"/>
          </w:tcPr>
          <w:p>
            <w:pPr>
              <w:ind w:left="40"/>
              <w:spacing w:after="0"/>
              <w:rPr>
                <w:sz w:val="20"/>
                <w:szCs w:val="20"/>
                <w:color w:val="auto"/>
              </w:rPr>
            </w:pPr>
            <w:r>
              <w:rPr>
                <w:rFonts w:ascii="Arial" w:cs="Arial" w:eastAsia="Arial" w:hAnsi="Arial"/>
                <w:sz w:val="14"/>
                <w:szCs w:val="14"/>
                <w:color w:val="auto"/>
              </w:rPr>
              <w:t>Net income (loss) attributable to common stock</w:t>
            </w:r>
          </w:p>
        </w:tc>
        <w:tc>
          <w:tcPr>
            <w:tcW w:w="30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12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(82)</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(55)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(84)</w:t>
            </w: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4"/>
                <w:szCs w:val="14"/>
                <w:color w:val="auto"/>
              </w:rPr>
              <w:t>Unusual, infrequent and other items:</w:t>
            </w: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70"/>
        </w:trPr>
        <w:tc>
          <w:tcPr>
            <w:tcW w:w="5840" w:type="dxa"/>
            <w:vAlign w:val="bottom"/>
            <w:gridSpan w:val="2"/>
          </w:tcPr>
          <w:p>
            <w:pPr>
              <w:ind w:left="180"/>
              <w:spacing w:after="0"/>
              <w:rPr>
                <w:sz w:val="20"/>
                <w:szCs w:val="20"/>
                <w:color w:val="auto"/>
              </w:rPr>
            </w:pPr>
            <w:r>
              <w:rPr>
                <w:rFonts w:ascii="Arial" w:cs="Arial" w:eastAsia="Arial" w:hAnsi="Arial"/>
                <w:sz w:val="14"/>
                <w:szCs w:val="14"/>
                <w:color w:val="auto"/>
              </w:rPr>
              <w:t>Non-cash derivative (gain) loss from commodities, excluding noncontrolling interest</w:t>
            </w: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92</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93</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99</w:t>
            </w:r>
          </w:p>
        </w:tc>
      </w:tr>
      <w:tr>
        <w:trPr>
          <w:trHeight w:val="270"/>
        </w:trPr>
        <w:tc>
          <w:tcPr>
            <w:tcW w:w="5840" w:type="dxa"/>
            <w:vAlign w:val="bottom"/>
            <w:gridSpan w:val="2"/>
          </w:tcPr>
          <w:p>
            <w:pPr>
              <w:ind w:left="180"/>
              <w:spacing w:after="0"/>
              <w:rPr>
                <w:sz w:val="20"/>
                <w:szCs w:val="20"/>
                <w:color w:val="auto"/>
              </w:rPr>
            </w:pPr>
            <w:r>
              <w:rPr>
                <w:rFonts w:ascii="Arial" w:cs="Arial" w:eastAsia="Arial" w:hAnsi="Arial"/>
                <w:sz w:val="14"/>
                <w:szCs w:val="14"/>
                <w:color w:val="auto"/>
              </w:rPr>
              <w:t>Early retirement and severance costs</w:t>
            </w:r>
          </w:p>
        </w:tc>
        <w:tc>
          <w:tcPr>
            <w:tcW w:w="30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2</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4</w:t>
            </w:r>
          </w:p>
        </w:tc>
      </w:tr>
      <w:tr>
        <w:trPr>
          <w:trHeight w:val="270"/>
        </w:trPr>
        <w:tc>
          <w:tcPr>
            <w:tcW w:w="5840" w:type="dxa"/>
            <w:vAlign w:val="bottom"/>
            <w:gridSpan w:val="2"/>
          </w:tcPr>
          <w:p>
            <w:pPr>
              <w:ind w:left="180"/>
              <w:spacing w:after="0"/>
              <w:rPr>
                <w:sz w:val="20"/>
                <w:szCs w:val="20"/>
                <w:color w:val="auto"/>
              </w:rPr>
            </w:pPr>
            <w:r>
              <w:rPr>
                <w:rFonts w:ascii="Arial" w:cs="Arial" w:eastAsia="Arial" w:hAnsi="Arial"/>
                <w:sz w:val="14"/>
                <w:szCs w:val="14"/>
                <w:color w:val="auto"/>
              </w:rPr>
              <w:t>Net gain on early extinguishment of debt</w:t>
            </w: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(26)</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276"/>
        </w:trPr>
        <w:tc>
          <w:tcPr>
            <w:tcW w:w="5840" w:type="dxa"/>
            <w:vAlign w:val="bottom"/>
            <w:gridSpan w:val="2"/>
          </w:tcPr>
          <w:p>
            <w:pPr>
              <w:ind w:left="180"/>
              <w:spacing w:after="0"/>
              <w:rPr>
                <w:sz w:val="20"/>
                <w:szCs w:val="20"/>
                <w:color w:val="auto"/>
              </w:rPr>
            </w:pPr>
            <w:r>
              <w:rPr>
                <w:rFonts w:ascii="Arial" w:cs="Arial" w:eastAsia="Arial" w:hAnsi="Arial"/>
                <w:sz w:val="14"/>
                <w:szCs w:val="14"/>
                <w:color w:val="auto"/>
              </w:rPr>
              <w:t>Other, net</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r>
      <w:tr>
        <w:trPr>
          <w:trHeight w:val="244"/>
        </w:trPr>
        <w:tc>
          <w:tcPr>
            <w:tcW w:w="5840" w:type="dxa"/>
            <w:vAlign w:val="bottom"/>
            <w:gridSpan w:val="2"/>
          </w:tcPr>
          <w:p>
            <w:pPr>
              <w:ind w:left="280"/>
              <w:spacing w:after="0"/>
              <w:rPr>
                <w:sz w:val="20"/>
                <w:szCs w:val="20"/>
                <w:color w:val="auto"/>
              </w:rPr>
            </w:pPr>
            <w:r>
              <w:rPr>
                <w:rFonts w:ascii="Arial" w:cs="Arial" w:eastAsia="Arial" w:hAnsi="Arial"/>
                <w:sz w:val="14"/>
                <w:szCs w:val="14"/>
                <w:color w:val="auto"/>
              </w:rPr>
              <w:t>Total unusual, infrequent and other items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68</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72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78</w:t>
            </w:r>
          </w:p>
        </w:tc>
      </w:tr>
      <w:tr>
        <w:trPr>
          <w:trHeight w:val="134"/>
        </w:trPr>
        <w:tc>
          <w:tcPr>
            <w:tcW w:w="5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r>
      <w:tr>
        <w:trPr>
          <w:trHeight w:val="237"/>
        </w:trPr>
        <w:tc>
          <w:tcPr>
            <w:tcW w:w="5840" w:type="dxa"/>
            <w:vAlign w:val="bottom"/>
            <w:gridSpan w:val="2"/>
          </w:tcPr>
          <w:p>
            <w:pPr>
              <w:ind w:left="40"/>
              <w:spacing w:after="0"/>
              <w:rPr>
                <w:sz w:val="20"/>
                <w:szCs w:val="20"/>
                <w:color w:val="auto"/>
              </w:rPr>
            </w:pPr>
            <w:r>
              <w:rPr>
                <w:rFonts w:ascii="Arial" w:cs="Arial" w:eastAsia="Arial" w:hAnsi="Arial"/>
                <w:sz w:val="14"/>
                <w:szCs w:val="14"/>
                <w:color w:val="auto"/>
              </w:rPr>
              <w:t>Adjusted net (loss) income</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w:t>
            </w:r>
          </w:p>
        </w:tc>
        <w:tc>
          <w:tcPr>
            <w:tcW w:w="120" w:type="dxa"/>
            <w:vAlign w:val="bottom"/>
          </w:tcPr>
          <w:p>
            <w:pPr>
              <w:spacing w:after="0"/>
              <w:rPr>
                <w:sz w:val="20"/>
                <w:szCs w:val="20"/>
                <w:color w:val="auto"/>
              </w:rPr>
            </w:pPr>
          </w:p>
        </w:tc>
        <w:tc>
          <w:tcPr>
            <w:tcW w:w="4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220" w:type="dxa"/>
            <w:vAlign w:val="bottom"/>
          </w:tcPr>
          <w:p>
            <w:pPr>
              <w:spacing w:after="0"/>
              <w:rPr>
                <w:sz w:val="20"/>
                <w:szCs w:val="20"/>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17</w:t>
            </w:r>
          </w:p>
        </w:tc>
        <w:tc>
          <w:tcPr>
            <w:tcW w:w="100" w:type="dxa"/>
            <w:vAlign w:val="bottom"/>
          </w:tcPr>
          <w:p>
            <w:pPr>
              <w:spacing w:after="0"/>
              <w:rPr>
                <w:sz w:val="20"/>
                <w:szCs w:val="20"/>
                <w:color w:val="auto"/>
              </w:rPr>
            </w:pPr>
          </w:p>
        </w:tc>
        <w:tc>
          <w:tcPr>
            <w:tcW w:w="4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r>
      <w:tr>
        <w:trPr>
          <w:trHeight w:val="20"/>
        </w:trPr>
        <w:tc>
          <w:tcPr>
            <w:tcW w:w="5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536"/>
        </w:trPr>
        <w:tc>
          <w:tcPr>
            <w:tcW w:w="5840" w:type="dxa"/>
            <w:vAlign w:val="bottom"/>
            <w:gridSpan w:val="2"/>
          </w:tcPr>
          <w:p>
            <w:pPr>
              <w:ind w:left="40"/>
              <w:spacing w:after="0"/>
              <w:rPr>
                <w:sz w:val="20"/>
                <w:szCs w:val="20"/>
                <w:color w:val="auto"/>
              </w:rPr>
            </w:pPr>
            <w:r>
              <w:rPr>
                <w:rFonts w:ascii="Arial" w:cs="Arial" w:eastAsia="Arial" w:hAnsi="Arial"/>
                <w:sz w:val="14"/>
                <w:szCs w:val="14"/>
                <w:color w:val="auto"/>
              </w:rPr>
              <w:t>Net income (loss) attributable to common stock per share - diluted</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0.24</w:t>
            </w:r>
          </w:p>
        </w:tc>
        <w:tc>
          <w:tcPr>
            <w:tcW w:w="120" w:type="dxa"/>
            <w:vAlign w:val="bottom"/>
          </w:tcPr>
          <w:p>
            <w:pPr>
              <w:spacing w:after="0"/>
              <w:rPr>
                <w:sz w:val="24"/>
                <w:szCs w:val="24"/>
                <w:color w:val="auto"/>
              </w:rPr>
            </w:pPr>
          </w:p>
        </w:tc>
        <w:tc>
          <w:tcPr>
            <w:tcW w:w="4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(1.70)</w:t>
            </w:r>
          </w:p>
        </w:tc>
        <w:tc>
          <w:tcPr>
            <w:tcW w:w="220" w:type="dxa"/>
            <w:vAlign w:val="bottom"/>
          </w:tcPr>
          <w:p>
            <w:pPr>
              <w:spacing w:after="0"/>
              <w:rPr>
                <w:sz w:val="24"/>
                <w:szCs w:val="24"/>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(1.13)</w:t>
            </w:r>
          </w:p>
        </w:tc>
        <w:tc>
          <w:tcPr>
            <w:tcW w:w="100" w:type="dxa"/>
            <w:vAlign w:val="bottom"/>
          </w:tcPr>
          <w:p>
            <w:pPr>
              <w:spacing w:after="0"/>
              <w:rPr>
                <w:sz w:val="24"/>
                <w:szCs w:val="24"/>
                <w:color w:val="auto"/>
              </w:rPr>
            </w:pPr>
          </w:p>
        </w:tc>
        <w:tc>
          <w:tcPr>
            <w:tcW w:w="4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(1.81)</w:t>
            </w: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4"/>
                <w:szCs w:val="14"/>
                <w:color w:val="auto"/>
              </w:rPr>
              <w:t>Adjusted net (loss) income per share - diluted</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(0.29)</w:t>
            </w:r>
          </w:p>
        </w:tc>
        <w:tc>
          <w:tcPr>
            <w:tcW w:w="120" w:type="dxa"/>
            <w:vAlign w:val="bottom"/>
          </w:tcPr>
          <w:p>
            <w:pPr>
              <w:spacing w:after="0"/>
              <w:rPr>
                <w:sz w:val="23"/>
                <w:szCs w:val="23"/>
                <w:color w:val="auto"/>
              </w:rPr>
            </w:pPr>
          </w:p>
        </w:tc>
        <w:tc>
          <w:tcPr>
            <w:tcW w:w="4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(0.29)</w:t>
            </w:r>
          </w:p>
        </w:tc>
        <w:tc>
          <w:tcPr>
            <w:tcW w:w="220" w:type="dxa"/>
            <w:vAlign w:val="bottom"/>
          </w:tcPr>
          <w:p>
            <w:pPr>
              <w:spacing w:after="0"/>
              <w:rPr>
                <w:sz w:val="23"/>
                <w:szCs w:val="23"/>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0.35</w:t>
            </w:r>
          </w:p>
        </w:tc>
        <w:tc>
          <w:tcPr>
            <w:tcW w:w="100" w:type="dxa"/>
            <w:vAlign w:val="bottom"/>
          </w:tcPr>
          <w:p>
            <w:pPr>
              <w:spacing w:after="0"/>
              <w:rPr>
                <w:sz w:val="23"/>
                <w:szCs w:val="23"/>
                <w:color w:val="auto"/>
              </w:rPr>
            </w:pPr>
          </w:p>
        </w:tc>
        <w:tc>
          <w:tcPr>
            <w:tcW w:w="4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(0.13)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247650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FREE CASH FLOW</w:t>
      </w:r>
    </w:p>
    <w:p>
      <w:pPr>
        <w:spacing w:after="0" w:line="208" w:lineRule="exact"/>
        <w:rPr>
          <w:sz w:val="20"/>
          <w:szCs w:val="20"/>
          <w:color w:val="auto"/>
        </w:rPr>
      </w:pPr>
    </w:p>
    <w:p>
      <w:pPr>
        <w:ind w:left="40" w:right="480"/>
        <w:spacing w:after="0" w:line="258" w:lineRule="auto"/>
        <w:rPr>
          <w:sz w:val="20"/>
          <w:szCs w:val="20"/>
          <w:color w:val="auto"/>
        </w:rPr>
      </w:pPr>
      <w:r>
        <w:rPr>
          <w:rFonts w:ascii="Arial" w:cs="Arial" w:eastAsia="Arial" w:hAnsi="Arial"/>
          <w:sz w:val="14"/>
          <w:szCs w:val="14"/>
          <w:color w:val="auto"/>
        </w:rPr>
        <w:t>Management uses free cash flow, which is defined by us as net cash provided by operating activities less capital investments, as a measure of liquidity. The following table presents a reconciliation of our net cash provided by operating activities to free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111760</wp:posOffset>
            </wp:positionV>
            <wp:extent cx="34734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Second Quarter</w:t>
            </w:r>
          </w:p>
        </w:tc>
        <w:tc>
          <w:tcPr>
            <w:tcW w:w="8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color w:val="auto"/>
              </w:rPr>
              <w:t>Six Months</w:t>
            </w:r>
          </w:p>
        </w:tc>
        <w:tc>
          <w:tcPr>
            <w:tcW w:w="860" w:type="dxa"/>
            <w:vAlign w:val="bottom"/>
            <w:tcBorders>
              <w:bottom w:val="single" w:sz="8" w:color="auto"/>
            </w:tcBorders>
          </w:tcPr>
          <w:p>
            <w:pPr>
              <w:spacing w:after="0"/>
              <w:rPr>
                <w:sz w:val="15"/>
                <w:szCs w:val="15"/>
                <w:color w:val="auto"/>
              </w:rPr>
            </w:pPr>
          </w:p>
        </w:tc>
      </w:tr>
      <w:tr>
        <w:trPr>
          <w:trHeight w:val="264"/>
        </w:trPr>
        <w:tc>
          <w:tcPr>
            <w:tcW w:w="57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 millions)</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2018</w:t>
            </w:r>
          </w:p>
        </w:tc>
        <w:tc>
          <w:tcPr>
            <w:tcW w:w="2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2018</w:t>
            </w:r>
          </w:p>
        </w:tc>
      </w:tr>
      <w:tr>
        <w:trPr>
          <w:trHeight w:val="541"/>
        </w:trPr>
        <w:tc>
          <w:tcPr>
            <w:tcW w:w="5840" w:type="dxa"/>
            <w:vAlign w:val="bottom"/>
            <w:gridSpan w:val="2"/>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114</w:t>
            </w:r>
          </w:p>
        </w:tc>
        <w:tc>
          <w:tcPr>
            <w:tcW w:w="120" w:type="dxa"/>
            <w:vAlign w:val="bottom"/>
          </w:tcPr>
          <w:p>
            <w:pPr>
              <w:spacing w:after="0"/>
              <w:rPr>
                <w:sz w:val="24"/>
                <w:szCs w:val="24"/>
                <w:color w:val="auto"/>
              </w:rPr>
            </w:pPr>
          </w:p>
        </w:tc>
        <w:tc>
          <w:tcPr>
            <w:tcW w:w="4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34</w:t>
            </w:r>
          </w:p>
        </w:tc>
        <w:tc>
          <w:tcPr>
            <w:tcW w:w="220" w:type="dxa"/>
            <w:vAlign w:val="bottom"/>
          </w:tcPr>
          <w:p>
            <w:pPr>
              <w:spacing w:after="0"/>
              <w:rPr>
                <w:sz w:val="24"/>
                <w:szCs w:val="24"/>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272</w:t>
            </w:r>
          </w:p>
        </w:tc>
        <w:tc>
          <w:tcPr>
            <w:tcW w:w="100" w:type="dxa"/>
            <w:vAlign w:val="bottom"/>
          </w:tcPr>
          <w:p>
            <w:pPr>
              <w:spacing w:after="0"/>
              <w:rPr>
                <w:sz w:val="24"/>
                <w:szCs w:val="24"/>
                <w:color w:val="auto"/>
              </w:rPr>
            </w:pPr>
          </w:p>
        </w:tc>
        <w:tc>
          <w:tcPr>
            <w:tcW w:w="4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234</w:t>
            </w:r>
          </w:p>
        </w:tc>
      </w:tr>
      <w:tr>
        <w:trPr>
          <w:trHeight w:val="276"/>
        </w:trPr>
        <w:tc>
          <w:tcPr>
            <w:tcW w:w="5840" w:type="dxa"/>
            <w:vAlign w:val="bottom"/>
            <w:gridSpan w:val="2"/>
          </w:tcPr>
          <w:p>
            <w:pPr>
              <w:ind w:left="120"/>
              <w:spacing w:after="0"/>
              <w:rPr>
                <w:sz w:val="20"/>
                <w:szCs w:val="20"/>
                <w:color w:val="auto"/>
              </w:rPr>
            </w:pPr>
            <w:r>
              <w:rPr>
                <w:rFonts w:ascii="Arial" w:cs="Arial" w:eastAsia="Arial" w:hAnsi="Arial"/>
                <w:sz w:val="14"/>
                <w:szCs w:val="14"/>
                <w:color w:val="auto"/>
              </w:rPr>
              <w:t>Capital investments</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(140)</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w:t>
            </w:r>
          </w:p>
        </w:tc>
        <w:tc>
          <w:tcPr>
            <w:tcW w:w="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(271)</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(327)</w:t>
            </w:r>
          </w:p>
        </w:tc>
      </w:tr>
      <w:tr>
        <w:trPr>
          <w:trHeight w:val="244"/>
        </w:trPr>
        <w:tc>
          <w:tcPr>
            <w:tcW w:w="5840" w:type="dxa"/>
            <w:vAlign w:val="bottom"/>
            <w:gridSpan w:val="2"/>
          </w:tcPr>
          <w:p>
            <w:pPr>
              <w:ind w:left="40"/>
              <w:spacing w:after="0"/>
              <w:rPr>
                <w:sz w:val="20"/>
                <w:szCs w:val="20"/>
                <w:color w:val="auto"/>
              </w:rPr>
            </w:pPr>
            <w:r>
              <w:rPr>
                <w:rFonts w:ascii="Arial" w:cs="Arial" w:eastAsia="Arial" w:hAnsi="Arial"/>
                <w:sz w:val="14"/>
                <w:szCs w:val="14"/>
                <w:color w:val="auto"/>
              </w:rPr>
              <w:t>Free cash flow</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(154)</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(93)</w:t>
            </w:r>
          </w:p>
        </w:tc>
      </w:tr>
      <w:tr>
        <w:trPr>
          <w:trHeight w:val="276"/>
        </w:trPr>
        <w:tc>
          <w:tcPr>
            <w:tcW w:w="5840" w:type="dxa"/>
            <w:vAlign w:val="bottom"/>
            <w:gridSpan w:val="2"/>
          </w:tcPr>
          <w:p>
            <w:pPr>
              <w:ind w:left="120"/>
              <w:spacing w:after="0"/>
              <w:rPr>
                <w:sz w:val="20"/>
                <w:szCs w:val="20"/>
                <w:color w:val="auto"/>
              </w:rPr>
            </w:pPr>
            <w:r>
              <w:rPr>
                <w:rFonts w:ascii="Arial" w:cs="Arial" w:eastAsia="Arial" w:hAnsi="Arial"/>
                <w:sz w:val="14"/>
                <w:szCs w:val="14"/>
                <w:color w:val="auto"/>
              </w:rPr>
              <w:t>BSP funded capital</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16</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w:t>
            </w:r>
          </w:p>
        </w:tc>
        <w:tc>
          <w:tcPr>
            <w:tcW w:w="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43</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w:t>
            </w:r>
          </w:p>
        </w:tc>
      </w:tr>
      <w:tr>
        <w:trPr>
          <w:trHeight w:val="243"/>
        </w:trPr>
        <w:tc>
          <w:tcPr>
            <w:tcW w:w="5840" w:type="dxa"/>
            <w:vAlign w:val="bottom"/>
            <w:gridSpan w:val="2"/>
          </w:tcPr>
          <w:p>
            <w:pPr>
              <w:ind w:left="40"/>
              <w:spacing w:after="0"/>
              <w:rPr>
                <w:sz w:val="20"/>
                <w:szCs w:val="20"/>
                <w:color w:val="auto"/>
              </w:rPr>
            </w:pPr>
            <w:r>
              <w:rPr>
                <w:rFonts w:ascii="Arial" w:cs="Arial" w:eastAsia="Arial" w:hAnsi="Arial"/>
                <w:sz w:val="14"/>
                <w:szCs w:val="14"/>
                <w:color w:val="auto"/>
              </w:rPr>
              <w:t>Free cash flow, excluding BSP funded capital</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w:t>
            </w:r>
          </w:p>
        </w:tc>
        <w:tc>
          <w:tcPr>
            <w:tcW w:w="120" w:type="dxa"/>
            <w:vAlign w:val="bottom"/>
          </w:tcPr>
          <w:p>
            <w:pPr>
              <w:spacing w:after="0"/>
              <w:rPr>
                <w:sz w:val="21"/>
                <w:szCs w:val="21"/>
                <w:color w:val="auto"/>
              </w:rPr>
            </w:pPr>
          </w:p>
        </w:tc>
        <w:tc>
          <w:tcPr>
            <w:tcW w:w="4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w:t>
            </w:r>
          </w:p>
        </w:tc>
        <w:tc>
          <w:tcPr>
            <w:tcW w:w="220" w:type="dxa"/>
            <w:vAlign w:val="bottom"/>
          </w:tcPr>
          <w:p>
            <w:pPr>
              <w:spacing w:after="0"/>
              <w:rPr>
                <w:sz w:val="21"/>
                <w:szCs w:val="21"/>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44</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w:t>
            </w:r>
          </w:p>
        </w:tc>
      </w:tr>
      <w:tr>
        <w:trPr>
          <w:trHeight w:val="20"/>
        </w:trPr>
        <w:tc>
          <w:tcPr>
            <w:tcW w:w="5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360"/>
          </w:cols>
          <w:pgMar w:left="240" w:top="748" w:right="299" w:bottom="1440" w:gutter="0" w:footer="0" w:header="0"/>
        </w:sectPr>
      </w:pPr>
    </w:p>
    <w:bookmarkStart w:id="14" w:name="page15"/>
    <w:bookmarkEnd w:id="14"/>
    <w:p>
      <w:pPr>
        <w:ind w:left="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183515</wp:posOffset>
            </wp:positionH>
            <wp:positionV relativeFrom="page">
              <wp:posOffset>466090</wp:posOffset>
            </wp:positionV>
            <wp:extent cx="72034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3440" cy="8890"/>
                    </a:xfrm>
                    <a:prstGeom prst="rect">
                      <a:avLst/>
                    </a:prstGeom>
                    <a:noFill/>
                  </pic:spPr>
                </pic:pic>
              </a:graphicData>
            </a:graphic>
          </wp:anchor>
        </w:drawing>
        <w:drawing>
          <wp:anchor simplePos="0" relativeHeight="251657728" behindDoc="1" locked="0" layoutInCell="0" allowOverlap="1">
            <wp:simplePos x="0" y="0"/>
            <wp:positionH relativeFrom="page">
              <wp:posOffset>183515</wp:posOffset>
            </wp:positionH>
            <wp:positionV relativeFrom="page">
              <wp:posOffset>483235</wp:posOffset>
            </wp:positionV>
            <wp:extent cx="72034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3440" cy="8890"/>
                    </a:xfrm>
                    <a:prstGeom prst="rect">
                      <a:avLst/>
                    </a:prstGeom>
                    <a:noFill/>
                  </pic:spPr>
                </pic:pic>
              </a:graphicData>
            </a:graphic>
          </wp:anchor>
        </w:drawing>
        <w:t>ADJUSTED EBITDAX</w:t>
      </w:r>
    </w:p>
    <w:p>
      <w:pPr>
        <w:spacing w:after="0" w:line="208" w:lineRule="exact"/>
        <w:rPr>
          <w:sz w:val="20"/>
          <w:szCs w:val="20"/>
          <w:color w:val="auto"/>
        </w:rPr>
      </w:pPr>
    </w:p>
    <w:p>
      <w:pPr>
        <w:ind w:left="20" w:right="200"/>
        <w:spacing w:after="0" w:line="245" w:lineRule="auto"/>
        <w:rPr>
          <w:sz w:val="20"/>
          <w:szCs w:val="20"/>
          <w:color w:val="auto"/>
        </w:rPr>
      </w:pPr>
      <w:r>
        <w:rPr>
          <w:rFonts w:ascii="Arial" w:cs="Arial" w:eastAsia="Arial" w:hAnsi="Arial"/>
          <w:sz w:val="14"/>
          <w:szCs w:val="14"/>
          <w:color w:val="auto"/>
        </w:rPr>
        <w:t>We define adjusted EBITDAX as earnings before interest expense; income taxes; depreciation, depletion and amortization; exploration expense; other unusual, out-of-period and infrequent items; and other non-cash items. Management uses adjusted EBITDAX as a measure of operating cash flow without working capital adjustments. A version of adjusted EBITDAX is a material component of certain of our financial covenants under our 2014 Revolving Credit Facility and is provided in addition to, and not as an alternative for, performance and liquidity measures calculated in accordance with GAAP. The following table presents a reconciliation of the GAAP financial measures of net income (loss) and net cash provided by operating activities to the non-GAAP financial measure of adjusted EBITDAX.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3693160</wp:posOffset>
            </wp:positionH>
            <wp:positionV relativeFrom="paragraph">
              <wp:posOffset>83820</wp:posOffset>
            </wp:positionV>
            <wp:extent cx="34474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Second Quarter</w:t>
            </w:r>
          </w:p>
        </w:tc>
        <w:tc>
          <w:tcPr>
            <w:tcW w:w="8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color w:val="auto"/>
              </w:rPr>
              <w:t>Six Months</w:t>
            </w:r>
          </w:p>
        </w:tc>
        <w:tc>
          <w:tcPr>
            <w:tcW w:w="840" w:type="dxa"/>
            <w:vAlign w:val="bottom"/>
            <w:tcBorders>
              <w:bottom w:val="single" w:sz="8" w:color="auto"/>
            </w:tcBorders>
          </w:tcPr>
          <w:p>
            <w:pPr>
              <w:spacing w:after="0"/>
              <w:rPr>
                <w:sz w:val="15"/>
                <w:szCs w:val="15"/>
                <w:color w:val="auto"/>
              </w:rPr>
            </w:pPr>
          </w:p>
        </w:tc>
      </w:tr>
      <w:tr>
        <w:trPr>
          <w:trHeight w:val="264"/>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 except per BOE amounts)</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w w:val="96"/>
              </w:rPr>
              <w:t>2018</w:t>
            </w:r>
          </w:p>
        </w:tc>
        <w:tc>
          <w:tcPr>
            <w:tcW w:w="2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2018</w:t>
            </w:r>
          </w:p>
        </w:tc>
      </w:tr>
      <w:tr>
        <w:trPr>
          <w:trHeight w:val="244"/>
        </w:trPr>
        <w:tc>
          <w:tcPr>
            <w:tcW w:w="5820" w:type="dxa"/>
            <w:vAlign w:val="bottom"/>
            <w:gridSpan w:val="2"/>
          </w:tcPr>
          <w:p>
            <w:pPr>
              <w:ind w:left="20"/>
              <w:spacing w:after="0"/>
              <w:rPr>
                <w:sz w:val="20"/>
                <w:szCs w:val="20"/>
                <w:color w:val="auto"/>
              </w:rPr>
            </w:pPr>
            <w:r>
              <w:rPr>
                <w:rFonts w:ascii="Arial" w:cs="Arial" w:eastAsia="Arial" w:hAnsi="Arial"/>
                <w:sz w:val="14"/>
                <w:szCs w:val="14"/>
                <w:color w:val="auto"/>
              </w:rPr>
              <w:t>Net income (loss)</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41</w:t>
            </w:r>
          </w:p>
        </w:tc>
        <w:tc>
          <w:tcPr>
            <w:tcW w:w="120" w:type="dxa"/>
            <w:vAlign w:val="bottom"/>
          </w:tcPr>
          <w:p>
            <w:pPr>
              <w:spacing w:after="0"/>
              <w:rPr>
                <w:sz w:val="21"/>
                <w:szCs w:val="21"/>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(63)</w:t>
            </w:r>
          </w:p>
        </w:tc>
        <w:tc>
          <w:tcPr>
            <w:tcW w:w="220" w:type="dxa"/>
            <w:vAlign w:val="bottom"/>
          </w:tcPr>
          <w:p>
            <w:pPr>
              <w:spacing w:after="0"/>
              <w:rPr>
                <w:sz w:val="21"/>
                <w:szCs w:val="21"/>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120" w:type="dxa"/>
            <w:vAlign w:val="bottom"/>
          </w:tcPr>
          <w:p>
            <w:pPr>
              <w:spacing w:after="0"/>
              <w:rPr>
                <w:sz w:val="21"/>
                <w:szCs w:val="21"/>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(54)</w:t>
            </w:r>
          </w:p>
        </w:tc>
      </w:tr>
      <w:tr>
        <w:trPr>
          <w:trHeight w:val="270"/>
        </w:trPr>
        <w:tc>
          <w:tcPr>
            <w:tcW w:w="5820" w:type="dxa"/>
            <w:vAlign w:val="bottom"/>
            <w:gridSpan w:val="2"/>
          </w:tcPr>
          <w:p>
            <w:pPr>
              <w:ind w:left="160"/>
              <w:spacing w:after="0"/>
              <w:rPr>
                <w:sz w:val="20"/>
                <w:szCs w:val="20"/>
                <w:color w:val="auto"/>
              </w:rPr>
            </w:pPr>
            <w:r>
              <w:rPr>
                <w:rFonts w:ascii="Arial" w:cs="Arial" w:eastAsia="Arial" w:hAnsi="Arial"/>
                <w:sz w:val="14"/>
                <w:szCs w:val="14"/>
                <w:color w:val="auto"/>
              </w:rPr>
              <w:t>Interest and debt expense, net</w:t>
            </w:r>
          </w:p>
        </w:tc>
        <w:tc>
          <w:tcPr>
            <w:tcW w:w="28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98</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94</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198</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186</w:t>
            </w:r>
          </w:p>
        </w:tc>
      </w:tr>
      <w:tr>
        <w:trPr>
          <w:trHeight w:val="270"/>
        </w:trPr>
        <w:tc>
          <w:tcPr>
            <w:tcW w:w="5820" w:type="dxa"/>
            <w:vAlign w:val="bottom"/>
            <w:gridSpan w:val="2"/>
          </w:tcPr>
          <w:p>
            <w:pPr>
              <w:ind w:left="160"/>
              <w:spacing w:after="0"/>
              <w:rPr>
                <w:sz w:val="20"/>
                <w:szCs w:val="20"/>
                <w:color w:val="auto"/>
              </w:rPr>
            </w:pPr>
            <w:r>
              <w:rPr>
                <w:rFonts w:ascii="Arial" w:cs="Arial" w:eastAsia="Arial" w:hAnsi="Arial"/>
                <w:sz w:val="14"/>
                <w:szCs w:val="14"/>
                <w:color w:val="auto"/>
              </w:rPr>
              <w:t>Depreciation, depletion and amortization</w:t>
            </w:r>
          </w:p>
        </w:tc>
        <w:tc>
          <w:tcPr>
            <w:tcW w:w="28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121</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125</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239</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244</w:t>
            </w:r>
          </w:p>
        </w:tc>
      </w:tr>
      <w:tr>
        <w:trPr>
          <w:trHeight w:val="270"/>
        </w:trPr>
        <w:tc>
          <w:tcPr>
            <w:tcW w:w="5820" w:type="dxa"/>
            <w:vAlign w:val="bottom"/>
            <w:gridSpan w:val="2"/>
          </w:tcPr>
          <w:p>
            <w:pPr>
              <w:ind w:left="160"/>
              <w:spacing w:after="0"/>
              <w:rPr>
                <w:sz w:val="20"/>
                <w:szCs w:val="20"/>
                <w:color w:val="auto"/>
              </w:rPr>
            </w:pPr>
            <w:r>
              <w:rPr>
                <w:rFonts w:ascii="Arial" w:cs="Arial" w:eastAsia="Arial" w:hAnsi="Arial"/>
                <w:sz w:val="14"/>
                <w:szCs w:val="14"/>
                <w:color w:val="auto"/>
              </w:rPr>
              <w:t>Exploration expense</w:t>
            </w:r>
          </w:p>
        </w:tc>
        <w:tc>
          <w:tcPr>
            <w:tcW w:w="28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10</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20</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14</w:t>
            </w:r>
          </w:p>
        </w:tc>
      </w:tr>
      <w:tr>
        <w:trPr>
          <w:trHeight w:val="350"/>
        </w:trPr>
        <w:tc>
          <w:tcPr>
            <w:tcW w:w="5820" w:type="dxa"/>
            <w:vAlign w:val="bottom"/>
            <w:gridSpan w:val="2"/>
          </w:tcPr>
          <w:p>
            <w:pPr>
              <w:ind w:left="160"/>
              <w:spacing w:after="0"/>
              <w:rPr>
                <w:sz w:val="20"/>
                <w:szCs w:val="20"/>
                <w:color w:val="auto"/>
              </w:rPr>
            </w:pPr>
            <w:r>
              <w:rPr>
                <w:rFonts w:ascii="Arial" w:cs="Arial" w:eastAsia="Arial" w:hAnsi="Arial"/>
                <w:sz w:val="14"/>
                <w:szCs w:val="14"/>
                <w:color w:val="auto"/>
              </w:rPr>
              <w:t xml:space="preserve">Unusual, infrequent and other items </w:t>
            </w:r>
            <w:r>
              <w:rPr>
                <w:rFonts w:ascii="Arial" w:cs="Arial" w:eastAsia="Arial" w:hAnsi="Arial"/>
                <w:sz w:val="21"/>
                <w:szCs w:val="21"/>
                <w:color w:val="auto"/>
                <w:vertAlign w:val="superscript"/>
              </w:rPr>
              <w:t>(a)</w:t>
            </w:r>
          </w:p>
        </w:tc>
        <w:tc>
          <w:tcPr>
            <w:tcW w:w="280" w:type="dxa"/>
            <w:vAlign w:val="bottom"/>
          </w:tcPr>
          <w:p>
            <w:pPr>
              <w:spacing w:after="0"/>
              <w:rPr>
                <w:sz w:val="24"/>
                <w:szCs w:val="24"/>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(26)</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68</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72</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78</w:t>
            </w:r>
          </w:p>
        </w:tc>
      </w:tr>
      <w:tr>
        <w:trPr>
          <w:trHeight w:val="196"/>
        </w:trPr>
        <w:tc>
          <w:tcPr>
            <w:tcW w:w="5820" w:type="dxa"/>
            <w:vAlign w:val="bottom"/>
            <w:gridSpan w:val="2"/>
          </w:tcPr>
          <w:p>
            <w:pPr>
              <w:ind w:left="160"/>
              <w:spacing w:after="0"/>
              <w:rPr>
                <w:sz w:val="20"/>
                <w:szCs w:val="20"/>
                <w:color w:val="auto"/>
              </w:rPr>
            </w:pPr>
            <w:r>
              <w:rPr>
                <w:rFonts w:ascii="Arial" w:cs="Arial" w:eastAsia="Arial" w:hAnsi="Arial"/>
                <w:sz w:val="14"/>
                <w:szCs w:val="14"/>
                <w:color w:val="auto"/>
              </w:rPr>
              <w:t>Other non-cash items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11</w:t>
            </w: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w:t>
            </w: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30</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w:t>
            </w:r>
          </w:p>
        </w:tc>
      </w:tr>
      <w:tr>
        <w:trPr>
          <w:trHeight w:val="243"/>
        </w:trPr>
        <w:tc>
          <w:tcPr>
            <w:tcW w:w="582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Adjusted EBITDAX</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255</w:t>
            </w:r>
          </w:p>
        </w:tc>
        <w:tc>
          <w:tcPr>
            <w:tcW w:w="120" w:type="dxa"/>
            <w:vAlign w:val="bottom"/>
          </w:tcPr>
          <w:p>
            <w:pPr>
              <w:spacing w:after="0"/>
              <w:rPr>
                <w:sz w:val="21"/>
                <w:szCs w:val="21"/>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245</w:t>
            </w:r>
          </w:p>
        </w:tc>
        <w:tc>
          <w:tcPr>
            <w:tcW w:w="220" w:type="dxa"/>
            <w:vAlign w:val="bottom"/>
          </w:tcPr>
          <w:p>
            <w:pPr>
              <w:spacing w:after="0"/>
              <w:rPr>
                <w:sz w:val="21"/>
                <w:szCs w:val="21"/>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556</w:t>
            </w:r>
          </w:p>
        </w:tc>
        <w:tc>
          <w:tcPr>
            <w:tcW w:w="120" w:type="dxa"/>
            <w:vAlign w:val="bottom"/>
          </w:tcPr>
          <w:p>
            <w:pPr>
              <w:spacing w:after="0"/>
              <w:rPr>
                <w:sz w:val="21"/>
                <w:szCs w:val="21"/>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495</w:t>
            </w:r>
          </w:p>
        </w:tc>
      </w:tr>
      <w:tr>
        <w:trPr>
          <w:trHeight w:val="20"/>
        </w:trPr>
        <w:tc>
          <w:tcPr>
            <w:tcW w:w="5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522"/>
        </w:trPr>
        <w:tc>
          <w:tcPr>
            <w:tcW w:w="5820" w:type="dxa"/>
            <w:vAlign w:val="bottom"/>
            <w:gridSpan w:val="2"/>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114</w:t>
            </w:r>
          </w:p>
        </w:tc>
        <w:tc>
          <w:tcPr>
            <w:tcW w:w="120" w:type="dxa"/>
            <w:vAlign w:val="bottom"/>
          </w:tcPr>
          <w:p>
            <w:pPr>
              <w:spacing w:after="0"/>
              <w:rPr>
                <w:sz w:val="24"/>
                <w:szCs w:val="24"/>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34</w:t>
            </w:r>
          </w:p>
        </w:tc>
        <w:tc>
          <w:tcPr>
            <w:tcW w:w="220" w:type="dxa"/>
            <w:vAlign w:val="bottom"/>
          </w:tcPr>
          <w:p>
            <w:pPr>
              <w:spacing w:after="0"/>
              <w:rPr>
                <w:sz w:val="24"/>
                <w:szCs w:val="24"/>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272</w:t>
            </w:r>
          </w:p>
        </w:tc>
        <w:tc>
          <w:tcPr>
            <w:tcW w:w="120" w:type="dxa"/>
            <w:vAlign w:val="bottom"/>
          </w:tcPr>
          <w:p>
            <w:pPr>
              <w:spacing w:after="0"/>
              <w:rPr>
                <w:sz w:val="24"/>
                <w:szCs w:val="24"/>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234</w:t>
            </w:r>
          </w:p>
        </w:tc>
      </w:tr>
      <w:tr>
        <w:trPr>
          <w:trHeight w:val="270"/>
        </w:trPr>
        <w:tc>
          <w:tcPr>
            <w:tcW w:w="5820" w:type="dxa"/>
            <w:vAlign w:val="bottom"/>
            <w:gridSpan w:val="2"/>
          </w:tcPr>
          <w:p>
            <w:pPr>
              <w:ind w:left="160"/>
              <w:spacing w:after="0"/>
              <w:rPr>
                <w:sz w:val="20"/>
                <w:szCs w:val="20"/>
                <w:color w:val="auto"/>
              </w:rPr>
            </w:pPr>
            <w:r>
              <w:rPr>
                <w:rFonts w:ascii="Arial" w:cs="Arial" w:eastAsia="Arial" w:hAnsi="Arial"/>
                <w:sz w:val="14"/>
                <w:szCs w:val="14"/>
                <w:color w:val="auto"/>
              </w:rPr>
              <w:t>Cash interest</w:t>
            </w:r>
          </w:p>
        </w:tc>
        <w:tc>
          <w:tcPr>
            <w:tcW w:w="28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153</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154</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225</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215</w:t>
            </w:r>
          </w:p>
        </w:tc>
      </w:tr>
      <w:tr>
        <w:trPr>
          <w:trHeight w:val="270"/>
        </w:trPr>
        <w:tc>
          <w:tcPr>
            <w:tcW w:w="5820" w:type="dxa"/>
            <w:vAlign w:val="bottom"/>
            <w:gridSpan w:val="2"/>
          </w:tcPr>
          <w:p>
            <w:pPr>
              <w:ind w:left="160"/>
              <w:spacing w:after="0"/>
              <w:rPr>
                <w:sz w:val="20"/>
                <w:szCs w:val="20"/>
                <w:color w:val="auto"/>
              </w:rPr>
            </w:pPr>
            <w:r>
              <w:rPr>
                <w:rFonts w:ascii="Arial" w:cs="Arial" w:eastAsia="Arial" w:hAnsi="Arial"/>
                <w:sz w:val="14"/>
                <w:szCs w:val="14"/>
                <w:color w:val="auto"/>
              </w:rPr>
              <w:t>Exploration expenditures</w:t>
            </w:r>
          </w:p>
        </w:tc>
        <w:tc>
          <w:tcPr>
            <w:tcW w:w="28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6</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10</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10</w:t>
            </w:r>
          </w:p>
        </w:tc>
      </w:tr>
      <w:tr>
        <w:trPr>
          <w:trHeight w:val="270"/>
        </w:trPr>
        <w:tc>
          <w:tcPr>
            <w:tcW w:w="5820" w:type="dxa"/>
            <w:vAlign w:val="bottom"/>
            <w:gridSpan w:val="2"/>
          </w:tcPr>
          <w:p>
            <w:pPr>
              <w:ind w:left="160"/>
              <w:spacing w:after="0"/>
              <w:rPr>
                <w:sz w:val="20"/>
                <w:szCs w:val="20"/>
                <w:color w:val="auto"/>
              </w:rPr>
            </w:pPr>
            <w:r>
              <w:rPr>
                <w:rFonts w:ascii="Arial" w:cs="Arial" w:eastAsia="Arial" w:hAnsi="Arial"/>
                <w:sz w:val="14"/>
                <w:szCs w:val="14"/>
                <w:color w:val="auto"/>
              </w:rPr>
              <w:t>Working capital changes</w:t>
            </w:r>
          </w:p>
        </w:tc>
        <w:tc>
          <w:tcPr>
            <w:tcW w:w="280" w:type="dxa"/>
            <w:vAlign w:val="bottom"/>
          </w:tcPr>
          <w:p>
            <w:pPr>
              <w:spacing w:after="0"/>
              <w:rPr>
                <w:sz w:val="23"/>
                <w:szCs w:val="23"/>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(18)</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55</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49</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37</w:t>
            </w:r>
          </w:p>
        </w:tc>
      </w:tr>
      <w:tr>
        <w:trPr>
          <w:trHeight w:val="276"/>
        </w:trPr>
        <w:tc>
          <w:tcPr>
            <w:tcW w:w="5820" w:type="dxa"/>
            <w:vAlign w:val="bottom"/>
            <w:gridSpan w:val="2"/>
          </w:tcPr>
          <w:p>
            <w:pPr>
              <w:ind w:left="160"/>
              <w:spacing w:after="0"/>
              <w:rPr>
                <w:sz w:val="20"/>
                <w:szCs w:val="20"/>
                <w:color w:val="auto"/>
              </w:rPr>
            </w:pPr>
            <w:r>
              <w:rPr>
                <w:rFonts w:ascii="Arial" w:cs="Arial" w:eastAsia="Arial" w:hAnsi="Arial"/>
                <w:sz w:val="14"/>
                <w:szCs w:val="14"/>
                <w:color w:val="auto"/>
              </w:rPr>
              <w:t>Other, net</w:t>
            </w:r>
          </w:p>
        </w:tc>
        <w:tc>
          <w:tcPr>
            <w:tcW w:w="280" w:type="dxa"/>
            <w:vAlign w:val="bottom"/>
          </w:tcPr>
          <w:p>
            <w:pPr>
              <w:spacing w:after="0"/>
              <w:rPr>
                <w:sz w:val="24"/>
                <w:szCs w:val="2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43"/>
        </w:trPr>
        <w:tc>
          <w:tcPr>
            <w:tcW w:w="582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Adjusted EBITDAX</w:t>
            </w: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255</w:t>
            </w:r>
          </w:p>
        </w:tc>
        <w:tc>
          <w:tcPr>
            <w:tcW w:w="12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245</w:t>
            </w:r>
          </w:p>
        </w:tc>
        <w:tc>
          <w:tcPr>
            <w:tcW w:w="2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556</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495</w:t>
            </w:r>
          </w:p>
        </w:tc>
      </w:tr>
      <w:tr>
        <w:trPr>
          <w:trHeight w:val="20"/>
        </w:trPr>
        <w:tc>
          <w:tcPr>
            <w:tcW w:w="5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414"/>
        </w:trPr>
        <w:tc>
          <w:tcPr>
            <w:tcW w:w="582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Adjusted EBITDAX per Boe</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21.75</w:t>
            </w:r>
          </w:p>
        </w:tc>
        <w:tc>
          <w:tcPr>
            <w:tcW w:w="120" w:type="dxa"/>
            <w:vAlign w:val="bottom"/>
          </w:tcPr>
          <w:p>
            <w:pPr>
              <w:spacing w:after="0"/>
              <w:rPr>
                <w:sz w:val="24"/>
                <w:szCs w:val="24"/>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20.08</w:t>
            </w:r>
          </w:p>
        </w:tc>
        <w:tc>
          <w:tcPr>
            <w:tcW w:w="220" w:type="dxa"/>
            <w:vAlign w:val="bottom"/>
          </w:tcPr>
          <w:p>
            <w:pPr>
              <w:spacing w:after="0"/>
              <w:rPr>
                <w:sz w:val="24"/>
                <w:szCs w:val="24"/>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23.46</w:t>
            </w:r>
          </w:p>
        </w:tc>
        <w:tc>
          <w:tcPr>
            <w:tcW w:w="120" w:type="dxa"/>
            <w:vAlign w:val="bottom"/>
          </w:tcPr>
          <w:p>
            <w:pPr>
              <w:spacing w:after="0"/>
              <w:rPr>
                <w:sz w:val="24"/>
                <w:szCs w:val="24"/>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21.24</w:t>
            </w:r>
          </w:p>
        </w:tc>
      </w:tr>
      <w:tr>
        <w:trPr>
          <w:trHeight w:val="554"/>
        </w:trPr>
        <w:tc>
          <w:tcPr>
            <w:tcW w:w="5820" w:type="dxa"/>
            <w:vAlign w:val="bottom"/>
            <w:gridSpan w:val="2"/>
          </w:tcPr>
          <w:p>
            <w:pPr>
              <w:ind w:left="20"/>
              <w:spacing w:after="0"/>
              <w:rPr>
                <w:sz w:val="20"/>
                <w:szCs w:val="20"/>
                <w:color w:val="auto"/>
              </w:rPr>
            </w:pPr>
            <w:r>
              <w:rPr>
                <w:rFonts w:ascii="Arial" w:cs="Arial" w:eastAsia="Arial" w:hAnsi="Arial"/>
                <w:sz w:val="14"/>
                <w:szCs w:val="14"/>
                <w:color w:val="auto"/>
              </w:rPr>
              <w:t>(a) See Adjusted Net Income reconciliation.</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453390</wp:posOffset>
            </wp:positionV>
            <wp:extent cx="720344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3440"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470535</wp:posOffset>
            </wp:positionV>
            <wp:extent cx="720344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DISCRETIONARY CASH FLOW</w:t>
      </w:r>
    </w:p>
    <w:p>
      <w:pPr>
        <w:spacing w:after="0" w:line="208" w:lineRule="exact"/>
        <w:rPr>
          <w:sz w:val="20"/>
          <w:szCs w:val="20"/>
          <w:color w:val="auto"/>
        </w:rPr>
      </w:pPr>
    </w:p>
    <w:p>
      <w:pPr>
        <w:jc w:val="both"/>
        <w:ind w:left="20"/>
        <w:spacing w:after="0" w:line="258" w:lineRule="auto"/>
        <w:rPr>
          <w:sz w:val="20"/>
          <w:szCs w:val="20"/>
          <w:color w:val="auto"/>
        </w:rPr>
      </w:pPr>
      <w:r>
        <w:rPr>
          <w:rFonts w:ascii="Arial" w:cs="Arial" w:eastAsia="Arial" w:hAnsi="Arial"/>
          <w:sz w:val="14"/>
          <w:szCs w:val="14"/>
          <w:color w:val="auto"/>
        </w:rPr>
        <w:t>We define discretionary cash flow as the cash available after distributions to noncontrolling interest holders and cash interest, excluding the effect of working capital changes but before our internal capital investment. Management uses discretionary cash flow as a measure of the availability of cash to reduce debt or fund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3693160</wp:posOffset>
            </wp:positionH>
            <wp:positionV relativeFrom="paragraph">
              <wp:posOffset>146050</wp:posOffset>
            </wp:positionV>
            <wp:extent cx="344741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Second Quarter</w:t>
            </w:r>
          </w:p>
        </w:tc>
        <w:tc>
          <w:tcPr>
            <w:tcW w:w="8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color w:val="auto"/>
              </w:rPr>
              <w:t>Six Months</w:t>
            </w:r>
          </w:p>
        </w:tc>
        <w:tc>
          <w:tcPr>
            <w:tcW w:w="840" w:type="dxa"/>
            <w:vAlign w:val="bottom"/>
            <w:tcBorders>
              <w:bottom w:val="single" w:sz="8" w:color="auto"/>
            </w:tcBorders>
          </w:tcPr>
          <w:p>
            <w:pPr>
              <w:spacing w:after="0"/>
              <w:rPr>
                <w:sz w:val="15"/>
                <w:szCs w:val="15"/>
                <w:color w:val="auto"/>
              </w:rPr>
            </w:pPr>
          </w:p>
        </w:tc>
      </w:tr>
      <w:tr>
        <w:trPr>
          <w:trHeight w:val="264"/>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w w:val="96"/>
              </w:rPr>
              <w:t>2018</w:t>
            </w:r>
          </w:p>
        </w:tc>
        <w:tc>
          <w:tcPr>
            <w:tcW w:w="2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2018</w:t>
            </w:r>
          </w:p>
        </w:tc>
      </w:tr>
      <w:tr>
        <w:trPr>
          <w:trHeight w:val="244"/>
        </w:trPr>
        <w:tc>
          <w:tcPr>
            <w:tcW w:w="5820" w:type="dxa"/>
            <w:vAlign w:val="bottom"/>
            <w:gridSpan w:val="2"/>
          </w:tcPr>
          <w:p>
            <w:pPr>
              <w:ind w:left="20"/>
              <w:spacing w:after="0"/>
              <w:rPr>
                <w:sz w:val="20"/>
                <w:szCs w:val="20"/>
                <w:color w:val="auto"/>
              </w:rPr>
            </w:pPr>
            <w:r>
              <w:rPr>
                <w:rFonts w:ascii="Arial" w:cs="Arial" w:eastAsia="Arial" w:hAnsi="Arial"/>
                <w:sz w:val="14"/>
                <w:szCs w:val="14"/>
                <w:color w:val="auto"/>
              </w:rPr>
              <w:t>Adjusted EBITDAX</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255</w:t>
            </w:r>
          </w:p>
        </w:tc>
        <w:tc>
          <w:tcPr>
            <w:tcW w:w="120" w:type="dxa"/>
            <w:vAlign w:val="bottom"/>
          </w:tcPr>
          <w:p>
            <w:pPr>
              <w:spacing w:after="0"/>
              <w:rPr>
                <w:sz w:val="21"/>
                <w:szCs w:val="21"/>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245</w:t>
            </w:r>
          </w:p>
        </w:tc>
        <w:tc>
          <w:tcPr>
            <w:tcW w:w="220" w:type="dxa"/>
            <w:vAlign w:val="bottom"/>
          </w:tcPr>
          <w:p>
            <w:pPr>
              <w:spacing w:after="0"/>
              <w:rPr>
                <w:sz w:val="21"/>
                <w:szCs w:val="21"/>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556</w:t>
            </w:r>
          </w:p>
        </w:tc>
        <w:tc>
          <w:tcPr>
            <w:tcW w:w="120" w:type="dxa"/>
            <w:vAlign w:val="bottom"/>
          </w:tcPr>
          <w:p>
            <w:pPr>
              <w:spacing w:after="0"/>
              <w:rPr>
                <w:sz w:val="21"/>
                <w:szCs w:val="21"/>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495</w:t>
            </w:r>
          </w:p>
        </w:tc>
      </w:tr>
      <w:tr>
        <w:trPr>
          <w:trHeight w:val="270"/>
        </w:trPr>
        <w:tc>
          <w:tcPr>
            <w:tcW w:w="5820" w:type="dxa"/>
            <w:vAlign w:val="bottom"/>
            <w:gridSpan w:val="2"/>
          </w:tcPr>
          <w:p>
            <w:pPr>
              <w:ind w:left="20"/>
              <w:spacing w:after="0"/>
              <w:rPr>
                <w:sz w:val="20"/>
                <w:szCs w:val="20"/>
                <w:color w:val="auto"/>
              </w:rPr>
            </w:pPr>
            <w:r>
              <w:rPr>
                <w:rFonts w:ascii="Arial" w:cs="Arial" w:eastAsia="Arial" w:hAnsi="Arial"/>
                <w:sz w:val="14"/>
                <w:szCs w:val="14"/>
                <w:color w:val="auto"/>
              </w:rPr>
              <w:t>Cash interest</w:t>
            </w:r>
          </w:p>
        </w:tc>
        <w:tc>
          <w:tcPr>
            <w:tcW w:w="280" w:type="dxa"/>
            <w:vAlign w:val="bottom"/>
          </w:tcPr>
          <w:p>
            <w:pPr>
              <w:spacing w:after="0"/>
              <w:rPr>
                <w:sz w:val="23"/>
                <w:szCs w:val="23"/>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(153)</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(154)</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(225)</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(215)</w:t>
            </w:r>
          </w:p>
        </w:tc>
      </w:tr>
      <w:tr>
        <w:trPr>
          <w:trHeight w:val="270"/>
        </w:trPr>
        <w:tc>
          <w:tcPr>
            <w:tcW w:w="5820" w:type="dxa"/>
            <w:vAlign w:val="bottom"/>
            <w:gridSpan w:val="2"/>
          </w:tcPr>
          <w:p>
            <w:pPr>
              <w:ind w:left="20"/>
              <w:spacing w:after="0"/>
              <w:rPr>
                <w:sz w:val="20"/>
                <w:szCs w:val="20"/>
                <w:color w:val="auto"/>
              </w:rPr>
            </w:pPr>
            <w:r>
              <w:rPr>
                <w:rFonts w:ascii="Arial" w:cs="Arial" w:eastAsia="Arial" w:hAnsi="Arial"/>
                <w:sz w:val="14"/>
                <w:szCs w:val="14"/>
                <w:color w:val="auto"/>
              </w:rPr>
              <w:t>Distributions paid to noncontrolling interest holders:</w:t>
            </w: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70"/>
        </w:trPr>
        <w:tc>
          <w:tcPr>
            <w:tcW w:w="5820" w:type="dxa"/>
            <w:vAlign w:val="bottom"/>
            <w:gridSpan w:val="2"/>
          </w:tcPr>
          <w:p>
            <w:pPr>
              <w:ind w:left="140"/>
              <w:spacing w:after="0"/>
              <w:rPr>
                <w:sz w:val="20"/>
                <w:szCs w:val="20"/>
                <w:color w:val="auto"/>
              </w:rPr>
            </w:pPr>
            <w:r>
              <w:rPr>
                <w:rFonts w:ascii="Arial" w:cs="Arial" w:eastAsia="Arial" w:hAnsi="Arial"/>
                <w:sz w:val="14"/>
                <w:szCs w:val="14"/>
                <w:color w:val="auto"/>
              </w:rPr>
              <w:t>BSP JV</w:t>
            </w:r>
          </w:p>
        </w:tc>
        <w:tc>
          <w:tcPr>
            <w:tcW w:w="280" w:type="dxa"/>
            <w:vAlign w:val="bottom"/>
          </w:tcPr>
          <w:p>
            <w:pPr>
              <w:spacing w:after="0"/>
              <w:rPr>
                <w:sz w:val="23"/>
                <w:szCs w:val="23"/>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(6)</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(25)</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270"/>
        </w:trPr>
        <w:tc>
          <w:tcPr>
            <w:tcW w:w="5820" w:type="dxa"/>
            <w:vAlign w:val="bottom"/>
            <w:gridSpan w:val="2"/>
          </w:tcPr>
          <w:p>
            <w:pPr>
              <w:ind w:left="140"/>
              <w:spacing w:after="0"/>
              <w:rPr>
                <w:sz w:val="20"/>
                <w:szCs w:val="20"/>
                <w:color w:val="auto"/>
              </w:rPr>
            </w:pPr>
            <w:r>
              <w:rPr>
                <w:rFonts w:ascii="Arial" w:cs="Arial" w:eastAsia="Arial" w:hAnsi="Arial"/>
                <w:sz w:val="14"/>
                <w:szCs w:val="14"/>
                <w:color w:val="auto"/>
              </w:rPr>
              <w:t>Ares JV</w:t>
            </w:r>
          </w:p>
        </w:tc>
        <w:tc>
          <w:tcPr>
            <w:tcW w:w="280" w:type="dxa"/>
            <w:vAlign w:val="bottom"/>
          </w:tcPr>
          <w:p>
            <w:pPr>
              <w:spacing w:after="0"/>
              <w:rPr>
                <w:sz w:val="23"/>
                <w:szCs w:val="23"/>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(20)</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(40)</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134"/>
        </w:trPr>
        <w:tc>
          <w:tcPr>
            <w:tcW w:w="5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r>
      <w:tr>
        <w:trPr>
          <w:trHeight w:val="237"/>
        </w:trPr>
        <w:tc>
          <w:tcPr>
            <w:tcW w:w="5820" w:type="dxa"/>
            <w:vAlign w:val="bottom"/>
            <w:gridSpan w:val="2"/>
          </w:tcPr>
          <w:p>
            <w:pPr>
              <w:ind w:left="20"/>
              <w:spacing w:after="0"/>
              <w:rPr>
                <w:sz w:val="20"/>
                <w:szCs w:val="20"/>
                <w:color w:val="auto"/>
              </w:rPr>
            </w:pPr>
            <w:r>
              <w:rPr>
                <w:rFonts w:ascii="Arial" w:cs="Arial" w:eastAsia="Arial" w:hAnsi="Arial"/>
                <w:sz w:val="14"/>
                <w:szCs w:val="14"/>
                <w:color w:val="auto"/>
              </w:rPr>
              <w:t>Discretionary cash flow</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76</w:t>
            </w:r>
          </w:p>
        </w:tc>
        <w:tc>
          <w:tcPr>
            <w:tcW w:w="120" w:type="dxa"/>
            <w:vAlign w:val="bottom"/>
          </w:tcPr>
          <w:p>
            <w:pPr>
              <w:spacing w:after="0"/>
              <w:rPr>
                <w:sz w:val="20"/>
                <w:szCs w:val="20"/>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68</w:t>
            </w:r>
          </w:p>
        </w:tc>
        <w:tc>
          <w:tcPr>
            <w:tcW w:w="220" w:type="dxa"/>
            <w:vAlign w:val="bottom"/>
          </w:tcPr>
          <w:p>
            <w:pPr>
              <w:spacing w:after="0"/>
              <w:rPr>
                <w:sz w:val="20"/>
                <w:szCs w:val="20"/>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266</w:t>
            </w:r>
          </w:p>
        </w:tc>
        <w:tc>
          <w:tcPr>
            <w:tcW w:w="120" w:type="dxa"/>
            <w:vAlign w:val="bottom"/>
          </w:tcPr>
          <w:p>
            <w:pPr>
              <w:spacing w:after="0"/>
              <w:rPr>
                <w:sz w:val="20"/>
                <w:szCs w:val="20"/>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239</w:t>
            </w:r>
          </w:p>
        </w:tc>
      </w:tr>
      <w:tr>
        <w:trPr>
          <w:trHeight w:val="20"/>
        </w:trPr>
        <w:tc>
          <w:tcPr>
            <w:tcW w:w="5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240"/>
          </w:cols>
          <w:pgMar w:left="280" w:top="842" w:right="379" w:bottom="1440" w:gutter="0" w:footer="0" w:header="0"/>
        </w:sectPr>
      </w:pPr>
    </w:p>
    <w:bookmarkStart w:id="15" w:name="page16"/>
    <w:bookmarkEnd w:id="15"/>
    <w:p>
      <w:pPr>
        <w:ind w:left="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183515</wp:posOffset>
            </wp:positionH>
            <wp:positionV relativeFrom="page">
              <wp:posOffset>466090</wp:posOffset>
            </wp:positionV>
            <wp:extent cx="72034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3440" cy="8890"/>
                    </a:xfrm>
                    <a:prstGeom prst="rect">
                      <a:avLst/>
                    </a:prstGeom>
                    <a:noFill/>
                  </pic:spPr>
                </pic:pic>
              </a:graphicData>
            </a:graphic>
          </wp:anchor>
        </w:drawing>
        <w:drawing>
          <wp:anchor simplePos="0" relativeHeight="251657728" behindDoc="1" locked="0" layoutInCell="0" allowOverlap="1">
            <wp:simplePos x="0" y="0"/>
            <wp:positionH relativeFrom="page">
              <wp:posOffset>183515</wp:posOffset>
            </wp:positionH>
            <wp:positionV relativeFrom="page">
              <wp:posOffset>483235</wp:posOffset>
            </wp:positionV>
            <wp:extent cx="720344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3440" cy="8890"/>
                    </a:xfrm>
                    <a:prstGeom prst="rect">
                      <a:avLst/>
                    </a:prstGeom>
                    <a:noFill/>
                  </pic:spPr>
                </pic:pic>
              </a:graphicData>
            </a:graphic>
          </wp:anchor>
        </w:drawing>
        <w:t>ADJUSTED EBITDAX MARGIN</w:t>
      </w:r>
    </w:p>
    <w:p>
      <w:pPr>
        <w:spacing w:after="0" w:line="208" w:lineRule="exact"/>
        <w:rPr>
          <w:sz w:val="20"/>
          <w:szCs w:val="20"/>
          <w:color w:val="auto"/>
        </w:rPr>
      </w:pPr>
    </w:p>
    <w:p>
      <w:pPr>
        <w:ind w:left="20" w:right="80"/>
        <w:spacing w:after="0" w:line="258" w:lineRule="auto"/>
        <w:rPr>
          <w:sz w:val="20"/>
          <w:szCs w:val="20"/>
          <w:color w:val="auto"/>
        </w:rPr>
      </w:pPr>
      <w:r>
        <w:rPr>
          <w:rFonts w:ascii="Arial" w:cs="Arial" w:eastAsia="Arial" w:hAnsi="Arial"/>
          <w:sz w:val="14"/>
          <w:szCs w:val="14"/>
          <w:color w:val="auto"/>
        </w:rPr>
        <w:t>Management uses adjusted EBITDAX margin as a measure of profitability between periods and this measure is generally used by analysts for comparative purposes within the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146050</wp:posOffset>
            </wp:positionV>
            <wp:extent cx="35248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524885" cy="8890"/>
                    </a:xfrm>
                    <a:prstGeom prst="rect">
                      <a:avLst/>
                    </a:prstGeom>
                    <a:noFill/>
                  </pic:spPr>
                </pic:pic>
              </a:graphicData>
            </a:graphic>
          </wp:anchor>
        </w:drawing>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Second Quarter</w:t>
            </w:r>
          </w:p>
        </w:tc>
        <w:tc>
          <w:tcPr>
            <w:tcW w:w="8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color w:val="auto"/>
              </w:rPr>
              <w:t>Six Months</w:t>
            </w:r>
          </w:p>
        </w:tc>
        <w:tc>
          <w:tcPr>
            <w:tcW w:w="880" w:type="dxa"/>
            <w:vAlign w:val="bottom"/>
            <w:tcBorders>
              <w:bottom w:val="single" w:sz="8" w:color="auto"/>
            </w:tcBorders>
          </w:tcPr>
          <w:p>
            <w:pPr>
              <w:spacing w:after="0"/>
              <w:rPr>
                <w:sz w:val="15"/>
                <w:szCs w:val="15"/>
                <w:color w:val="auto"/>
              </w:rPr>
            </w:pPr>
          </w:p>
        </w:tc>
      </w:tr>
      <w:tr>
        <w:trPr>
          <w:trHeight w:val="264"/>
        </w:trPr>
        <w:tc>
          <w:tcPr>
            <w:tcW w:w="55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w w:val="96"/>
              </w:rPr>
              <w:t>2018</w:t>
            </w:r>
          </w:p>
        </w:tc>
        <w:tc>
          <w:tcPr>
            <w:tcW w:w="2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2018</w:t>
            </w:r>
          </w:p>
        </w:tc>
      </w:tr>
      <w:tr>
        <w:trPr>
          <w:trHeight w:val="244"/>
        </w:trPr>
        <w:tc>
          <w:tcPr>
            <w:tcW w:w="5700" w:type="dxa"/>
            <w:vAlign w:val="bottom"/>
            <w:gridSpan w:val="2"/>
          </w:tcPr>
          <w:p>
            <w:pPr>
              <w:ind w:left="20"/>
              <w:spacing w:after="0"/>
              <w:rPr>
                <w:sz w:val="20"/>
                <w:szCs w:val="20"/>
                <w:color w:val="auto"/>
              </w:rPr>
            </w:pPr>
            <w:r>
              <w:rPr>
                <w:rFonts w:ascii="Arial" w:cs="Arial" w:eastAsia="Arial" w:hAnsi="Arial"/>
                <w:sz w:val="14"/>
                <w:szCs w:val="14"/>
                <w:color w:val="auto"/>
              </w:rPr>
              <w:t>Total revenues and other</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88"/>
              <w:spacing w:after="0"/>
              <w:rPr>
                <w:sz w:val="20"/>
                <w:szCs w:val="20"/>
                <w:color w:val="auto"/>
              </w:rPr>
            </w:pPr>
            <w:r>
              <w:rPr>
                <w:rFonts w:ascii="Arial" w:cs="Arial" w:eastAsia="Arial" w:hAnsi="Arial"/>
                <w:sz w:val="14"/>
                <w:szCs w:val="14"/>
                <w:b w:val="1"/>
                <w:bCs w:val="1"/>
                <w:color w:val="auto"/>
              </w:rPr>
              <w:t>653</w:t>
            </w:r>
          </w:p>
        </w:tc>
        <w:tc>
          <w:tcPr>
            <w:tcW w:w="120" w:type="dxa"/>
            <w:vAlign w:val="bottom"/>
          </w:tcPr>
          <w:p>
            <w:pPr>
              <w:spacing w:after="0"/>
              <w:rPr>
                <w:sz w:val="21"/>
                <w:szCs w:val="21"/>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549</w:t>
            </w:r>
          </w:p>
        </w:tc>
        <w:tc>
          <w:tcPr>
            <w:tcW w:w="220" w:type="dxa"/>
            <w:vAlign w:val="bottom"/>
          </w:tcPr>
          <w:p>
            <w:pPr>
              <w:spacing w:after="0"/>
              <w:rPr>
                <w:sz w:val="21"/>
                <w:szCs w:val="21"/>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b w:val="1"/>
                <w:bCs w:val="1"/>
                <w:color w:val="auto"/>
              </w:rPr>
              <w:t>1,343</w:t>
            </w:r>
          </w:p>
        </w:tc>
        <w:tc>
          <w:tcPr>
            <w:tcW w:w="100" w:type="dxa"/>
            <w:vAlign w:val="bottom"/>
          </w:tcPr>
          <w:p>
            <w:pPr>
              <w:spacing w:after="0"/>
              <w:rPr>
                <w:sz w:val="21"/>
                <w:szCs w:val="21"/>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1,158</w:t>
            </w:r>
          </w:p>
        </w:tc>
      </w:tr>
      <w:tr>
        <w:trPr>
          <w:trHeight w:val="276"/>
        </w:trPr>
        <w:tc>
          <w:tcPr>
            <w:tcW w:w="5700" w:type="dxa"/>
            <w:vAlign w:val="bottom"/>
            <w:gridSpan w:val="2"/>
          </w:tcPr>
          <w:p>
            <w:pPr>
              <w:ind w:left="160"/>
              <w:spacing w:after="0"/>
              <w:rPr>
                <w:sz w:val="20"/>
                <w:szCs w:val="20"/>
                <w:color w:val="auto"/>
              </w:rPr>
            </w:pPr>
            <w:r>
              <w:rPr>
                <w:rFonts w:ascii="Arial" w:cs="Arial" w:eastAsia="Arial" w:hAnsi="Arial"/>
                <w:sz w:val="14"/>
                <w:szCs w:val="14"/>
                <w:color w:val="auto"/>
              </w:rPr>
              <w:t>Non-cash derivative (gain) loss</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(7)</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99</w:t>
            </w:r>
          </w:p>
        </w:tc>
        <w:tc>
          <w:tcPr>
            <w:tcW w:w="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96</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106</w:t>
            </w:r>
          </w:p>
        </w:tc>
      </w:tr>
      <w:tr>
        <w:trPr>
          <w:trHeight w:val="243"/>
        </w:trPr>
        <w:tc>
          <w:tcPr>
            <w:tcW w:w="5700" w:type="dxa"/>
            <w:vAlign w:val="bottom"/>
            <w:gridSpan w:val="2"/>
          </w:tcPr>
          <w:p>
            <w:pPr>
              <w:ind w:left="20"/>
              <w:spacing w:after="0"/>
              <w:rPr>
                <w:sz w:val="20"/>
                <w:szCs w:val="20"/>
                <w:color w:val="auto"/>
              </w:rPr>
            </w:pPr>
            <w:r>
              <w:rPr>
                <w:rFonts w:ascii="Arial" w:cs="Arial" w:eastAsia="Arial" w:hAnsi="Arial"/>
                <w:sz w:val="14"/>
                <w:szCs w:val="14"/>
                <w:color w:val="auto"/>
              </w:rPr>
              <w:t>Revenues, excluding non-cash derivative gains and losses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646</w:t>
            </w:r>
          </w:p>
        </w:tc>
        <w:tc>
          <w:tcPr>
            <w:tcW w:w="120" w:type="dxa"/>
            <w:vAlign w:val="bottom"/>
          </w:tcPr>
          <w:p>
            <w:pPr>
              <w:spacing w:after="0"/>
              <w:rPr>
                <w:sz w:val="21"/>
                <w:szCs w:val="21"/>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648</w:t>
            </w:r>
          </w:p>
        </w:tc>
        <w:tc>
          <w:tcPr>
            <w:tcW w:w="220" w:type="dxa"/>
            <w:vAlign w:val="bottom"/>
          </w:tcPr>
          <w:p>
            <w:pPr>
              <w:spacing w:after="0"/>
              <w:rPr>
                <w:sz w:val="21"/>
                <w:szCs w:val="21"/>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1,439</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1,264</w:t>
            </w:r>
          </w:p>
        </w:tc>
      </w:tr>
      <w:tr>
        <w:trPr>
          <w:trHeight w:val="20"/>
        </w:trPr>
        <w:tc>
          <w:tcPr>
            <w:tcW w:w="5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2"/>
        </w:trPr>
        <w:tc>
          <w:tcPr>
            <w:tcW w:w="5700" w:type="dxa"/>
            <w:vAlign w:val="bottom"/>
            <w:gridSpan w:val="2"/>
          </w:tcPr>
          <w:p>
            <w:pPr>
              <w:ind w:left="20"/>
              <w:spacing w:after="0"/>
              <w:rPr>
                <w:sz w:val="20"/>
                <w:szCs w:val="20"/>
                <w:color w:val="auto"/>
              </w:rPr>
            </w:pPr>
            <w:r>
              <w:rPr>
                <w:rFonts w:ascii="Arial" w:cs="Arial" w:eastAsia="Arial" w:hAnsi="Arial"/>
                <w:sz w:val="14"/>
                <w:szCs w:val="14"/>
                <w:color w:val="auto"/>
              </w:rPr>
              <w:t>Adjusted EBITDAX Margin</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39%</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38%</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39%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273685</wp:posOffset>
            </wp:positionV>
            <wp:extent cx="720344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3440"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290830</wp:posOffset>
            </wp:positionV>
            <wp:extent cx="720344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ADJUSTED GENERAL AND ADMINISTRATIVE EXPENSES</w:t>
      </w:r>
    </w:p>
    <w:p>
      <w:pPr>
        <w:spacing w:after="0" w:line="208" w:lineRule="exact"/>
        <w:rPr>
          <w:sz w:val="20"/>
          <w:szCs w:val="20"/>
          <w:color w:val="auto"/>
        </w:rPr>
      </w:pPr>
    </w:p>
    <w:p>
      <w:pPr>
        <w:ind w:left="20" w:right="40"/>
        <w:spacing w:after="0" w:line="250" w:lineRule="auto"/>
        <w:rPr>
          <w:sz w:val="20"/>
          <w:szCs w:val="20"/>
          <w:color w:val="auto"/>
        </w:rPr>
      </w:pPr>
      <w:r>
        <w:rPr>
          <w:rFonts w:ascii="Arial" w:cs="Arial" w:eastAsia="Arial" w:hAnsi="Arial"/>
          <w:sz w:val="14"/>
          <w:szCs w:val="14"/>
          <w:color w:val="auto"/>
        </w:rPr>
        <w:t>Management uses a measure called adjusted general and administrative expenses to provide useful information to investors interested in comparing our costs between periods and our performance to our peers. The following table presents a reconciliation of the GAAP financial measure of general and administrative expenses to the non-GAAP financial measure of adjusted 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3693160</wp:posOffset>
            </wp:positionH>
            <wp:positionV relativeFrom="paragraph">
              <wp:posOffset>149225</wp:posOffset>
            </wp:positionV>
            <wp:extent cx="344741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Second Quarter</w:t>
            </w:r>
          </w:p>
        </w:tc>
        <w:tc>
          <w:tcPr>
            <w:tcW w:w="8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color w:val="auto"/>
              </w:rPr>
              <w:t>Six Months</w:t>
            </w:r>
          </w:p>
        </w:tc>
        <w:tc>
          <w:tcPr>
            <w:tcW w:w="840" w:type="dxa"/>
            <w:vAlign w:val="bottom"/>
            <w:tcBorders>
              <w:bottom w:val="single" w:sz="8" w:color="auto"/>
            </w:tcBorders>
          </w:tcPr>
          <w:p>
            <w:pPr>
              <w:spacing w:after="0"/>
              <w:rPr>
                <w:sz w:val="15"/>
                <w:szCs w:val="15"/>
                <w:color w:val="auto"/>
              </w:rPr>
            </w:pPr>
          </w:p>
        </w:tc>
      </w:tr>
      <w:tr>
        <w:trPr>
          <w:trHeight w:val="264"/>
        </w:trPr>
        <w:tc>
          <w:tcPr>
            <w:tcW w:w="57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w w:val="96"/>
              </w:rPr>
              <w:t>2018</w:t>
            </w:r>
          </w:p>
        </w:tc>
        <w:tc>
          <w:tcPr>
            <w:tcW w:w="2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2018</w:t>
            </w:r>
          </w:p>
        </w:tc>
      </w:tr>
      <w:tr>
        <w:trPr>
          <w:trHeight w:val="244"/>
        </w:trPr>
        <w:tc>
          <w:tcPr>
            <w:tcW w:w="5820" w:type="dxa"/>
            <w:vAlign w:val="bottom"/>
            <w:gridSpan w:val="2"/>
          </w:tcPr>
          <w:p>
            <w:pPr>
              <w:ind w:left="20"/>
              <w:spacing w:after="0"/>
              <w:rPr>
                <w:sz w:val="20"/>
                <w:szCs w:val="20"/>
                <w:color w:val="auto"/>
              </w:rPr>
            </w:pPr>
            <w:r>
              <w:rPr>
                <w:rFonts w:ascii="Arial" w:cs="Arial" w:eastAsia="Arial" w:hAnsi="Arial"/>
                <w:sz w:val="14"/>
                <w:szCs w:val="14"/>
                <w:color w:val="auto"/>
              </w:rPr>
              <w:t>General and administrative expenses</w:t>
            </w:r>
          </w:p>
        </w:tc>
        <w:tc>
          <w:tcPr>
            <w:tcW w:w="800" w:type="dxa"/>
            <w:vAlign w:val="bottom"/>
          </w:tcPr>
          <w:p>
            <w:pPr>
              <w:jc w:val="right"/>
              <w:ind w:right="628"/>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jc w:val="right"/>
              <w:ind w:right="48"/>
              <w:spacing w:after="0"/>
              <w:rPr>
                <w:sz w:val="20"/>
                <w:szCs w:val="20"/>
                <w:color w:val="auto"/>
              </w:rPr>
            </w:pPr>
            <w:r>
              <w:rPr>
                <w:rFonts w:ascii="Arial" w:cs="Arial" w:eastAsia="Arial" w:hAnsi="Arial"/>
                <w:sz w:val="14"/>
                <w:szCs w:val="14"/>
                <w:b w:val="1"/>
                <w:bCs w:val="1"/>
                <w:color w:val="auto"/>
              </w:rPr>
              <w:t>79</w:t>
            </w:r>
          </w:p>
        </w:tc>
        <w:tc>
          <w:tcPr>
            <w:tcW w:w="120" w:type="dxa"/>
            <w:vAlign w:val="bottom"/>
          </w:tcPr>
          <w:p>
            <w:pPr>
              <w:spacing w:after="0"/>
              <w:rPr>
                <w:sz w:val="21"/>
                <w:szCs w:val="21"/>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90</w:t>
            </w:r>
          </w:p>
        </w:tc>
        <w:tc>
          <w:tcPr>
            <w:tcW w:w="220" w:type="dxa"/>
            <w:vAlign w:val="bottom"/>
          </w:tcPr>
          <w:p>
            <w:pPr>
              <w:spacing w:after="0"/>
              <w:rPr>
                <w:sz w:val="21"/>
                <w:szCs w:val="21"/>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162</w:t>
            </w:r>
          </w:p>
        </w:tc>
        <w:tc>
          <w:tcPr>
            <w:tcW w:w="120" w:type="dxa"/>
            <w:vAlign w:val="bottom"/>
          </w:tcPr>
          <w:p>
            <w:pPr>
              <w:spacing w:after="0"/>
              <w:rPr>
                <w:sz w:val="21"/>
                <w:szCs w:val="21"/>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153</w:t>
            </w:r>
          </w:p>
        </w:tc>
      </w:tr>
      <w:tr>
        <w:trPr>
          <w:trHeight w:val="270"/>
        </w:trPr>
        <w:tc>
          <w:tcPr>
            <w:tcW w:w="5820" w:type="dxa"/>
            <w:vAlign w:val="bottom"/>
            <w:gridSpan w:val="2"/>
          </w:tcPr>
          <w:p>
            <w:pPr>
              <w:ind w:left="160"/>
              <w:spacing w:after="0"/>
              <w:rPr>
                <w:sz w:val="20"/>
                <w:szCs w:val="20"/>
                <w:color w:val="auto"/>
              </w:rPr>
            </w:pPr>
            <w:r>
              <w:rPr>
                <w:rFonts w:ascii="Arial" w:cs="Arial" w:eastAsia="Arial" w:hAnsi="Arial"/>
                <w:sz w:val="14"/>
                <w:szCs w:val="14"/>
                <w:color w:val="auto"/>
              </w:rPr>
              <w:t>Severance</w:t>
            </w:r>
          </w:p>
        </w:tc>
        <w:tc>
          <w:tcPr>
            <w:tcW w:w="800" w:type="dxa"/>
            <w:vAlign w:val="bottom"/>
          </w:tcPr>
          <w:p>
            <w:pPr>
              <w:spacing w:after="0"/>
              <w:rPr>
                <w:sz w:val="23"/>
                <w:szCs w:val="23"/>
                <w:color w:val="auto"/>
              </w:rPr>
            </w:pPr>
          </w:p>
        </w:tc>
        <w:tc>
          <w:tcPr>
            <w:tcW w:w="460" w:type="dxa"/>
            <w:vAlign w:val="bottom"/>
          </w:tcPr>
          <w:p>
            <w:pPr>
              <w:jc w:val="right"/>
              <w:ind w:right="8"/>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5820" w:type="dxa"/>
            <w:vAlign w:val="bottom"/>
            <w:gridSpan w:val="2"/>
          </w:tcPr>
          <w:p>
            <w:pPr>
              <w:ind w:left="140"/>
              <w:spacing w:after="0"/>
              <w:rPr>
                <w:sz w:val="20"/>
                <w:szCs w:val="20"/>
                <w:color w:val="auto"/>
              </w:rPr>
            </w:pPr>
            <w:r>
              <w:rPr>
                <w:rFonts w:ascii="Arial" w:cs="Arial" w:eastAsia="Arial" w:hAnsi="Arial"/>
                <w:sz w:val="14"/>
                <w:szCs w:val="14"/>
                <w:color w:val="auto"/>
              </w:rPr>
              <w:t>Office consolidation</w:t>
            </w:r>
          </w:p>
        </w:tc>
        <w:tc>
          <w:tcPr>
            <w:tcW w:w="800" w:type="dxa"/>
            <w:vAlign w:val="bottom"/>
          </w:tcPr>
          <w:p>
            <w:pPr>
              <w:spacing w:after="0"/>
              <w:rPr>
                <w:sz w:val="23"/>
                <w:szCs w:val="23"/>
                <w:color w:val="auto"/>
              </w:rPr>
            </w:pPr>
          </w:p>
        </w:tc>
        <w:tc>
          <w:tcPr>
            <w:tcW w:w="460" w:type="dxa"/>
            <w:vAlign w:val="bottom"/>
          </w:tcPr>
          <w:p>
            <w:pPr>
              <w:jc w:val="right"/>
              <w:ind w:right="8"/>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5820" w:type="dxa"/>
            <w:vAlign w:val="bottom"/>
            <w:gridSpan w:val="2"/>
          </w:tcPr>
          <w:p>
            <w:pPr>
              <w:ind w:left="140"/>
              <w:spacing w:after="0"/>
              <w:rPr>
                <w:sz w:val="20"/>
                <w:szCs w:val="20"/>
                <w:color w:val="auto"/>
              </w:rPr>
            </w:pPr>
            <w:r>
              <w:rPr>
                <w:rFonts w:ascii="Arial" w:cs="Arial" w:eastAsia="Arial" w:hAnsi="Arial"/>
                <w:sz w:val="14"/>
                <w:szCs w:val="14"/>
                <w:color w:val="auto"/>
              </w:rPr>
              <w:t>Transaction costs</w:t>
            </w:r>
          </w:p>
        </w:tc>
        <w:tc>
          <w:tcPr>
            <w:tcW w:w="800" w:type="dxa"/>
            <w:vAlign w:val="bottom"/>
          </w:tcPr>
          <w:p>
            <w:pPr>
              <w:spacing w:after="0"/>
              <w:rPr>
                <w:sz w:val="24"/>
                <w:szCs w:val="24"/>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43"/>
        </w:trPr>
        <w:tc>
          <w:tcPr>
            <w:tcW w:w="5820" w:type="dxa"/>
            <w:vAlign w:val="bottom"/>
            <w:gridSpan w:val="2"/>
          </w:tcPr>
          <w:p>
            <w:pPr>
              <w:ind w:left="20"/>
              <w:spacing w:after="0"/>
              <w:rPr>
                <w:sz w:val="20"/>
                <w:szCs w:val="20"/>
                <w:color w:val="auto"/>
              </w:rPr>
            </w:pPr>
            <w:r>
              <w:rPr>
                <w:rFonts w:ascii="Arial" w:cs="Arial" w:eastAsia="Arial" w:hAnsi="Arial"/>
                <w:sz w:val="14"/>
                <w:szCs w:val="14"/>
                <w:color w:val="auto"/>
              </w:rPr>
              <w:t>Adjusted general and administrative expenses</w:t>
            </w:r>
          </w:p>
        </w:tc>
        <w:tc>
          <w:tcPr>
            <w:tcW w:w="80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w:t>
            </w:r>
          </w:p>
        </w:tc>
        <w:tc>
          <w:tcPr>
            <w:tcW w:w="4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77</w:t>
            </w:r>
          </w:p>
        </w:tc>
        <w:tc>
          <w:tcPr>
            <w:tcW w:w="12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89</w:t>
            </w:r>
          </w:p>
        </w:tc>
        <w:tc>
          <w:tcPr>
            <w:tcW w:w="2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160</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152</w:t>
            </w:r>
          </w:p>
        </w:tc>
      </w:tr>
      <w:tr>
        <w:trPr>
          <w:trHeight w:val="20"/>
        </w:trPr>
        <w:tc>
          <w:tcPr>
            <w:tcW w:w="5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445770</wp:posOffset>
            </wp:positionV>
            <wp:extent cx="720344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3440"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462915</wp:posOffset>
            </wp:positionV>
            <wp:extent cx="720344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PRODUCTION COSTS PER BOE</w:t>
      </w:r>
    </w:p>
    <w:p>
      <w:pPr>
        <w:spacing w:after="0" w:line="208" w:lineRule="exact"/>
        <w:rPr>
          <w:sz w:val="20"/>
          <w:szCs w:val="20"/>
          <w:color w:val="auto"/>
        </w:rPr>
      </w:pPr>
    </w:p>
    <w:p>
      <w:pPr>
        <w:jc w:val="both"/>
        <w:ind w:left="20" w:right="40"/>
        <w:spacing w:after="0" w:line="258" w:lineRule="auto"/>
        <w:rPr>
          <w:sz w:val="20"/>
          <w:szCs w:val="20"/>
          <w:color w:val="auto"/>
        </w:rPr>
      </w:pPr>
      <w:r>
        <w:rPr>
          <w:rFonts w:ascii="Arial" w:cs="Arial" w:eastAsia="Arial" w:hAnsi="Arial"/>
          <w:sz w:val="14"/>
          <w:szCs w:val="14"/>
          <w:color w:val="auto"/>
        </w:rPr>
        <w:t>The reporting of our PSC-type contracts creates a difference between reported production costs, which are for the full field, and reported volumes, which are only our net share, inflating the per barrel production costs. The following table presents production costs after adjusting for the excess costs attributable to PSC-type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3693160</wp:posOffset>
            </wp:positionH>
            <wp:positionV relativeFrom="paragraph">
              <wp:posOffset>137160</wp:posOffset>
            </wp:positionV>
            <wp:extent cx="344741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jc w:val="right"/>
              <w:ind w:right="248"/>
              <w:spacing w:after="0"/>
              <w:rPr>
                <w:sz w:val="20"/>
                <w:szCs w:val="20"/>
                <w:color w:val="auto"/>
              </w:rPr>
            </w:pPr>
            <w:r>
              <w:rPr>
                <w:rFonts w:ascii="Arial" w:cs="Arial" w:eastAsia="Arial" w:hAnsi="Arial"/>
                <w:sz w:val="14"/>
                <w:szCs w:val="14"/>
                <w:color w:val="auto"/>
              </w:rPr>
              <w:t>Second Quarter</w:t>
            </w:r>
          </w:p>
        </w:tc>
        <w:tc>
          <w:tcPr>
            <w:tcW w:w="4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color w:val="auto"/>
              </w:rPr>
              <w:t>Six Months</w:t>
            </w:r>
          </w:p>
        </w:tc>
        <w:tc>
          <w:tcPr>
            <w:tcW w:w="840" w:type="dxa"/>
            <w:vAlign w:val="bottom"/>
            <w:tcBorders>
              <w:bottom w:val="single" w:sz="8" w:color="auto"/>
            </w:tcBorders>
          </w:tcPr>
          <w:p>
            <w:pPr>
              <w:spacing w:after="0"/>
              <w:rPr>
                <w:sz w:val="15"/>
                <w:szCs w:val="15"/>
                <w:color w:val="auto"/>
              </w:rPr>
            </w:pPr>
          </w:p>
        </w:tc>
      </w:tr>
      <w:tr>
        <w:trPr>
          <w:trHeight w:val="264"/>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per Boe)</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2018</w:t>
            </w:r>
          </w:p>
        </w:tc>
        <w:tc>
          <w:tcPr>
            <w:tcW w:w="48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2018</w:t>
            </w:r>
          </w:p>
        </w:tc>
      </w:tr>
      <w:tr>
        <w:trPr>
          <w:trHeight w:val="244"/>
        </w:trPr>
        <w:tc>
          <w:tcPr>
            <w:tcW w:w="5820" w:type="dxa"/>
            <w:vAlign w:val="bottom"/>
            <w:gridSpan w:val="2"/>
          </w:tcPr>
          <w:p>
            <w:pPr>
              <w:ind w:left="20"/>
              <w:spacing w:after="0"/>
              <w:rPr>
                <w:sz w:val="20"/>
                <w:szCs w:val="20"/>
                <w:color w:val="auto"/>
              </w:rPr>
            </w:pPr>
            <w:r>
              <w:rPr>
                <w:rFonts w:ascii="Arial" w:cs="Arial" w:eastAsia="Arial" w:hAnsi="Arial"/>
                <w:sz w:val="14"/>
                <w:szCs w:val="14"/>
                <w:color w:val="auto"/>
              </w:rPr>
              <w:t>Production costs</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19.62</w:t>
            </w:r>
          </w:p>
        </w:tc>
        <w:tc>
          <w:tcPr>
            <w:tcW w:w="120" w:type="dxa"/>
            <w:vAlign w:val="bottom"/>
          </w:tcPr>
          <w:p>
            <w:pPr>
              <w:spacing w:after="0"/>
              <w:rPr>
                <w:sz w:val="21"/>
                <w:szCs w:val="21"/>
                <w:color w:val="auto"/>
              </w:rPr>
            </w:pPr>
          </w:p>
        </w:tc>
        <w:tc>
          <w:tcPr>
            <w:tcW w:w="780" w:type="dxa"/>
            <w:vAlign w:val="bottom"/>
          </w:tcPr>
          <w:p>
            <w:pPr>
              <w:jc w:val="right"/>
              <w:ind w:right="608"/>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48"/>
              <w:spacing w:after="0"/>
              <w:rPr>
                <w:sz w:val="20"/>
                <w:szCs w:val="20"/>
                <w:color w:val="auto"/>
              </w:rPr>
            </w:pPr>
            <w:r>
              <w:rPr>
                <w:rFonts w:ascii="Arial" w:cs="Arial" w:eastAsia="Arial" w:hAnsi="Arial"/>
                <w:sz w:val="14"/>
                <w:szCs w:val="14"/>
                <w:color w:val="auto"/>
                <w:w w:val="96"/>
              </w:rPr>
              <w:t>18.93</w:t>
            </w:r>
          </w:p>
        </w:tc>
        <w:tc>
          <w:tcPr>
            <w:tcW w:w="220" w:type="dxa"/>
            <w:vAlign w:val="bottom"/>
          </w:tcPr>
          <w:p>
            <w:pPr>
              <w:spacing w:after="0"/>
              <w:rPr>
                <w:sz w:val="21"/>
                <w:szCs w:val="21"/>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19.54</w:t>
            </w:r>
          </w:p>
        </w:tc>
        <w:tc>
          <w:tcPr>
            <w:tcW w:w="120" w:type="dxa"/>
            <w:vAlign w:val="bottom"/>
          </w:tcPr>
          <w:p>
            <w:pPr>
              <w:spacing w:after="0"/>
              <w:rPr>
                <w:sz w:val="21"/>
                <w:szCs w:val="21"/>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19.01</w:t>
            </w:r>
          </w:p>
        </w:tc>
      </w:tr>
      <w:tr>
        <w:trPr>
          <w:trHeight w:val="276"/>
        </w:trPr>
        <w:tc>
          <w:tcPr>
            <w:tcW w:w="5820" w:type="dxa"/>
            <w:vAlign w:val="bottom"/>
            <w:gridSpan w:val="2"/>
          </w:tcPr>
          <w:p>
            <w:pPr>
              <w:ind w:left="160"/>
              <w:spacing w:after="0"/>
              <w:rPr>
                <w:sz w:val="20"/>
                <w:szCs w:val="20"/>
                <w:color w:val="auto"/>
              </w:rPr>
            </w:pPr>
            <w:r>
              <w:rPr>
                <w:rFonts w:ascii="Arial" w:cs="Arial" w:eastAsia="Arial" w:hAnsi="Arial"/>
                <w:sz w:val="14"/>
                <w:szCs w:val="14"/>
                <w:color w:val="auto"/>
              </w:rPr>
              <w:t>Excess costs attributable to PSC-type contracts</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(1.64)</w:t>
            </w:r>
          </w:p>
        </w:tc>
        <w:tc>
          <w:tcPr>
            <w:tcW w:w="12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w:t>
            </w:r>
          </w:p>
        </w:tc>
        <w:tc>
          <w:tcPr>
            <w:tcW w:w="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(1.55)</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w:t>
            </w:r>
          </w:p>
        </w:tc>
      </w:tr>
      <w:tr>
        <w:trPr>
          <w:trHeight w:val="243"/>
        </w:trPr>
        <w:tc>
          <w:tcPr>
            <w:tcW w:w="5820" w:type="dxa"/>
            <w:vAlign w:val="bottom"/>
            <w:gridSpan w:val="2"/>
          </w:tcPr>
          <w:p>
            <w:pPr>
              <w:ind w:left="20"/>
              <w:spacing w:after="0"/>
              <w:rPr>
                <w:sz w:val="20"/>
                <w:szCs w:val="20"/>
                <w:color w:val="auto"/>
              </w:rPr>
            </w:pPr>
            <w:r>
              <w:rPr>
                <w:rFonts w:ascii="Arial" w:cs="Arial" w:eastAsia="Arial" w:hAnsi="Arial"/>
                <w:sz w:val="14"/>
                <w:szCs w:val="14"/>
                <w:color w:val="auto"/>
              </w:rPr>
              <w:t>Production costs, excluding effects of PSC-type contracts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17.98</w:t>
            </w:r>
          </w:p>
        </w:tc>
        <w:tc>
          <w:tcPr>
            <w:tcW w:w="120" w:type="dxa"/>
            <w:vAlign w:val="bottom"/>
          </w:tcPr>
          <w:p>
            <w:pPr>
              <w:spacing w:after="0"/>
              <w:rPr>
                <w:sz w:val="21"/>
                <w:szCs w:val="21"/>
                <w:color w:val="auto"/>
              </w:rPr>
            </w:pPr>
          </w:p>
        </w:tc>
        <w:tc>
          <w:tcPr>
            <w:tcW w:w="7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6"/>
              </w:rPr>
              <w:t>17.41</w:t>
            </w:r>
          </w:p>
        </w:tc>
        <w:tc>
          <w:tcPr>
            <w:tcW w:w="220" w:type="dxa"/>
            <w:vAlign w:val="bottom"/>
          </w:tcPr>
          <w:p>
            <w:pPr>
              <w:spacing w:after="0"/>
              <w:rPr>
                <w:sz w:val="21"/>
                <w:szCs w:val="21"/>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17.99</w:t>
            </w:r>
          </w:p>
        </w:tc>
        <w:tc>
          <w:tcPr>
            <w:tcW w:w="120" w:type="dxa"/>
            <w:vAlign w:val="bottom"/>
          </w:tcPr>
          <w:p>
            <w:pPr>
              <w:spacing w:after="0"/>
              <w:rPr>
                <w:sz w:val="21"/>
                <w:szCs w:val="21"/>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17.44</w:t>
            </w:r>
          </w:p>
        </w:tc>
      </w:tr>
      <w:tr>
        <w:trPr>
          <w:trHeight w:val="20"/>
        </w:trPr>
        <w:tc>
          <w:tcPr>
            <w:tcW w:w="5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240"/>
          </w:cols>
          <w:pgMar w:left="280" w:top="842" w:right="37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96"/>
        </w:trPr>
        <w:tc>
          <w:tcPr>
            <w:tcW w:w="5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Attachment 4</w:t>
            </w:r>
          </w:p>
        </w:tc>
      </w:tr>
      <w:tr>
        <w:trPr>
          <w:trHeight w:val="20"/>
        </w:trPr>
        <w:tc>
          <w:tcPr>
            <w:tcW w:w="582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r>
        <w:trPr>
          <w:trHeight w:val="245"/>
        </w:trPr>
        <w:tc>
          <w:tcPr>
            <w:tcW w:w="5820" w:type="dxa"/>
            <w:vAlign w:val="bottom"/>
            <w:gridSpan w:val="2"/>
          </w:tcPr>
          <w:p>
            <w:pPr>
              <w:ind w:left="20"/>
              <w:spacing w:after="0"/>
              <w:rPr>
                <w:sz w:val="20"/>
                <w:szCs w:val="20"/>
                <w:color w:val="auto"/>
              </w:rPr>
            </w:pPr>
            <w:r>
              <w:rPr>
                <w:rFonts w:ascii="Arial" w:cs="Arial" w:eastAsia="Arial" w:hAnsi="Arial"/>
                <w:sz w:val="14"/>
                <w:szCs w:val="14"/>
                <w:b w:val="1"/>
                <w:bCs w:val="1"/>
                <w:color w:val="auto"/>
              </w:rPr>
              <w:t>CAPITAL INVESTMENTS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76"/>
        </w:trPr>
        <w:tc>
          <w:tcPr>
            <w:tcW w:w="5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Second Quarter</w:t>
            </w:r>
          </w:p>
        </w:tc>
        <w:tc>
          <w:tcPr>
            <w:tcW w:w="8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Six Months</w:t>
            </w: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64"/>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w w:val="96"/>
              </w:rPr>
              <w:t>2018</w:t>
            </w:r>
          </w:p>
        </w:tc>
        <w:tc>
          <w:tcPr>
            <w:tcW w:w="2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22"/>
                <w:szCs w:val="22"/>
                <w:color w:val="auto"/>
              </w:rPr>
            </w:pPr>
          </w:p>
        </w:tc>
      </w:tr>
      <w:tr>
        <w:trPr>
          <w:trHeight w:val="528"/>
        </w:trPr>
        <w:tc>
          <w:tcPr>
            <w:tcW w:w="5820" w:type="dxa"/>
            <w:vAlign w:val="bottom"/>
            <w:gridSpan w:val="2"/>
          </w:tcPr>
          <w:p>
            <w:pPr>
              <w:ind w:left="20"/>
              <w:spacing w:after="0"/>
              <w:rPr>
                <w:sz w:val="20"/>
                <w:szCs w:val="20"/>
                <w:color w:val="auto"/>
              </w:rPr>
            </w:pPr>
            <w:r>
              <w:rPr>
                <w:rFonts w:ascii="Arial" w:cs="Arial" w:eastAsia="Arial" w:hAnsi="Arial"/>
                <w:sz w:val="14"/>
                <w:szCs w:val="14"/>
                <w:color w:val="auto"/>
              </w:rPr>
              <w:t>Internally funded capital</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124</w:t>
            </w:r>
          </w:p>
        </w:tc>
        <w:tc>
          <w:tcPr>
            <w:tcW w:w="120" w:type="dxa"/>
            <w:vAlign w:val="bottom"/>
          </w:tcPr>
          <w:p>
            <w:pPr>
              <w:spacing w:after="0"/>
              <w:rPr>
                <w:sz w:val="24"/>
                <w:szCs w:val="24"/>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170</w:t>
            </w:r>
          </w:p>
        </w:tc>
        <w:tc>
          <w:tcPr>
            <w:tcW w:w="220" w:type="dxa"/>
            <w:vAlign w:val="bottom"/>
          </w:tcPr>
          <w:p>
            <w:pPr>
              <w:spacing w:after="0"/>
              <w:rPr>
                <w:sz w:val="24"/>
                <w:szCs w:val="24"/>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228</w:t>
            </w:r>
          </w:p>
        </w:tc>
        <w:tc>
          <w:tcPr>
            <w:tcW w:w="120" w:type="dxa"/>
            <w:vAlign w:val="bottom"/>
          </w:tcPr>
          <w:p>
            <w:pPr>
              <w:spacing w:after="0"/>
              <w:rPr>
                <w:sz w:val="24"/>
                <w:szCs w:val="24"/>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309</w:t>
            </w:r>
          </w:p>
        </w:tc>
        <w:tc>
          <w:tcPr>
            <w:tcW w:w="120" w:type="dxa"/>
            <w:vAlign w:val="bottom"/>
          </w:tcPr>
          <w:p>
            <w:pPr>
              <w:spacing w:after="0"/>
              <w:rPr>
                <w:sz w:val="24"/>
                <w:szCs w:val="24"/>
                <w:color w:val="auto"/>
              </w:rPr>
            </w:pPr>
          </w:p>
        </w:tc>
      </w:tr>
      <w:tr>
        <w:trPr>
          <w:trHeight w:val="392"/>
        </w:trPr>
        <w:tc>
          <w:tcPr>
            <w:tcW w:w="5820" w:type="dxa"/>
            <w:vAlign w:val="bottom"/>
            <w:gridSpan w:val="2"/>
          </w:tcPr>
          <w:p>
            <w:pPr>
              <w:ind w:left="20"/>
              <w:spacing w:after="0"/>
              <w:rPr>
                <w:sz w:val="20"/>
                <w:szCs w:val="20"/>
                <w:color w:val="auto"/>
              </w:rPr>
            </w:pPr>
            <w:r>
              <w:rPr>
                <w:rFonts w:ascii="Arial" w:cs="Arial" w:eastAsia="Arial" w:hAnsi="Arial"/>
                <w:sz w:val="14"/>
                <w:szCs w:val="14"/>
                <w:color w:val="auto"/>
              </w:rPr>
              <w:t>BSP funded capital</w:t>
            </w:r>
          </w:p>
        </w:tc>
        <w:tc>
          <w:tcPr>
            <w:tcW w:w="280" w:type="dxa"/>
            <w:vAlign w:val="bottom"/>
          </w:tcPr>
          <w:p>
            <w:pPr>
              <w:spacing w:after="0"/>
              <w:rPr>
                <w:sz w:val="24"/>
                <w:szCs w:val="24"/>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16</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18</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43</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4"/>
                <w:szCs w:val="24"/>
                <w:color w:val="auto"/>
              </w:rPr>
            </w:pPr>
          </w:p>
        </w:tc>
      </w:tr>
      <w:tr>
        <w:trPr>
          <w:trHeight w:val="134"/>
        </w:trPr>
        <w:tc>
          <w:tcPr>
            <w:tcW w:w="5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238"/>
        </w:trPr>
        <w:tc>
          <w:tcPr>
            <w:tcW w:w="5820" w:type="dxa"/>
            <w:vAlign w:val="bottom"/>
            <w:gridSpan w:val="2"/>
          </w:tcPr>
          <w:p>
            <w:pPr>
              <w:ind w:left="180"/>
              <w:spacing w:after="0"/>
              <w:rPr>
                <w:sz w:val="20"/>
                <w:szCs w:val="20"/>
                <w:color w:val="auto"/>
              </w:rPr>
            </w:pPr>
            <w:r>
              <w:rPr>
                <w:rFonts w:ascii="Arial" w:cs="Arial" w:eastAsia="Arial" w:hAnsi="Arial"/>
                <w:sz w:val="14"/>
                <w:szCs w:val="14"/>
                <w:color w:val="auto"/>
              </w:rPr>
              <w:t>Capital investments - as reported</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140</w:t>
            </w:r>
          </w:p>
        </w:tc>
        <w:tc>
          <w:tcPr>
            <w:tcW w:w="120" w:type="dxa"/>
            <w:vAlign w:val="bottom"/>
          </w:tcPr>
          <w:p>
            <w:pPr>
              <w:spacing w:after="0"/>
              <w:rPr>
                <w:sz w:val="20"/>
                <w:szCs w:val="20"/>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188</w:t>
            </w:r>
          </w:p>
        </w:tc>
        <w:tc>
          <w:tcPr>
            <w:tcW w:w="220" w:type="dxa"/>
            <w:vAlign w:val="bottom"/>
          </w:tcPr>
          <w:p>
            <w:pPr>
              <w:spacing w:after="0"/>
              <w:rPr>
                <w:sz w:val="20"/>
                <w:szCs w:val="20"/>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271</w:t>
            </w:r>
          </w:p>
        </w:tc>
        <w:tc>
          <w:tcPr>
            <w:tcW w:w="120" w:type="dxa"/>
            <w:vAlign w:val="bottom"/>
          </w:tcPr>
          <w:p>
            <w:pPr>
              <w:spacing w:after="0"/>
              <w:rPr>
                <w:sz w:val="20"/>
                <w:szCs w:val="20"/>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327</w:t>
            </w:r>
          </w:p>
        </w:tc>
        <w:tc>
          <w:tcPr>
            <w:tcW w:w="120" w:type="dxa"/>
            <w:vAlign w:val="bottom"/>
          </w:tcPr>
          <w:p>
            <w:pPr>
              <w:spacing w:after="0"/>
              <w:rPr>
                <w:sz w:val="20"/>
                <w:szCs w:val="20"/>
                <w:color w:val="auto"/>
              </w:rPr>
            </w:pPr>
          </w:p>
        </w:tc>
      </w:tr>
      <w:tr>
        <w:trPr>
          <w:trHeight w:val="405"/>
        </w:trPr>
        <w:tc>
          <w:tcPr>
            <w:tcW w:w="5820" w:type="dxa"/>
            <w:vAlign w:val="bottom"/>
            <w:gridSpan w:val="2"/>
          </w:tcPr>
          <w:p>
            <w:pPr>
              <w:ind w:left="20"/>
              <w:spacing w:after="0"/>
              <w:rPr>
                <w:sz w:val="20"/>
                <w:szCs w:val="20"/>
                <w:color w:val="auto"/>
              </w:rPr>
            </w:pPr>
            <w:r>
              <w:rPr>
                <w:rFonts w:ascii="Arial" w:cs="Arial" w:eastAsia="Arial" w:hAnsi="Arial"/>
                <w:sz w:val="14"/>
                <w:szCs w:val="14"/>
                <w:color w:val="auto"/>
              </w:rPr>
              <w:t>MIRA funded capital</w:t>
            </w:r>
          </w:p>
        </w:tc>
        <w:tc>
          <w:tcPr>
            <w:tcW w:w="280" w:type="dxa"/>
            <w:vAlign w:val="bottom"/>
          </w:tcPr>
          <w:p>
            <w:pPr>
              <w:spacing w:after="0"/>
              <w:rPr>
                <w:sz w:val="24"/>
                <w:szCs w:val="2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7</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24"/>
                <w:szCs w:val="24"/>
                <w:color w:val="auto"/>
              </w:rPr>
            </w:pPr>
          </w:p>
        </w:tc>
      </w:tr>
      <w:tr>
        <w:trPr>
          <w:trHeight w:val="147"/>
        </w:trPr>
        <w:tc>
          <w:tcPr>
            <w:tcW w:w="5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37"/>
        </w:trPr>
        <w:tc>
          <w:tcPr>
            <w:tcW w:w="5820" w:type="dxa"/>
            <w:vAlign w:val="bottom"/>
            <w:gridSpan w:val="2"/>
          </w:tcPr>
          <w:p>
            <w:pPr>
              <w:ind w:left="20"/>
              <w:spacing w:after="0"/>
              <w:rPr>
                <w:sz w:val="20"/>
                <w:szCs w:val="20"/>
                <w:color w:val="auto"/>
              </w:rPr>
            </w:pPr>
            <w:r>
              <w:rPr>
                <w:rFonts w:ascii="Arial" w:cs="Arial" w:eastAsia="Arial" w:hAnsi="Arial"/>
                <w:sz w:val="14"/>
                <w:szCs w:val="14"/>
                <w:color w:val="auto"/>
              </w:rPr>
              <w:t>Total capital program</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140</w:t>
            </w:r>
          </w:p>
        </w:tc>
        <w:tc>
          <w:tcPr>
            <w:tcW w:w="120" w:type="dxa"/>
            <w:vAlign w:val="bottom"/>
          </w:tcPr>
          <w:p>
            <w:pPr>
              <w:spacing w:after="0"/>
              <w:rPr>
                <w:sz w:val="20"/>
                <w:szCs w:val="20"/>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193</w:t>
            </w:r>
          </w:p>
        </w:tc>
        <w:tc>
          <w:tcPr>
            <w:tcW w:w="220" w:type="dxa"/>
            <w:vAlign w:val="bottom"/>
          </w:tcPr>
          <w:p>
            <w:pPr>
              <w:spacing w:after="0"/>
              <w:rPr>
                <w:sz w:val="20"/>
                <w:szCs w:val="20"/>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278</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354</w:t>
            </w:r>
          </w:p>
        </w:tc>
        <w:tc>
          <w:tcPr>
            <w:tcW w:w="120" w:type="dxa"/>
            <w:vAlign w:val="bottom"/>
          </w:tcPr>
          <w:p>
            <w:pPr>
              <w:spacing w:after="0"/>
              <w:rPr>
                <w:sz w:val="20"/>
                <w:szCs w:val="20"/>
                <w:color w:val="auto"/>
              </w:rPr>
            </w:pPr>
          </w:p>
        </w:tc>
      </w:tr>
      <w:tr>
        <w:trPr>
          <w:trHeight w:val="20"/>
        </w:trPr>
        <w:tc>
          <w:tcPr>
            <w:tcW w:w="5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14</w:t>
      </w:r>
    </w:p>
    <w:p>
      <w:pPr>
        <w:sectPr>
          <w:pgSz w:w="11900" w:h="16838" w:orient="portrait"/>
          <w:cols w:equalWidth="0" w:num="1">
            <w:col w:w="11360"/>
          </w:cols>
          <w:pgMar w:left="280" w:top="748" w:right="25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96"/>
        </w:trPr>
        <w:tc>
          <w:tcPr>
            <w:tcW w:w="56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Attachment 5</w:t>
            </w:r>
          </w:p>
        </w:tc>
      </w:tr>
      <w:tr>
        <w:trPr>
          <w:trHeight w:val="20"/>
        </w:trPr>
        <w:tc>
          <w:tcPr>
            <w:tcW w:w="5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r>
        <w:trPr>
          <w:trHeight w:val="245"/>
        </w:trPr>
        <w:tc>
          <w:tcPr>
            <w:tcW w:w="5680" w:type="dxa"/>
            <w:vAlign w:val="bottom"/>
          </w:tcPr>
          <w:p>
            <w:pPr>
              <w:ind w:left="20"/>
              <w:spacing w:after="0"/>
              <w:rPr>
                <w:sz w:val="20"/>
                <w:szCs w:val="20"/>
                <w:color w:val="auto"/>
              </w:rPr>
            </w:pPr>
            <w:r>
              <w:rPr>
                <w:rFonts w:ascii="Arial" w:cs="Arial" w:eastAsia="Arial" w:hAnsi="Arial"/>
                <w:sz w:val="14"/>
                <w:szCs w:val="14"/>
                <w:b w:val="1"/>
                <w:bCs w:val="1"/>
                <w:color w:val="auto"/>
              </w:rPr>
              <w:t>PRICE STATISTICS</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76"/>
        </w:trPr>
        <w:tc>
          <w:tcPr>
            <w:tcW w:w="56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Second Quarter</w:t>
            </w:r>
          </w:p>
        </w:tc>
        <w:tc>
          <w:tcPr>
            <w:tcW w:w="8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Six Months</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63"/>
        </w:trPr>
        <w:tc>
          <w:tcPr>
            <w:tcW w:w="56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w w:val="96"/>
              </w:rPr>
              <w:t>2018</w:t>
            </w:r>
          </w:p>
        </w:tc>
        <w:tc>
          <w:tcPr>
            <w:tcW w:w="2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22"/>
                <w:szCs w:val="22"/>
                <w:color w:val="auto"/>
              </w:rPr>
            </w:pPr>
          </w:p>
        </w:tc>
      </w:tr>
      <w:tr>
        <w:trPr>
          <w:trHeight w:val="258"/>
        </w:trPr>
        <w:tc>
          <w:tcPr>
            <w:tcW w:w="5680" w:type="dxa"/>
            <w:vAlign w:val="bottom"/>
          </w:tcPr>
          <w:p>
            <w:pPr>
              <w:ind w:left="20"/>
              <w:spacing w:after="0"/>
              <w:rPr>
                <w:sz w:val="20"/>
                <w:szCs w:val="20"/>
                <w:color w:val="auto"/>
              </w:rPr>
            </w:pPr>
            <w:r>
              <w:rPr>
                <w:rFonts w:ascii="Arial" w:cs="Arial" w:eastAsia="Arial" w:hAnsi="Arial"/>
                <w:sz w:val="14"/>
                <w:szCs w:val="14"/>
                <w:b w:val="1"/>
                <w:bCs w:val="1"/>
                <w:color w:val="auto"/>
              </w:rPr>
              <w:t>Realized Prices</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70"/>
        </w:trPr>
        <w:tc>
          <w:tcPr>
            <w:tcW w:w="5680" w:type="dxa"/>
            <w:vAlign w:val="bottom"/>
          </w:tcPr>
          <w:p>
            <w:pPr>
              <w:ind w:left="60"/>
              <w:spacing w:after="0"/>
              <w:rPr>
                <w:sz w:val="20"/>
                <w:szCs w:val="20"/>
                <w:color w:val="auto"/>
              </w:rPr>
            </w:pPr>
            <w:r>
              <w:rPr>
                <w:rFonts w:ascii="Arial" w:cs="Arial" w:eastAsia="Arial" w:hAnsi="Arial"/>
                <w:sz w:val="14"/>
                <w:szCs w:val="14"/>
                <w:color w:val="auto"/>
              </w:rPr>
              <w:t>Oil with hedge ($/Bbl)</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rPr>
              <w:t>70.66</w:t>
            </w:r>
          </w:p>
        </w:tc>
        <w:tc>
          <w:tcPr>
            <w:tcW w:w="120" w:type="dxa"/>
            <w:vAlign w:val="bottom"/>
          </w:tcPr>
          <w:p>
            <w:pPr>
              <w:spacing w:after="0"/>
              <w:rPr>
                <w:sz w:val="23"/>
                <w:szCs w:val="23"/>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64.11</w:t>
            </w:r>
          </w:p>
        </w:tc>
        <w:tc>
          <w:tcPr>
            <w:tcW w:w="220" w:type="dxa"/>
            <w:vAlign w:val="bottom"/>
          </w:tcPr>
          <w:p>
            <w:pPr>
              <w:spacing w:after="0"/>
              <w:rPr>
                <w:sz w:val="23"/>
                <w:szCs w:val="23"/>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b w:val="1"/>
                <w:bCs w:val="1"/>
                <w:color w:val="auto"/>
              </w:rPr>
              <w:t>67.90</w:t>
            </w:r>
          </w:p>
        </w:tc>
        <w:tc>
          <w:tcPr>
            <w:tcW w:w="100" w:type="dxa"/>
            <w:vAlign w:val="bottom"/>
          </w:tcPr>
          <w:p>
            <w:pPr>
              <w:spacing w:after="0"/>
              <w:rPr>
                <w:sz w:val="23"/>
                <w:szCs w:val="23"/>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63.47</w:t>
            </w:r>
          </w:p>
        </w:tc>
        <w:tc>
          <w:tcPr>
            <w:tcW w:w="120" w:type="dxa"/>
            <w:vAlign w:val="bottom"/>
          </w:tcPr>
          <w:p>
            <w:pPr>
              <w:spacing w:after="0"/>
              <w:rPr>
                <w:sz w:val="23"/>
                <w:szCs w:val="23"/>
                <w:color w:val="auto"/>
              </w:rPr>
            </w:pPr>
          </w:p>
        </w:tc>
      </w:tr>
      <w:tr>
        <w:trPr>
          <w:trHeight w:val="270"/>
        </w:trPr>
        <w:tc>
          <w:tcPr>
            <w:tcW w:w="5680" w:type="dxa"/>
            <w:vAlign w:val="bottom"/>
          </w:tcPr>
          <w:p>
            <w:pPr>
              <w:ind w:left="60"/>
              <w:spacing w:after="0"/>
              <w:rPr>
                <w:sz w:val="20"/>
                <w:szCs w:val="20"/>
                <w:color w:val="auto"/>
              </w:rPr>
            </w:pPr>
            <w:r>
              <w:rPr>
                <w:rFonts w:ascii="Arial" w:cs="Arial" w:eastAsia="Arial" w:hAnsi="Arial"/>
                <w:sz w:val="14"/>
                <w:szCs w:val="14"/>
                <w:color w:val="auto"/>
              </w:rPr>
              <w:t>Oil without hedge ($/Bbl)</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rPr>
              <w:t>68.77</w:t>
            </w:r>
          </w:p>
        </w:tc>
        <w:tc>
          <w:tcPr>
            <w:tcW w:w="120" w:type="dxa"/>
            <w:vAlign w:val="bottom"/>
          </w:tcPr>
          <w:p>
            <w:pPr>
              <w:spacing w:after="0"/>
              <w:rPr>
                <w:sz w:val="23"/>
                <w:szCs w:val="23"/>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73.19</w:t>
            </w:r>
          </w:p>
        </w:tc>
        <w:tc>
          <w:tcPr>
            <w:tcW w:w="220" w:type="dxa"/>
            <w:vAlign w:val="bottom"/>
          </w:tcPr>
          <w:p>
            <w:pPr>
              <w:spacing w:after="0"/>
              <w:rPr>
                <w:sz w:val="23"/>
                <w:szCs w:val="23"/>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b w:val="1"/>
                <w:bCs w:val="1"/>
                <w:color w:val="auto"/>
              </w:rPr>
              <w:t>65.97</w:t>
            </w:r>
          </w:p>
        </w:tc>
        <w:tc>
          <w:tcPr>
            <w:tcW w:w="100" w:type="dxa"/>
            <w:vAlign w:val="bottom"/>
          </w:tcPr>
          <w:p>
            <w:pPr>
              <w:spacing w:after="0"/>
              <w:rPr>
                <w:sz w:val="23"/>
                <w:szCs w:val="23"/>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70.35</w:t>
            </w:r>
          </w:p>
        </w:tc>
        <w:tc>
          <w:tcPr>
            <w:tcW w:w="120" w:type="dxa"/>
            <w:vAlign w:val="bottom"/>
          </w:tcPr>
          <w:p>
            <w:pPr>
              <w:spacing w:after="0"/>
              <w:rPr>
                <w:sz w:val="23"/>
                <w:szCs w:val="23"/>
                <w:color w:val="auto"/>
              </w:rPr>
            </w:pPr>
          </w:p>
        </w:tc>
      </w:tr>
      <w:tr>
        <w:trPr>
          <w:trHeight w:val="392"/>
        </w:trPr>
        <w:tc>
          <w:tcPr>
            <w:tcW w:w="5680" w:type="dxa"/>
            <w:vAlign w:val="bottom"/>
          </w:tcPr>
          <w:p>
            <w:pPr>
              <w:ind w:left="60"/>
              <w:spacing w:after="0"/>
              <w:rPr>
                <w:sz w:val="20"/>
                <w:szCs w:val="20"/>
                <w:color w:val="auto"/>
              </w:rPr>
            </w:pPr>
            <w:r>
              <w:rPr>
                <w:rFonts w:ascii="Arial" w:cs="Arial" w:eastAsia="Arial" w:hAnsi="Arial"/>
                <w:sz w:val="14"/>
                <w:szCs w:val="14"/>
                <w:color w:val="auto"/>
              </w:rPr>
              <w:t>NGLs ($/Bbl)</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rPr>
              <w:t>27.82</w:t>
            </w:r>
          </w:p>
        </w:tc>
        <w:tc>
          <w:tcPr>
            <w:tcW w:w="120" w:type="dxa"/>
            <w:vAlign w:val="bottom"/>
          </w:tcPr>
          <w:p>
            <w:pPr>
              <w:spacing w:after="0"/>
              <w:rPr>
                <w:sz w:val="24"/>
                <w:szCs w:val="24"/>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42.13</w:t>
            </w:r>
          </w:p>
        </w:tc>
        <w:tc>
          <w:tcPr>
            <w:tcW w:w="220" w:type="dxa"/>
            <w:vAlign w:val="bottom"/>
          </w:tcPr>
          <w:p>
            <w:pPr>
              <w:spacing w:after="0"/>
              <w:rPr>
                <w:sz w:val="24"/>
                <w:szCs w:val="24"/>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b w:val="1"/>
                <w:bCs w:val="1"/>
                <w:color w:val="auto"/>
              </w:rPr>
              <w:t>34.97</w:t>
            </w:r>
          </w:p>
        </w:tc>
        <w:tc>
          <w:tcPr>
            <w:tcW w:w="100" w:type="dxa"/>
            <w:vAlign w:val="bottom"/>
          </w:tcPr>
          <w:p>
            <w:pPr>
              <w:spacing w:after="0"/>
              <w:rPr>
                <w:sz w:val="24"/>
                <w:szCs w:val="24"/>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42.63</w:t>
            </w:r>
          </w:p>
        </w:tc>
        <w:tc>
          <w:tcPr>
            <w:tcW w:w="120" w:type="dxa"/>
            <w:vAlign w:val="bottom"/>
          </w:tcPr>
          <w:p>
            <w:pPr>
              <w:spacing w:after="0"/>
              <w:rPr>
                <w:sz w:val="24"/>
                <w:szCs w:val="24"/>
                <w:color w:val="auto"/>
              </w:rPr>
            </w:pPr>
          </w:p>
        </w:tc>
      </w:tr>
      <w:tr>
        <w:trPr>
          <w:trHeight w:val="392"/>
        </w:trPr>
        <w:tc>
          <w:tcPr>
            <w:tcW w:w="5680" w:type="dxa"/>
            <w:vAlign w:val="bottom"/>
          </w:tcPr>
          <w:p>
            <w:pPr>
              <w:ind w:left="60"/>
              <w:spacing w:after="0"/>
              <w:rPr>
                <w:sz w:val="20"/>
                <w:szCs w:val="20"/>
                <w:color w:val="auto"/>
              </w:rPr>
            </w:pPr>
            <w:r>
              <w:rPr>
                <w:rFonts w:ascii="Arial" w:cs="Arial" w:eastAsia="Arial" w:hAnsi="Arial"/>
                <w:sz w:val="14"/>
                <w:szCs w:val="14"/>
                <w:color w:val="auto"/>
              </w:rPr>
              <w:t>Natural gas ($/Mcf)</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rPr>
              <w:t>2.33</w:t>
            </w:r>
          </w:p>
        </w:tc>
        <w:tc>
          <w:tcPr>
            <w:tcW w:w="120" w:type="dxa"/>
            <w:vAlign w:val="bottom"/>
          </w:tcPr>
          <w:p>
            <w:pPr>
              <w:spacing w:after="0"/>
              <w:rPr>
                <w:sz w:val="24"/>
                <w:szCs w:val="24"/>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2.25</w:t>
            </w:r>
          </w:p>
        </w:tc>
        <w:tc>
          <w:tcPr>
            <w:tcW w:w="220" w:type="dxa"/>
            <w:vAlign w:val="bottom"/>
          </w:tcPr>
          <w:p>
            <w:pPr>
              <w:spacing w:after="0"/>
              <w:rPr>
                <w:sz w:val="24"/>
                <w:szCs w:val="24"/>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b w:val="1"/>
                <w:bCs w:val="1"/>
                <w:color w:val="auto"/>
              </w:rPr>
              <w:t>2.87</w:t>
            </w:r>
          </w:p>
        </w:tc>
        <w:tc>
          <w:tcPr>
            <w:tcW w:w="100" w:type="dxa"/>
            <w:vAlign w:val="bottom"/>
          </w:tcPr>
          <w:p>
            <w:pPr>
              <w:spacing w:after="0"/>
              <w:rPr>
                <w:sz w:val="24"/>
                <w:szCs w:val="24"/>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2.51</w:t>
            </w:r>
          </w:p>
        </w:tc>
        <w:tc>
          <w:tcPr>
            <w:tcW w:w="120" w:type="dxa"/>
            <w:vAlign w:val="bottom"/>
          </w:tcPr>
          <w:p>
            <w:pPr>
              <w:spacing w:after="0"/>
              <w:rPr>
                <w:sz w:val="24"/>
                <w:szCs w:val="24"/>
                <w:color w:val="auto"/>
              </w:rPr>
            </w:pPr>
          </w:p>
        </w:tc>
      </w:tr>
      <w:tr>
        <w:trPr>
          <w:trHeight w:val="594"/>
        </w:trPr>
        <w:tc>
          <w:tcPr>
            <w:tcW w:w="5680" w:type="dxa"/>
            <w:vAlign w:val="bottom"/>
          </w:tcPr>
          <w:p>
            <w:pPr>
              <w:ind w:left="20"/>
              <w:spacing w:after="0"/>
              <w:rPr>
                <w:sz w:val="20"/>
                <w:szCs w:val="20"/>
                <w:color w:val="auto"/>
              </w:rPr>
            </w:pPr>
            <w:r>
              <w:rPr>
                <w:rFonts w:ascii="Arial" w:cs="Arial" w:eastAsia="Arial" w:hAnsi="Arial"/>
                <w:sz w:val="14"/>
                <w:szCs w:val="14"/>
                <w:b w:val="1"/>
                <w:bCs w:val="1"/>
                <w:color w:val="auto"/>
              </w:rPr>
              <w:t>Index Prices</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0"/>
        </w:trPr>
        <w:tc>
          <w:tcPr>
            <w:tcW w:w="5680" w:type="dxa"/>
            <w:vAlign w:val="bottom"/>
          </w:tcPr>
          <w:p>
            <w:pPr>
              <w:ind w:left="60"/>
              <w:spacing w:after="0"/>
              <w:rPr>
                <w:sz w:val="20"/>
                <w:szCs w:val="20"/>
                <w:color w:val="auto"/>
              </w:rPr>
            </w:pPr>
            <w:r>
              <w:rPr>
                <w:rFonts w:ascii="Arial" w:cs="Arial" w:eastAsia="Arial" w:hAnsi="Arial"/>
                <w:sz w:val="14"/>
                <w:szCs w:val="14"/>
                <w:color w:val="auto"/>
              </w:rPr>
              <w:t>Brent oil ($/Bbl)</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rPr>
              <w:t>68.32</w:t>
            </w:r>
          </w:p>
        </w:tc>
        <w:tc>
          <w:tcPr>
            <w:tcW w:w="120" w:type="dxa"/>
            <w:vAlign w:val="bottom"/>
          </w:tcPr>
          <w:p>
            <w:pPr>
              <w:spacing w:after="0"/>
              <w:rPr>
                <w:sz w:val="23"/>
                <w:szCs w:val="23"/>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74.90</w:t>
            </w:r>
          </w:p>
        </w:tc>
        <w:tc>
          <w:tcPr>
            <w:tcW w:w="220" w:type="dxa"/>
            <w:vAlign w:val="bottom"/>
          </w:tcPr>
          <w:p>
            <w:pPr>
              <w:spacing w:after="0"/>
              <w:rPr>
                <w:sz w:val="23"/>
                <w:szCs w:val="23"/>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b w:val="1"/>
                <w:bCs w:val="1"/>
                <w:color w:val="auto"/>
              </w:rPr>
              <w:t>66.11</w:t>
            </w:r>
          </w:p>
        </w:tc>
        <w:tc>
          <w:tcPr>
            <w:tcW w:w="100" w:type="dxa"/>
            <w:vAlign w:val="bottom"/>
          </w:tcPr>
          <w:p>
            <w:pPr>
              <w:spacing w:after="0"/>
              <w:rPr>
                <w:sz w:val="23"/>
                <w:szCs w:val="23"/>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71.04</w:t>
            </w:r>
          </w:p>
        </w:tc>
        <w:tc>
          <w:tcPr>
            <w:tcW w:w="120" w:type="dxa"/>
            <w:vAlign w:val="bottom"/>
          </w:tcPr>
          <w:p>
            <w:pPr>
              <w:spacing w:after="0"/>
              <w:rPr>
                <w:sz w:val="23"/>
                <w:szCs w:val="23"/>
                <w:color w:val="auto"/>
              </w:rPr>
            </w:pPr>
          </w:p>
        </w:tc>
      </w:tr>
      <w:tr>
        <w:trPr>
          <w:trHeight w:val="270"/>
        </w:trPr>
        <w:tc>
          <w:tcPr>
            <w:tcW w:w="5680" w:type="dxa"/>
            <w:vAlign w:val="bottom"/>
          </w:tcPr>
          <w:p>
            <w:pPr>
              <w:ind w:left="60"/>
              <w:spacing w:after="0"/>
              <w:rPr>
                <w:sz w:val="20"/>
                <w:szCs w:val="20"/>
                <w:color w:val="auto"/>
              </w:rPr>
            </w:pPr>
            <w:r>
              <w:rPr>
                <w:rFonts w:ascii="Arial" w:cs="Arial" w:eastAsia="Arial" w:hAnsi="Arial"/>
                <w:sz w:val="14"/>
                <w:szCs w:val="14"/>
                <w:color w:val="auto"/>
              </w:rPr>
              <w:t>WTI oil ($/Bbl)</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rPr>
              <w:t>59.82</w:t>
            </w:r>
          </w:p>
        </w:tc>
        <w:tc>
          <w:tcPr>
            <w:tcW w:w="120" w:type="dxa"/>
            <w:vAlign w:val="bottom"/>
          </w:tcPr>
          <w:p>
            <w:pPr>
              <w:spacing w:after="0"/>
              <w:rPr>
                <w:sz w:val="23"/>
                <w:szCs w:val="23"/>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67.88</w:t>
            </w:r>
          </w:p>
        </w:tc>
        <w:tc>
          <w:tcPr>
            <w:tcW w:w="220" w:type="dxa"/>
            <w:vAlign w:val="bottom"/>
          </w:tcPr>
          <w:p>
            <w:pPr>
              <w:spacing w:after="0"/>
              <w:rPr>
                <w:sz w:val="23"/>
                <w:szCs w:val="23"/>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b w:val="1"/>
                <w:bCs w:val="1"/>
                <w:color w:val="auto"/>
              </w:rPr>
              <w:t>57.36</w:t>
            </w:r>
          </w:p>
        </w:tc>
        <w:tc>
          <w:tcPr>
            <w:tcW w:w="100" w:type="dxa"/>
            <w:vAlign w:val="bottom"/>
          </w:tcPr>
          <w:p>
            <w:pPr>
              <w:spacing w:after="0"/>
              <w:rPr>
                <w:sz w:val="23"/>
                <w:szCs w:val="23"/>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65.37</w:t>
            </w:r>
          </w:p>
        </w:tc>
        <w:tc>
          <w:tcPr>
            <w:tcW w:w="120" w:type="dxa"/>
            <w:vAlign w:val="bottom"/>
          </w:tcPr>
          <w:p>
            <w:pPr>
              <w:spacing w:after="0"/>
              <w:rPr>
                <w:sz w:val="23"/>
                <w:szCs w:val="23"/>
                <w:color w:val="auto"/>
              </w:rPr>
            </w:pPr>
          </w:p>
        </w:tc>
      </w:tr>
      <w:tr>
        <w:trPr>
          <w:trHeight w:val="270"/>
        </w:trPr>
        <w:tc>
          <w:tcPr>
            <w:tcW w:w="5680" w:type="dxa"/>
            <w:vAlign w:val="bottom"/>
          </w:tcPr>
          <w:p>
            <w:pPr>
              <w:ind w:left="60"/>
              <w:spacing w:after="0"/>
              <w:rPr>
                <w:sz w:val="20"/>
                <w:szCs w:val="20"/>
                <w:color w:val="auto"/>
              </w:rPr>
            </w:pPr>
            <w:r>
              <w:rPr>
                <w:rFonts w:ascii="Arial" w:cs="Arial" w:eastAsia="Arial" w:hAnsi="Arial"/>
                <w:sz w:val="14"/>
                <w:szCs w:val="14"/>
                <w:color w:val="auto"/>
              </w:rPr>
              <w:t>NYMEX gas ($/MMBtu)</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rPr>
              <w:t>2.66</w:t>
            </w:r>
          </w:p>
        </w:tc>
        <w:tc>
          <w:tcPr>
            <w:tcW w:w="120" w:type="dxa"/>
            <w:vAlign w:val="bottom"/>
          </w:tcPr>
          <w:p>
            <w:pPr>
              <w:spacing w:after="0"/>
              <w:rPr>
                <w:sz w:val="23"/>
                <w:szCs w:val="23"/>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2.75</w:t>
            </w:r>
          </w:p>
        </w:tc>
        <w:tc>
          <w:tcPr>
            <w:tcW w:w="220" w:type="dxa"/>
            <w:vAlign w:val="bottom"/>
          </w:tcPr>
          <w:p>
            <w:pPr>
              <w:spacing w:after="0"/>
              <w:rPr>
                <w:sz w:val="23"/>
                <w:szCs w:val="23"/>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b w:val="1"/>
                <w:bCs w:val="1"/>
                <w:color w:val="auto"/>
              </w:rPr>
              <w:t>2.95</w:t>
            </w:r>
          </w:p>
        </w:tc>
        <w:tc>
          <w:tcPr>
            <w:tcW w:w="100" w:type="dxa"/>
            <w:vAlign w:val="bottom"/>
          </w:tcPr>
          <w:p>
            <w:pPr>
              <w:spacing w:after="0"/>
              <w:rPr>
                <w:sz w:val="23"/>
                <w:szCs w:val="23"/>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2.81</w:t>
            </w:r>
          </w:p>
        </w:tc>
        <w:tc>
          <w:tcPr>
            <w:tcW w:w="120" w:type="dxa"/>
            <w:vAlign w:val="bottom"/>
          </w:tcPr>
          <w:p>
            <w:pPr>
              <w:spacing w:after="0"/>
              <w:rPr>
                <w:sz w:val="23"/>
                <w:szCs w:val="23"/>
                <w:color w:val="auto"/>
              </w:rPr>
            </w:pPr>
          </w:p>
        </w:tc>
      </w:tr>
      <w:tr>
        <w:trPr>
          <w:trHeight w:val="594"/>
        </w:trPr>
        <w:tc>
          <w:tcPr>
            <w:tcW w:w="5680" w:type="dxa"/>
            <w:vAlign w:val="bottom"/>
          </w:tcPr>
          <w:p>
            <w:pPr>
              <w:ind w:left="20"/>
              <w:spacing w:after="0"/>
              <w:rPr>
                <w:sz w:val="20"/>
                <w:szCs w:val="20"/>
                <w:color w:val="auto"/>
              </w:rPr>
            </w:pPr>
            <w:r>
              <w:rPr>
                <w:rFonts w:ascii="Arial" w:cs="Arial" w:eastAsia="Arial" w:hAnsi="Arial"/>
                <w:sz w:val="14"/>
                <w:szCs w:val="14"/>
                <w:b w:val="1"/>
                <w:bCs w:val="1"/>
                <w:color w:val="auto"/>
              </w:rPr>
              <w:t>Realized Prices as Percentage of Index Prices</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0"/>
        </w:trPr>
        <w:tc>
          <w:tcPr>
            <w:tcW w:w="5680" w:type="dxa"/>
            <w:vAlign w:val="bottom"/>
          </w:tcPr>
          <w:p>
            <w:pPr>
              <w:ind w:left="60"/>
              <w:spacing w:after="0"/>
              <w:rPr>
                <w:sz w:val="20"/>
                <w:szCs w:val="20"/>
                <w:color w:val="auto"/>
              </w:rPr>
            </w:pPr>
            <w:r>
              <w:rPr>
                <w:rFonts w:ascii="Arial" w:cs="Arial" w:eastAsia="Arial" w:hAnsi="Arial"/>
                <w:sz w:val="14"/>
                <w:szCs w:val="14"/>
                <w:color w:val="auto"/>
              </w:rPr>
              <w:t>Oil with hedge as a percentage of Brent</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103%</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86%</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103%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89%</w:t>
            </w:r>
          </w:p>
        </w:tc>
        <w:tc>
          <w:tcPr>
            <w:tcW w:w="120" w:type="dxa"/>
            <w:vAlign w:val="bottom"/>
          </w:tcPr>
          <w:p>
            <w:pPr>
              <w:spacing w:after="0"/>
              <w:rPr>
                <w:sz w:val="23"/>
                <w:szCs w:val="23"/>
                <w:color w:val="auto"/>
              </w:rPr>
            </w:pPr>
          </w:p>
        </w:tc>
      </w:tr>
      <w:tr>
        <w:trPr>
          <w:trHeight w:val="270"/>
        </w:trPr>
        <w:tc>
          <w:tcPr>
            <w:tcW w:w="5680" w:type="dxa"/>
            <w:vAlign w:val="bottom"/>
          </w:tcPr>
          <w:p>
            <w:pPr>
              <w:ind w:left="60"/>
              <w:spacing w:after="0"/>
              <w:rPr>
                <w:sz w:val="20"/>
                <w:szCs w:val="20"/>
                <w:color w:val="auto"/>
              </w:rPr>
            </w:pPr>
            <w:r>
              <w:rPr>
                <w:rFonts w:ascii="Arial" w:cs="Arial" w:eastAsia="Arial" w:hAnsi="Arial"/>
                <w:sz w:val="14"/>
                <w:szCs w:val="14"/>
                <w:color w:val="auto"/>
              </w:rPr>
              <w:t>Oil without hedge as a percentage of Brent</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101%</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98%</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99%</w:t>
            </w:r>
          </w:p>
        </w:tc>
        <w:tc>
          <w:tcPr>
            <w:tcW w:w="120" w:type="dxa"/>
            <w:vAlign w:val="bottom"/>
          </w:tcPr>
          <w:p>
            <w:pPr>
              <w:spacing w:after="0"/>
              <w:rPr>
                <w:sz w:val="23"/>
                <w:szCs w:val="23"/>
                <w:color w:val="auto"/>
              </w:rPr>
            </w:pPr>
          </w:p>
        </w:tc>
      </w:tr>
      <w:tr>
        <w:trPr>
          <w:trHeight w:val="540"/>
        </w:trPr>
        <w:tc>
          <w:tcPr>
            <w:tcW w:w="5680" w:type="dxa"/>
            <w:vAlign w:val="bottom"/>
          </w:tcPr>
          <w:p>
            <w:pPr>
              <w:ind w:left="60"/>
              <w:spacing w:after="0"/>
              <w:rPr>
                <w:sz w:val="20"/>
                <w:szCs w:val="20"/>
                <w:color w:val="auto"/>
              </w:rPr>
            </w:pPr>
            <w:r>
              <w:rPr>
                <w:rFonts w:ascii="Arial" w:cs="Arial" w:eastAsia="Arial" w:hAnsi="Arial"/>
                <w:sz w:val="14"/>
                <w:szCs w:val="14"/>
                <w:color w:val="auto"/>
              </w:rPr>
              <w:t>Oil with hedge as a percentage of WTI</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118%</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94%</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118%</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97%</w:t>
            </w:r>
          </w:p>
        </w:tc>
        <w:tc>
          <w:tcPr>
            <w:tcW w:w="120" w:type="dxa"/>
            <w:vAlign w:val="bottom"/>
          </w:tcPr>
          <w:p>
            <w:pPr>
              <w:spacing w:after="0"/>
              <w:rPr>
                <w:sz w:val="24"/>
                <w:szCs w:val="24"/>
                <w:color w:val="auto"/>
              </w:rPr>
            </w:pPr>
          </w:p>
        </w:tc>
      </w:tr>
      <w:tr>
        <w:trPr>
          <w:trHeight w:val="270"/>
        </w:trPr>
        <w:tc>
          <w:tcPr>
            <w:tcW w:w="5680" w:type="dxa"/>
            <w:vAlign w:val="bottom"/>
          </w:tcPr>
          <w:p>
            <w:pPr>
              <w:ind w:left="60"/>
              <w:spacing w:after="0"/>
              <w:rPr>
                <w:sz w:val="20"/>
                <w:szCs w:val="20"/>
                <w:color w:val="auto"/>
              </w:rPr>
            </w:pPr>
            <w:r>
              <w:rPr>
                <w:rFonts w:ascii="Arial" w:cs="Arial" w:eastAsia="Arial" w:hAnsi="Arial"/>
                <w:sz w:val="14"/>
                <w:szCs w:val="14"/>
                <w:color w:val="auto"/>
              </w:rPr>
              <w:t>Oil without hedge as a percentage of WTI</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115%</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108%</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115%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108%</w:t>
            </w:r>
          </w:p>
        </w:tc>
        <w:tc>
          <w:tcPr>
            <w:tcW w:w="120" w:type="dxa"/>
            <w:vAlign w:val="bottom"/>
          </w:tcPr>
          <w:p>
            <w:pPr>
              <w:spacing w:after="0"/>
              <w:rPr>
                <w:sz w:val="23"/>
                <w:szCs w:val="23"/>
                <w:color w:val="auto"/>
              </w:rPr>
            </w:pPr>
          </w:p>
        </w:tc>
      </w:tr>
      <w:tr>
        <w:trPr>
          <w:trHeight w:val="392"/>
        </w:trPr>
        <w:tc>
          <w:tcPr>
            <w:tcW w:w="5680" w:type="dxa"/>
            <w:vAlign w:val="bottom"/>
          </w:tcPr>
          <w:p>
            <w:pPr>
              <w:ind w:left="60"/>
              <w:spacing w:after="0"/>
              <w:rPr>
                <w:sz w:val="20"/>
                <w:szCs w:val="20"/>
                <w:color w:val="auto"/>
              </w:rPr>
            </w:pPr>
            <w:r>
              <w:rPr>
                <w:rFonts w:ascii="Arial" w:cs="Arial" w:eastAsia="Arial" w:hAnsi="Arial"/>
                <w:sz w:val="14"/>
                <w:szCs w:val="14"/>
                <w:color w:val="auto"/>
              </w:rPr>
              <w:t>NGLs as a percentage of Brent</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41%</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56%</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53%</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24"/>
                <w:szCs w:val="24"/>
                <w:color w:val="auto"/>
              </w:rPr>
            </w:pPr>
          </w:p>
        </w:tc>
      </w:tr>
      <w:tr>
        <w:trPr>
          <w:trHeight w:val="270"/>
        </w:trPr>
        <w:tc>
          <w:tcPr>
            <w:tcW w:w="5680" w:type="dxa"/>
            <w:vAlign w:val="bottom"/>
          </w:tcPr>
          <w:p>
            <w:pPr>
              <w:ind w:left="60"/>
              <w:spacing w:after="0"/>
              <w:rPr>
                <w:sz w:val="20"/>
                <w:szCs w:val="20"/>
                <w:color w:val="auto"/>
              </w:rPr>
            </w:pPr>
            <w:r>
              <w:rPr>
                <w:rFonts w:ascii="Arial" w:cs="Arial" w:eastAsia="Arial" w:hAnsi="Arial"/>
                <w:sz w:val="14"/>
                <w:szCs w:val="14"/>
                <w:color w:val="auto"/>
              </w:rPr>
              <w:t>NGLs as a percentage of WTI</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47%</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62%</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61%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23"/>
                <w:szCs w:val="23"/>
                <w:color w:val="auto"/>
              </w:rPr>
            </w:pPr>
          </w:p>
        </w:tc>
      </w:tr>
      <w:tr>
        <w:trPr>
          <w:trHeight w:val="392"/>
        </w:trPr>
        <w:tc>
          <w:tcPr>
            <w:tcW w:w="5680" w:type="dxa"/>
            <w:vAlign w:val="bottom"/>
          </w:tcPr>
          <w:p>
            <w:pPr>
              <w:ind w:left="60"/>
              <w:spacing w:after="0"/>
              <w:rPr>
                <w:sz w:val="20"/>
                <w:szCs w:val="20"/>
                <w:color w:val="auto"/>
              </w:rPr>
            </w:pPr>
            <w:r>
              <w:rPr>
                <w:rFonts w:ascii="Arial" w:cs="Arial" w:eastAsia="Arial" w:hAnsi="Arial"/>
                <w:sz w:val="14"/>
                <w:szCs w:val="14"/>
                <w:color w:val="auto"/>
              </w:rPr>
              <w:t>Natural gas as a percentage of NYMEX</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88%</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82%</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97%</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89%</w:t>
            </w:r>
          </w:p>
        </w:tc>
        <w:tc>
          <w:tcPr>
            <w:tcW w:w="120" w:type="dxa"/>
            <w:vAlign w:val="bottom"/>
          </w:tcPr>
          <w:p>
            <w:pPr>
              <w:spacing w:after="0"/>
              <w:rPr>
                <w:sz w:val="24"/>
                <w:szCs w:val="24"/>
                <w:color w:val="auto"/>
              </w:rPr>
            </w:pPr>
          </w:p>
        </w:tc>
      </w:tr>
    </w:tbl>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15</w:t>
      </w:r>
    </w:p>
    <w:p>
      <w:pPr>
        <w:sectPr>
          <w:pgSz w:w="11900" w:h="16838" w:orient="portrait"/>
          <w:cols w:equalWidth="0" w:num="1">
            <w:col w:w="11360"/>
          </w:cols>
          <w:pgMar w:left="280" w:top="748" w:right="25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96"/>
        </w:trPr>
        <w:tc>
          <w:tcPr>
            <w:tcW w:w="3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Attachment 6</w:t>
            </w:r>
          </w:p>
        </w:tc>
        <w:tc>
          <w:tcPr>
            <w:tcW w:w="0" w:type="dxa"/>
            <w:vAlign w:val="bottom"/>
          </w:tcPr>
          <w:p>
            <w:pPr>
              <w:spacing w:after="0"/>
              <w:rPr>
                <w:sz w:val="1"/>
                <w:szCs w:val="1"/>
                <w:color w:val="auto"/>
              </w:rPr>
            </w:pPr>
          </w:p>
        </w:tc>
      </w:tr>
      <w:tr>
        <w:trPr>
          <w:trHeight w:val="20"/>
        </w:trPr>
        <w:tc>
          <w:tcPr>
            <w:tcW w:w="3780" w:type="dxa"/>
            <w:vAlign w:val="bottom"/>
            <w:tcBorders>
              <w:bottom w:val="single" w:sz="8" w:color="auto"/>
            </w:tcBorders>
            <w:gridSpan w:val="2"/>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3780" w:type="dxa"/>
            <w:vAlign w:val="bottom"/>
            <w:gridSpan w:val="2"/>
          </w:tcPr>
          <w:p>
            <w:pPr>
              <w:ind w:left="40"/>
              <w:spacing w:after="0"/>
              <w:rPr>
                <w:sz w:val="20"/>
                <w:szCs w:val="20"/>
                <w:color w:val="auto"/>
              </w:rPr>
            </w:pPr>
            <w:r>
              <w:rPr>
                <w:rFonts w:ascii="Arial" w:cs="Arial" w:eastAsia="Arial" w:hAnsi="Arial"/>
                <w:sz w:val="14"/>
                <w:szCs w:val="14"/>
                <w:b w:val="1"/>
                <w:bCs w:val="1"/>
                <w:color w:val="auto"/>
              </w:rPr>
              <w:t>SECOND QUARTER DRILLING ACTIVITY</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San Joaquin</w:t>
            </w: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Los Angeles</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Ventura</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Sacramento</w:t>
            </w: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Wells Drilled</w:t>
            </w:r>
          </w:p>
        </w:tc>
        <w:tc>
          <w:tcPr>
            <w:tcW w:w="120" w:type="dxa"/>
            <w:vAlign w:val="bottom"/>
          </w:tcPr>
          <w:p>
            <w:pPr>
              <w:spacing w:after="0"/>
              <w:rPr>
                <w:sz w:val="24"/>
                <w:szCs w:val="2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Basin</w:t>
            </w:r>
          </w:p>
        </w:tc>
        <w:tc>
          <w:tcPr>
            <w:tcW w:w="120" w:type="dxa"/>
            <w:vAlign w:val="bottom"/>
          </w:tcPr>
          <w:p>
            <w:pPr>
              <w:spacing w:after="0"/>
              <w:rPr>
                <w:sz w:val="24"/>
                <w:szCs w:val="2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Basin</w:t>
            </w:r>
          </w:p>
        </w:tc>
        <w:tc>
          <w:tcPr>
            <w:tcW w:w="12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Basin</w:t>
            </w:r>
          </w:p>
        </w:tc>
        <w:tc>
          <w:tcPr>
            <w:tcW w:w="100" w:type="dxa"/>
            <w:vAlign w:val="bottom"/>
          </w:tcPr>
          <w:p>
            <w:pPr>
              <w:spacing w:after="0"/>
              <w:rPr>
                <w:sz w:val="24"/>
                <w:szCs w:val="2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Basin</w:t>
            </w:r>
          </w:p>
        </w:tc>
        <w:tc>
          <w:tcPr>
            <w:tcW w:w="100" w:type="dxa"/>
            <w:vAlign w:val="bottom"/>
          </w:tcPr>
          <w:p>
            <w:pPr>
              <w:spacing w:after="0"/>
              <w:rPr>
                <w:sz w:val="24"/>
                <w:szCs w:val="24"/>
                <w:color w:val="auto"/>
              </w:rPr>
            </w:pPr>
          </w:p>
        </w:tc>
        <w:tc>
          <w:tcPr>
            <w:tcW w:w="160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55"/>
        </w:trPr>
        <w:tc>
          <w:tcPr>
            <w:tcW w:w="3780" w:type="dxa"/>
            <w:vAlign w:val="bottom"/>
            <w:gridSpan w:val="2"/>
          </w:tcPr>
          <w:p>
            <w:pPr>
              <w:ind w:left="40"/>
              <w:spacing w:after="0"/>
              <w:rPr>
                <w:sz w:val="20"/>
                <w:szCs w:val="20"/>
                <w:color w:val="auto"/>
              </w:rPr>
            </w:pPr>
            <w:r>
              <w:rPr>
                <w:rFonts w:ascii="Arial" w:cs="Arial" w:eastAsia="Arial" w:hAnsi="Arial"/>
                <w:sz w:val="14"/>
                <w:szCs w:val="14"/>
                <w:b w:val="1"/>
                <w:bCs w:val="1"/>
                <w:color w:val="auto"/>
              </w:rPr>
              <w:t>Development Wells</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780" w:type="dxa"/>
            <w:vAlign w:val="bottom"/>
            <w:gridSpan w:val="2"/>
          </w:tcPr>
          <w:p>
            <w:pPr>
              <w:ind w:left="180"/>
              <w:spacing w:after="0"/>
              <w:rPr>
                <w:sz w:val="20"/>
                <w:szCs w:val="20"/>
                <w:color w:val="auto"/>
              </w:rPr>
            </w:pPr>
            <w:r>
              <w:rPr>
                <w:rFonts w:ascii="Arial" w:cs="Arial" w:eastAsia="Arial" w:hAnsi="Arial"/>
                <w:sz w:val="14"/>
                <w:szCs w:val="14"/>
                <w:color w:val="auto"/>
              </w:rPr>
              <w:t>Primary</w:t>
            </w:r>
          </w:p>
        </w:tc>
        <w:tc>
          <w:tcPr>
            <w:tcW w:w="1380" w:type="dxa"/>
            <w:vAlign w:val="bottom"/>
          </w:tcPr>
          <w:p>
            <w:pPr>
              <w:jc w:val="center"/>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3"/>
                <w:szCs w:val="23"/>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70"/>
        </w:trPr>
        <w:tc>
          <w:tcPr>
            <w:tcW w:w="3780" w:type="dxa"/>
            <w:vAlign w:val="bottom"/>
            <w:gridSpan w:val="2"/>
          </w:tcPr>
          <w:p>
            <w:pPr>
              <w:ind w:left="180"/>
              <w:spacing w:after="0"/>
              <w:rPr>
                <w:sz w:val="20"/>
                <w:szCs w:val="20"/>
                <w:color w:val="auto"/>
              </w:rPr>
            </w:pPr>
            <w:r>
              <w:rPr>
                <w:rFonts w:ascii="Arial" w:cs="Arial" w:eastAsia="Arial" w:hAnsi="Arial"/>
                <w:sz w:val="14"/>
                <w:szCs w:val="14"/>
                <w:color w:val="auto"/>
              </w:rPr>
              <w:t>Waterflood</w:t>
            </w:r>
          </w:p>
        </w:tc>
        <w:tc>
          <w:tcPr>
            <w:tcW w:w="1380" w:type="dxa"/>
            <w:vAlign w:val="bottom"/>
          </w:tcPr>
          <w:p>
            <w:pPr>
              <w:jc w:val="center"/>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3"/>
                <w:szCs w:val="23"/>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3"/>
                <w:szCs w:val="23"/>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70"/>
        </w:trPr>
        <w:tc>
          <w:tcPr>
            <w:tcW w:w="3780" w:type="dxa"/>
            <w:vAlign w:val="bottom"/>
            <w:gridSpan w:val="2"/>
          </w:tcPr>
          <w:p>
            <w:pPr>
              <w:ind w:left="180"/>
              <w:spacing w:after="0"/>
              <w:rPr>
                <w:sz w:val="20"/>
                <w:szCs w:val="20"/>
                <w:color w:val="auto"/>
              </w:rPr>
            </w:pPr>
            <w:r>
              <w:rPr>
                <w:rFonts w:ascii="Arial" w:cs="Arial" w:eastAsia="Arial" w:hAnsi="Arial"/>
                <w:sz w:val="14"/>
                <w:szCs w:val="14"/>
                <w:color w:val="auto"/>
              </w:rPr>
              <w:t>Steamflood</w:t>
            </w:r>
          </w:p>
        </w:tc>
        <w:tc>
          <w:tcPr>
            <w:tcW w:w="1380" w:type="dxa"/>
            <w:vAlign w:val="bottom"/>
          </w:tcPr>
          <w:p>
            <w:pPr>
              <w:jc w:val="center"/>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3"/>
                <w:szCs w:val="23"/>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76"/>
        </w:trPr>
        <w:tc>
          <w:tcPr>
            <w:tcW w:w="3780" w:type="dxa"/>
            <w:vAlign w:val="bottom"/>
            <w:gridSpan w:val="2"/>
          </w:tcPr>
          <w:p>
            <w:pPr>
              <w:ind w:left="180"/>
              <w:spacing w:after="0"/>
              <w:rPr>
                <w:sz w:val="20"/>
                <w:szCs w:val="20"/>
                <w:color w:val="auto"/>
              </w:rPr>
            </w:pPr>
            <w:r>
              <w:rPr>
                <w:rFonts w:ascii="Arial" w:cs="Arial" w:eastAsia="Arial" w:hAnsi="Arial"/>
                <w:sz w:val="14"/>
                <w:szCs w:val="14"/>
                <w:color w:val="auto"/>
              </w:rPr>
              <w:t>Unconventional</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4"/>
                <w:szCs w:val="2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24"/>
                <w:szCs w:val="2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24"/>
                <w:szCs w:val="2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44"/>
        </w:trPr>
        <w:tc>
          <w:tcPr>
            <w:tcW w:w="3780" w:type="dxa"/>
            <w:vAlign w:val="bottom"/>
            <w:gridSpan w:val="2"/>
          </w:tcPr>
          <w:p>
            <w:pPr>
              <w:ind w:left="280"/>
              <w:spacing w:after="0"/>
              <w:rPr>
                <w:sz w:val="20"/>
                <w:szCs w:val="20"/>
                <w:color w:val="auto"/>
              </w:rPr>
            </w:pPr>
            <w:r>
              <w:rPr>
                <w:rFonts w:ascii="Arial" w:cs="Arial" w:eastAsia="Arial" w:hAnsi="Arial"/>
                <w:sz w:val="14"/>
                <w:szCs w:val="14"/>
                <w:color w:val="auto"/>
              </w:rPr>
              <w:t>Total</w:t>
            </w:r>
          </w:p>
        </w:tc>
        <w:tc>
          <w:tcPr>
            <w:tcW w:w="1380" w:type="dxa"/>
            <w:vAlign w:val="bottom"/>
          </w:tcPr>
          <w:p>
            <w:pPr>
              <w:jc w:val="center"/>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1"/>
                <w:szCs w:val="21"/>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567"/>
        </w:trPr>
        <w:tc>
          <w:tcPr>
            <w:tcW w:w="3780" w:type="dxa"/>
            <w:vAlign w:val="bottom"/>
            <w:gridSpan w:val="2"/>
          </w:tcPr>
          <w:p>
            <w:pPr>
              <w:ind w:left="40"/>
              <w:spacing w:after="0"/>
              <w:rPr>
                <w:sz w:val="20"/>
                <w:szCs w:val="20"/>
                <w:color w:val="auto"/>
              </w:rPr>
            </w:pPr>
            <w:r>
              <w:rPr>
                <w:rFonts w:ascii="Arial" w:cs="Arial" w:eastAsia="Arial" w:hAnsi="Arial"/>
                <w:sz w:val="14"/>
                <w:szCs w:val="14"/>
                <w:b w:val="1"/>
                <w:bCs w:val="1"/>
                <w:color w:val="auto"/>
              </w:rPr>
              <w:t>Exploration Wells</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780" w:type="dxa"/>
            <w:vAlign w:val="bottom"/>
            <w:gridSpan w:val="2"/>
          </w:tcPr>
          <w:p>
            <w:pPr>
              <w:ind w:left="180"/>
              <w:spacing w:after="0"/>
              <w:rPr>
                <w:sz w:val="20"/>
                <w:szCs w:val="20"/>
                <w:color w:val="auto"/>
              </w:rPr>
            </w:pPr>
            <w:r>
              <w:rPr>
                <w:rFonts w:ascii="Arial" w:cs="Arial" w:eastAsia="Arial" w:hAnsi="Arial"/>
                <w:sz w:val="14"/>
                <w:szCs w:val="14"/>
                <w:color w:val="auto"/>
              </w:rPr>
              <w:t>Primary</w:t>
            </w: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70"/>
        </w:trPr>
        <w:tc>
          <w:tcPr>
            <w:tcW w:w="3780" w:type="dxa"/>
            <w:vAlign w:val="bottom"/>
            <w:gridSpan w:val="2"/>
          </w:tcPr>
          <w:p>
            <w:pPr>
              <w:ind w:left="180"/>
              <w:spacing w:after="0"/>
              <w:rPr>
                <w:sz w:val="20"/>
                <w:szCs w:val="20"/>
                <w:color w:val="auto"/>
              </w:rPr>
            </w:pPr>
            <w:r>
              <w:rPr>
                <w:rFonts w:ascii="Arial" w:cs="Arial" w:eastAsia="Arial" w:hAnsi="Arial"/>
                <w:sz w:val="14"/>
                <w:szCs w:val="14"/>
                <w:color w:val="auto"/>
              </w:rPr>
              <w:t>Waterflood</w:t>
            </w: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70"/>
        </w:trPr>
        <w:tc>
          <w:tcPr>
            <w:tcW w:w="3780" w:type="dxa"/>
            <w:vAlign w:val="bottom"/>
            <w:gridSpan w:val="2"/>
          </w:tcPr>
          <w:p>
            <w:pPr>
              <w:ind w:left="180"/>
              <w:spacing w:after="0"/>
              <w:rPr>
                <w:sz w:val="20"/>
                <w:szCs w:val="20"/>
                <w:color w:val="auto"/>
              </w:rPr>
            </w:pPr>
            <w:r>
              <w:rPr>
                <w:rFonts w:ascii="Arial" w:cs="Arial" w:eastAsia="Arial" w:hAnsi="Arial"/>
                <w:sz w:val="14"/>
                <w:szCs w:val="14"/>
                <w:color w:val="auto"/>
              </w:rPr>
              <w:t>Steamflood</w:t>
            </w: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76"/>
        </w:trPr>
        <w:tc>
          <w:tcPr>
            <w:tcW w:w="3780" w:type="dxa"/>
            <w:vAlign w:val="bottom"/>
            <w:gridSpan w:val="2"/>
          </w:tcPr>
          <w:p>
            <w:pPr>
              <w:ind w:left="180"/>
              <w:spacing w:after="0"/>
              <w:rPr>
                <w:sz w:val="20"/>
                <w:szCs w:val="20"/>
                <w:color w:val="auto"/>
              </w:rPr>
            </w:pPr>
            <w:r>
              <w:rPr>
                <w:rFonts w:ascii="Arial" w:cs="Arial" w:eastAsia="Arial" w:hAnsi="Arial"/>
                <w:sz w:val="14"/>
                <w:szCs w:val="14"/>
                <w:color w:val="auto"/>
              </w:rPr>
              <w:t>Unconventional</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24"/>
                <w:szCs w:val="2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24"/>
                <w:szCs w:val="2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44"/>
        </w:trPr>
        <w:tc>
          <w:tcPr>
            <w:tcW w:w="3780" w:type="dxa"/>
            <w:vAlign w:val="bottom"/>
            <w:gridSpan w:val="2"/>
          </w:tcPr>
          <w:p>
            <w:pPr>
              <w:ind w:left="280"/>
              <w:spacing w:after="0"/>
              <w:rPr>
                <w:sz w:val="20"/>
                <w:szCs w:val="20"/>
                <w:color w:val="auto"/>
              </w:rPr>
            </w:pPr>
            <w:r>
              <w:rPr>
                <w:rFonts w:ascii="Arial" w:cs="Arial" w:eastAsia="Arial" w:hAnsi="Arial"/>
                <w:sz w:val="14"/>
                <w:szCs w:val="14"/>
                <w:color w:val="auto"/>
              </w:rPr>
              <w:t>Total</w:t>
            </w: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309"/>
        </w:trPr>
        <w:tc>
          <w:tcPr>
            <w:tcW w:w="3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Total Wells </w:t>
            </w:r>
            <w:r>
              <w:rPr>
                <w:rFonts w:ascii="Arial" w:cs="Arial" w:eastAsia="Arial" w:hAnsi="Arial"/>
                <w:sz w:val="17"/>
                <w:szCs w:val="17"/>
                <w:b w:val="1"/>
                <w:bCs w:val="1"/>
                <w:color w:val="auto"/>
                <w:vertAlign w:val="superscript"/>
              </w:rPr>
              <w:t>(a)</w:t>
            </w:r>
          </w:p>
        </w:tc>
        <w:tc>
          <w:tcPr>
            <w:tcW w:w="13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780" w:type="dxa"/>
            <w:vAlign w:val="bottom"/>
            <w:gridSpan w:val="2"/>
            <w:vMerge w:val="continue"/>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0"/>
                <w:szCs w:val="20"/>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3780" w:type="dxa"/>
            <w:vAlign w:val="bottom"/>
            <w:gridSpan w:val="2"/>
          </w:tcPr>
          <w:p>
            <w:pPr>
              <w:ind w:left="40"/>
              <w:spacing w:after="0"/>
              <w:rPr>
                <w:sz w:val="20"/>
                <w:szCs w:val="20"/>
                <w:color w:val="auto"/>
              </w:rPr>
            </w:pPr>
            <w:r>
              <w:rPr>
                <w:rFonts w:ascii="Arial" w:cs="Arial" w:eastAsia="Arial" w:hAnsi="Arial"/>
                <w:sz w:val="14"/>
                <w:szCs w:val="14"/>
                <w:color w:val="auto"/>
              </w:rPr>
              <w:t>CRC wells drilled</w:t>
            </w:r>
          </w:p>
        </w:tc>
        <w:tc>
          <w:tcPr>
            <w:tcW w:w="1380" w:type="dxa"/>
            <w:vAlign w:val="bottom"/>
          </w:tcPr>
          <w:p>
            <w:pPr>
              <w:jc w:val="center"/>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1"/>
                <w:szCs w:val="21"/>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97"/>
        </w:trPr>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Borders>
              <w:top w:val="single" w:sz="8" w:color="auto"/>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Borders>
              <w:top w:val="single" w:sz="8" w:color="auto"/>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Borders>
              <w:top w:val="single" w:sz="8" w:color="auto"/>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Borders>
              <w:top w:val="single" w:sz="8" w:color="auto"/>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3780" w:type="dxa"/>
            <w:vAlign w:val="bottom"/>
            <w:gridSpan w:val="2"/>
          </w:tcPr>
          <w:p>
            <w:pPr>
              <w:ind w:left="40"/>
              <w:spacing w:after="0"/>
              <w:rPr>
                <w:sz w:val="20"/>
                <w:szCs w:val="20"/>
                <w:color w:val="auto"/>
              </w:rPr>
            </w:pPr>
            <w:r>
              <w:rPr>
                <w:rFonts w:ascii="Arial" w:cs="Arial" w:eastAsia="Arial" w:hAnsi="Arial"/>
                <w:sz w:val="14"/>
                <w:szCs w:val="14"/>
                <w:color w:val="auto"/>
              </w:rPr>
              <w:t>BSP wells drilled</w:t>
            </w:r>
          </w:p>
        </w:tc>
        <w:tc>
          <w:tcPr>
            <w:tcW w:w="1380" w:type="dxa"/>
            <w:vAlign w:val="bottom"/>
          </w:tcPr>
          <w:p>
            <w:pPr>
              <w:jc w:val="center"/>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1"/>
                <w:szCs w:val="21"/>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97"/>
        </w:trPr>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Borders>
              <w:top w:val="single" w:sz="8" w:color="auto"/>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Borders>
              <w:top w:val="single" w:sz="8" w:color="auto"/>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Borders>
              <w:top w:val="single" w:sz="8" w:color="auto"/>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Borders>
              <w:top w:val="single" w:sz="8" w:color="auto"/>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3780" w:type="dxa"/>
            <w:vAlign w:val="bottom"/>
            <w:gridSpan w:val="2"/>
          </w:tcPr>
          <w:p>
            <w:pPr>
              <w:ind w:left="40"/>
              <w:spacing w:after="0"/>
              <w:rPr>
                <w:sz w:val="20"/>
                <w:szCs w:val="20"/>
                <w:color w:val="auto"/>
              </w:rPr>
            </w:pPr>
            <w:r>
              <w:rPr>
                <w:rFonts w:ascii="Arial" w:cs="Arial" w:eastAsia="Arial" w:hAnsi="Arial"/>
                <w:sz w:val="14"/>
                <w:szCs w:val="14"/>
                <w:color w:val="auto"/>
              </w:rPr>
              <w:t>MIRA wells drilled</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21"/>
                <w:szCs w:val="21"/>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21"/>
                <w:szCs w:val="21"/>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21"/>
                <w:szCs w:val="21"/>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ind w:left="180" w:hanging="145"/>
        <w:spacing w:after="0"/>
        <w:tabs>
          <w:tab w:leader="none" w:pos="180" w:val="left"/>
        </w:tabs>
        <w:numPr>
          <w:ilvl w:val="0"/>
          <w:numId w:val="7"/>
        </w:numPr>
        <w:rPr>
          <w:rFonts w:ascii="Arial" w:cs="Arial" w:eastAsia="Arial" w:hAnsi="Arial"/>
          <w:sz w:val="17"/>
          <w:szCs w:val="17"/>
          <w:color w:val="auto"/>
          <w:vertAlign w:val="superscript"/>
        </w:rPr>
      </w:pPr>
      <w:r>
        <w:rPr>
          <w:rFonts w:ascii="Arial" w:cs="Arial" w:eastAsia="Arial" w:hAnsi="Arial"/>
          <w:sz w:val="14"/>
          <w:szCs w:val="14"/>
          <w:color w:val="auto"/>
        </w:rPr>
        <w:t>Includes steam injectors and drilled but uncompleted wells, which would not be included in the SEC definition of wells drilled.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16</w:t>
      </w:r>
    </w:p>
    <w:p>
      <w:pPr>
        <w:sectPr>
          <w:pgSz w:w="11900" w:h="16838" w:orient="portrait"/>
          <w:cols w:equalWidth="0" w:num="1">
            <w:col w:w="11420"/>
          </w:cols>
          <w:pgMar w:left="240" w:top="802"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96"/>
        </w:trPr>
        <w:tc>
          <w:tcPr>
            <w:tcW w:w="36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Attachment 7</w:t>
            </w:r>
          </w:p>
        </w:tc>
        <w:tc>
          <w:tcPr>
            <w:tcW w:w="0" w:type="dxa"/>
            <w:vAlign w:val="bottom"/>
          </w:tcPr>
          <w:p>
            <w:pPr>
              <w:spacing w:after="0"/>
              <w:rPr>
                <w:sz w:val="1"/>
                <w:szCs w:val="1"/>
                <w:color w:val="auto"/>
              </w:rPr>
            </w:pPr>
          </w:p>
        </w:tc>
      </w:tr>
      <w:tr>
        <w:trPr>
          <w:trHeight w:val="20"/>
        </w:trPr>
        <w:tc>
          <w:tcPr>
            <w:tcW w:w="3760" w:type="dxa"/>
            <w:vAlign w:val="bottom"/>
            <w:tcBorders>
              <w:bottom w:val="single" w:sz="8" w:color="auto"/>
            </w:tcBorders>
            <w:gridSpan w:val="2"/>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3760" w:type="dxa"/>
            <w:vAlign w:val="bottom"/>
            <w:gridSpan w:val="2"/>
          </w:tcPr>
          <w:p>
            <w:pPr>
              <w:ind w:left="20"/>
              <w:spacing w:after="0"/>
              <w:rPr>
                <w:sz w:val="20"/>
                <w:szCs w:val="20"/>
                <w:color w:val="auto"/>
              </w:rPr>
            </w:pPr>
            <w:r>
              <w:rPr>
                <w:rFonts w:ascii="Arial" w:cs="Arial" w:eastAsia="Arial" w:hAnsi="Arial"/>
                <w:sz w:val="14"/>
                <w:szCs w:val="14"/>
                <w:b w:val="1"/>
                <w:bCs w:val="1"/>
                <w:color w:val="auto"/>
              </w:rPr>
              <w:t>SIX MONTHS 2019 DRILLING ACTIVITY</w:t>
            </w: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San Joaquin</w:t>
            </w: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Los Angeles</w:t>
            </w:r>
          </w:p>
        </w:tc>
        <w:tc>
          <w:tcPr>
            <w:tcW w:w="14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Ventura</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Sacramento</w:t>
            </w: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Wells Drilled</w:t>
            </w:r>
          </w:p>
        </w:tc>
        <w:tc>
          <w:tcPr>
            <w:tcW w:w="12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Basin</w:t>
            </w:r>
          </w:p>
        </w:tc>
        <w:tc>
          <w:tcPr>
            <w:tcW w:w="120" w:type="dxa"/>
            <w:vAlign w:val="bottom"/>
          </w:tcPr>
          <w:p>
            <w:pPr>
              <w:spacing w:after="0"/>
              <w:rPr>
                <w:sz w:val="24"/>
                <w:szCs w:val="2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Basin</w:t>
            </w:r>
          </w:p>
        </w:tc>
        <w:tc>
          <w:tcPr>
            <w:tcW w:w="120" w:type="dxa"/>
            <w:vAlign w:val="bottom"/>
          </w:tcPr>
          <w:p>
            <w:pPr>
              <w:spacing w:after="0"/>
              <w:rPr>
                <w:sz w:val="24"/>
                <w:szCs w:val="2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Basin</w:t>
            </w:r>
          </w:p>
        </w:tc>
        <w:tc>
          <w:tcPr>
            <w:tcW w:w="120" w:type="dxa"/>
            <w:vAlign w:val="bottom"/>
          </w:tcPr>
          <w:p>
            <w:pPr>
              <w:spacing w:after="0"/>
              <w:rPr>
                <w:sz w:val="24"/>
                <w:szCs w:val="24"/>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Basin</w:t>
            </w:r>
          </w:p>
        </w:tc>
        <w:tc>
          <w:tcPr>
            <w:tcW w:w="120" w:type="dxa"/>
            <w:vAlign w:val="bottom"/>
          </w:tcPr>
          <w:p>
            <w:pPr>
              <w:spacing w:after="0"/>
              <w:rPr>
                <w:sz w:val="24"/>
                <w:szCs w:val="24"/>
                <w:color w:val="auto"/>
              </w:rPr>
            </w:pPr>
          </w:p>
        </w:tc>
        <w:tc>
          <w:tcPr>
            <w:tcW w:w="158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55"/>
        </w:trPr>
        <w:tc>
          <w:tcPr>
            <w:tcW w:w="3760" w:type="dxa"/>
            <w:vAlign w:val="bottom"/>
            <w:gridSpan w:val="2"/>
          </w:tcPr>
          <w:p>
            <w:pPr>
              <w:ind w:left="20"/>
              <w:spacing w:after="0"/>
              <w:rPr>
                <w:sz w:val="20"/>
                <w:szCs w:val="20"/>
                <w:color w:val="auto"/>
              </w:rPr>
            </w:pPr>
            <w:r>
              <w:rPr>
                <w:rFonts w:ascii="Arial" w:cs="Arial" w:eastAsia="Arial" w:hAnsi="Arial"/>
                <w:sz w:val="14"/>
                <w:szCs w:val="14"/>
                <w:b w:val="1"/>
                <w:bCs w:val="1"/>
                <w:color w:val="auto"/>
              </w:rPr>
              <w:t>Development Wells</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760" w:type="dxa"/>
            <w:vAlign w:val="bottom"/>
            <w:gridSpan w:val="2"/>
          </w:tcPr>
          <w:p>
            <w:pPr>
              <w:ind w:left="160"/>
              <w:spacing w:after="0"/>
              <w:rPr>
                <w:sz w:val="20"/>
                <w:szCs w:val="20"/>
                <w:color w:val="auto"/>
              </w:rPr>
            </w:pPr>
            <w:r>
              <w:rPr>
                <w:rFonts w:ascii="Arial" w:cs="Arial" w:eastAsia="Arial" w:hAnsi="Arial"/>
                <w:sz w:val="14"/>
                <w:szCs w:val="14"/>
                <w:color w:val="auto"/>
              </w:rPr>
              <w:t>Primary</w:t>
            </w:r>
          </w:p>
        </w:tc>
        <w:tc>
          <w:tcPr>
            <w:tcW w:w="1360" w:type="dxa"/>
            <w:vAlign w:val="bottom"/>
          </w:tcPr>
          <w:p>
            <w:pPr>
              <w:jc w:val="center"/>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3"/>
                <w:szCs w:val="23"/>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tcPr>
          <w:p>
            <w:pPr>
              <w:jc w:val="center"/>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70"/>
        </w:trPr>
        <w:tc>
          <w:tcPr>
            <w:tcW w:w="3760" w:type="dxa"/>
            <w:vAlign w:val="bottom"/>
            <w:gridSpan w:val="2"/>
          </w:tcPr>
          <w:p>
            <w:pPr>
              <w:ind w:left="160"/>
              <w:spacing w:after="0"/>
              <w:rPr>
                <w:sz w:val="20"/>
                <w:szCs w:val="20"/>
                <w:color w:val="auto"/>
              </w:rPr>
            </w:pPr>
            <w:r>
              <w:rPr>
                <w:rFonts w:ascii="Arial" w:cs="Arial" w:eastAsia="Arial" w:hAnsi="Arial"/>
                <w:sz w:val="14"/>
                <w:szCs w:val="14"/>
                <w:color w:val="auto"/>
              </w:rPr>
              <w:t>Waterflood</w:t>
            </w:r>
          </w:p>
        </w:tc>
        <w:tc>
          <w:tcPr>
            <w:tcW w:w="1360" w:type="dxa"/>
            <w:vAlign w:val="bottom"/>
          </w:tcPr>
          <w:p>
            <w:pPr>
              <w:jc w:val="center"/>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3"/>
                <w:szCs w:val="23"/>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3"/>
                <w:szCs w:val="23"/>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tcPr>
          <w:p>
            <w:pPr>
              <w:jc w:val="center"/>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70"/>
        </w:trPr>
        <w:tc>
          <w:tcPr>
            <w:tcW w:w="3760" w:type="dxa"/>
            <w:vAlign w:val="bottom"/>
            <w:gridSpan w:val="2"/>
          </w:tcPr>
          <w:p>
            <w:pPr>
              <w:ind w:left="160"/>
              <w:spacing w:after="0"/>
              <w:rPr>
                <w:sz w:val="20"/>
                <w:szCs w:val="20"/>
                <w:color w:val="auto"/>
              </w:rPr>
            </w:pPr>
            <w:r>
              <w:rPr>
                <w:rFonts w:ascii="Arial" w:cs="Arial" w:eastAsia="Arial" w:hAnsi="Arial"/>
                <w:sz w:val="14"/>
                <w:szCs w:val="14"/>
                <w:color w:val="auto"/>
              </w:rPr>
              <w:t>Steamflood</w:t>
            </w:r>
          </w:p>
        </w:tc>
        <w:tc>
          <w:tcPr>
            <w:tcW w:w="1360" w:type="dxa"/>
            <w:vAlign w:val="bottom"/>
          </w:tcPr>
          <w:p>
            <w:pPr>
              <w:jc w:val="center"/>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3"/>
                <w:szCs w:val="23"/>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tcPr>
          <w:p>
            <w:pPr>
              <w:jc w:val="center"/>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76"/>
        </w:trPr>
        <w:tc>
          <w:tcPr>
            <w:tcW w:w="3760" w:type="dxa"/>
            <w:vAlign w:val="bottom"/>
            <w:gridSpan w:val="2"/>
          </w:tcPr>
          <w:p>
            <w:pPr>
              <w:ind w:left="160"/>
              <w:spacing w:after="0"/>
              <w:rPr>
                <w:sz w:val="20"/>
                <w:szCs w:val="20"/>
                <w:color w:val="auto"/>
              </w:rPr>
            </w:pPr>
            <w:r>
              <w:rPr>
                <w:rFonts w:ascii="Arial" w:cs="Arial" w:eastAsia="Arial" w:hAnsi="Arial"/>
                <w:sz w:val="14"/>
                <w:szCs w:val="14"/>
                <w:color w:val="auto"/>
              </w:rPr>
              <w:t>Unconventional</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4"/>
                <w:szCs w:val="2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24"/>
                <w:szCs w:val="2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24"/>
                <w:szCs w:val="24"/>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24"/>
                <w:szCs w:val="2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44"/>
        </w:trPr>
        <w:tc>
          <w:tcPr>
            <w:tcW w:w="3760" w:type="dxa"/>
            <w:vAlign w:val="bottom"/>
            <w:gridSpan w:val="2"/>
          </w:tcPr>
          <w:p>
            <w:pPr>
              <w:ind w:left="280"/>
              <w:spacing w:after="0"/>
              <w:rPr>
                <w:sz w:val="20"/>
                <w:szCs w:val="20"/>
                <w:color w:val="auto"/>
              </w:rPr>
            </w:pPr>
            <w:r>
              <w:rPr>
                <w:rFonts w:ascii="Arial" w:cs="Arial" w:eastAsia="Arial" w:hAnsi="Arial"/>
                <w:sz w:val="14"/>
                <w:szCs w:val="14"/>
                <w:color w:val="auto"/>
              </w:rPr>
              <w:t>Total</w:t>
            </w:r>
          </w:p>
        </w:tc>
        <w:tc>
          <w:tcPr>
            <w:tcW w:w="1360" w:type="dxa"/>
            <w:vAlign w:val="bottom"/>
          </w:tcPr>
          <w:p>
            <w:pPr>
              <w:jc w:val="center"/>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1"/>
                <w:szCs w:val="21"/>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tcPr>
          <w:p>
            <w:pPr>
              <w:jc w:val="center"/>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567"/>
        </w:trPr>
        <w:tc>
          <w:tcPr>
            <w:tcW w:w="3760" w:type="dxa"/>
            <w:vAlign w:val="bottom"/>
            <w:gridSpan w:val="2"/>
          </w:tcPr>
          <w:p>
            <w:pPr>
              <w:ind w:left="20"/>
              <w:spacing w:after="0"/>
              <w:rPr>
                <w:sz w:val="20"/>
                <w:szCs w:val="20"/>
                <w:color w:val="auto"/>
              </w:rPr>
            </w:pPr>
            <w:r>
              <w:rPr>
                <w:rFonts w:ascii="Arial" w:cs="Arial" w:eastAsia="Arial" w:hAnsi="Arial"/>
                <w:sz w:val="14"/>
                <w:szCs w:val="14"/>
                <w:b w:val="1"/>
                <w:bCs w:val="1"/>
                <w:color w:val="auto"/>
              </w:rPr>
              <w:t>Exploration Wells</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760" w:type="dxa"/>
            <w:vAlign w:val="bottom"/>
            <w:gridSpan w:val="2"/>
          </w:tcPr>
          <w:p>
            <w:pPr>
              <w:ind w:left="160"/>
              <w:spacing w:after="0"/>
              <w:rPr>
                <w:sz w:val="20"/>
                <w:szCs w:val="20"/>
                <w:color w:val="auto"/>
              </w:rPr>
            </w:pPr>
            <w:r>
              <w:rPr>
                <w:rFonts w:ascii="Arial" w:cs="Arial" w:eastAsia="Arial" w:hAnsi="Arial"/>
                <w:sz w:val="14"/>
                <w:szCs w:val="14"/>
                <w:color w:val="auto"/>
              </w:rPr>
              <w:t>Primary</w:t>
            </w:r>
          </w:p>
        </w:tc>
        <w:tc>
          <w:tcPr>
            <w:tcW w:w="1360" w:type="dxa"/>
            <w:vAlign w:val="bottom"/>
          </w:tcPr>
          <w:p>
            <w:pPr>
              <w:jc w:val="center"/>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340" w:type="dxa"/>
            <w:vAlign w:val="bottom"/>
          </w:tcPr>
          <w:p>
            <w:pPr>
              <w:jc w:val="center"/>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tcPr>
          <w:p>
            <w:pPr>
              <w:jc w:val="center"/>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70"/>
        </w:trPr>
        <w:tc>
          <w:tcPr>
            <w:tcW w:w="3760" w:type="dxa"/>
            <w:vAlign w:val="bottom"/>
            <w:gridSpan w:val="2"/>
          </w:tcPr>
          <w:p>
            <w:pPr>
              <w:ind w:left="160"/>
              <w:spacing w:after="0"/>
              <w:rPr>
                <w:sz w:val="20"/>
                <w:szCs w:val="20"/>
                <w:color w:val="auto"/>
              </w:rPr>
            </w:pPr>
            <w:r>
              <w:rPr>
                <w:rFonts w:ascii="Arial" w:cs="Arial" w:eastAsia="Arial" w:hAnsi="Arial"/>
                <w:sz w:val="14"/>
                <w:szCs w:val="14"/>
                <w:color w:val="auto"/>
              </w:rPr>
              <w:t>Waterflood</w:t>
            </w: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70"/>
        </w:trPr>
        <w:tc>
          <w:tcPr>
            <w:tcW w:w="3760" w:type="dxa"/>
            <w:vAlign w:val="bottom"/>
            <w:gridSpan w:val="2"/>
          </w:tcPr>
          <w:p>
            <w:pPr>
              <w:ind w:left="160"/>
              <w:spacing w:after="0"/>
              <w:rPr>
                <w:sz w:val="20"/>
                <w:szCs w:val="20"/>
                <w:color w:val="auto"/>
              </w:rPr>
            </w:pPr>
            <w:r>
              <w:rPr>
                <w:rFonts w:ascii="Arial" w:cs="Arial" w:eastAsia="Arial" w:hAnsi="Arial"/>
                <w:sz w:val="14"/>
                <w:szCs w:val="14"/>
                <w:color w:val="auto"/>
              </w:rPr>
              <w:t>Steamflood</w:t>
            </w:r>
          </w:p>
        </w:tc>
        <w:tc>
          <w:tcPr>
            <w:tcW w:w="1360" w:type="dxa"/>
            <w:vAlign w:val="bottom"/>
          </w:tcPr>
          <w:p>
            <w:pPr>
              <w:jc w:val="center"/>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3"/>
                <w:szCs w:val="23"/>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tcPr>
          <w:p>
            <w:pPr>
              <w:jc w:val="center"/>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76"/>
        </w:trPr>
        <w:tc>
          <w:tcPr>
            <w:tcW w:w="3760" w:type="dxa"/>
            <w:vAlign w:val="bottom"/>
            <w:gridSpan w:val="2"/>
          </w:tcPr>
          <w:p>
            <w:pPr>
              <w:ind w:left="160"/>
              <w:spacing w:after="0"/>
              <w:rPr>
                <w:sz w:val="20"/>
                <w:szCs w:val="20"/>
                <w:color w:val="auto"/>
              </w:rPr>
            </w:pPr>
            <w:r>
              <w:rPr>
                <w:rFonts w:ascii="Arial" w:cs="Arial" w:eastAsia="Arial" w:hAnsi="Arial"/>
                <w:sz w:val="14"/>
                <w:szCs w:val="14"/>
                <w:color w:val="auto"/>
              </w:rPr>
              <w:t>Unconventional</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24"/>
                <w:szCs w:val="2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24"/>
                <w:szCs w:val="24"/>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24"/>
                <w:szCs w:val="2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44"/>
        </w:trPr>
        <w:tc>
          <w:tcPr>
            <w:tcW w:w="3760" w:type="dxa"/>
            <w:vAlign w:val="bottom"/>
            <w:gridSpan w:val="2"/>
          </w:tcPr>
          <w:p>
            <w:pPr>
              <w:ind w:left="280"/>
              <w:spacing w:after="0"/>
              <w:rPr>
                <w:sz w:val="20"/>
                <w:szCs w:val="20"/>
                <w:color w:val="auto"/>
              </w:rPr>
            </w:pPr>
            <w:r>
              <w:rPr>
                <w:rFonts w:ascii="Arial" w:cs="Arial" w:eastAsia="Arial" w:hAnsi="Arial"/>
                <w:sz w:val="14"/>
                <w:szCs w:val="14"/>
                <w:color w:val="auto"/>
              </w:rPr>
              <w:t>Total</w:t>
            </w:r>
          </w:p>
        </w:tc>
        <w:tc>
          <w:tcPr>
            <w:tcW w:w="1360" w:type="dxa"/>
            <w:vAlign w:val="bottom"/>
          </w:tcPr>
          <w:p>
            <w:pPr>
              <w:jc w:val="center"/>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1"/>
                <w:szCs w:val="21"/>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340" w:type="dxa"/>
            <w:vAlign w:val="bottom"/>
          </w:tcPr>
          <w:p>
            <w:pPr>
              <w:jc w:val="center"/>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1"/>
                <w:szCs w:val="21"/>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tcPr>
          <w:p>
            <w:pPr>
              <w:jc w:val="center"/>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309"/>
        </w:trPr>
        <w:tc>
          <w:tcPr>
            <w:tcW w:w="3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Total Wells </w:t>
            </w:r>
            <w:r>
              <w:rPr>
                <w:rFonts w:ascii="Arial" w:cs="Arial" w:eastAsia="Arial" w:hAnsi="Arial"/>
                <w:sz w:val="17"/>
                <w:szCs w:val="17"/>
                <w:b w:val="1"/>
                <w:bCs w:val="1"/>
                <w:color w:val="auto"/>
                <w:vertAlign w:val="superscript"/>
              </w:rPr>
              <w:t>(a)</w:t>
            </w:r>
          </w:p>
        </w:tc>
        <w:tc>
          <w:tcPr>
            <w:tcW w:w="13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760" w:type="dxa"/>
            <w:vAlign w:val="bottom"/>
            <w:gridSpan w:val="2"/>
            <w:vMerge w:val="continue"/>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84</w:t>
            </w:r>
          </w:p>
        </w:tc>
        <w:tc>
          <w:tcPr>
            <w:tcW w:w="12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0"/>
                <w:szCs w:val="20"/>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tcPr>
          <w:p>
            <w:pPr>
              <w:jc w:val="center"/>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3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3760" w:type="dxa"/>
            <w:vAlign w:val="bottom"/>
            <w:gridSpan w:val="2"/>
          </w:tcPr>
          <w:p>
            <w:pPr>
              <w:ind w:left="20"/>
              <w:spacing w:after="0"/>
              <w:rPr>
                <w:sz w:val="20"/>
                <w:szCs w:val="20"/>
                <w:color w:val="auto"/>
              </w:rPr>
            </w:pPr>
            <w:r>
              <w:rPr>
                <w:rFonts w:ascii="Arial" w:cs="Arial" w:eastAsia="Arial" w:hAnsi="Arial"/>
                <w:sz w:val="14"/>
                <w:szCs w:val="14"/>
                <w:color w:val="auto"/>
              </w:rPr>
              <w:t>CRC wells drilled</w:t>
            </w:r>
          </w:p>
        </w:tc>
        <w:tc>
          <w:tcPr>
            <w:tcW w:w="1360" w:type="dxa"/>
            <w:vAlign w:val="bottom"/>
          </w:tcPr>
          <w:p>
            <w:pPr>
              <w:jc w:val="center"/>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1"/>
                <w:szCs w:val="21"/>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tcPr>
          <w:p>
            <w:pPr>
              <w:jc w:val="center"/>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297"/>
        </w:trPr>
        <w:tc>
          <w:tcPr>
            <w:tcW w:w="3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Borders>
              <w:top w:val="single" w:sz="8" w:color="auto"/>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Borders>
              <w:top w:val="single" w:sz="8" w:color="auto"/>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Borders>
              <w:top w:val="single" w:sz="8" w:color="auto"/>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Borders>
              <w:top w:val="single" w:sz="8" w:color="auto"/>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3760" w:type="dxa"/>
            <w:vAlign w:val="bottom"/>
            <w:gridSpan w:val="2"/>
          </w:tcPr>
          <w:p>
            <w:pPr>
              <w:ind w:left="20"/>
              <w:spacing w:after="0"/>
              <w:rPr>
                <w:sz w:val="20"/>
                <w:szCs w:val="20"/>
                <w:color w:val="auto"/>
              </w:rPr>
            </w:pPr>
            <w:r>
              <w:rPr>
                <w:rFonts w:ascii="Arial" w:cs="Arial" w:eastAsia="Arial" w:hAnsi="Arial"/>
                <w:sz w:val="14"/>
                <w:szCs w:val="14"/>
                <w:color w:val="auto"/>
              </w:rPr>
              <w:t>BSP wells drilled</w:t>
            </w:r>
          </w:p>
        </w:tc>
        <w:tc>
          <w:tcPr>
            <w:tcW w:w="1360" w:type="dxa"/>
            <w:vAlign w:val="bottom"/>
          </w:tcPr>
          <w:p>
            <w:pPr>
              <w:jc w:val="center"/>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1"/>
                <w:szCs w:val="21"/>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tcPr>
          <w:p>
            <w:pPr>
              <w:jc w:val="center"/>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97"/>
        </w:trPr>
        <w:tc>
          <w:tcPr>
            <w:tcW w:w="3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Borders>
              <w:top w:val="single" w:sz="8" w:color="auto"/>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Borders>
              <w:top w:val="single" w:sz="8" w:color="auto"/>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Borders>
              <w:top w:val="single" w:sz="8" w:color="auto"/>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Borders>
              <w:top w:val="single" w:sz="8" w:color="auto"/>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3760" w:type="dxa"/>
            <w:vAlign w:val="bottom"/>
            <w:gridSpan w:val="2"/>
          </w:tcPr>
          <w:p>
            <w:pPr>
              <w:ind w:left="20"/>
              <w:spacing w:after="0"/>
              <w:rPr>
                <w:sz w:val="20"/>
                <w:szCs w:val="20"/>
                <w:color w:val="auto"/>
              </w:rPr>
            </w:pPr>
            <w:r>
              <w:rPr>
                <w:rFonts w:ascii="Arial" w:cs="Arial" w:eastAsia="Arial" w:hAnsi="Arial"/>
                <w:sz w:val="14"/>
                <w:szCs w:val="14"/>
                <w:color w:val="auto"/>
              </w:rPr>
              <w:t>MIRA wells drilled</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1"/>
                <w:szCs w:val="21"/>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21"/>
                <w:szCs w:val="21"/>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21"/>
                <w:szCs w:val="21"/>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21"/>
                <w:szCs w:val="21"/>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3" w:lineRule="exact"/>
        <w:rPr>
          <w:sz w:val="20"/>
          <w:szCs w:val="20"/>
          <w:color w:val="auto"/>
        </w:rPr>
      </w:pPr>
    </w:p>
    <w:p>
      <w:pPr>
        <w:ind w:left="180" w:hanging="151"/>
        <w:spacing w:after="0"/>
        <w:tabs>
          <w:tab w:leader="none" w:pos="18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Includes steam injectors and drilled but uncompleted wells, which would not be included in the SEC definition of wells drilled.</w:t>
      </w: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17</w:t>
      </w:r>
    </w:p>
    <w:p>
      <w:pPr>
        <w:sectPr>
          <w:pgSz w:w="11900" w:h="16838" w:orient="portrait"/>
          <w:cols w:equalWidth="0" w:num="1">
            <w:col w:w="11360"/>
          </w:cols>
          <w:pgMar w:left="280" w:top="801" w:right="25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96"/>
        </w:trPr>
        <w:tc>
          <w:tcPr>
            <w:tcW w:w="65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Attachment 8</w:t>
            </w:r>
          </w:p>
        </w:tc>
      </w:tr>
      <w:tr>
        <w:trPr>
          <w:trHeight w:val="20"/>
        </w:trPr>
        <w:tc>
          <w:tcPr>
            <w:tcW w:w="6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45"/>
        </w:trPr>
        <w:tc>
          <w:tcPr>
            <w:tcW w:w="6540" w:type="dxa"/>
            <w:vAlign w:val="bottom"/>
          </w:tcPr>
          <w:p>
            <w:pPr>
              <w:ind w:left="40"/>
              <w:spacing w:after="0"/>
              <w:rPr>
                <w:sz w:val="20"/>
                <w:szCs w:val="20"/>
                <w:color w:val="auto"/>
              </w:rPr>
            </w:pPr>
            <w:r>
              <w:rPr>
                <w:rFonts w:ascii="Arial" w:cs="Arial" w:eastAsia="Arial" w:hAnsi="Arial"/>
                <w:sz w:val="14"/>
                <w:szCs w:val="14"/>
                <w:b w:val="1"/>
                <w:bCs w:val="1"/>
                <w:color w:val="auto"/>
              </w:rPr>
              <w:t>HEDGES - CURRENT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0"/>
        </w:trPr>
        <w:tc>
          <w:tcPr>
            <w:tcW w:w="6540" w:type="dxa"/>
            <w:vAlign w:val="bottom"/>
          </w:tcPr>
          <w:p>
            <w:pPr>
              <w:spacing w:after="0"/>
              <w:rPr>
                <w:sz w:val="23"/>
                <w:szCs w:val="23"/>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Q3</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Q4</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6"/>
              </w:rPr>
              <w:t>Q1</w:t>
            </w:r>
          </w:p>
        </w:tc>
        <w:tc>
          <w:tcPr>
            <w:tcW w:w="1260" w:type="dxa"/>
            <w:vAlign w:val="bottom"/>
          </w:tcPr>
          <w:p>
            <w:pPr>
              <w:jc w:val="center"/>
              <w:ind w:left="48"/>
              <w:spacing w:after="0"/>
              <w:rPr>
                <w:sz w:val="20"/>
                <w:szCs w:val="20"/>
                <w:color w:val="auto"/>
              </w:rPr>
            </w:pPr>
            <w:r>
              <w:rPr>
                <w:rFonts w:ascii="Arial" w:cs="Arial" w:eastAsia="Arial" w:hAnsi="Arial"/>
                <w:sz w:val="14"/>
                <w:szCs w:val="14"/>
                <w:b w:val="1"/>
                <w:bCs w:val="1"/>
                <w:color w:val="auto"/>
                <w:w w:val="96"/>
              </w:rPr>
              <w:t>Q2</w:t>
            </w:r>
          </w:p>
        </w:tc>
      </w:tr>
      <w:tr>
        <w:trPr>
          <w:trHeight w:val="276"/>
        </w:trPr>
        <w:tc>
          <w:tcPr>
            <w:tcW w:w="6540" w:type="dxa"/>
            <w:vAlign w:val="bottom"/>
          </w:tcPr>
          <w:p>
            <w:pPr>
              <w:spacing w:after="0"/>
              <w:rPr>
                <w:sz w:val="23"/>
                <w:szCs w:val="23"/>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3"/>
                <w:szCs w:val="23"/>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3"/>
                <w:szCs w:val="23"/>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126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b w:val="1"/>
                <w:bCs w:val="1"/>
                <w:color w:val="auto"/>
              </w:rPr>
              <w:t>2020</w:t>
            </w:r>
          </w:p>
        </w:tc>
      </w:tr>
      <w:tr>
        <w:trPr>
          <w:trHeight w:val="258"/>
        </w:trPr>
        <w:tc>
          <w:tcPr>
            <w:tcW w:w="6540" w:type="dxa"/>
            <w:vAlign w:val="bottom"/>
          </w:tcPr>
          <w:p>
            <w:pPr>
              <w:ind w:left="40"/>
              <w:spacing w:after="0"/>
              <w:rPr>
                <w:sz w:val="20"/>
                <w:szCs w:val="20"/>
                <w:color w:val="auto"/>
              </w:rPr>
            </w:pPr>
            <w:r>
              <w:rPr>
                <w:rFonts w:ascii="Arial" w:cs="Arial" w:eastAsia="Arial" w:hAnsi="Arial"/>
                <w:sz w:val="14"/>
                <w:szCs w:val="14"/>
                <w:b w:val="1"/>
                <w:bCs w:val="1"/>
                <w:color w:val="auto"/>
              </w:rPr>
              <w:t>CRUDE OIL</w:t>
            </w: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0"/>
        </w:trPr>
        <w:tc>
          <w:tcPr>
            <w:tcW w:w="6540" w:type="dxa"/>
            <w:vAlign w:val="bottom"/>
          </w:tcPr>
          <w:p>
            <w:pPr>
              <w:ind w:left="40"/>
              <w:spacing w:after="0"/>
              <w:rPr>
                <w:sz w:val="20"/>
                <w:szCs w:val="20"/>
                <w:color w:val="auto"/>
              </w:rPr>
            </w:pPr>
            <w:r>
              <w:rPr>
                <w:rFonts w:ascii="Arial" w:cs="Arial" w:eastAsia="Arial" w:hAnsi="Arial"/>
                <w:sz w:val="14"/>
                <w:szCs w:val="14"/>
                <w:color w:val="auto"/>
              </w:rPr>
              <w:t>Purchased Puts:</w:t>
            </w: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6540" w:type="dxa"/>
            <w:vAlign w:val="bottom"/>
          </w:tcPr>
          <w:p>
            <w:pPr>
              <w:ind w:left="40"/>
              <w:spacing w:after="0"/>
              <w:rPr>
                <w:sz w:val="20"/>
                <w:szCs w:val="20"/>
                <w:color w:val="auto"/>
              </w:rPr>
            </w:pPr>
            <w:r>
              <w:rPr>
                <w:rFonts w:ascii="Arial" w:cs="Arial" w:eastAsia="Arial" w:hAnsi="Arial"/>
                <w:sz w:val="14"/>
                <w:szCs w:val="14"/>
                <w:color w:val="auto"/>
              </w:rPr>
              <w:t>Barrels per day</w:t>
            </w:r>
          </w:p>
        </w:tc>
        <w:tc>
          <w:tcPr>
            <w:tcW w:w="1140" w:type="dxa"/>
            <w:vAlign w:val="bottom"/>
          </w:tcPr>
          <w:p>
            <w:pPr>
              <w:jc w:val="center"/>
              <w:spacing w:after="0"/>
              <w:rPr>
                <w:sz w:val="20"/>
                <w:szCs w:val="20"/>
                <w:color w:val="auto"/>
              </w:rPr>
            </w:pPr>
            <w:r>
              <w:rPr>
                <w:rFonts w:ascii="Arial" w:cs="Arial" w:eastAsia="Arial" w:hAnsi="Arial"/>
                <w:sz w:val="14"/>
                <w:szCs w:val="14"/>
                <w:color w:val="auto"/>
              </w:rPr>
              <w:t>40,000</w:t>
            </w:r>
          </w:p>
        </w:tc>
        <w:tc>
          <w:tcPr>
            <w:tcW w:w="12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rPr>
              <w:t>35,000</w:t>
            </w:r>
          </w:p>
        </w:tc>
        <w:tc>
          <w:tcPr>
            <w:tcW w:w="10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25,000</w:t>
            </w:r>
          </w:p>
        </w:tc>
        <w:tc>
          <w:tcPr>
            <w:tcW w:w="1260" w:type="dxa"/>
            <w:vAlign w:val="bottom"/>
          </w:tcPr>
          <w:p>
            <w:pPr>
              <w:jc w:val="center"/>
              <w:ind w:left="68"/>
              <w:spacing w:after="0"/>
              <w:rPr>
                <w:sz w:val="20"/>
                <w:szCs w:val="20"/>
                <w:color w:val="auto"/>
              </w:rPr>
            </w:pPr>
            <w:r>
              <w:rPr>
                <w:rFonts w:ascii="Arial" w:cs="Arial" w:eastAsia="Arial" w:hAnsi="Arial"/>
                <w:sz w:val="14"/>
                <w:szCs w:val="14"/>
                <w:color w:val="auto"/>
              </w:rPr>
              <w:t>10,000</w:t>
            </w:r>
          </w:p>
        </w:tc>
      </w:tr>
      <w:tr>
        <w:trPr>
          <w:trHeight w:val="270"/>
        </w:trPr>
        <w:tc>
          <w:tcPr>
            <w:tcW w:w="6540" w:type="dxa"/>
            <w:vAlign w:val="bottom"/>
          </w:tcPr>
          <w:p>
            <w:pPr>
              <w:ind w:left="40"/>
              <w:spacing w:after="0"/>
              <w:rPr>
                <w:sz w:val="20"/>
                <w:szCs w:val="20"/>
                <w:color w:val="auto"/>
              </w:rPr>
            </w:pPr>
            <w:r>
              <w:rPr>
                <w:rFonts w:ascii="Arial" w:cs="Arial" w:eastAsia="Arial" w:hAnsi="Arial"/>
                <w:sz w:val="14"/>
                <w:szCs w:val="14"/>
                <w:color w:val="auto"/>
              </w:rPr>
              <w:t>Weighted-average Brent price per barrel</w:t>
            </w:r>
          </w:p>
        </w:tc>
        <w:tc>
          <w:tcPr>
            <w:tcW w:w="1140" w:type="dxa"/>
            <w:vAlign w:val="bottom"/>
          </w:tcPr>
          <w:p>
            <w:pPr>
              <w:jc w:val="center"/>
              <w:spacing w:after="0"/>
              <w:rPr>
                <w:sz w:val="20"/>
                <w:szCs w:val="20"/>
                <w:color w:val="auto"/>
              </w:rPr>
            </w:pPr>
            <w:r>
              <w:rPr>
                <w:rFonts w:ascii="Arial" w:cs="Arial" w:eastAsia="Arial" w:hAnsi="Arial"/>
                <w:sz w:val="14"/>
                <w:szCs w:val="14"/>
                <w:color w:val="auto"/>
              </w:rPr>
              <w:t>$73.13</w:t>
            </w:r>
          </w:p>
        </w:tc>
        <w:tc>
          <w:tcPr>
            <w:tcW w:w="12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rPr>
              <w:t>$75.71</w:t>
            </w:r>
          </w:p>
        </w:tc>
        <w:tc>
          <w:tcPr>
            <w:tcW w:w="10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$72.00</w:t>
            </w:r>
          </w:p>
        </w:tc>
        <w:tc>
          <w:tcPr>
            <w:tcW w:w="1260" w:type="dxa"/>
            <w:vAlign w:val="bottom"/>
          </w:tcPr>
          <w:p>
            <w:pPr>
              <w:jc w:val="center"/>
              <w:ind w:left="68"/>
              <w:spacing w:after="0"/>
              <w:rPr>
                <w:sz w:val="20"/>
                <w:szCs w:val="20"/>
                <w:color w:val="auto"/>
              </w:rPr>
            </w:pPr>
            <w:r>
              <w:rPr>
                <w:rFonts w:ascii="Arial" w:cs="Arial" w:eastAsia="Arial" w:hAnsi="Arial"/>
                <w:sz w:val="14"/>
                <w:szCs w:val="14"/>
                <w:color w:val="auto"/>
              </w:rPr>
              <w:t>$70.00</w:t>
            </w:r>
          </w:p>
        </w:tc>
      </w:tr>
      <w:tr>
        <w:trPr>
          <w:trHeight w:val="459"/>
        </w:trPr>
        <w:tc>
          <w:tcPr>
            <w:tcW w:w="6540" w:type="dxa"/>
            <w:vAlign w:val="bottom"/>
          </w:tcPr>
          <w:p>
            <w:pPr>
              <w:ind w:left="40"/>
              <w:spacing w:after="0"/>
              <w:rPr>
                <w:sz w:val="20"/>
                <w:szCs w:val="20"/>
                <w:color w:val="auto"/>
              </w:rPr>
            </w:pPr>
            <w:r>
              <w:rPr>
                <w:rFonts w:ascii="Arial" w:cs="Arial" w:eastAsia="Arial" w:hAnsi="Arial"/>
                <w:sz w:val="14"/>
                <w:szCs w:val="14"/>
                <w:color w:val="auto"/>
              </w:rPr>
              <w:t>Sold Puts:</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0"/>
        </w:trPr>
        <w:tc>
          <w:tcPr>
            <w:tcW w:w="6540" w:type="dxa"/>
            <w:vAlign w:val="bottom"/>
          </w:tcPr>
          <w:p>
            <w:pPr>
              <w:ind w:left="40"/>
              <w:spacing w:after="0"/>
              <w:rPr>
                <w:sz w:val="20"/>
                <w:szCs w:val="20"/>
                <w:color w:val="auto"/>
              </w:rPr>
            </w:pPr>
            <w:r>
              <w:rPr>
                <w:rFonts w:ascii="Arial" w:cs="Arial" w:eastAsia="Arial" w:hAnsi="Arial"/>
                <w:sz w:val="14"/>
                <w:szCs w:val="14"/>
                <w:color w:val="auto"/>
              </w:rPr>
              <w:t>Barrels per day</w:t>
            </w:r>
          </w:p>
        </w:tc>
        <w:tc>
          <w:tcPr>
            <w:tcW w:w="1140" w:type="dxa"/>
            <w:vAlign w:val="bottom"/>
          </w:tcPr>
          <w:p>
            <w:pPr>
              <w:jc w:val="center"/>
              <w:spacing w:after="0"/>
              <w:rPr>
                <w:sz w:val="20"/>
                <w:szCs w:val="20"/>
                <w:color w:val="auto"/>
              </w:rPr>
            </w:pPr>
            <w:r>
              <w:rPr>
                <w:rFonts w:ascii="Arial" w:cs="Arial" w:eastAsia="Arial" w:hAnsi="Arial"/>
                <w:sz w:val="14"/>
                <w:szCs w:val="14"/>
                <w:color w:val="auto"/>
              </w:rPr>
              <w:t>40,000</w:t>
            </w:r>
          </w:p>
        </w:tc>
        <w:tc>
          <w:tcPr>
            <w:tcW w:w="12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rPr>
              <w:t>35,000</w:t>
            </w:r>
          </w:p>
        </w:tc>
        <w:tc>
          <w:tcPr>
            <w:tcW w:w="10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25,000</w:t>
            </w:r>
          </w:p>
        </w:tc>
        <w:tc>
          <w:tcPr>
            <w:tcW w:w="1260" w:type="dxa"/>
            <w:vAlign w:val="bottom"/>
          </w:tcPr>
          <w:p>
            <w:pPr>
              <w:jc w:val="center"/>
              <w:ind w:left="68"/>
              <w:spacing w:after="0"/>
              <w:rPr>
                <w:sz w:val="20"/>
                <w:szCs w:val="20"/>
                <w:color w:val="auto"/>
              </w:rPr>
            </w:pPr>
            <w:r>
              <w:rPr>
                <w:rFonts w:ascii="Arial" w:cs="Arial" w:eastAsia="Arial" w:hAnsi="Arial"/>
                <w:sz w:val="14"/>
                <w:szCs w:val="14"/>
                <w:color w:val="auto"/>
              </w:rPr>
              <w:t>10,000</w:t>
            </w:r>
          </w:p>
        </w:tc>
      </w:tr>
      <w:tr>
        <w:trPr>
          <w:trHeight w:val="270"/>
        </w:trPr>
        <w:tc>
          <w:tcPr>
            <w:tcW w:w="6540" w:type="dxa"/>
            <w:vAlign w:val="bottom"/>
          </w:tcPr>
          <w:p>
            <w:pPr>
              <w:ind w:left="40"/>
              <w:spacing w:after="0"/>
              <w:rPr>
                <w:sz w:val="20"/>
                <w:szCs w:val="20"/>
                <w:color w:val="auto"/>
              </w:rPr>
            </w:pPr>
            <w:r>
              <w:rPr>
                <w:rFonts w:ascii="Arial" w:cs="Arial" w:eastAsia="Arial" w:hAnsi="Arial"/>
                <w:sz w:val="14"/>
                <w:szCs w:val="14"/>
                <w:color w:val="auto"/>
              </w:rPr>
              <w:t>Weighted-average Brent price per barrel</w:t>
            </w:r>
          </w:p>
        </w:tc>
        <w:tc>
          <w:tcPr>
            <w:tcW w:w="1140" w:type="dxa"/>
            <w:vAlign w:val="bottom"/>
          </w:tcPr>
          <w:p>
            <w:pPr>
              <w:jc w:val="center"/>
              <w:spacing w:after="0"/>
              <w:rPr>
                <w:sz w:val="20"/>
                <w:szCs w:val="20"/>
                <w:color w:val="auto"/>
              </w:rPr>
            </w:pPr>
            <w:r>
              <w:rPr>
                <w:rFonts w:ascii="Arial" w:cs="Arial" w:eastAsia="Arial" w:hAnsi="Arial"/>
                <w:sz w:val="14"/>
                <w:szCs w:val="14"/>
                <w:color w:val="auto"/>
              </w:rPr>
              <w:t>$57.50</w:t>
            </w:r>
          </w:p>
        </w:tc>
        <w:tc>
          <w:tcPr>
            <w:tcW w:w="12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rPr>
              <w:t>$60.00</w:t>
            </w:r>
          </w:p>
        </w:tc>
        <w:tc>
          <w:tcPr>
            <w:tcW w:w="10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$57.00</w:t>
            </w:r>
          </w:p>
        </w:tc>
        <w:tc>
          <w:tcPr>
            <w:tcW w:w="1260" w:type="dxa"/>
            <w:vAlign w:val="bottom"/>
          </w:tcPr>
          <w:p>
            <w:pPr>
              <w:jc w:val="center"/>
              <w:ind w:left="68"/>
              <w:spacing w:after="0"/>
              <w:rPr>
                <w:sz w:val="20"/>
                <w:szCs w:val="20"/>
                <w:color w:val="auto"/>
              </w:rPr>
            </w:pPr>
            <w:r>
              <w:rPr>
                <w:rFonts w:ascii="Arial" w:cs="Arial" w:eastAsia="Arial" w:hAnsi="Arial"/>
                <w:sz w:val="14"/>
                <w:szCs w:val="14"/>
                <w:color w:val="auto"/>
              </w:rPr>
              <w:t>$55.00</w:t>
            </w:r>
          </w:p>
        </w:tc>
      </w:tr>
      <w:tr>
        <w:trPr>
          <w:trHeight w:val="459"/>
        </w:trPr>
        <w:tc>
          <w:tcPr>
            <w:tcW w:w="6540" w:type="dxa"/>
            <w:vAlign w:val="bottom"/>
          </w:tcPr>
          <w:p>
            <w:pPr>
              <w:ind w:left="40"/>
              <w:spacing w:after="0"/>
              <w:rPr>
                <w:sz w:val="20"/>
                <w:szCs w:val="20"/>
                <w:color w:val="auto"/>
              </w:rPr>
            </w:pPr>
            <w:r>
              <w:rPr>
                <w:rFonts w:ascii="Arial" w:cs="Arial" w:eastAsia="Arial" w:hAnsi="Arial"/>
                <w:sz w:val="14"/>
                <w:szCs w:val="14"/>
                <w:color w:val="auto"/>
              </w:rPr>
              <w:t>Swaps:</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22"/>
        </w:trPr>
        <w:tc>
          <w:tcPr>
            <w:tcW w:w="6540" w:type="dxa"/>
            <w:vAlign w:val="bottom"/>
          </w:tcPr>
          <w:p>
            <w:pPr>
              <w:ind w:left="40"/>
              <w:spacing w:after="0"/>
              <w:rPr>
                <w:sz w:val="20"/>
                <w:szCs w:val="20"/>
                <w:color w:val="auto"/>
              </w:rPr>
            </w:pPr>
            <w:r>
              <w:rPr>
                <w:rFonts w:ascii="Arial" w:cs="Arial" w:eastAsia="Arial" w:hAnsi="Arial"/>
                <w:sz w:val="14"/>
                <w:szCs w:val="14"/>
                <w:color w:val="auto"/>
              </w:rPr>
              <w:t>Barrels per day</w:t>
            </w:r>
          </w:p>
        </w:tc>
        <w:tc>
          <w:tcPr>
            <w:tcW w:w="126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120" w:type="dxa"/>
            <w:vAlign w:val="bottom"/>
          </w:tcPr>
          <w:p>
            <w:pPr>
              <w:ind w:left="440"/>
              <w:spacing w:after="0"/>
              <w:rPr>
                <w:sz w:val="20"/>
                <w:szCs w:val="20"/>
                <w:color w:val="auto"/>
              </w:rPr>
            </w:pPr>
            <w:r>
              <w:rPr>
                <w:rFonts w:ascii="Arial" w:cs="Arial" w:eastAsia="Arial" w:hAnsi="Arial"/>
                <w:sz w:val="14"/>
                <w:szCs w:val="14"/>
                <w:color w:val="auto"/>
              </w:rPr>
              <w:t>—</w:t>
            </w:r>
          </w:p>
        </w:tc>
        <w:tc>
          <w:tcPr>
            <w:tcW w:w="1260" w:type="dxa"/>
            <w:vAlign w:val="bottom"/>
          </w:tcPr>
          <w:p>
            <w:pPr>
              <w:ind w:left="380"/>
              <w:spacing w:after="0"/>
              <w:rPr>
                <w:sz w:val="20"/>
                <w:szCs w:val="20"/>
                <w:color w:val="auto"/>
              </w:rPr>
            </w:pPr>
            <w:r>
              <w:rPr>
                <w:rFonts w:ascii="Arial" w:cs="Arial" w:eastAsia="Arial" w:hAnsi="Arial"/>
                <w:sz w:val="14"/>
                <w:szCs w:val="14"/>
                <w:color w:val="auto"/>
              </w:rPr>
              <w:t xml:space="preserve">5,000 </w:t>
            </w:r>
            <w:r>
              <w:rPr>
                <w:rFonts w:ascii="Arial" w:cs="Arial" w:eastAsia="Arial" w:hAnsi="Arial"/>
                <w:sz w:val="17"/>
                <w:szCs w:val="17"/>
                <w:color w:val="auto"/>
                <w:vertAlign w:val="superscript"/>
              </w:rPr>
              <w:t>(a)</w:t>
            </w:r>
          </w:p>
        </w:tc>
      </w:tr>
      <w:tr>
        <w:trPr>
          <w:trHeight w:val="218"/>
        </w:trPr>
        <w:tc>
          <w:tcPr>
            <w:tcW w:w="6540" w:type="dxa"/>
            <w:vAlign w:val="bottom"/>
          </w:tcPr>
          <w:p>
            <w:pPr>
              <w:ind w:left="40"/>
              <w:spacing w:after="0"/>
              <w:rPr>
                <w:sz w:val="20"/>
                <w:szCs w:val="20"/>
                <w:color w:val="auto"/>
              </w:rPr>
            </w:pPr>
            <w:r>
              <w:rPr>
                <w:rFonts w:ascii="Arial" w:cs="Arial" w:eastAsia="Arial" w:hAnsi="Arial"/>
                <w:sz w:val="14"/>
                <w:szCs w:val="14"/>
                <w:color w:val="auto"/>
              </w:rPr>
              <w:t>Weighted-average Brent price per barrel</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120" w:type="dxa"/>
            <w:vAlign w:val="bottom"/>
          </w:tcPr>
          <w:p>
            <w:pPr>
              <w:jc w:val="center"/>
              <w:spacing w:after="0"/>
              <w:rPr>
                <w:sz w:val="20"/>
                <w:szCs w:val="20"/>
                <w:color w:val="auto"/>
              </w:rPr>
            </w:pPr>
            <w:r>
              <w:rPr>
                <w:rFonts w:ascii="Arial" w:cs="Arial" w:eastAsia="Arial" w:hAnsi="Arial"/>
                <w:sz w:val="14"/>
                <w:szCs w:val="14"/>
                <w:color w:val="auto"/>
              </w:rPr>
              <w:t>$—</w:t>
            </w:r>
          </w:p>
        </w:tc>
        <w:tc>
          <w:tcPr>
            <w:tcW w:w="1260" w:type="dxa"/>
            <w:vAlign w:val="bottom"/>
          </w:tcPr>
          <w:p>
            <w:pPr>
              <w:jc w:val="center"/>
              <w:ind w:left="68"/>
              <w:spacing w:after="0"/>
              <w:rPr>
                <w:sz w:val="20"/>
                <w:szCs w:val="20"/>
                <w:color w:val="auto"/>
              </w:rPr>
            </w:pPr>
            <w:r>
              <w:rPr>
                <w:rFonts w:ascii="Arial" w:cs="Arial" w:eastAsia="Arial" w:hAnsi="Arial"/>
                <w:sz w:val="14"/>
                <w:szCs w:val="14"/>
                <w:color w:val="auto"/>
              </w:rPr>
              <w:t>$70.05</w:t>
            </w:r>
          </w:p>
        </w:tc>
      </w:tr>
    </w:tbl>
    <w:p>
      <w:pPr>
        <w:spacing w:after="0" w:line="341" w:lineRule="exact"/>
        <w:rPr>
          <w:sz w:val="20"/>
          <w:szCs w:val="20"/>
          <w:color w:val="auto"/>
        </w:rPr>
      </w:pPr>
    </w:p>
    <w:p>
      <w:pPr>
        <w:ind w:left="40" w:right="140"/>
        <w:spacing w:after="0" w:line="250" w:lineRule="auto"/>
        <w:rPr>
          <w:sz w:val="20"/>
          <w:szCs w:val="20"/>
          <w:color w:val="auto"/>
        </w:rPr>
      </w:pPr>
      <w:r>
        <w:rPr>
          <w:rFonts w:ascii="Arial" w:cs="Arial" w:eastAsia="Arial" w:hAnsi="Arial"/>
          <w:sz w:val="14"/>
          <w:szCs w:val="14"/>
          <w:color w:val="auto"/>
        </w:rPr>
        <w:t>The BSP JV entered into crude oil derivatives for insignificant volumes through 2021 that are included in our consolidated results but not in the above table. The BSP JV also entered into natural gas swaps for insignificant volumes for periods through May 2021. The hedges entered into by the BSP JV could affect the timing of the redemption of BSP's noncontrolling interest.</w:t>
      </w:r>
    </w:p>
    <w:p>
      <w:pPr>
        <w:spacing w:after="0" w:line="199" w:lineRule="exact"/>
        <w:rPr>
          <w:sz w:val="20"/>
          <w:szCs w:val="20"/>
          <w:color w:val="auto"/>
        </w:rPr>
      </w:pPr>
    </w:p>
    <w:p>
      <w:pPr>
        <w:ind w:left="40" w:right="40"/>
        <w:spacing w:after="0" w:line="253" w:lineRule="auto"/>
        <w:rPr>
          <w:sz w:val="20"/>
          <w:szCs w:val="20"/>
          <w:color w:val="auto"/>
        </w:rPr>
      </w:pPr>
      <w:r>
        <w:rPr>
          <w:rFonts w:ascii="Arial" w:cs="Arial" w:eastAsia="Arial" w:hAnsi="Arial"/>
          <w:sz w:val="14"/>
          <w:szCs w:val="14"/>
          <w:color w:val="auto"/>
        </w:rPr>
        <w:t>In May 2018 we entered into derivative contracts that limit our interest rate exposure with respect to $1.3 billion of our variable-rate indebtedness. The interest rate contracts reset monthly and require the counterparties to pay any excess interest owed on such amount in the event the one-month LIBOR exceeds 2.75% for any monthly period prior to May 2021.</w:t>
      </w:r>
    </w:p>
    <w:p>
      <w:pPr>
        <w:spacing w:after="0" w:line="363" w:lineRule="exact"/>
        <w:rPr>
          <w:sz w:val="20"/>
          <w:szCs w:val="20"/>
          <w:color w:val="auto"/>
        </w:rPr>
      </w:pPr>
    </w:p>
    <w:p>
      <w:pPr>
        <w:ind w:left="40"/>
        <w:spacing w:after="0"/>
        <w:rPr>
          <w:sz w:val="20"/>
          <w:szCs w:val="20"/>
          <w:color w:val="auto"/>
        </w:rPr>
      </w:pPr>
      <w:r>
        <w:rPr>
          <w:rFonts w:ascii="Arial" w:cs="Arial" w:eastAsia="Arial" w:hAnsi="Arial"/>
          <w:sz w:val="14"/>
          <w:szCs w:val="14"/>
          <w:color w:val="auto"/>
        </w:rPr>
        <w:t>(a) Counterparties have the option to increase swap volumes by up to 5,000 barrels per day at a weighted-average Brent price of $70.05 for the second quarter of 2020.</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18</w:t>
      </w:r>
    </w:p>
    <w:p>
      <w:pPr>
        <w:sectPr>
          <w:pgSz w:w="11900" w:h="16838" w:orient="portrait"/>
          <w:cols w:equalWidth="0" w:num="1">
            <w:col w:w="11420"/>
          </w:cols>
          <w:pgMar w:left="240" w:top="802"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4"/>
          <w:szCs w:val="14"/>
          <w:b w:val="1"/>
          <w:bCs w:val="1"/>
          <w:color w:val="auto"/>
        </w:rPr>
        <w:t>Attachment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26035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43180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0" w:lineRule="exact"/>
        <w:rPr>
          <w:sz w:val="20"/>
          <w:szCs w:val="20"/>
          <w:color w:val="auto"/>
        </w:rPr>
      </w:pPr>
    </w:p>
    <w:tbl>
      <w:tblPr>
        <w:tblLayout w:type="fixed"/>
        <w:tblInd w:w="5" w:type="dxa"/>
        <w:tblCellMar>
          <w:top w:w="0" w:type="dxa"/>
          <w:left w:w="0" w:type="dxa"/>
          <w:bottom w:w="0" w:type="dxa"/>
          <w:right w:w="0" w:type="dxa"/>
        </w:tblCellMar>
      </w:tblPr>
      <w:tr>
        <w:trPr>
          <w:trHeight w:val="190"/>
        </w:trPr>
        <w:tc>
          <w:tcPr>
            <w:tcW w:w="6140" w:type="dxa"/>
            <w:vAlign w:val="bottom"/>
          </w:tcPr>
          <w:p>
            <w:pPr>
              <w:spacing w:after="0"/>
              <w:rPr>
                <w:sz w:val="20"/>
                <w:szCs w:val="20"/>
                <w:color w:val="auto"/>
              </w:rPr>
            </w:pPr>
            <w:r>
              <w:rPr>
                <w:rFonts w:ascii="Arial" w:cs="Arial" w:eastAsia="Arial" w:hAnsi="Arial"/>
                <w:sz w:val="14"/>
                <w:szCs w:val="14"/>
                <w:b w:val="1"/>
                <w:bCs w:val="1"/>
                <w:color w:val="auto"/>
              </w:rPr>
              <w:t>2019 THIRD QUARTER GUIDANCE</w:t>
            </w:r>
          </w:p>
        </w:tc>
        <w:tc>
          <w:tcPr>
            <w:tcW w:w="2780" w:type="dxa"/>
            <w:vAlign w:val="bottom"/>
          </w:tcPr>
          <w:p>
            <w:pPr>
              <w:spacing w:after="0"/>
              <w:rPr>
                <w:sz w:val="16"/>
                <w:szCs w:val="16"/>
                <w:color w:val="auto"/>
              </w:rPr>
            </w:pPr>
          </w:p>
        </w:tc>
      </w:tr>
      <w:tr>
        <w:trPr>
          <w:trHeight w:val="663"/>
        </w:trPr>
        <w:tc>
          <w:tcPr>
            <w:tcW w:w="6140" w:type="dxa"/>
            <w:vAlign w:val="bottom"/>
          </w:tcPr>
          <w:p>
            <w:pPr>
              <w:spacing w:after="0"/>
              <w:rPr>
                <w:sz w:val="20"/>
                <w:szCs w:val="20"/>
                <w:color w:val="auto"/>
              </w:rPr>
            </w:pPr>
            <w:r>
              <w:rPr>
                <w:rFonts w:ascii="Arial" w:cs="Arial" w:eastAsia="Arial" w:hAnsi="Arial"/>
                <w:sz w:val="14"/>
                <w:szCs w:val="14"/>
                <w:b w:val="1"/>
                <w:bCs w:val="1"/>
                <w:color w:val="auto"/>
              </w:rPr>
              <w:t xml:space="preserve">Anticipated Realizations Against the Prevailing Index Prices for Q3 2019 </w:t>
            </w:r>
            <w:r>
              <w:rPr>
                <w:rFonts w:ascii="Arial" w:cs="Arial" w:eastAsia="Arial" w:hAnsi="Arial"/>
                <w:sz w:val="21"/>
                <w:szCs w:val="21"/>
                <w:b w:val="1"/>
                <w:bCs w:val="1"/>
                <w:color w:val="auto"/>
                <w:vertAlign w:val="superscript"/>
              </w:rPr>
              <w:t>(a)</w:t>
            </w:r>
          </w:p>
        </w:tc>
        <w:tc>
          <w:tcPr>
            <w:tcW w:w="2780" w:type="dxa"/>
            <w:vAlign w:val="bottom"/>
          </w:tcPr>
          <w:p>
            <w:pPr>
              <w:spacing w:after="0"/>
              <w:rPr>
                <w:sz w:val="24"/>
                <w:szCs w:val="24"/>
                <w:color w:val="auto"/>
              </w:rPr>
            </w:pPr>
          </w:p>
        </w:tc>
      </w:tr>
      <w:tr>
        <w:trPr>
          <w:trHeight w:val="174"/>
        </w:trPr>
        <w:tc>
          <w:tcPr>
            <w:tcW w:w="6140" w:type="dxa"/>
            <w:vAlign w:val="bottom"/>
          </w:tcPr>
          <w:p>
            <w:pPr>
              <w:spacing w:after="0"/>
              <w:rPr>
                <w:sz w:val="20"/>
                <w:szCs w:val="20"/>
                <w:color w:val="auto"/>
              </w:rPr>
            </w:pPr>
            <w:r>
              <w:rPr>
                <w:rFonts w:ascii="Arial" w:cs="Arial" w:eastAsia="Arial" w:hAnsi="Arial"/>
                <w:sz w:val="14"/>
                <w:szCs w:val="14"/>
                <w:color w:val="auto"/>
              </w:rPr>
              <w:t>Oil</w:t>
            </w:r>
          </w:p>
        </w:tc>
        <w:tc>
          <w:tcPr>
            <w:tcW w:w="2780" w:type="dxa"/>
            <w:vAlign w:val="bottom"/>
          </w:tcPr>
          <w:p>
            <w:pPr>
              <w:ind w:left="1060"/>
              <w:spacing w:after="0"/>
              <w:rPr>
                <w:sz w:val="20"/>
                <w:szCs w:val="20"/>
                <w:color w:val="auto"/>
              </w:rPr>
            </w:pPr>
            <w:r>
              <w:rPr>
                <w:rFonts w:ascii="Arial" w:cs="Arial" w:eastAsia="Arial" w:hAnsi="Arial"/>
                <w:sz w:val="14"/>
                <w:szCs w:val="14"/>
                <w:color w:val="auto"/>
              </w:rPr>
              <w:t>95% to 100% of Brent</w:t>
            </w:r>
          </w:p>
        </w:tc>
      </w:tr>
      <w:tr>
        <w:trPr>
          <w:trHeight w:val="270"/>
        </w:trPr>
        <w:tc>
          <w:tcPr>
            <w:tcW w:w="6140" w:type="dxa"/>
            <w:vAlign w:val="bottom"/>
          </w:tcPr>
          <w:p>
            <w:pPr>
              <w:spacing w:after="0"/>
              <w:rPr>
                <w:sz w:val="20"/>
                <w:szCs w:val="20"/>
                <w:color w:val="auto"/>
              </w:rPr>
            </w:pPr>
            <w:r>
              <w:rPr>
                <w:rFonts w:ascii="Arial" w:cs="Arial" w:eastAsia="Arial" w:hAnsi="Arial"/>
                <w:sz w:val="14"/>
                <w:szCs w:val="14"/>
                <w:color w:val="auto"/>
              </w:rPr>
              <w:t>NGLs</w:t>
            </w:r>
          </w:p>
        </w:tc>
        <w:tc>
          <w:tcPr>
            <w:tcW w:w="2780" w:type="dxa"/>
            <w:vAlign w:val="bottom"/>
          </w:tcPr>
          <w:p>
            <w:pPr>
              <w:ind w:left="1060"/>
              <w:spacing w:after="0"/>
              <w:rPr>
                <w:sz w:val="20"/>
                <w:szCs w:val="20"/>
                <w:color w:val="auto"/>
              </w:rPr>
            </w:pPr>
            <w:r>
              <w:rPr>
                <w:rFonts w:ascii="Arial" w:cs="Arial" w:eastAsia="Arial" w:hAnsi="Arial"/>
                <w:sz w:val="14"/>
                <w:szCs w:val="14"/>
                <w:color w:val="auto"/>
              </w:rPr>
              <w:t>36% to 41% of Brent</w:t>
            </w:r>
          </w:p>
        </w:tc>
      </w:tr>
      <w:tr>
        <w:trPr>
          <w:trHeight w:val="270"/>
        </w:trPr>
        <w:tc>
          <w:tcPr>
            <w:tcW w:w="6140" w:type="dxa"/>
            <w:vAlign w:val="bottom"/>
          </w:tcPr>
          <w:p>
            <w:pPr>
              <w:spacing w:after="0"/>
              <w:rPr>
                <w:sz w:val="20"/>
                <w:szCs w:val="20"/>
                <w:color w:val="auto"/>
              </w:rPr>
            </w:pPr>
            <w:r>
              <w:rPr>
                <w:rFonts w:ascii="Arial" w:cs="Arial" w:eastAsia="Arial" w:hAnsi="Arial"/>
                <w:sz w:val="14"/>
                <w:szCs w:val="14"/>
                <w:color w:val="auto"/>
              </w:rPr>
              <w:t>Natural Gas</w:t>
            </w:r>
          </w:p>
        </w:tc>
        <w:tc>
          <w:tcPr>
            <w:tcW w:w="2780" w:type="dxa"/>
            <w:vAlign w:val="bottom"/>
          </w:tcPr>
          <w:p>
            <w:pPr>
              <w:ind w:left="1060"/>
              <w:spacing w:after="0"/>
              <w:rPr>
                <w:sz w:val="20"/>
                <w:szCs w:val="20"/>
                <w:color w:val="auto"/>
              </w:rPr>
            </w:pPr>
            <w:r>
              <w:rPr>
                <w:rFonts w:ascii="Arial" w:cs="Arial" w:eastAsia="Arial" w:hAnsi="Arial"/>
                <w:sz w:val="14"/>
                <w:szCs w:val="14"/>
                <w:color w:val="auto"/>
              </w:rPr>
              <w:t>105% to 115% of NYMEX</w:t>
            </w:r>
          </w:p>
        </w:tc>
      </w:tr>
      <w:tr>
        <w:trPr>
          <w:trHeight w:val="567"/>
        </w:trPr>
        <w:tc>
          <w:tcPr>
            <w:tcW w:w="6140" w:type="dxa"/>
            <w:vAlign w:val="bottom"/>
          </w:tcPr>
          <w:p>
            <w:pPr>
              <w:spacing w:after="0"/>
              <w:rPr>
                <w:sz w:val="20"/>
                <w:szCs w:val="20"/>
                <w:color w:val="auto"/>
              </w:rPr>
            </w:pPr>
            <w:r>
              <w:rPr>
                <w:rFonts w:ascii="Arial" w:cs="Arial" w:eastAsia="Arial" w:hAnsi="Arial"/>
                <w:sz w:val="14"/>
                <w:szCs w:val="14"/>
                <w:b w:val="1"/>
                <w:bCs w:val="1"/>
                <w:color w:val="auto"/>
              </w:rPr>
              <w:t>2019 Third Quarter Production, Capital and Income Statement Guidance</w:t>
            </w:r>
          </w:p>
        </w:tc>
        <w:tc>
          <w:tcPr>
            <w:tcW w:w="2780" w:type="dxa"/>
            <w:vAlign w:val="bottom"/>
          </w:tcPr>
          <w:p>
            <w:pPr>
              <w:spacing w:after="0"/>
              <w:rPr>
                <w:sz w:val="24"/>
                <w:szCs w:val="24"/>
                <w:color w:val="auto"/>
              </w:rPr>
            </w:pPr>
          </w:p>
        </w:tc>
      </w:tr>
      <w:tr>
        <w:trPr>
          <w:trHeight w:val="270"/>
        </w:trPr>
        <w:tc>
          <w:tcPr>
            <w:tcW w:w="6140" w:type="dxa"/>
            <w:vAlign w:val="bottom"/>
          </w:tcPr>
          <w:p>
            <w:pPr>
              <w:spacing w:after="0"/>
              <w:rPr>
                <w:sz w:val="20"/>
                <w:szCs w:val="20"/>
                <w:color w:val="auto"/>
              </w:rPr>
            </w:pPr>
            <w:r>
              <w:rPr>
                <w:rFonts w:ascii="Arial" w:cs="Arial" w:eastAsia="Arial" w:hAnsi="Arial"/>
                <w:sz w:val="14"/>
                <w:szCs w:val="14"/>
                <w:color w:val="auto"/>
              </w:rPr>
              <w:t>Production (assumed Q3 average Brent price of $65/Bbl)</w:t>
            </w:r>
          </w:p>
        </w:tc>
        <w:tc>
          <w:tcPr>
            <w:tcW w:w="2780" w:type="dxa"/>
            <w:vAlign w:val="bottom"/>
          </w:tcPr>
          <w:p>
            <w:pPr>
              <w:ind w:left="1060"/>
              <w:spacing w:after="0"/>
              <w:rPr>
                <w:sz w:val="20"/>
                <w:szCs w:val="20"/>
                <w:color w:val="auto"/>
              </w:rPr>
            </w:pPr>
            <w:r>
              <w:rPr>
                <w:rFonts w:ascii="Arial" w:cs="Arial" w:eastAsia="Arial" w:hAnsi="Arial"/>
                <w:sz w:val="14"/>
                <w:szCs w:val="14"/>
                <w:color w:val="auto"/>
              </w:rPr>
              <w:t>127 to 132 MBOE per day</w:t>
            </w:r>
          </w:p>
        </w:tc>
      </w:tr>
      <w:tr>
        <w:trPr>
          <w:trHeight w:val="270"/>
        </w:trPr>
        <w:tc>
          <w:tcPr>
            <w:tcW w:w="6140" w:type="dxa"/>
            <w:vAlign w:val="bottom"/>
          </w:tcPr>
          <w:p>
            <w:pPr>
              <w:spacing w:after="0"/>
              <w:rPr>
                <w:sz w:val="20"/>
                <w:szCs w:val="20"/>
                <w:color w:val="auto"/>
              </w:rPr>
            </w:pPr>
            <w:r>
              <w:rPr>
                <w:rFonts w:ascii="Arial" w:cs="Arial" w:eastAsia="Arial" w:hAnsi="Arial"/>
                <w:sz w:val="14"/>
                <w:szCs w:val="14"/>
                <w:color w:val="auto"/>
              </w:rPr>
              <w:t>Production (assumed Q3 average Brent price of $70/Bbl)</w:t>
            </w:r>
          </w:p>
        </w:tc>
        <w:tc>
          <w:tcPr>
            <w:tcW w:w="2780" w:type="dxa"/>
            <w:vAlign w:val="bottom"/>
          </w:tcPr>
          <w:p>
            <w:pPr>
              <w:ind w:left="1060"/>
              <w:spacing w:after="0"/>
              <w:rPr>
                <w:sz w:val="20"/>
                <w:szCs w:val="20"/>
                <w:color w:val="auto"/>
              </w:rPr>
            </w:pPr>
            <w:r>
              <w:rPr>
                <w:rFonts w:ascii="Arial" w:cs="Arial" w:eastAsia="Arial" w:hAnsi="Arial"/>
                <w:sz w:val="14"/>
                <w:szCs w:val="14"/>
                <w:color w:val="auto"/>
              </w:rPr>
              <w:t>126 to 131 MBOE per day</w:t>
            </w:r>
          </w:p>
        </w:tc>
      </w:tr>
      <w:tr>
        <w:trPr>
          <w:trHeight w:val="444"/>
        </w:trPr>
        <w:tc>
          <w:tcPr>
            <w:tcW w:w="6140" w:type="dxa"/>
            <w:vAlign w:val="bottom"/>
          </w:tcPr>
          <w:p>
            <w:pPr>
              <w:spacing w:after="0"/>
              <w:rPr>
                <w:sz w:val="20"/>
                <w:szCs w:val="20"/>
                <w:color w:val="auto"/>
              </w:rPr>
            </w:pPr>
            <w:r>
              <w:rPr>
                <w:rFonts w:ascii="Arial" w:cs="Arial" w:eastAsia="Arial" w:hAnsi="Arial"/>
                <w:sz w:val="14"/>
                <w:szCs w:val="14"/>
                <w:color w:val="auto"/>
              </w:rPr>
              <w:t xml:space="preserve">Capital </w:t>
            </w:r>
            <w:r>
              <w:rPr>
                <w:rFonts w:ascii="Arial" w:cs="Arial" w:eastAsia="Arial" w:hAnsi="Arial"/>
                <w:sz w:val="17"/>
                <w:szCs w:val="17"/>
                <w:color w:val="auto"/>
                <w:vertAlign w:val="superscript"/>
              </w:rPr>
              <w:t>(b)</w:t>
            </w:r>
          </w:p>
        </w:tc>
        <w:tc>
          <w:tcPr>
            <w:tcW w:w="2780" w:type="dxa"/>
            <w:vAlign w:val="bottom"/>
          </w:tcPr>
          <w:p>
            <w:pPr>
              <w:ind w:left="1060"/>
              <w:spacing w:after="0"/>
              <w:rPr>
                <w:sz w:val="20"/>
                <w:szCs w:val="20"/>
                <w:color w:val="auto"/>
              </w:rPr>
            </w:pPr>
            <w:r>
              <w:rPr>
                <w:rFonts w:ascii="Arial" w:cs="Arial" w:eastAsia="Arial" w:hAnsi="Arial"/>
                <w:sz w:val="14"/>
                <w:szCs w:val="14"/>
                <w:color w:val="auto"/>
              </w:rPr>
              <w:t>$165 million to $195 million</w:t>
            </w:r>
          </w:p>
        </w:tc>
      </w:tr>
      <w:tr>
        <w:trPr>
          <w:trHeight w:val="340"/>
        </w:trPr>
        <w:tc>
          <w:tcPr>
            <w:tcW w:w="6140" w:type="dxa"/>
            <w:vAlign w:val="bottom"/>
          </w:tcPr>
          <w:p>
            <w:pPr>
              <w:spacing w:after="0"/>
              <w:rPr>
                <w:sz w:val="20"/>
                <w:szCs w:val="20"/>
                <w:color w:val="auto"/>
              </w:rPr>
            </w:pPr>
            <w:r>
              <w:rPr>
                <w:rFonts w:ascii="Arial" w:cs="Arial" w:eastAsia="Arial" w:hAnsi="Arial"/>
                <w:sz w:val="14"/>
                <w:szCs w:val="14"/>
                <w:color w:val="auto"/>
              </w:rPr>
              <w:t>Production costs (assumed Q3 average Brent price of $65/Bbl)</w:t>
            </w:r>
          </w:p>
        </w:tc>
        <w:tc>
          <w:tcPr>
            <w:tcW w:w="2780" w:type="dxa"/>
            <w:vAlign w:val="bottom"/>
          </w:tcPr>
          <w:p>
            <w:pPr>
              <w:ind w:left="1060"/>
              <w:spacing w:after="0"/>
              <w:rPr>
                <w:sz w:val="20"/>
                <w:szCs w:val="20"/>
                <w:color w:val="auto"/>
              </w:rPr>
            </w:pPr>
            <w:r>
              <w:rPr>
                <w:rFonts w:ascii="Arial" w:cs="Arial" w:eastAsia="Arial" w:hAnsi="Arial"/>
                <w:sz w:val="14"/>
                <w:szCs w:val="14"/>
                <w:color w:val="auto"/>
              </w:rPr>
              <w:t>$18.25 to $19.75 per BOE</w:t>
            </w:r>
          </w:p>
        </w:tc>
      </w:tr>
      <w:tr>
        <w:trPr>
          <w:trHeight w:val="270"/>
        </w:trPr>
        <w:tc>
          <w:tcPr>
            <w:tcW w:w="6140" w:type="dxa"/>
            <w:vAlign w:val="bottom"/>
          </w:tcPr>
          <w:p>
            <w:pPr>
              <w:spacing w:after="0"/>
              <w:rPr>
                <w:sz w:val="20"/>
                <w:szCs w:val="20"/>
                <w:color w:val="auto"/>
              </w:rPr>
            </w:pPr>
            <w:r>
              <w:rPr>
                <w:rFonts w:ascii="Arial" w:cs="Arial" w:eastAsia="Arial" w:hAnsi="Arial"/>
                <w:sz w:val="14"/>
                <w:szCs w:val="14"/>
                <w:color w:val="auto"/>
              </w:rPr>
              <w:t>Production costs (assumed Q3 average Brent price of $70/Bbl)</w:t>
            </w:r>
          </w:p>
        </w:tc>
        <w:tc>
          <w:tcPr>
            <w:tcW w:w="2780" w:type="dxa"/>
            <w:vAlign w:val="bottom"/>
          </w:tcPr>
          <w:p>
            <w:pPr>
              <w:ind w:left="1060"/>
              <w:spacing w:after="0"/>
              <w:rPr>
                <w:sz w:val="20"/>
                <w:szCs w:val="20"/>
                <w:color w:val="auto"/>
              </w:rPr>
            </w:pPr>
            <w:r>
              <w:rPr>
                <w:rFonts w:ascii="Arial" w:cs="Arial" w:eastAsia="Arial" w:hAnsi="Arial"/>
                <w:sz w:val="14"/>
                <w:szCs w:val="14"/>
                <w:color w:val="auto"/>
              </w:rPr>
              <w:t>$18.45 to $19.95 per BOE</w:t>
            </w:r>
          </w:p>
        </w:tc>
      </w:tr>
      <w:tr>
        <w:trPr>
          <w:trHeight w:val="444"/>
        </w:trPr>
        <w:tc>
          <w:tcPr>
            <w:tcW w:w="6140" w:type="dxa"/>
            <w:vAlign w:val="bottom"/>
          </w:tcPr>
          <w:p>
            <w:pPr>
              <w:spacing w:after="0"/>
              <w:rPr>
                <w:sz w:val="20"/>
                <w:szCs w:val="20"/>
                <w:color w:val="auto"/>
              </w:rPr>
            </w:pPr>
            <w:r>
              <w:rPr>
                <w:rFonts w:ascii="Arial" w:cs="Arial" w:eastAsia="Arial" w:hAnsi="Arial"/>
                <w:sz w:val="14"/>
                <w:szCs w:val="14"/>
                <w:color w:val="auto"/>
              </w:rPr>
              <w:t xml:space="preserve">Adjusted general and administrative expenses </w:t>
            </w:r>
            <w:r>
              <w:rPr>
                <w:rFonts w:ascii="Arial" w:cs="Arial" w:eastAsia="Arial" w:hAnsi="Arial"/>
                <w:sz w:val="17"/>
                <w:szCs w:val="17"/>
                <w:color w:val="auto"/>
                <w:vertAlign w:val="superscript"/>
              </w:rPr>
              <w:t>(c) &amp; (d)</w:t>
            </w:r>
          </w:p>
        </w:tc>
        <w:tc>
          <w:tcPr>
            <w:tcW w:w="2780" w:type="dxa"/>
            <w:vAlign w:val="bottom"/>
          </w:tcPr>
          <w:p>
            <w:pPr>
              <w:ind w:left="1060"/>
              <w:spacing w:after="0"/>
              <w:rPr>
                <w:sz w:val="20"/>
                <w:szCs w:val="20"/>
                <w:color w:val="auto"/>
              </w:rPr>
            </w:pPr>
            <w:r>
              <w:rPr>
                <w:rFonts w:ascii="Arial" w:cs="Arial" w:eastAsia="Arial" w:hAnsi="Arial"/>
                <w:sz w:val="14"/>
                <w:szCs w:val="14"/>
                <w:color w:val="auto"/>
              </w:rPr>
              <w:t>$6.30 to $6.70 per BOE</w:t>
            </w:r>
          </w:p>
        </w:tc>
      </w:tr>
      <w:tr>
        <w:trPr>
          <w:trHeight w:val="270"/>
        </w:trPr>
        <w:tc>
          <w:tcPr>
            <w:tcW w:w="6140" w:type="dxa"/>
            <w:vAlign w:val="bottom"/>
          </w:tcPr>
          <w:p>
            <w:pPr>
              <w:spacing w:after="0"/>
              <w:rPr>
                <w:sz w:val="20"/>
                <w:szCs w:val="20"/>
                <w:color w:val="auto"/>
              </w:rPr>
            </w:pPr>
            <w:r>
              <w:rPr>
                <w:rFonts w:ascii="Arial" w:cs="Arial" w:eastAsia="Arial" w:hAnsi="Arial"/>
                <w:sz w:val="14"/>
                <w:szCs w:val="14"/>
                <w:color w:val="auto"/>
              </w:rPr>
              <w:t xml:space="preserve">Depreciation, depletion and amortization </w:t>
            </w:r>
            <w:r>
              <w:rPr>
                <w:rFonts w:ascii="Arial" w:cs="Arial" w:eastAsia="Arial" w:hAnsi="Arial"/>
                <w:sz w:val="17"/>
                <w:szCs w:val="17"/>
                <w:color w:val="auto"/>
                <w:vertAlign w:val="superscript"/>
              </w:rPr>
              <w:t>(c)</w:t>
            </w:r>
          </w:p>
        </w:tc>
        <w:tc>
          <w:tcPr>
            <w:tcW w:w="2780" w:type="dxa"/>
            <w:vAlign w:val="bottom"/>
          </w:tcPr>
          <w:p>
            <w:pPr>
              <w:ind w:left="1060"/>
              <w:spacing w:after="0"/>
              <w:rPr>
                <w:sz w:val="20"/>
                <w:szCs w:val="20"/>
                <w:color w:val="auto"/>
              </w:rPr>
            </w:pPr>
            <w:r>
              <w:rPr>
                <w:rFonts w:ascii="Arial" w:cs="Arial" w:eastAsia="Arial" w:hAnsi="Arial"/>
                <w:sz w:val="14"/>
                <w:szCs w:val="14"/>
                <w:color w:val="auto"/>
              </w:rPr>
              <w:t>$9.85 to $10.15 per BOE</w:t>
            </w:r>
          </w:p>
        </w:tc>
      </w:tr>
      <w:tr>
        <w:trPr>
          <w:trHeight w:val="218"/>
        </w:trPr>
        <w:tc>
          <w:tcPr>
            <w:tcW w:w="6140" w:type="dxa"/>
            <w:vAlign w:val="bottom"/>
          </w:tcPr>
          <w:p>
            <w:pPr>
              <w:spacing w:after="0"/>
              <w:rPr>
                <w:sz w:val="20"/>
                <w:szCs w:val="20"/>
                <w:color w:val="auto"/>
              </w:rPr>
            </w:pPr>
            <w:r>
              <w:rPr>
                <w:rFonts w:ascii="Arial" w:cs="Arial" w:eastAsia="Arial" w:hAnsi="Arial"/>
                <w:sz w:val="14"/>
                <w:szCs w:val="14"/>
                <w:color w:val="auto"/>
              </w:rPr>
              <w:t>Taxes other than on income</w:t>
            </w:r>
          </w:p>
        </w:tc>
        <w:tc>
          <w:tcPr>
            <w:tcW w:w="2780" w:type="dxa"/>
            <w:vAlign w:val="bottom"/>
          </w:tcPr>
          <w:p>
            <w:pPr>
              <w:ind w:left="1060"/>
              <w:spacing w:after="0"/>
              <w:rPr>
                <w:sz w:val="20"/>
                <w:szCs w:val="20"/>
                <w:color w:val="auto"/>
              </w:rPr>
            </w:pPr>
            <w:r>
              <w:rPr>
                <w:rFonts w:ascii="Arial" w:cs="Arial" w:eastAsia="Arial" w:hAnsi="Arial"/>
                <w:sz w:val="14"/>
                <w:szCs w:val="14"/>
                <w:color w:val="auto"/>
              </w:rPr>
              <w:t>$41 million to $45 million</w:t>
            </w:r>
          </w:p>
        </w:tc>
      </w:tr>
      <w:tr>
        <w:trPr>
          <w:trHeight w:val="270"/>
        </w:trPr>
        <w:tc>
          <w:tcPr>
            <w:tcW w:w="6140" w:type="dxa"/>
            <w:vAlign w:val="bottom"/>
          </w:tcPr>
          <w:p>
            <w:pPr>
              <w:spacing w:after="0"/>
              <w:rPr>
                <w:sz w:val="20"/>
                <w:szCs w:val="20"/>
                <w:color w:val="auto"/>
              </w:rPr>
            </w:pPr>
            <w:r>
              <w:rPr>
                <w:rFonts w:ascii="Arial" w:cs="Arial" w:eastAsia="Arial" w:hAnsi="Arial"/>
                <w:sz w:val="14"/>
                <w:szCs w:val="14"/>
                <w:color w:val="auto"/>
              </w:rPr>
              <w:t>Exploration expense</w:t>
            </w:r>
          </w:p>
        </w:tc>
        <w:tc>
          <w:tcPr>
            <w:tcW w:w="2780" w:type="dxa"/>
            <w:vAlign w:val="bottom"/>
          </w:tcPr>
          <w:p>
            <w:pPr>
              <w:ind w:left="1060"/>
              <w:spacing w:after="0"/>
              <w:rPr>
                <w:sz w:val="20"/>
                <w:szCs w:val="20"/>
                <w:color w:val="auto"/>
              </w:rPr>
            </w:pPr>
            <w:r>
              <w:rPr>
                <w:rFonts w:ascii="Arial" w:cs="Arial" w:eastAsia="Arial" w:hAnsi="Arial"/>
                <w:sz w:val="14"/>
                <w:szCs w:val="14"/>
                <w:color w:val="auto"/>
              </w:rPr>
              <w:t>$3 million to $8 million</w:t>
            </w:r>
          </w:p>
        </w:tc>
      </w:tr>
      <w:tr>
        <w:trPr>
          <w:trHeight w:val="322"/>
        </w:trPr>
        <w:tc>
          <w:tcPr>
            <w:tcW w:w="6140" w:type="dxa"/>
            <w:vAlign w:val="bottom"/>
          </w:tcPr>
          <w:p>
            <w:pPr>
              <w:spacing w:after="0"/>
              <w:rPr>
                <w:sz w:val="20"/>
                <w:szCs w:val="20"/>
                <w:color w:val="auto"/>
              </w:rPr>
            </w:pPr>
            <w:r>
              <w:rPr>
                <w:rFonts w:ascii="Arial" w:cs="Arial" w:eastAsia="Arial" w:hAnsi="Arial"/>
                <w:sz w:val="14"/>
                <w:szCs w:val="14"/>
                <w:color w:val="auto"/>
              </w:rPr>
              <w:t xml:space="preserve">Interest expense </w:t>
            </w:r>
            <w:r>
              <w:rPr>
                <w:rFonts w:ascii="Arial" w:cs="Arial" w:eastAsia="Arial" w:hAnsi="Arial"/>
                <w:sz w:val="17"/>
                <w:szCs w:val="17"/>
                <w:b w:val="1"/>
                <w:bCs w:val="1"/>
                <w:color w:val="auto"/>
                <w:vertAlign w:val="superscript"/>
              </w:rPr>
              <w:t>(e)</w:t>
            </w:r>
          </w:p>
        </w:tc>
        <w:tc>
          <w:tcPr>
            <w:tcW w:w="2780" w:type="dxa"/>
            <w:vAlign w:val="bottom"/>
          </w:tcPr>
          <w:p>
            <w:pPr>
              <w:ind w:left="1060"/>
              <w:spacing w:after="0"/>
              <w:rPr>
                <w:sz w:val="20"/>
                <w:szCs w:val="20"/>
                <w:color w:val="auto"/>
              </w:rPr>
            </w:pPr>
            <w:r>
              <w:rPr>
                <w:rFonts w:ascii="Arial" w:cs="Arial" w:eastAsia="Arial" w:hAnsi="Arial"/>
                <w:sz w:val="14"/>
                <w:szCs w:val="14"/>
                <w:color w:val="auto"/>
              </w:rPr>
              <w:t>$92 million to $97 million</w:t>
            </w:r>
          </w:p>
        </w:tc>
      </w:tr>
      <w:tr>
        <w:trPr>
          <w:trHeight w:val="270"/>
        </w:trPr>
        <w:tc>
          <w:tcPr>
            <w:tcW w:w="6140" w:type="dxa"/>
            <w:vAlign w:val="bottom"/>
          </w:tcPr>
          <w:p>
            <w:pPr>
              <w:spacing w:after="0"/>
              <w:rPr>
                <w:sz w:val="20"/>
                <w:szCs w:val="20"/>
                <w:color w:val="auto"/>
              </w:rPr>
            </w:pPr>
            <w:r>
              <w:rPr>
                <w:rFonts w:ascii="Arial" w:cs="Arial" w:eastAsia="Arial" w:hAnsi="Arial"/>
                <w:sz w:val="14"/>
                <w:szCs w:val="14"/>
                <w:color w:val="auto"/>
              </w:rPr>
              <w:t xml:space="preserve">Cash interest </w:t>
            </w:r>
            <w:r>
              <w:rPr>
                <w:rFonts w:ascii="Arial" w:cs="Arial" w:eastAsia="Arial" w:hAnsi="Arial"/>
                <w:sz w:val="17"/>
                <w:szCs w:val="17"/>
                <w:b w:val="1"/>
                <w:bCs w:val="1"/>
                <w:color w:val="auto"/>
                <w:vertAlign w:val="superscript"/>
              </w:rPr>
              <w:t>(e)</w:t>
            </w:r>
          </w:p>
        </w:tc>
        <w:tc>
          <w:tcPr>
            <w:tcW w:w="2780" w:type="dxa"/>
            <w:vAlign w:val="bottom"/>
          </w:tcPr>
          <w:p>
            <w:pPr>
              <w:ind w:left="1060"/>
              <w:spacing w:after="0"/>
              <w:rPr>
                <w:sz w:val="20"/>
                <w:szCs w:val="20"/>
                <w:color w:val="auto"/>
              </w:rPr>
            </w:pPr>
            <w:r>
              <w:rPr>
                <w:rFonts w:ascii="Arial" w:cs="Arial" w:eastAsia="Arial" w:hAnsi="Arial"/>
                <w:sz w:val="14"/>
                <w:szCs w:val="14"/>
                <w:color w:val="auto"/>
              </w:rPr>
              <w:t>$70 million to $75 million</w:t>
            </w:r>
          </w:p>
        </w:tc>
      </w:tr>
      <w:tr>
        <w:trPr>
          <w:trHeight w:val="218"/>
        </w:trPr>
        <w:tc>
          <w:tcPr>
            <w:tcW w:w="6140" w:type="dxa"/>
            <w:vAlign w:val="bottom"/>
          </w:tcPr>
          <w:p>
            <w:pPr>
              <w:spacing w:after="0"/>
              <w:rPr>
                <w:sz w:val="20"/>
                <w:szCs w:val="20"/>
                <w:color w:val="auto"/>
              </w:rPr>
            </w:pPr>
            <w:r>
              <w:rPr>
                <w:rFonts w:ascii="Arial" w:cs="Arial" w:eastAsia="Arial" w:hAnsi="Arial"/>
                <w:sz w:val="14"/>
                <w:szCs w:val="14"/>
                <w:color w:val="auto"/>
              </w:rPr>
              <w:t>Effective tax rate</w:t>
            </w:r>
          </w:p>
        </w:tc>
        <w:tc>
          <w:tcPr>
            <w:tcW w:w="2780" w:type="dxa"/>
            <w:vAlign w:val="bottom"/>
          </w:tcPr>
          <w:p>
            <w:pPr>
              <w:ind w:left="1060"/>
              <w:spacing w:after="0"/>
              <w:rPr>
                <w:sz w:val="20"/>
                <w:szCs w:val="20"/>
                <w:color w:val="auto"/>
              </w:rPr>
            </w:pPr>
            <w:r>
              <w:rPr>
                <w:rFonts w:ascii="Arial" w:cs="Arial" w:eastAsia="Arial" w:hAnsi="Arial"/>
                <w:sz w:val="14"/>
                <w:szCs w:val="14"/>
                <w:color w:val="auto"/>
              </w:rPr>
              <w:t>0%</w:t>
            </w:r>
          </w:p>
        </w:tc>
      </w:tr>
      <w:tr>
        <w:trPr>
          <w:trHeight w:val="270"/>
        </w:trPr>
        <w:tc>
          <w:tcPr>
            <w:tcW w:w="6140" w:type="dxa"/>
            <w:vAlign w:val="bottom"/>
          </w:tcPr>
          <w:p>
            <w:pPr>
              <w:spacing w:after="0"/>
              <w:rPr>
                <w:sz w:val="20"/>
                <w:szCs w:val="20"/>
                <w:color w:val="auto"/>
              </w:rPr>
            </w:pPr>
            <w:r>
              <w:rPr>
                <w:rFonts w:ascii="Arial" w:cs="Arial" w:eastAsia="Arial" w:hAnsi="Arial"/>
                <w:sz w:val="14"/>
                <w:szCs w:val="14"/>
                <w:color w:val="auto"/>
              </w:rPr>
              <w:t>Cash tax rate</w:t>
            </w:r>
          </w:p>
        </w:tc>
        <w:tc>
          <w:tcPr>
            <w:tcW w:w="2780" w:type="dxa"/>
            <w:vAlign w:val="bottom"/>
          </w:tcPr>
          <w:p>
            <w:pPr>
              <w:ind w:left="1060"/>
              <w:spacing w:after="0"/>
              <w:rPr>
                <w:sz w:val="20"/>
                <w:szCs w:val="20"/>
                <w:color w:val="auto"/>
              </w:rPr>
            </w:pPr>
            <w:r>
              <w:rPr>
                <w:rFonts w:ascii="Arial" w:cs="Arial" w:eastAsia="Arial" w:hAnsi="Arial"/>
                <w:sz w:val="14"/>
                <w:szCs w:val="14"/>
                <w:color w:val="auto"/>
              </w:rPr>
              <w:t>0%</w:t>
            </w:r>
          </w:p>
        </w:tc>
      </w:tr>
      <w:tr>
        <w:trPr>
          <w:trHeight w:val="619"/>
        </w:trPr>
        <w:tc>
          <w:tcPr>
            <w:tcW w:w="6140" w:type="dxa"/>
            <w:vAlign w:val="bottom"/>
          </w:tcPr>
          <w:p>
            <w:pPr>
              <w:spacing w:after="0"/>
              <w:rPr>
                <w:sz w:val="20"/>
                <w:szCs w:val="20"/>
                <w:color w:val="auto"/>
              </w:rPr>
            </w:pPr>
            <w:r>
              <w:rPr>
                <w:rFonts w:ascii="Arial" w:cs="Arial" w:eastAsia="Arial" w:hAnsi="Arial"/>
                <w:sz w:val="14"/>
                <w:szCs w:val="14"/>
                <w:b w:val="1"/>
                <w:bCs w:val="1"/>
                <w:color w:val="auto"/>
              </w:rPr>
              <w:t xml:space="preserve">Pre-tax 2019 Third Quarter Price Sensitivities </w:t>
            </w:r>
            <w:r>
              <w:rPr>
                <w:rFonts w:ascii="Arial" w:cs="Arial" w:eastAsia="Arial" w:hAnsi="Arial"/>
                <w:sz w:val="17"/>
                <w:szCs w:val="17"/>
                <w:b w:val="1"/>
                <w:bCs w:val="1"/>
                <w:color w:val="auto"/>
                <w:vertAlign w:val="superscript"/>
              </w:rPr>
              <w:t>(f)</w:t>
            </w:r>
          </w:p>
        </w:tc>
        <w:tc>
          <w:tcPr>
            <w:tcW w:w="2780" w:type="dxa"/>
            <w:vAlign w:val="bottom"/>
          </w:tcPr>
          <w:p>
            <w:pPr>
              <w:spacing w:after="0"/>
              <w:rPr>
                <w:sz w:val="24"/>
                <w:szCs w:val="24"/>
                <w:color w:val="auto"/>
              </w:rPr>
            </w:pPr>
          </w:p>
        </w:tc>
      </w:tr>
      <w:tr>
        <w:trPr>
          <w:trHeight w:val="270"/>
        </w:trPr>
        <w:tc>
          <w:tcPr>
            <w:tcW w:w="6140" w:type="dxa"/>
            <w:vAlign w:val="bottom"/>
          </w:tcPr>
          <w:p>
            <w:pPr>
              <w:spacing w:after="0"/>
              <w:rPr>
                <w:sz w:val="20"/>
                <w:szCs w:val="20"/>
                <w:color w:val="auto"/>
              </w:rPr>
            </w:pPr>
            <w:r>
              <w:rPr>
                <w:rFonts w:ascii="Arial" w:cs="Arial" w:eastAsia="Arial" w:hAnsi="Arial"/>
                <w:sz w:val="14"/>
                <w:szCs w:val="14"/>
                <w:color w:val="auto"/>
              </w:rPr>
              <w:t xml:space="preserve">$1 change in Brent index - Oil </w:t>
            </w:r>
            <w:r>
              <w:rPr>
                <w:rFonts w:ascii="Arial" w:cs="Arial" w:eastAsia="Arial" w:hAnsi="Arial"/>
                <w:sz w:val="17"/>
                <w:szCs w:val="17"/>
                <w:color w:val="auto"/>
                <w:vertAlign w:val="superscript"/>
              </w:rPr>
              <w:t>(g)</w:t>
            </w:r>
          </w:p>
        </w:tc>
        <w:tc>
          <w:tcPr>
            <w:tcW w:w="2780" w:type="dxa"/>
            <w:vAlign w:val="bottom"/>
          </w:tcPr>
          <w:p>
            <w:pPr>
              <w:ind w:left="1060"/>
              <w:spacing w:after="0"/>
              <w:rPr>
                <w:sz w:val="20"/>
                <w:szCs w:val="20"/>
                <w:color w:val="auto"/>
              </w:rPr>
            </w:pPr>
            <w:r>
              <w:rPr>
                <w:rFonts w:ascii="Arial" w:cs="Arial" w:eastAsia="Arial" w:hAnsi="Arial"/>
                <w:sz w:val="14"/>
                <w:szCs w:val="14"/>
                <w:color w:val="auto"/>
              </w:rPr>
              <w:t>$6.6 million</w:t>
            </w:r>
          </w:p>
        </w:tc>
      </w:tr>
      <w:tr>
        <w:trPr>
          <w:trHeight w:val="218"/>
        </w:trPr>
        <w:tc>
          <w:tcPr>
            <w:tcW w:w="6140" w:type="dxa"/>
            <w:vAlign w:val="bottom"/>
          </w:tcPr>
          <w:p>
            <w:pPr>
              <w:spacing w:after="0"/>
              <w:rPr>
                <w:sz w:val="20"/>
                <w:szCs w:val="20"/>
                <w:color w:val="auto"/>
              </w:rPr>
            </w:pPr>
            <w:r>
              <w:rPr>
                <w:rFonts w:ascii="Arial" w:cs="Arial" w:eastAsia="Arial" w:hAnsi="Arial"/>
                <w:sz w:val="14"/>
                <w:szCs w:val="14"/>
                <w:color w:val="auto"/>
              </w:rPr>
              <w:t>$1 change in Brent index - NGLs</w:t>
            </w:r>
          </w:p>
        </w:tc>
        <w:tc>
          <w:tcPr>
            <w:tcW w:w="2780" w:type="dxa"/>
            <w:vAlign w:val="bottom"/>
          </w:tcPr>
          <w:p>
            <w:pPr>
              <w:ind w:left="1060"/>
              <w:spacing w:after="0"/>
              <w:rPr>
                <w:sz w:val="20"/>
                <w:szCs w:val="20"/>
                <w:color w:val="auto"/>
              </w:rPr>
            </w:pPr>
            <w:r>
              <w:rPr>
                <w:rFonts w:ascii="Arial" w:cs="Arial" w:eastAsia="Arial" w:hAnsi="Arial"/>
                <w:sz w:val="14"/>
                <w:szCs w:val="14"/>
                <w:color w:val="auto"/>
              </w:rPr>
              <w:t>$0.5 million</w:t>
            </w:r>
          </w:p>
        </w:tc>
      </w:tr>
      <w:tr>
        <w:trPr>
          <w:trHeight w:val="270"/>
        </w:trPr>
        <w:tc>
          <w:tcPr>
            <w:tcW w:w="6140" w:type="dxa"/>
            <w:vAlign w:val="bottom"/>
          </w:tcPr>
          <w:p>
            <w:pPr>
              <w:spacing w:after="0"/>
              <w:rPr>
                <w:sz w:val="20"/>
                <w:szCs w:val="20"/>
                <w:color w:val="auto"/>
              </w:rPr>
            </w:pPr>
            <w:r>
              <w:rPr>
                <w:rFonts w:ascii="Arial" w:cs="Arial" w:eastAsia="Arial" w:hAnsi="Arial"/>
                <w:sz w:val="14"/>
                <w:szCs w:val="14"/>
                <w:color w:val="auto"/>
              </w:rPr>
              <w:t>$0.50 change in NYMEX - Gas</w:t>
            </w:r>
          </w:p>
        </w:tc>
        <w:tc>
          <w:tcPr>
            <w:tcW w:w="2780" w:type="dxa"/>
            <w:vAlign w:val="bottom"/>
          </w:tcPr>
          <w:p>
            <w:pPr>
              <w:ind w:left="1060"/>
              <w:spacing w:after="0"/>
              <w:rPr>
                <w:sz w:val="20"/>
                <w:szCs w:val="20"/>
                <w:color w:val="auto"/>
              </w:rPr>
            </w:pPr>
            <w:r>
              <w:rPr>
                <w:rFonts w:ascii="Arial" w:cs="Arial" w:eastAsia="Arial" w:hAnsi="Arial"/>
                <w:sz w:val="14"/>
                <w:szCs w:val="14"/>
                <w:color w:val="auto"/>
              </w:rPr>
              <w:t>$7.0 million</w:t>
            </w:r>
          </w:p>
        </w:tc>
      </w:tr>
    </w:tbl>
    <w:p>
      <w:pPr>
        <w:spacing w:after="0" w:line="368" w:lineRule="exact"/>
        <w:rPr>
          <w:sz w:val="20"/>
          <w:szCs w:val="20"/>
          <w:color w:val="auto"/>
        </w:rPr>
      </w:pPr>
    </w:p>
    <w:p>
      <w:pPr>
        <w:ind w:left="225" w:hanging="225"/>
        <w:spacing w:after="0"/>
        <w:tabs>
          <w:tab w:leader="none" w:pos="225" w:val="left"/>
        </w:tabs>
        <w:numPr>
          <w:ilvl w:val="0"/>
          <w:numId w:val="9"/>
        </w:numPr>
        <w:rPr>
          <w:rFonts w:ascii="Arial" w:cs="Arial" w:eastAsia="Arial" w:hAnsi="Arial"/>
          <w:sz w:val="14"/>
          <w:szCs w:val="14"/>
          <w:color w:val="auto"/>
        </w:rPr>
      </w:pPr>
      <w:r>
        <w:rPr>
          <w:rFonts w:ascii="Arial" w:cs="Arial" w:eastAsia="Arial" w:hAnsi="Arial"/>
          <w:sz w:val="14"/>
          <w:szCs w:val="14"/>
          <w:color w:val="auto"/>
        </w:rPr>
        <w:t>Realizations exclude hedge effects.</w:t>
      </w:r>
    </w:p>
    <w:p>
      <w:pPr>
        <w:spacing w:after="0" w:line="109" w:lineRule="exact"/>
        <w:rPr>
          <w:rFonts w:ascii="Arial" w:cs="Arial" w:eastAsia="Arial" w:hAnsi="Arial"/>
          <w:sz w:val="14"/>
          <w:szCs w:val="14"/>
          <w:color w:val="auto"/>
        </w:rPr>
      </w:pPr>
    </w:p>
    <w:p>
      <w:pPr>
        <w:ind w:left="225" w:hanging="225"/>
        <w:spacing w:after="0"/>
        <w:tabs>
          <w:tab w:leader="none" w:pos="225" w:val="left"/>
        </w:tabs>
        <w:numPr>
          <w:ilvl w:val="0"/>
          <w:numId w:val="9"/>
        </w:numPr>
        <w:rPr>
          <w:rFonts w:ascii="Arial" w:cs="Arial" w:eastAsia="Arial" w:hAnsi="Arial"/>
          <w:sz w:val="14"/>
          <w:szCs w:val="14"/>
          <w:color w:val="auto"/>
        </w:rPr>
      </w:pPr>
      <w:r>
        <w:rPr>
          <w:rFonts w:ascii="Arial" w:cs="Arial" w:eastAsia="Arial" w:hAnsi="Arial"/>
          <w:sz w:val="14"/>
          <w:szCs w:val="14"/>
          <w:color w:val="auto"/>
        </w:rPr>
        <w:t>Capital guidance includes CRC, BSP, MIRA and Colony capital.</w:t>
      </w:r>
    </w:p>
    <w:p>
      <w:pPr>
        <w:spacing w:after="0" w:line="82" w:lineRule="exact"/>
        <w:rPr>
          <w:rFonts w:ascii="Arial" w:cs="Arial" w:eastAsia="Arial" w:hAnsi="Arial"/>
          <w:sz w:val="14"/>
          <w:szCs w:val="14"/>
          <w:color w:val="auto"/>
        </w:rPr>
      </w:pPr>
    </w:p>
    <w:p>
      <w:pPr>
        <w:ind w:left="5" w:right="580" w:hanging="5"/>
        <w:spacing w:after="0" w:line="258" w:lineRule="auto"/>
        <w:tabs>
          <w:tab w:leader="none" w:pos="213" w:val="left"/>
        </w:tabs>
        <w:numPr>
          <w:ilvl w:val="0"/>
          <w:numId w:val="9"/>
        </w:numPr>
        <w:rPr>
          <w:rFonts w:ascii="Arial" w:cs="Arial" w:eastAsia="Arial" w:hAnsi="Arial"/>
          <w:sz w:val="14"/>
          <w:szCs w:val="14"/>
          <w:color w:val="auto"/>
        </w:rPr>
      </w:pPr>
      <w:r>
        <w:rPr>
          <w:rFonts w:ascii="Arial" w:cs="Arial" w:eastAsia="Arial" w:hAnsi="Arial"/>
          <w:sz w:val="14"/>
          <w:szCs w:val="14"/>
          <w:color w:val="auto"/>
        </w:rPr>
        <w:t>Production based on assumed Q3 average Brent price of $65/Bbl. This reflects the additional reduction of close to 1,000 barrels of oil per day compared to the second quarter of 2019 due to the divestiture of 50% interest in our Lost Hills operation that closed on May 1, 2019.</w:t>
      </w:r>
    </w:p>
    <w:p>
      <w:pPr>
        <w:spacing w:after="0" w:line="32" w:lineRule="exact"/>
        <w:rPr>
          <w:rFonts w:ascii="Arial" w:cs="Arial" w:eastAsia="Arial" w:hAnsi="Arial"/>
          <w:sz w:val="14"/>
          <w:szCs w:val="14"/>
          <w:color w:val="auto"/>
        </w:rPr>
      </w:pPr>
    </w:p>
    <w:p>
      <w:pPr>
        <w:jc w:val="both"/>
        <w:ind w:left="5" w:right="220" w:hanging="5"/>
        <w:spacing w:after="0" w:line="247" w:lineRule="auto"/>
        <w:tabs>
          <w:tab w:leader="none" w:pos="221" w:val="left"/>
        </w:tabs>
        <w:numPr>
          <w:ilvl w:val="0"/>
          <w:numId w:val="9"/>
        </w:numPr>
        <w:rPr>
          <w:rFonts w:ascii="Arial" w:cs="Arial" w:eastAsia="Arial" w:hAnsi="Arial"/>
          <w:sz w:val="14"/>
          <w:szCs w:val="14"/>
          <w:color w:val="auto"/>
        </w:rPr>
      </w:pPr>
      <w:r>
        <w:rPr>
          <w:rFonts w:ascii="Arial" w:cs="Arial" w:eastAsia="Arial" w:hAnsi="Arial"/>
          <w:sz w:val="14"/>
          <w:szCs w:val="14"/>
          <w:color w:val="auto"/>
        </w:rPr>
        <w:t>A portion of our long-term incentive compensation programs are stock based but payable in cash. Accounting rules require that we adjust our obligation for all vested but unpaid cash-settled awards under these programs to the amount that would be paid using our stock price as of the end of each reporting period. Therefore, in addition to the normal pro-rata vesting expense associated with these programs, our quarterly expense could include a cumulative adjustment depending on movement in our stock price. Our stock price used to set Q3 2019 guidance was $19.68 per share.</w:t>
      </w:r>
    </w:p>
    <w:p>
      <w:pPr>
        <w:spacing w:after="0" w:line="39" w:lineRule="exact"/>
        <w:rPr>
          <w:rFonts w:ascii="Arial" w:cs="Arial" w:eastAsia="Arial" w:hAnsi="Arial"/>
          <w:sz w:val="14"/>
          <w:szCs w:val="14"/>
          <w:color w:val="auto"/>
        </w:rPr>
      </w:pPr>
    </w:p>
    <w:p>
      <w:pPr>
        <w:ind w:left="5" w:right="420" w:hanging="5"/>
        <w:spacing w:after="0" w:line="258" w:lineRule="auto"/>
        <w:tabs>
          <w:tab w:leader="none" w:pos="221" w:val="left"/>
        </w:tabs>
        <w:numPr>
          <w:ilvl w:val="0"/>
          <w:numId w:val="9"/>
        </w:numPr>
        <w:rPr>
          <w:rFonts w:ascii="Arial" w:cs="Arial" w:eastAsia="Arial" w:hAnsi="Arial"/>
          <w:sz w:val="14"/>
          <w:szCs w:val="14"/>
          <w:color w:val="auto"/>
        </w:rPr>
      </w:pPr>
      <w:r>
        <w:rPr>
          <w:rFonts w:ascii="Arial" w:cs="Arial" w:eastAsia="Arial" w:hAnsi="Arial"/>
          <w:sz w:val="14"/>
          <w:szCs w:val="14"/>
          <w:color w:val="auto"/>
        </w:rPr>
        <w:t>Interest expense includes cash interest, original issue discount and amortization of deferred financing costs as well as the deferred gain that resulted from the December 2015 debt exchange. Cash interest for the quarter is lower than interest expense due to the timing of interest payments.</w:t>
      </w:r>
    </w:p>
    <w:p>
      <w:pPr>
        <w:spacing w:after="0" w:line="59" w:lineRule="exact"/>
        <w:rPr>
          <w:rFonts w:ascii="Arial" w:cs="Arial" w:eastAsia="Arial" w:hAnsi="Arial"/>
          <w:sz w:val="14"/>
          <w:szCs w:val="14"/>
          <w:color w:val="auto"/>
        </w:rPr>
      </w:pPr>
    </w:p>
    <w:p>
      <w:pPr>
        <w:ind w:left="185" w:hanging="185"/>
        <w:spacing w:after="0"/>
        <w:tabs>
          <w:tab w:leader="none" w:pos="185" w:val="left"/>
        </w:tabs>
        <w:numPr>
          <w:ilvl w:val="0"/>
          <w:numId w:val="9"/>
        </w:numPr>
        <w:rPr>
          <w:rFonts w:ascii="Arial" w:cs="Arial" w:eastAsia="Arial" w:hAnsi="Arial"/>
          <w:sz w:val="14"/>
          <w:szCs w:val="14"/>
          <w:color w:val="auto"/>
        </w:rPr>
      </w:pPr>
      <w:r>
        <w:rPr>
          <w:rFonts w:ascii="Arial" w:cs="Arial" w:eastAsia="Arial" w:hAnsi="Arial"/>
          <w:sz w:val="14"/>
          <w:szCs w:val="14"/>
          <w:color w:val="auto"/>
        </w:rPr>
        <w:t>Due to our tax position there is no difference between the impact on our income and cash flows.</w:t>
      </w:r>
    </w:p>
    <w:p>
      <w:pPr>
        <w:spacing w:after="0" w:line="82" w:lineRule="exact"/>
        <w:rPr>
          <w:rFonts w:ascii="Arial" w:cs="Arial" w:eastAsia="Arial" w:hAnsi="Arial"/>
          <w:sz w:val="14"/>
          <w:szCs w:val="14"/>
          <w:color w:val="auto"/>
        </w:rPr>
      </w:pPr>
    </w:p>
    <w:p>
      <w:pPr>
        <w:ind w:left="5" w:right="340" w:hanging="5"/>
        <w:spacing w:after="0" w:line="258" w:lineRule="auto"/>
        <w:tabs>
          <w:tab w:leader="none" w:pos="221" w:val="left"/>
        </w:tabs>
        <w:numPr>
          <w:ilvl w:val="0"/>
          <w:numId w:val="9"/>
        </w:numPr>
        <w:rPr>
          <w:rFonts w:ascii="Arial" w:cs="Arial" w:eastAsia="Arial" w:hAnsi="Arial"/>
          <w:sz w:val="14"/>
          <w:szCs w:val="14"/>
          <w:color w:val="auto"/>
        </w:rPr>
      </w:pPr>
      <w:r>
        <w:rPr>
          <w:rFonts w:ascii="Arial" w:cs="Arial" w:eastAsia="Arial" w:hAnsi="Arial"/>
          <w:sz w:val="14"/>
          <w:szCs w:val="14"/>
          <w:color w:val="auto"/>
        </w:rPr>
        <w:t>Amount reflects the sensitivity with respect to unhedged barrels which have no limitation to upside price movements. We have downside price protection on approximately 49% of our Q3 2019 oil production, at a weighted average Brent floor price of approximately $73 per barrel below which we receive Brent plus $15 per barrel.</w:t>
      </w:r>
    </w:p>
    <w:p>
      <w:pPr>
        <w:spacing w:after="0" w:line="242"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Page 19</w:t>
      </w:r>
    </w:p>
    <w:sectPr>
      <w:pgSz w:w="11900" w:h="16838" w:orient="portrait"/>
      <w:cols w:equalWidth="0" w:num="1">
        <w:col w:w="11365"/>
      </w:cols>
      <w:pgMar w:left="275" w:top="748"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o"/>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2019-12-28T09:45:06Z</dcterms:created>
  <dcterms:modified xsi:type="dcterms:W3CDTF">2019-12-28T09:45:06Z</dcterms:modified>
</cp:coreProperties>
</file>