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437515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6"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99"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21"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99" w:lineRule="exact"/>
        <w:rPr>
          <w:sz w:val="24"/>
          <w:szCs w:val="24"/>
          <w:color w:val="auto"/>
        </w:rPr>
      </w:pPr>
    </w:p>
    <w:p>
      <w:pPr>
        <w:ind w:left="5088"/>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14" w:lineRule="exact"/>
        <w:rPr>
          <w:sz w:val="24"/>
          <w:szCs w:val="24"/>
          <w:color w:val="auto"/>
        </w:rPr>
      </w:pPr>
    </w:p>
    <w:p>
      <w:pPr>
        <w:ind w:left="4368"/>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99"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September 15, 2025</w:t>
      </w:r>
    </w:p>
    <w:p>
      <w:pPr>
        <w:spacing w:after="0" w:line="130"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6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9"/>
          <w:szCs w:val="19"/>
          <w:b w:val="1"/>
          <w:bCs w:val="1"/>
          <w:color w:val="auto"/>
        </w:rPr>
        <w:t>California Resources Corporation</w:t>
      </w:r>
    </w:p>
    <w:p>
      <w:pPr>
        <w:spacing w:after="0" w:line="3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08"/>
          </w:cols>
          <w:pgMar w:left="292" w:top="989" w:right="399" w:bottom="1440" w:gutter="0" w:footer="0" w:header="0"/>
        </w:sectPr>
      </w:pPr>
    </w:p>
    <w:p>
      <w:pPr>
        <w:spacing w:after="0" w:line="77" w:lineRule="exact"/>
        <w:rPr>
          <w:sz w:val="24"/>
          <w:szCs w:val="24"/>
          <w:color w:val="auto"/>
        </w:rPr>
      </w:pPr>
    </w:p>
    <w:p>
      <w:pPr>
        <w:ind w:left="162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19" w:lineRule="exact"/>
        <w:rPr>
          <w:sz w:val="24"/>
          <w:szCs w:val="24"/>
          <w:color w:val="auto"/>
        </w:rPr>
      </w:pPr>
    </w:p>
    <w:p>
      <w:pPr>
        <w:ind w:left="1128"/>
        <w:spacing w:after="0"/>
        <w:rPr>
          <w:sz w:val="20"/>
          <w:szCs w:val="20"/>
          <w:color w:val="auto"/>
        </w:rPr>
      </w:pPr>
      <w:r>
        <w:rPr>
          <w:rFonts w:ascii="Times New Roman" w:cs="Times New Roman" w:eastAsia="Times New Roman" w:hAnsi="Times New Roman"/>
          <w:sz w:val="12"/>
          <w:szCs w:val="12"/>
          <w:color w:val="auto"/>
        </w:rPr>
        <w:t>(State or Other Jurisdiction of</w:t>
      </w:r>
    </w:p>
    <w:p>
      <w:pPr>
        <w:ind w:left="1528"/>
        <w:spacing w:after="0"/>
        <w:rPr>
          <w:sz w:val="20"/>
          <w:szCs w:val="20"/>
          <w:color w:val="auto"/>
        </w:rPr>
      </w:pPr>
      <w:r>
        <w:rPr>
          <w:rFonts w:ascii="Times New Roman" w:cs="Times New Roman" w:eastAsia="Times New Roman" w:hAnsi="Times New Roman"/>
          <w:sz w:val="12"/>
          <w:szCs w:val="12"/>
          <w:color w:val="auto"/>
        </w:rPr>
        <w:t>Incorporation)</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2"/>
          <w:szCs w:val="12"/>
          <w:b w:val="1"/>
          <w:bCs w:val="1"/>
          <w:color w:val="auto"/>
        </w:rPr>
        <w:t>001-36478</w:t>
      </w:r>
    </w:p>
    <w:p>
      <w:pPr>
        <w:spacing w:after="0" w:line="2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color w:val="auto"/>
        </w:rPr>
        <w:t>(Commission</w:t>
      </w:r>
    </w:p>
    <w:p>
      <w:pPr>
        <w:spacing w:after="0" w:line="10"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color w:val="auto"/>
        </w:rPr>
        <w:t>File Number)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46-5670947</w:t>
      </w:r>
    </w:p>
    <w:p>
      <w:pPr>
        <w:spacing w:after="0" w:line="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2"/>
          <w:szCs w:val="12"/>
          <w:color w:val="auto"/>
        </w:rPr>
        <w:t>(IRS Employer</w:t>
      </w:r>
    </w:p>
    <w:p>
      <w:pPr>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73" w:lineRule="exact"/>
        <w:rPr>
          <w:sz w:val="24"/>
          <w:szCs w:val="24"/>
          <w:color w:val="auto"/>
        </w:rPr>
      </w:pPr>
    </w:p>
    <w:p>
      <w:pPr>
        <w:sectPr>
          <w:pgSz w:w="11900" w:h="16838" w:orient="portrait"/>
          <w:cols w:equalWidth="0" w:num="3">
            <w:col w:w="4588" w:space="720"/>
            <w:col w:w="2940" w:space="720"/>
            <w:col w:w="2240"/>
          </w:cols>
          <w:pgMar w:left="292" w:top="989" w:right="399" w:bottom="1440" w:gutter="0" w:footer="0" w:header="0"/>
          <w:type w:val="continuous"/>
        </w:sectPr>
      </w:pPr>
    </w:p>
    <w:p>
      <w:pPr>
        <w:jc w:val="center"/>
        <w:ind w:right="5572"/>
        <w:spacing w:after="0"/>
        <w:rPr>
          <w:sz w:val="20"/>
          <w:szCs w:val="20"/>
          <w:color w:val="auto"/>
        </w:rPr>
      </w:pPr>
      <w:r>
        <w:rPr>
          <w:rFonts w:ascii="Times New Roman" w:cs="Times New Roman" w:eastAsia="Times New Roman" w:hAnsi="Times New Roman"/>
          <w:sz w:val="11"/>
          <w:szCs w:val="11"/>
          <w:b w:val="1"/>
          <w:bCs w:val="1"/>
          <w:color w:val="auto"/>
        </w:rPr>
        <w:t>1 World Trade Center</w:t>
      </w:r>
    </w:p>
    <w:p>
      <w:pPr>
        <w:spacing w:after="0" w:line="32" w:lineRule="exact"/>
        <w:rPr>
          <w:sz w:val="24"/>
          <w:szCs w:val="24"/>
          <w:color w:val="auto"/>
        </w:rPr>
      </w:pPr>
    </w:p>
    <w:p>
      <w:pPr>
        <w:jc w:val="center"/>
        <w:ind w:right="5572"/>
        <w:spacing w:after="0"/>
        <w:rPr>
          <w:sz w:val="20"/>
          <w:szCs w:val="20"/>
          <w:color w:val="auto"/>
        </w:rPr>
      </w:pPr>
      <w:r>
        <w:rPr>
          <w:rFonts w:ascii="Times New Roman" w:cs="Times New Roman" w:eastAsia="Times New Roman" w:hAnsi="Times New Roman"/>
          <w:sz w:val="12"/>
          <w:szCs w:val="12"/>
          <w:b w:val="1"/>
          <w:bCs w:val="1"/>
          <w:color w:val="auto"/>
        </w:rPr>
        <w:t>Suite 1500</w:t>
      </w:r>
    </w:p>
    <w:p>
      <w:pPr>
        <w:spacing w:after="0" w:line="15" w:lineRule="exact"/>
        <w:rPr>
          <w:sz w:val="24"/>
          <w:szCs w:val="24"/>
          <w:color w:val="auto"/>
        </w:rPr>
      </w:pPr>
    </w:p>
    <w:p>
      <w:pPr>
        <w:jc w:val="center"/>
        <w:ind w:right="5572"/>
        <w:spacing w:after="0"/>
        <w:rPr>
          <w:sz w:val="20"/>
          <w:szCs w:val="20"/>
          <w:color w:val="auto"/>
        </w:rPr>
      </w:pPr>
      <w:r>
        <w:rPr>
          <w:rFonts w:ascii="Times New Roman" w:cs="Times New Roman" w:eastAsia="Times New Roman" w:hAnsi="Times New Roman"/>
          <w:sz w:val="12"/>
          <w:szCs w:val="12"/>
          <w:b w:val="1"/>
          <w:bCs w:val="1"/>
          <w:color w:val="auto"/>
        </w:rPr>
        <w:t>Long Beach</w:t>
      </w:r>
    </w:p>
    <w:p>
      <w:pPr>
        <w:sectPr>
          <w:pgSz w:w="11900" w:h="16838" w:orient="portrait"/>
          <w:cols w:equalWidth="0" w:num="1">
            <w:col w:w="11208"/>
          </w:cols>
          <w:pgMar w:left="292" w:top="989" w:right="399" w:bottom="1440" w:gutter="0" w:footer="0" w:header="0"/>
          <w:type w:val="continuous"/>
        </w:sectPr>
      </w:pPr>
    </w:p>
    <w:p>
      <w:pPr>
        <w:spacing w:after="0" w:line="15" w:lineRule="exact"/>
        <w:rPr>
          <w:sz w:val="24"/>
          <w:szCs w:val="24"/>
          <w:color w:val="auto"/>
        </w:rPr>
      </w:pPr>
    </w:p>
    <w:p>
      <w:pPr>
        <w:ind w:left="2548"/>
        <w:spacing w:after="0"/>
        <w:rPr>
          <w:sz w:val="20"/>
          <w:szCs w:val="20"/>
          <w:color w:val="auto"/>
        </w:rPr>
      </w:pPr>
      <w:r>
        <w:rPr>
          <w:rFonts w:ascii="Times New Roman" w:cs="Times New Roman" w:eastAsia="Times New Roman" w:hAnsi="Times New Roman"/>
          <w:sz w:val="12"/>
          <w:szCs w:val="12"/>
          <w:b w:val="1"/>
          <w:bCs w:val="1"/>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90831</w:t>
      </w:r>
    </w:p>
    <w:p>
      <w:pPr>
        <w:spacing w:after="0" w:line="15" w:lineRule="exact"/>
        <w:rPr>
          <w:sz w:val="24"/>
          <w:szCs w:val="24"/>
          <w:color w:val="auto"/>
        </w:rPr>
      </w:pPr>
    </w:p>
    <w:p>
      <w:pPr>
        <w:sectPr>
          <w:pgSz w:w="11900" w:h="16838" w:orient="portrait"/>
          <w:cols w:equalWidth="0" w:num="2">
            <w:col w:w="7588" w:space="720"/>
            <w:col w:w="2900"/>
          </w:cols>
          <w:pgMar w:left="292" w:top="989" w:right="399" w:bottom="1440" w:gutter="0" w:footer="0" w:header="0"/>
          <w:type w:val="continuous"/>
        </w:sectPr>
      </w:pPr>
    </w:p>
    <w:p>
      <w:pPr>
        <w:ind w:left="1848"/>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(Zip Code)</w:t>
      </w:r>
    </w:p>
    <w:p>
      <w:pPr>
        <w:spacing w:after="0" w:line="108" w:lineRule="exact"/>
        <w:rPr>
          <w:sz w:val="24"/>
          <w:szCs w:val="24"/>
          <w:color w:val="auto"/>
        </w:rPr>
      </w:pPr>
    </w:p>
    <w:p>
      <w:pPr>
        <w:sectPr>
          <w:pgSz w:w="11900" w:h="16838" w:orient="portrait"/>
          <w:cols w:equalWidth="0" w:num="2">
            <w:col w:w="7468" w:space="720"/>
            <w:col w:w="3020"/>
          </w:cols>
          <w:pgMar w:left="292" w:top="989" w:right="399" w:bottom="1440" w:gutter="0" w:footer="0" w:header="0"/>
          <w:type w:val="continuous"/>
        </w:sect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(888) 848-4754</w:t>
      </w:r>
    </w:p>
    <w:p>
      <w:pPr>
        <w:spacing w:after="0" w:line="118"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11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87"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6"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228" w:hanging="228"/>
        <w:spacing w:after="0"/>
        <w:tabs>
          <w:tab w:leader="none" w:pos="228"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96" w:lineRule="exact"/>
        <w:rPr>
          <w:rFonts w:ascii="MS PGothic" w:cs="MS PGothic" w:eastAsia="MS PGothic" w:hAnsi="MS PGothic"/>
          <w:sz w:val="13"/>
          <w:szCs w:val="13"/>
          <w:color w:val="auto"/>
        </w:rPr>
      </w:pPr>
    </w:p>
    <w:p>
      <w:pPr>
        <w:ind w:left="228" w:hanging="228"/>
        <w:spacing w:after="0"/>
        <w:tabs>
          <w:tab w:leader="none" w:pos="228"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5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83" w:lineRule="exact"/>
        <w:rPr>
          <w:sz w:val="24"/>
          <w:szCs w:val="24"/>
          <w:color w:val="auto"/>
        </w:rPr>
      </w:pPr>
    </w:p>
    <w:p>
      <w:pPr>
        <w:ind w:left="1328" w:right="1200" w:hanging="74"/>
        <w:spacing w:after="0" w:line="271" w:lineRule="auto"/>
        <w:rPr>
          <w:sz w:val="20"/>
          <w:szCs w:val="20"/>
          <w:color w:val="auto"/>
        </w:rPr>
      </w:pPr>
      <w:r>
        <w:rPr>
          <w:rFonts w:ascii="Times New Roman" w:cs="Times New Roman" w:eastAsia="Times New Roman" w:hAnsi="Times New Roman"/>
          <w:sz w:val="12"/>
          <w:szCs w:val="12"/>
          <w:b w:val="1"/>
          <w:bCs w:val="1"/>
          <w:color w:val="auto"/>
        </w:rPr>
        <w:t>Title of each class</w:t>
      </w:r>
      <w:r>
        <w:rPr>
          <w:sz w:val="20"/>
          <w:szCs w:val="20"/>
          <w:color w:val="auto"/>
        </w:rPr>
        <w:t xml:space="preserve"> </w:t>
      </w:r>
      <w:r>
        <w:rPr>
          <w:rFonts w:ascii="Times New Roman" w:cs="Times New Roman" w:eastAsia="Times New Roman" w:hAnsi="Times New Roman"/>
          <w:sz w:val="12"/>
          <w:szCs w:val="12"/>
          <w:b w:val="1"/>
          <w:bCs w:val="1"/>
          <w:color w:val="auto"/>
        </w:rPr>
        <w:t xml:space="preserve">Trading Symbol(s) Name of each exchange on which registered </w:t>
      </w:r>
      <w:r>
        <w:rPr>
          <w:rFonts w:ascii="Times New Roman" w:cs="Times New Roman" w:eastAsia="Times New Roman" w:hAnsi="Times New Roman"/>
          <w:sz w:val="12"/>
          <w:szCs w:val="12"/>
          <w:color w:val="auto"/>
        </w:rPr>
        <w:t>Common Stock CRC New York Stock Exchange</w:t>
      </w:r>
    </w:p>
    <w:p>
      <w:pPr>
        <w:spacing w:after="0" w:line="250" w:lineRule="exact"/>
        <w:rPr>
          <w:sz w:val="24"/>
          <w:szCs w:val="24"/>
          <w:color w:val="auto"/>
        </w:rPr>
      </w:pPr>
    </w:p>
    <w:p>
      <w:pPr>
        <w:ind w:left="8" w:right="240"/>
        <w:spacing w:after="0" w:line="22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left="8"/>
        <w:spacing w:after="0" w:line="16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509270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989" w:right="399" w:bottom="1440" w:gutter="0" w:footer="0" w:header="0"/>
          <w:type w:val="continuous"/>
        </w:sectPr>
      </w:pPr>
    </w:p>
    <w:bookmarkStart w:id="1" w:name="page2"/>
    <w:bookmarkEnd w:id="1"/>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On September 15, 2025, California Resources Corporation (the “Company” or “CRC”) issued a press release announcing the signing of a definitive merger agreement to combine with Berry Corporation (the “Merger Agreement”). A copy of the press release is attached as Exhibit 99.1 to this Current Report on Form 8-K and is incorporated by reference herein.</w:t>
      </w:r>
    </w:p>
    <w:p>
      <w:pPr>
        <w:spacing w:after="0" w:line="111" w:lineRule="exact"/>
        <w:rPr>
          <w:sz w:val="20"/>
          <w:szCs w:val="20"/>
          <w:color w:val="auto"/>
        </w:rPr>
      </w:pPr>
    </w:p>
    <w:p>
      <w:pPr>
        <w:ind w:left="8" w:right="200"/>
        <w:spacing w:after="0" w:line="279" w:lineRule="auto"/>
        <w:rPr>
          <w:sz w:val="20"/>
          <w:szCs w:val="20"/>
          <w:color w:val="auto"/>
        </w:rPr>
      </w:pPr>
      <w:r>
        <w:rPr>
          <w:rFonts w:ascii="Times New Roman" w:cs="Times New Roman" w:eastAsia="Times New Roman" w:hAnsi="Times New Roman"/>
          <w:sz w:val="12"/>
          <w:szCs w:val="12"/>
          <w:color w:val="auto"/>
        </w:rPr>
        <w:t>On September 15, 2025, the Company will hold an investor call relating to the transactions contemplated by the Merger Agreement. An investor presentation has been made available online in the Investor Relations section of the Company’s website for reference during such call. A copy of the investor presentation is attached as Exhibit 99.2 to this Current Report on Form 8-K and is incorporated by reference herein.</w:t>
      </w:r>
    </w:p>
    <w:p>
      <w:pPr>
        <w:spacing w:after="0" w:line="111" w:lineRule="exact"/>
        <w:rPr>
          <w:sz w:val="20"/>
          <w:szCs w:val="20"/>
          <w:color w:val="auto"/>
        </w:rPr>
      </w:pPr>
    </w:p>
    <w:p>
      <w:pPr>
        <w:jc w:val="both"/>
        <w:ind w:left="8" w:right="60"/>
        <w:spacing w:after="0" w:line="265" w:lineRule="auto"/>
        <w:rPr>
          <w:sz w:val="20"/>
          <w:szCs w:val="20"/>
          <w:color w:val="auto"/>
        </w:rPr>
      </w:pPr>
      <w:r>
        <w:rPr>
          <w:rFonts w:ascii="Times New Roman" w:cs="Times New Roman" w:eastAsia="Times New Roman" w:hAnsi="Times New Roman"/>
          <w:sz w:val="12"/>
          <w:szCs w:val="12"/>
          <w:color w:val="auto"/>
        </w:rPr>
        <w:t>The information under Item 7.01 of this Current Report on Form 8-K, including Exhibit 99.1 and 99.2, are being furnished and shall not be deemed “filed” for purposes of Section 18 of the Exchange Act, or otherwise subject to the liabilities of that section, nor shall such information be deemed incorporated by reference in any filing under the Securities Act, regardless of any general incorporation language in such filing, except as shall be expressly set forth by specific reference in such filing.</w:t>
      </w:r>
    </w:p>
    <w:p>
      <w:pPr>
        <w:spacing w:after="0" w:line="259" w:lineRule="exact"/>
        <w:rPr>
          <w:sz w:val="20"/>
          <w:szCs w:val="20"/>
          <w:color w:val="auto"/>
        </w:rPr>
      </w:pPr>
    </w:p>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280" w:lineRule="exact"/>
        <w:rPr>
          <w:sz w:val="20"/>
          <w:szCs w:val="20"/>
          <w:color w:val="auto"/>
        </w:rPr>
      </w:pPr>
    </w:p>
    <w:p>
      <w:pPr>
        <w:ind w:left="268" w:hanging="268"/>
        <w:spacing w:after="0"/>
        <w:tabs>
          <w:tab w:leader="none" w:pos="2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200" w:lineRule="exact"/>
        <w:rPr>
          <w:sz w:val="20"/>
          <w:szCs w:val="20"/>
          <w:color w:val="auto"/>
        </w:rPr>
      </w:pPr>
    </w:p>
    <w:tbl>
      <w:tblPr>
        <w:tblLayout w:type="fixed"/>
        <w:tblInd w:w="848" w:type="dxa"/>
        <w:tblCellMar>
          <w:top w:w="0" w:type="dxa"/>
          <w:left w:w="0" w:type="dxa"/>
          <w:bottom w:w="0" w:type="dxa"/>
          <w:right w:w="0" w:type="dxa"/>
        </w:tblCellMar>
      </w:tblPr>
      <w:tr>
        <w:trPr>
          <w:trHeight w:val="159"/>
        </w:trPr>
        <w:tc>
          <w:tcPr>
            <w:tcW w:w="1500" w:type="dxa"/>
            <w:vAlign w:val="bottom"/>
          </w:tcPr>
          <w:p>
            <w:pPr>
              <w:jc w:val="center"/>
              <w:ind w:right="860"/>
              <w:spacing w:after="0"/>
              <w:rPr>
                <w:sz w:val="20"/>
                <w:szCs w:val="20"/>
                <w:color w:val="auto"/>
              </w:rPr>
            </w:pPr>
            <w:r>
              <w:rPr>
                <w:rFonts w:ascii="Times New Roman" w:cs="Times New Roman" w:eastAsia="Times New Roman" w:hAnsi="Times New Roman"/>
                <w:sz w:val="12"/>
                <w:szCs w:val="12"/>
                <w:b w:val="1"/>
                <w:bCs w:val="1"/>
                <w:color w:val="auto"/>
                <w:w w:val="98"/>
              </w:rPr>
              <w:t>Exhibit No.</w:t>
            </w:r>
          </w:p>
        </w:tc>
        <w:tc>
          <w:tcPr>
            <w:tcW w:w="416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w w:val="97"/>
              </w:rPr>
              <w:t>Description</w:t>
            </w:r>
          </w:p>
        </w:tc>
      </w:tr>
      <w:tr>
        <w:trPr>
          <w:trHeight w:val="153"/>
        </w:trPr>
        <w:tc>
          <w:tcPr>
            <w:tcW w:w="1500" w:type="dxa"/>
            <w:vAlign w:val="bottom"/>
          </w:tcPr>
          <w:p>
            <w:pPr>
              <w:jc w:val="center"/>
              <w:ind w:right="860"/>
              <w:spacing w:after="0"/>
              <w:rPr>
                <w:sz w:val="20"/>
                <w:szCs w:val="20"/>
                <w:color w:val="auto"/>
              </w:rPr>
            </w:pPr>
            <w:r>
              <w:rPr>
                <w:rFonts w:ascii="Times New Roman" w:cs="Times New Roman" w:eastAsia="Times New Roman" w:hAnsi="Times New Roman"/>
                <w:sz w:val="12"/>
                <w:szCs w:val="12"/>
                <w:color w:val="auto"/>
              </w:rPr>
              <w:t>99.1</w:t>
            </w:r>
          </w:p>
        </w:tc>
        <w:tc>
          <w:tcPr>
            <w:tcW w:w="4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Press Release, dated September 15, 2025, issued by California Resources Corporation.</w:t>
            </w:r>
          </w:p>
        </w:tc>
        <w:tc>
          <w:tcPr>
            <w:tcW w:w="700" w:type="dxa"/>
            <w:vAlign w:val="bottom"/>
            <w:gridSpan w:val="2"/>
          </w:tcPr>
          <w:p>
            <w:pPr>
              <w:spacing w:after="0"/>
              <w:rPr>
                <w:sz w:val="13"/>
                <w:szCs w:val="13"/>
                <w:color w:val="auto"/>
              </w:rPr>
            </w:pPr>
          </w:p>
        </w:tc>
      </w:tr>
      <w:tr>
        <w:trPr>
          <w:trHeight w:val="160"/>
        </w:trPr>
        <w:tc>
          <w:tcPr>
            <w:tcW w:w="1500" w:type="dxa"/>
            <w:vAlign w:val="bottom"/>
          </w:tcPr>
          <w:p>
            <w:pPr>
              <w:jc w:val="center"/>
              <w:ind w:right="860"/>
              <w:spacing w:after="0"/>
              <w:rPr>
                <w:sz w:val="20"/>
                <w:szCs w:val="20"/>
                <w:color w:val="auto"/>
              </w:rPr>
            </w:pPr>
            <w:r>
              <w:rPr>
                <w:rFonts w:ascii="Times New Roman" w:cs="Times New Roman" w:eastAsia="Times New Roman" w:hAnsi="Times New Roman"/>
                <w:sz w:val="12"/>
                <w:szCs w:val="12"/>
                <w:color w:val="auto"/>
              </w:rPr>
              <w:t>99.2</w:t>
            </w:r>
          </w:p>
        </w:tc>
        <w:tc>
          <w:tcPr>
            <w:tcW w:w="4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Investor Presentation, dated September 15, 2025, issued by California Resources Corporation.</w:t>
            </w:r>
          </w:p>
        </w:tc>
        <w:tc>
          <w:tcPr>
            <w:tcW w:w="340" w:type="dxa"/>
            <w:vAlign w:val="bottom"/>
          </w:tcPr>
          <w:p>
            <w:pPr>
              <w:spacing w:after="0"/>
              <w:rPr>
                <w:sz w:val="13"/>
                <w:szCs w:val="13"/>
                <w:color w:val="auto"/>
              </w:rPr>
            </w:pPr>
          </w:p>
        </w:tc>
      </w:tr>
    </w:tbl>
    <w:p>
      <w:pPr>
        <w:spacing w:after="0" w:line="43" w:lineRule="exact"/>
        <w:rPr>
          <w:sz w:val="20"/>
          <w:szCs w:val="20"/>
          <w:color w:val="auto"/>
        </w:rPr>
      </w:pPr>
    </w:p>
    <w:p>
      <w:pPr>
        <w:ind w:left="2348" w:hanging="1298"/>
        <w:spacing w:after="0"/>
        <w:tabs>
          <w:tab w:leader="none" w:pos="234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360" w:lineRule="exact"/>
        <w:rPr>
          <w:rFonts w:ascii="Times New Roman" w:cs="Times New Roman" w:eastAsia="Times New Roman" w:hAnsi="Times New Roman"/>
          <w:sz w:val="12"/>
          <w:szCs w:val="12"/>
          <w:color w:val="auto"/>
        </w:rPr>
      </w:pPr>
    </w:p>
    <w:p>
      <w:pPr>
        <w:ind w:left="56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8"/>
          </w:cols>
          <w:pgMar w:left="292" w:top="122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63" w:lineRule="exact"/>
        <w:rPr>
          <w:sz w:val="20"/>
          <w:szCs w:val="20"/>
          <w:color w:val="auto"/>
        </w:rPr>
      </w:pPr>
    </w:p>
    <w:p>
      <w:pPr>
        <w:ind w:firstLine="432"/>
        <w:spacing w:after="0" w:line="235" w:lineRule="auto"/>
        <w:rPr>
          <w:sz w:val="20"/>
          <w:szCs w:val="20"/>
          <w:color w:val="auto"/>
        </w:rPr>
      </w:pPr>
      <w:r>
        <w:rPr>
          <w:rFonts w:ascii="Times New Roman" w:cs="Times New Roman" w:eastAsia="Times New Roman" w:hAnsi="Times New Roman"/>
          <w:sz w:val="12"/>
          <w:szCs w:val="12"/>
          <w:color w:val="auto"/>
        </w:rPr>
        <w:t>Information set forth in this communication, including financial estimates and statements as to the effects of the transaction,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transaction, future financial position and operating results of CRC and Berry Corporation (bry) (“</w:t>
      </w:r>
      <w:r>
        <w:rPr>
          <w:rFonts w:ascii="Times New Roman" w:cs="Times New Roman" w:eastAsia="Times New Roman" w:hAnsi="Times New Roman"/>
          <w:sz w:val="12"/>
          <w:szCs w:val="12"/>
          <w:u w:val="single" w:color="auto"/>
          <w:color w:val="auto"/>
        </w:rPr>
        <w:t>Berry</w:t>
      </w:r>
      <w:r>
        <w:rPr>
          <w:rFonts w:ascii="Times New Roman" w:cs="Times New Roman" w:eastAsia="Times New Roman" w:hAnsi="Times New Roman"/>
          <w:sz w:val="12"/>
          <w:szCs w:val="12"/>
          <w:color w:val="auto"/>
        </w:rPr>
        <w:t>”),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based upon the current beliefs and expectations of the management of CRC and Berry and are subject to risks and uncertainties that could cause actual results to differ materially from those expressed in, projected in, or implied by, such statements. The expectations and forecasts reflected in these forward-looking statements are inherently subject to numerous risks and uncertainties, most of which are difficult to predict and many of which are beyond CRC’s and Berry’s control. No assurance can be given that such forward-looking statements will be correct or achieved or that the assumptions are accurate or will not change over time. Particular uncertainties that could cause CRC’s and/or Berry’s actual results to be materially different from those described in the forward-looking statements include: (i) transaction costs, (ii) unknown liabilities, (iii) the risk that any announcements relating to the transaction could have adverse effects on the market price of CRC’s common stock or Berry’s common stock, (iv) the ability to successfully integrate the businesses, (v) the ability to achieve projected synergies or it may take longer than expected to achieve those synergies, (vi) risks related to financial community and rating agency perceptions of each of CRC and Berry or its respective business, operations, financial condition and the industry in which it operates, (vii) risks related to the potential impact of general economic, political and market factors on CRC or Berry or the transaction, (viii) the occurrence of any event, change or other circumstance that could give rise to the termination of the transaction, (ix) the risk that stockholders of Berry may not approve the transaction, (x) risks related to disruption of management time from ongoing business operations due to the transaction, (xi) effects of the announcement, pendency or completion of the transaction on the ability of CRC and Berry to retain customers and retain and hire key personnel and maintain relationships with their respective suppliers and customers, (xii) the risk that all necessary regulatory approvals may not be obtained or may be obtained subject to conditions that are not anticipated, (xiii) risks that any of the other closing conditions to the transaction may not be satisfied in a timely manner, (xiv) those expressed in CRC’s other forward-looking statements including those factors discussed in Part I, Item 1A – Risk Factors in CRC’s Annual Report on Form 10-K and its other SEC filings available at www.crc.com and (xv) those expressed in Berry’s other forward-looking statements including those factors discussed in Part I, Item 1A – Risk Factors in Berry’s Annual Report on Form 10-K and its other SEC filings available at https://ir.bry.com/. The foregoing list of factors is not exhaustive. You should carefully consider the foregoing factors and the other risks and uncertainties described in the “Risk Factors” section of CRC’s registration statement on Form S-4 that will contain a proxy statement/prospectus discussed below, when it becomes available, and other documents filed by Berry or CRC from time to time with the SEC.</w:t>
      </w:r>
    </w:p>
    <w:p>
      <w:pPr>
        <w:spacing w:after="0" w:line="151" w:lineRule="exact"/>
        <w:rPr>
          <w:sz w:val="20"/>
          <w:szCs w:val="20"/>
          <w:color w:val="auto"/>
        </w:rPr>
      </w:pPr>
    </w:p>
    <w:p>
      <w:pPr>
        <w:ind w:right="120" w:firstLine="432"/>
        <w:spacing w:after="0" w:line="241" w:lineRule="auto"/>
        <w:rPr>
          <w:sz w:val="20"/>
          <w:szCs w:val="20"/>
          <w:color w:val="auto"/>
        </w:rPr>
      </w:pPr>
      <w:r>
        <w:rPr>
          <w:rFonts w:ascii="Times New Roman" w:cs="Times New Roman" w:eastAsia="Times New Roman" w:hAnsi="Times New Roman"/>
          <w:sz w:val="12"/>
          <w:szCs w:val="12"/>
          <w:color w:val="auto"/>
        </w:rPr>
        <w:t>CRC and Berry each cautions you not to place undue reliance on forward-looking statements contained in this communication, which speak only as of the date hereof, and each of CRC and Berry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each of CRC and Berry has not independently verified them and do not warrant the accuracy or completeness of such third-party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63" w:lineRule="exact"/>
        <w:rPr>
          <w:sz w:val="20"/>
          <w:szCs w:val="20"/>
          <w:color w:val="auto"/>
        </w:rPr>
      </w:pPr>
    </w:p>
    <w:p>
      <w:pPr>
        <w:ind w:right="20" w:firstLine="432"/>
        <w:spacing w:after="0" w:line="237" w:lineRule="auto"/>
        <w:rPr>
          <w:sz w:val="20"/>
          <w:szCs w:val="20"/>
          <w:color w:val="auto"/>
        </w:rPr>
      </w:pPr>
      <w:r>
        <w:rPr>
          <w:rFonts w:ascii="Times New Roman" w:cs="Times New Roman" w:eastAsia="Times New Roman" w:hAnsi="Times New Roman"/>
          <w:sz w:val="12"/>
          <w:szCs w:val="12"/>
          <w:color w:val="auto"/>
        </w:rPr>
        <w:t>In connection with the transaction, CRC will file with the SEC a registration statement on Form S -4 (the “</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xml:space="preserve">”), which will include a proxy statement of Berry that also constitutes a prospectus of CRC, and any other documents in connection with the transaction. The definitive proxy statement/prospectus will be sent to the holders of common stock of Berry. </w:t>
      </w:r>
      <w:r>
        <w:rPr>
          <w:rFonts w:ascii="Times New Roman" w:cs="Times New Roman" w:eastAsia="Times New Roman" w:hAnsi="Times New Roman"/>
          <w:sz w:val="12"/>
          <w:szCs w:val="12"/>
          <w:b w:val="1"/>
          <w:bCs w:val="1"/>
          <w:color w:val="auto"/>
        </w:rPr>
        <w:t>Investors and stockholders of CRC and Berry are urged to read the proxy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statement/prospectus and any other documents filed or to be filed with the SEC in connection with the transaction when they become available, as they will contain important information about CRC, Berry, the transaction and related matters. </w:t>
      </w:r>
      <w:r>
        <w:rPr>
          <w:rFonts w:ascii="Times New Roman" w:cs="Times New Roman" w:eastAsia="Times New Roman" w:hAnsi="Times New Roman"/>
          <w:sz w:val="12"/>
          <w:szCs w:val="12"/>
          <w:color w:val="auto"/>
        </w:rPr>
        <w:t>The registration statement and proxy statement/prospectus and other documents filed by CRC or Berry with the SEC, when filed, will be available free of charge at the SEC’s website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https://www.sec.gov. Alternatively, investors and stockholders may obtain free copies of documents that are filed or will be filed with the SEC by CRC, including the registration statement and the proxy statement/prospectus, on CRC’s website at https://www.crc.com/investor-relations, and may obtain free copies of documents that are filed or will be filed with the SEC by Berry, including the proxy statement/prospectus, on Berry’s website at https://ir.bry.com/reports-resources. The information included on, or accessible through, CRC’s or Berry’s website is not incorporated by reference into this communication.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63"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12"/>
          <w:szCs w:val="12"/>
          <w:color w:val="auto"/>
        </w:rPr>
        <w:t>This communication is not intended to and shall not constitute an offer to sell or the solicitation of an offer to buy any securities, nor shall there be any sale of securities in any jurisdiction in which such offer, solicitation or sale would be unlawful prior to appropriate registration or qualification under the securities laws of such jurisdiction. No offering of securities shall be made except by means of a prospectus meeting the requirements of Section 10 of the Securities Act of 1933, as amended.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 OF PROXIES</w:t>
      </w:r>
    </w:p>
    <w:p>
      <w:pPr>
        <w:spacing w:after="0" w:line="163" w:lineRule="exact"/>
        <w:rPr>
          <w:sz w:val="20"/>
          <w:szCs w:val="20"/>
          <w:color w:val="auto"/>
        </w:rPr>
      </w:pPr>
    </w:p>
    <w:p>
      <w:pPr>
        <w:ind w:firstLine="432"/>
        <w:spacing w:after="0" w:line="236" w:lineRule="auto"/>
        <w:rPr>
          <w:sz w:val="20"/>
          <w:szCs w:val="20"/>
          <w:color w:val="auto"/>
        </w:rPr>
      </w:pPr>
      <w:r>
        <w:rPr>
          <w:rFonts w:ascii="Times New Roman" w:cs="Times New Roman" w:eastAsia="Times New Roman" w:hAnsi="Times New Roman"/>
          <w:sz w:val="12"/>
          <w:szCs w:val="12"/>
          <w:color w:val="auto"/>
        </w:rPr>
        <w:t>CRC and certain of its directors, executive officers and other employees, and Berry and its directors and certain of Berry’s executive officers and other employees, may be deemed to be participants in the solicitation of proxies from Berry’s stockholders in connection with the transaction. A description of participants’ direct or indirect interests, by security holdings or otherwise, will be included in the proxy statement/prospectus relating to the transaction when it is filed with the SEC. Information regarding CRC’s directors and executive officers is contained in the “Board of Directors and Corporate Governance,” “Compensation Discussion and Analysis,” “Executive Compensation Tables,” “Director Compensation,” “Stock Ownership Information,” and “Proposals Requiring Your Vote – Proposal 1: Election of Directors” sections of CRC’s definitive proxy statement for CRC’s 2025 Annual Meeting of Stockholders, filed with the SEC on March 19, 2025; under the heading “Directors, Executive Officers and Corporate Governance” in Part III, Item 10 of CRC’s Annual Report on Form 10-K for the fiscal year ended December 31, 2024, filed with the SEC on March 3, 2025; in Item 5.07 of CRC’s Current Report on Form 8-K filed with the SEC on May 6, 2025; in CRC’s Current Reports on Form 8-K filed with the SEC on June 23, 2025 and November 25, 2024; and under “Our Team” accessed through the “Our Business” link on CRC’s website at https://www.crc.com/our-business/our-team. Information regarding Berry’s directors and executive officers is contained in the “Proposal No. 1— Election of Directors,” “Corporate Governance,” “Executive Officers,” “Executive Compensation – Compensation Discussion and Analysis,” “Director Compensation,” “Security Ownership of Certain Beneficial Owners and Management,” and “Certain Relationships and Related Party Transactions” sections of Berry’s definitive proxy statement for its 2025 annual meeting of stockholders, filed with the SEC on April 7, 2025; under the heading “Directors, Executive Officers and Corporate Governance” in Part III, Item 10 of Berry’s Annual Report on Form 10-K for the fiscal year ended December 31, 2024, filed with the SEC on March 13, 2025; in Item 5.07 of Berry’s Current Report on Form 8-K filed with the SEC on May 22, 2025; in Berry’s Current Reports on Form 8-K filed with the SEC on January 22, 2025 and October 25, 2024; and under “Leadership” accessed through the “About” link on Berry’s website at https://bry.com/about/management/. Additional information regarding ownership of Berry’s securities by its directors and executive officers and of CRC’s securities by its directors and executive officers is included in such persons’ SEC filings on Forms 3, 4 or 5, which are available at https://www.sec.gov/cgi-bin/own-disp?action=getissuer&amp;CIK=0001705873 and https://www.sec.gov/cgi-bin/own-disp?action=getissuer&amp;CIK=0001609253, respectively. These documents and the other SEC filings described in this paragraph may be obtained free of charge as described above under the heading “Additional Information and Where to Find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80"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California Resources Corporation</w:t>
      </w:r>
    </w:p>
    <w:p>
      <w:pPr>
        <w:spacing w:after="0" w:line="200" w:lineRule="exact"/>
        <w:rPr>
          <w:sz w:val="20"/>
          <w:szCs w:val="20"/>
          <w:color w:val="auto"/>
        </w:rPr>
      </w:pPr>
    </w:p>
    <w:p>
      <w:pPr>
        <w:spacing w:after="0" w:line="35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2"/>
          <w:szCs w:val="12"/>
          <w:color w:val="auto"/>
        </w:rPr>
        <w:t>/s/ Michael L. Preston</w:t>
      </w:r>
    </w:p>
    <w:p>
      <w:pPr>
        <w:spacing w:after="0" w:line="17" w:lineRule="exact"/>
        <w:rPr>
          <w:sz w:val="20"/>
          <w:szCs w:val="20"/>
          <w:color w:val="auto"/>
        </w:rPr>
      </w:pPr>
    </w:p>
    <w:tbl>
      <w:tblPr>
        <w:tblLayout w:type="fixed"/>
        <w:tblInd w:w="4840" w:type="dxa"/>
        <w:tblCellMar>
          <w:top w:w="0" w:type="dxa"/>
          <w:left w:w="0" w:type="dxa"/>
          <w:bottom w:w="0" w:type="dxa"/>
          <w:right w:w="0" w:type="dxa"/>
        </w:tblCellMar>
      </w:tblPr>
      <w:tr>
        <w:trPr>
          <w:trHeight w:val="140"/>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58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rPr>
              <w:t>Michael L. Preston</w:t>
            </w:r>
          </w:p>
        </w:tc>
      </w:tr>
      <w:tr>
        <w:trPr>
          <w:trHeight w:val="164"/>
        </w:trPr>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58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September 15, 2025</w:t>
      </w:r>
    </w:p>
    <w:p>
      <w:pPr>
        <w:sectPr>
          <w:pgSz w:w="11900" w:h="16838" w:orient="portrait"/>
          <w:cols w:equalWidth="0" w:num="1">
            <w:col w:w="11300"/>
          </w:cols>
          <w:pgMar w:left="300" w:top="989"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5648960</wp:posOffset>
            </wp:positionH>
            <wp:positionV relativeFrom="page">
              <wp:posOffset>414655</wp:posOffset>
            </wp:positionV>
            <wp:extent cx="171450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40030"/>
                    </a:xfrm>
                    <a:prstGeom prst="rect">
                      <a:avLst/>
                    </a:prstGeom>
                    <a:noFill/>
                  </pic:spPr>
                </pic:pic>
              </a:graphicData>
            </a:graphic>
          </wp:anchor>
        </w:drawing>
        <w:t>California Resources Corporation Announces All-Stock Combination with Berry Corporation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Highly Accretive Transaction Across Key Financial Metrics Enhances CRC’s Portfolio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Combination to Create a Stronger, More Efficient Leader in California Energy</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3"/>
          <w:szCs w:val="13"/>
          <w:b w:val="1"/>
          <w:bCs w:val="1"/>
          <w:color w:val="auto"/>
        </w:rPr>
        <w:t xml:space="preserve">Long Beach, California, and Dallas, Texas, September 15, 2025 </w:t>
      </w:r>
      <w:r>
        <w:rPr>
          <w:rFonts w:ascii="Arial" w:cs="Arial" w:eastAsia="Arial" w:hAnsi="Arial"/>
          <w:sz w:val="13"/>
          <w:szCs w:val="13"/>
          <w:color w:val="auto"/>
        </w:rPr>
        <w:t>- California Resources Corporation (NYSE: CRC) (“CRC”) and Berry Corporation (NASDAQ: BRY) (“Berry”) jointly announced</w:t>
      </w:r>
      <w:r>
        <w:rPr>
          <w:rFonts w:ascii="Arial" w:cs="Arial" w:eastAsia="Arial" w:hAnsi="Arial"/>
          <w:sz w:val="13"/>
          <w:szCs w:val="13"/>
          <w:b w:val="1"/>
          <w:bCs w:val="1"/>
          <w:color w:val="auto"/>
        </w:rPr>
        <w:t xml:space="preserve"> </w:t>
      </w:r>
      <w:r>
        <w:rPr>
          <w:rFonts w:ascii="Arial" w:cs="Arial" w:eastAsia="Arial" w:hAnsi="Arial"/>
          <w:sz w:val="13"/>
          <w:szCs w:val="13"/>
          <w:color w:val="auto"/>
        </w:rPr>
        <w:t>today their entry into a definitive agreement to combine in an all-stock transaction valuing Berry at approximately $717 million, inclusive of Berry’s net debt</w:t>
      </w:r>
      <w:r>
        <w:rPr>
          <w:rFonts w:ascii="Arial" w:cs="Arial" w:eastAsia="Arial" w:hAnsi="Arial"/>
          <w:sz w:val="17"/>
          <w:szCs w:val="17"/>
          <w:color w:val="auto"/>
          <w:vertAlign w:val="superscript"/>
        </w:rPr>
        <w:t>1</w:t>
      </w:r>
      <w:r>
        <w:rPr>
          <w:rFonts w:ascii="Arial" w:cs="Arial" w:eastAsia="Arial" w:hAnsi="Arial"/>
          <w:sz w:val="13"/>
          <w:szCs w:val="13"/>
          <w:color w:val="auto"/>
        </w:rPr>
        <w:t>. Under the terms of the merger agreement, existing CRC shareholders are expected to own approximately 94% of the combined company upon closing. Supplemental slides have been posted to CRC’s website at crc.com and Berry’s website at bry.com. CRC and Berry are hosting a conference call and webcast at 9 a.m. ET (6 a.m. PT) on Monday, September 15, 2025. Conference call details can be found within this release.</w:t>
      </w:r>
    </w:p>
    <w:p>
      <w:pPr>
        <w:spacing w:after="0" w:line="143"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3"/>
          <w:szCs w:val="13"/>
          <w:i w:val="1"/>
          <w:iCs w:val="1"/>
          <w:color w:val="auto"/>
        </w:rPr>
        <w:t xml:space="preserve">“The combination of CRC and Berry will create a stronger, more efficient California energy leader. This transaction is attractively valued and immediately accretive across key financial metrics, strengthening our ability to deliver sustainable value to shareholders,” </w:t>
      </w:r>
      <w:r>
        <w:rPr>
          <w:rFonts w:ascii="Arial" w:cs="Arial" w:eastAsia="Arial" w:hAnsi="Arial"/>
          <w:sz w:val="13"/>
          <w:szCs w:val="13"/>
          <w:color w:val="auto"/>
        </w:rPr>
        <w:t>said CRC President and CEO Francisco Leon.</w:t>
      </w:r>
      <w:r>
        <w:rPr>
          <w:rFonts w:ascii="Arial" w:cs="Arial" w:eastAsia="Arial" w:hAnsi="Arial"/>
          <w:sz w:val="13"/>
          <w:szCs w:val="13"/>
          <w:i w:val="1"/>
          <w:iCs w:val="1"/>
          <w:color w:val="auto"/>
        </w:rPr>
        <w:t xml:space="preserve"> “By realizing substantial corporate and operating synergies, we expect to significantly lower costs and generate higher free cash flow. Equally important, the combined company will maintain a strong balance sheet with low leverage, a robust hedge book and liquidity— providing the flexibility to pursue new development opportunities amid an improving permitting backdrop in Kern County. We are now well positioned to unlock our deep asset inventory and drive long-term cash flow per share growth.”</w:t>
      </w:r>
    </w:p>
    <w:p>
      <w:pPr>
        <w:spacing w:after="0" w:line="136" w:lineRule="exact"/>
        <w:rPr>
          <w:sz w:val="20"/>
          <w:szCs w:val="20"/>
          <w:color w:val="auto"/>
        </w:rPr>
      </w:pPr>
    </w:p>
    <w:p>
      <w:pPr>
        <w:jc w:val="both"/>
        <w:ind w:firstLine="162"/>
        <w:spacing w:after="0" w:line="258" w:lineRule="auto"/>
        <w:rPr>
          <w:sz w:val="20"/>
          <w:szCs w:val="20"/>
          <w:color w:val="auto"/>
        </w:rPr>
      </w:pPr>
      <w:r>
        <w:rPr>
          <w:rFonts w:ascii="Arial" w:cs="Arial" w:eastAsia="Arial" w:hAnsi="Arial"/>
          <w:sz w:val="13"/>
          <w:szCs w:val="13"/>
          <w:i w:val="1"/>
          <w:iCs w:val="1"/>
          <w:color w:val="auto"/>
        </w:rPr>
        <w:t xml:space="preserve">“This announcement presents a compelling value proposition for our shareholders,” </w:t>
      </w:r>
      <w:r>
        <w:rPr>
          <w:rFonts w:ascii="Arial" w:cs="Arial" w:eastAsia="Arial" w:hAnsi="Arial"/>
          <w:sz w:val="13"/>
          <w:szCs w:val="13"/>
          <w:color w:val="auto"/>
        </w:rPr>
        <w:t>said Renée Hornbaker, Berry’s Board Chair.</w:t>
      </w:r>
      <w:r>
        <w:rPr>
          <w:rFonts w:ascii="Arial" w:cs="Arial" w:eastAsia="Arial" w:hAnsi="Arial"/>
          <w:sz w:val="13"/>
          <w:szCs w:val="13"/>
          <w:i w:val="1"/>
          <w:iCs w:val="1"/>
          <w:color w:val="auto"/>
        </w:rPr>
        <w:t xml:space="preserve"> “The industrial logic of this merger will allow Berry shareholders to benefit from the creation of a larger and more sustainable business, with an improved capital structure and significant operational synergies. Additionally, the strong tailwinds we are seeing on the regulatory front makes this the right time to consummate this merger. The combined company will ensure our communities have access to safe, reliable and affordable energy through responsible in-state production, all while delivering significant long-term value for shareholders.”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Highlights</w:t>
      </w:r>
    </w:p>
    <w:p>
      <w:pPr>
        <w:spacing w:after="0" w:line="175" w:lineRule="exact"/>
        <w:rPr>
          <w:sz w:val="20"/>
          <w:szCs w:val="20"/>
          <w:color w:val="auto"/>
        </w:rPr>
      </w:pPr>
    </w:p>
    <w:p>
      <w:pPr>
        <w:jc w:val="both"/>
        <w:ind w:left="420" w:hanging="212"/>
        <w:spacing w:after="0" w:line="221" w:lineRule="auto"/>
        <w:tabs>
          <w:tab w:leader="none" w:pos="416" w:val="left"/>
        </w:tabs>
        <w:numPr>
          <w:ilvl w:val="0"/>
          <w:numId w:val="5"/>
        </w:numPr>
        <w:rPr>
          <w:rFonts w:ascii="Arial" w:cs="Arial" w:eastAsia="Arial" w:hAnsi="Arial"/>
          <w:sz w:val="14"/>
          <w:szCs w:val="14"/>
          <w:color w:val="auto"/>
        </w:rPr>
      </w:pPr>
      <w:r>
        <w:rPr>
          <w:rFonts w:ascii="Arial" w:cs="Arial" w:eastAsia="Arial" w:hAnsi="Arial"/>
          <w:sz w:val="13"/>
          <w:szCs w:val="13"/>
          <w:b w:val="1"/>
          <w:bCs w:val="1"/>
          <w:color w:val="auto"/>
        </w:rPr>
        <w:t>Compelling fit with CRC’s low decline, conventional assets in California</w:t>
      </w:r>
      <w:r>
        <w:rPr>
          <w:rFonts w:ascii="Arial" w:cs="Arial" w:eastAsia="Arial" w:hAnsi="Arial"/>
          <w:sz w:val="13"/>
          <w:szCs w:val="13"/>
          <w:color w:val="auto"/>
        </w:rPr>
        <w:t>: The transaction will add high quality, oil-weighted, mostly conventional proved developed reserves and</w:t>
      </w:r>
      <w:r>
        <w:rPr>
          <w:rFonts w:ascii="Arial" w:cs="Arial" w:eastAsia="Arial" w:hAnsi="Arial"/>
          <w:sz w:val="13"/>
          <w:szCs w:val="13"/>
          <w:b w:val="1"/>
          <w:bCs w:val="1"/>
          <w:color w:val="auto"/>
        </w:rPr>
        <w:t xml:space="preserve"> </w:t>
      </w:r>
      <w:r>
        <w:rPr>
          <w:rFonts w:ascii="Arial" w:cs="Arial" w:eastAsia="Arial" w:hAnsi="Arial"/>
          <w:sz w:val="13"/>
          <w:szCs w:val="13"/>
          <w:color w:val="auto"/>
        </w:rPr>
        <w:t>sustainable cash flow to CRC. On a pro forma</w:t>
      </w:r>
      <w:r>
        <w:rPr>
          <w:rFonts w:ascii="Arial" w:cs="Arial" w:eastAsia="Arial" w:hAnsi="Arial"/>
          <w:sz w:val="17"/>
          <w:szCs w:val="17"/>
          <w:color w:val="auto"/>
          <w:vertAlign w:val="superscript"/>
        </w:rPr>
        <w:t>2</w:t>
      </w:r>
      <w:r>
        <w:rPr>
          <w:rFonts w:ascii="Arial" w:cs="Arial" w:eastAsia="Arial" w:hAnsi="Arial"/>
          <w:sz w:val="13"/>
          <w:szCs w:val="13"/>
          <w:color w:val="auto"/>
        </w:rPr>
        <w:t xml:space="preserve"> basis, the combined company would have produced approximately 161 thousand barrels of oil equivalent per day (Mboe/d) (81% oil) in the second quarter of 2025 and would have held approximately 652 million barrels of oil equivalent (MMboe) proved reserves</w:t>
      </w:r>
      <w:r>
        <w:rPr>
          <w:rFonts w:ascii="Arial" w:cs="Arial" w:eastAsia="Arial" w:hAnsi="Arial"/>
          <w:sz w:val="17"/>
          <w:szCs w:val="17"/>
          <w:color w:val="auto"/>
          <w:vertAlign w:val="superscript"/>
        </w:rPr>
        <w:t>3</w:t>
      </w:r>
      <w:r>
        <w:rPr>
          <w:rFonts w:ascii="Arial" w:cs="Arial" w:eastAsia="Arial" w:hAnsi="Arial"/>
          <w:sz w:val="13"/>
          <w:szCs w:val="13"/>
          <w:color w:val="auto"/>
        </w:rPr>
        <w:t xml:space="preserve"> (87% proved developed) as of year-end 2024. As a result of this combination, CRC will also own C&amp;J Well Services, a California-focused oilfield services subsidiary of Berry. This business will enhance CRC’s ability to maintain active wells, strengthen its well abandonment capabilities, help support safe and responsible operations, mitigate future cost inflation and ensure long-term operational efficiency.</w:t>
      </w:r>
    </w:p>
    <w:p>
      <w:pPr>
        <w:spacing w:after="0" w:line="1" w:lineRule="exact"/>
        <w:rPr>
          <w:rFonts w:ascii="Arial" w:cs="Arial" w:eastAsia="Arial" w:hAnsi="Arial"/>
          <w:sz w:val="14"/>
          <w:szCs w:val="14"/>
          <w:color w:val="auto"/>
        </w:rPr>
      </w:pPr>
    </w:p>
    <w:p>
      <w:pPr>
        <w:ind w:left="420" w:hanging="212"/>
        <w:spacing w:after="0" w:line="261" w:lineRule="auto"/>
        <w:tabs>
          <w:tab w:leader="none" w:pos="416" w:val="left"/>
        </w:tabs>
        <w:numPr>
          <w:ilvl w:val="0"/>
          <w:numId w:val="5"/>
        </w:numPr>
        <w:rPr>
          <w:rFonts w:ascii="Arial" w:cs="Arial" w:eastAsia="Arial" w:hAnsi="Arial"/>
          <w:sz w:val="14"/>
          <w:szCs w:val="14"/>
          <w:color w:val="auto"/>
        </w:rPr>
      </w:pPr>
      <w:r>
        <w:rPr>
          <w:rFonts w:ascii="Arial" w:cs="Arial" w:eastAsia="Arial" w:hAnsi="Arial"/>
          <w:sz w:val="13"/>
          <w:szCs w:val="13"/>
          <w:b w:val="1"/>
          <w:bCs w:val="1"/>
          <w:color w:val="auto"/>
        </w:rPr>
        <w:t>Accretive to key financial metrics</w:t>
      </w:r>
      <w:r>
        <w:rPr>
          <w:rFonts w:ascii="Arial" w:cs="Arial" w:eastAsia="Arial" w:hAnsi="Arial"/>
          <w:sz w:val="13"/>
          <w:szCs w:val="13"/>
          <w:color w:val="auto"/>
        </w:rPr>
        <w:t>: The combination is expected to be accretive to net cash provided by operating activities and free cash flow. It is priced at approximately 2.9x</w:t>
      </w:r>
      <w:r>
        <w:rPr>
          <w:rFonts w:ascii="Arial" w:cs="Arial" w:eastAsia="Arial" w:hAnsi="Arial"/>
          <w:sz w:val="13"/>
          <w:szCs w:val="13"/>
          <w:b w:val="1"/>
          <w:bCs w:val="1"/>
          <w:color w:val="auto"/>
        </w:rPr>
        <w:t xml:space="preserve"> </w:t>
      </w:r>
      <w:r>
        <w:rPr>
          <w:rFonts w:ascii="Arial" w:cs="Arial" w:eastAsia="Arial" w:hAnsi="Arial"/>
          <w:sz w:val="13"/>
          <w:szCs w:val="13"/>
          <w:color w:val="auto"/>
        </w:rPr>
        <w:t>enterprise value / 2025E</w:t>
      </w:r>
    </w:p>
    <w:p>
      <w:pPr>
        <w:sectPr>
          <w:pgSz w:w="11900" w:h="16838" w:orient="portrait"/>
          <w:cols w:equalWidth="0" w:num="1">
            <w:col w:w="11300"/>
          </w:cols>
          <w:pgMar w:left="300" w:top="1228" w:right="299" w:bottom="1440" w:gutter="0" w:footer="0" w:header="0"/>
        </w:sectPr>
      </w:pPr>
    </w:p>
    <w:bookmarkStart w:id="6" w:name="page7"/>
    <w:bookmarkEnd w:id="6"/>
    <w:p>
      <w:pPr>
        <w:ind w:left="420" w:right="20"/>
        <w:spacing w:after="0" w:line="213" w:lineRule="auto"/>
        <w:rPr>
          <w:sz w:val="20"/>
          <w:szCs w:val="20"/>
          <w:color w:val="auto"/>
        </w:rPr>
      </w:pPr>
      <w:r>
        <w:rPr>
          <w:rFonts w:ascii="Arial" w:cs="Arial" w:eastAsia="Arial" w:hAnsi="Arial"/>
          <w:sz w:val="13"/>
          <w:szCs w:val="13"/>
          <w:color w:val="auto"/>
        </w:rPr>
        <w:t>adjusted EBITDAX</w:t>
      </w:r>
      <w:r>
        <w:rPr>
          <w:rFonts w:ascii="Arial" w:cs="Arial" w:eastAsia="Arial" w:hAnsi="Arial"/>
          <w:sz w:val="17"/>
          <w:szCs w:val="17"/>
          <w:color w:val="auto"/>
          <w:vertAlign w:val="superscript"/>
        </w:rPr>
        <w:t>1,4</w:t>
      </w:r>
      <w:r>
        <w:rPr>
          <w:rFonts w:ascii="Arial" w:cs="Arial" w:eastAsia="Arial" w:hAnsi="Arial"/>
          <w:sz w:val="13"/>
          <w:szCs w:val="13"/>
          <w:color w:val="auto"/>
        </w:rPr>
        <w:t xml:space="preserve"> with projected second half 2025 per share accretion to both net cash provided by operating activities</w:t>
      </w:r>
      <w:r>
        <w:rPr>
          <w:rFonts w:ascii="Arial" w:cs="Arial" w:eastAsia="Arial" w:hAnsi="Arial"/>
          <w:sz w:val="17"/>
          <w:szCs w:val="17"/>
          <w:color w:val="auto"/>
          <w:vertAlign w:val="superscript"/>
        </w:rPr>
        <w:t>4,5</w:t>
      </w:r>
      <w:r>
        <w:rPr>
          <w:rFonts w:ascii="Arial" w:cs="Arial" w:eastAsia="Arial" w:hAnsi="Arial"/>
          <w:sz w:val="13"/>
          <w:szCs w:val="13"/>
          <w:color w:val="auto"/>
        </w:rPr>
        <w:t xml:space="preserve"> and free cash flow</w:t>
      </w:r>
      <w:r>
        <w:rPr>
          <w:rFonts w:ascii="Arial" w:cs="Arial" w:eastAsia="Arial" w:hAnsi="Arial"/>
          <w:sz w:val="17"/>
          <w:szCs w:val="17"/>
          <w:color w:val="auto"/>
          <w:vertAlign w:val="superscript"/>
        </w:rPr>
        <w:t>4,5</w:t>
      </w:r>
      <w:r>
        <w:rPr>
          <w:rFonts w:ascii="Arial" w:cs="Arial" w:eastAsia="Arial" w:hAnsi="Arial"/>
          <w:sz w:val="13"/>
          <w:szCs w:val="13"/>
          <w:color w:val="auto"/>
        </w:rPr>
        <w:t xml:space="preserve"> of more than 10% before estimated synergies.</w:t>
      </w:r>
    </w:p>
    <w:p>
      <w:pPr>
        <w:spacing w:after="0" w:line="1" w:lineRule="exact"/>
        <w:rPr>
          <w:sz w:val="20"/>
          <w:szCs w:val="20"/>
          <w:color w:val="auto"/>
        </w:rPr>
      </w:pPr>
    </w:p>
    <w:p>
      <w:pPr>
        <w:jc w:val="both"/>
        <w:ind w:left="420" w:hanging="212"/>
        <w:spacing w:after="0" w:line="227" w:lineRule="auto"/>
        <w:tabs>
          <w:tab w:leader="none" w:pos="416" w:val="left"/>
        </w:tabs>
        <w:numPr>
          <w:ilvl w:val="0"/>
          <w:numId w:val="6"/>
        </w:numPr>
        <w:rPr>
          <w:rFonts w:ascii="Arial" w:cs="Arial" w:eastAsia="Arial" w:hAnsi="Arial"/>
          <w:sz w:val="14"/>
          <w:szCs w:val="14"/>
          <w:color w:val="auto"/>
        </w:rPr>
      </w:pPr>
      <w:r>
        <w:rPr>
          <w:rFonts w:ascii="Arial" w:cs="Arial" w:eastAsia="Arial" w:hAnsi="Arial"/>
          <w:sz w:val="13"/>
          <w:szCs w:val="13"/>
          <w:b w:val="1"/>
          <w:bCs w:val="1"/>
          <w:color w:val="auto"/>
        </w:rPr>
        <w:t>Significant synergies identified, with upside potential</w:t>
      </w:r>
      <w:r>
        <w:rPr>
          <w:rFonts w:ascii="Arial" w:cs="Arial" w:eastAsia="Arial" w:hAnsi="Arial"/>
          <w:sz w:val="13"/>
          <w:szCs w:val="13"/>
          <w:color w:val="auto"/>
        </w:rPr>
        <w:t>: Within 12 months post closing, CRC expects to achieve annual synergies of $80 – 90 million, or approximately 12% of the</w:t>
      </w:r>
      <w:r>
        <w:rPr>
          <w:rFonts w:ascii="Arial" w:cs="Arial" w:eastAsia="Arial" w:hAnsi="Arial"/>
          <w:sz w:val="13"/>
          <w:szCs w:val="13"/>
          <w:b w:val="1"/>
          <w:bCs w:val="1"/>
          <w:color w:val="auto"/>
        </w:rPr>
        <w:t xml:space="preserve"> </w:t>
      </w:r>
      <w:r>
        <w:rPr>
          <w:rFonts w:ascii="Arial" w:cs="Arial" w:eastAsia="Arial" w:hAnsi="Arial"/>
          <w:sz w:val="13"/>
          <w:szCs w:val="13"/>
          <w:color w:val="auto"/>
        </w:rPr>
        <w:t>transaction value</w:t>
      </w:r>
      <w:r>
        <w:rPr>
          <w:rFonts w:ascii="Arial" w:cs="Arial" w:eastAsia="Arial" w:hAnsi="Arial"/>
          <w:sz w:val="17"/>
          <w:szCs w:val="17"/>
          <w:color w:val="auto"/>
          <w:vertAlign w:val="superscript"/>
        </w:rPr>
        <w:t>1</w:t>
      </w:r>
      <w:r>
        <w:rPr>
          <w:rFonts w:ascii="Arial" w:cs="Arial" w:eastAsia="Arial" w:hAnsi="Arial"/>
          <w:sz w:val="13"/>
          <w:szCs w:val="13"/>
          <w:color w:val="auto"/>
        </w:rPr>
        <w:t>. Approximately 50% of the run-rate synergies are expected to be implemented within six months of closing and the remaining 50% of synergies are anticipated within 12 months. Synergies are expected to primarily come through corporate synergies, lower interest costs through debt refinancing, operating improvements and supply chain efficiencies.</w:t>
      </w:r>
    </w:p>
    <w:p>
      <w:pPr>
        <w:ind w:left="420" w:hanging="212"/>
        <w:spacing w:after="0" w:line="198" w:lineRule="auto"/>
        <w:tabs>
          <w:tab w:leader="none" w:pos="416" w:val="left"/>
        </w:tabs>
        <w:numPr>
          <w:ilvl w:val="0"/>
          <w:numId w:val="6"/>
        </w:numPr>
        <w:rPr>
          <w:rFonts w:ascii="Arial" w:cs="Arial" w:eastAsia="Arial" w:hAnsi="Arial"/>
          <w:sz w:val="14"/>
          <w:szCs w:val="14"/>
          <w:color w:val="auto"/>
        </w:rPr>
      </w:pPr>
      <w:r>
        <w:rPr>
          <w:rFonts w:ascii="Arial" w:cs="Arial" w:eastAsia="Arial" w:hAnsi="Arial"/>
          <w:sz w:val="13"/>
          <w:szCs w:val="13"/>
          <w:b w:val="1"/>
          <w:bCs w:val="1"/>
          <w:color w:val="auto"/>
        </w:rPr>
        <w:t>Maintains financial strength and flexibility</w:t>
      </w:r>
      <w:r>
        <w:rPr>
          <w:rFonts w:ascii="Arial" w:cs="Arial" w:eastAsia="Arial" w:hAnsi="Arial"/>
          <w:sz w:val="13"/>
          <w:szCs w:val="13"/>
          <w:color w:val="auto"/>
        </w:rPr>
        <w:t>: Post closing, CRC will retain its strong balance sheet with estimated pro forma LTM leverage ratio</w:t>
      </w:r>
      <w:r>
        <w:rPr>
          <w:rFonts w:ascii="Arial" w:cs="Arial" w:eastAsia="Arial" w:hAnsi="Arial"/>
          <w:sz w:val="17"/>
          <w:szCs w:val="17"/>
          <w:color w:val="auto"/>
          <w:vertAlign w:val="superscript"/>
        </w:rPr>
        <w:t>4</w:t>
      </w:r>
      <w:r>
        <w:rPr>
          <w:rFonts w:ascii="Arial" w:cs="Arial" w:eastAsia="Arial" w:hAnsi="Arial"/>
          <w:sz w:val="13"/>
          <w:szCs w:val="13"/>
          <w:b w:val="1"/>
          <w:bCs w:val="1"/>
          <w:color w:val="auto"/>
        </w:rPr>
        <w:t xml:space="preserve"> </w:t>
      </w:r>
      <w:r>
        <w:rPr>
          <w:rFonts w:ascii="Arial" w:cs="Arial" w:eastAsia="Arial" w:hAnsi="Arial"/>
          <w:sz w:val="13"/>
          <w:szCs w:val="13"/>
          <w:color w:val="auto"/>
        </w:rPr>
        <w:t>of less than 1.0x and approximately 70%</w:t>
      </w:r>
      <w:r>
        <w:rPr>
          <w:rFonts w:ascii="Arial" w:cs="Arial" w:eastAsia="Arial" w:hAnsi="Arial"/>
          <w:sz w:val="13"/>
          <w:szCs w:val="13"/>
          <w:b w:val="1"/>
          <w:bCs w:val="1"/>
          <w:color w:val="auto"/>
        </w:rPr>
        <w:t xml:space="preserve"> </w:t>
      </w:r>
      <w:r>
        <w:rPr>
          <w:rFonts w:ascii="Arial" w:cs="Arial" w:eastAsia="Arial" w:hAnsi="Arial"/>
          <w:sz w:val="13"/>
          <w:szCs w:val="13"/>
          <w:color w:val="auto"/>
        </w:rPr>
        <w:t>of its expected second half 2025 pro forma oil production hedged at $68/Bbl Brent floor price</w:t>
      </w:r>
      <w:r>
        <w:rPr>
          <w:rFonts w:ascii="Arial" w:cs="Arial" w:eastAsia="Arial" w:hAnsi="Arial"/>
          <w:sz w:val="17"/>
          <w:szCs w:val="17"/>
          <w:color w:val="auto"/>
          <w:vertAlign w:val="superscript"/>
        </w:rPr>
        <w:t>6</w:t>
      </w:r>
      <w:r>
        <w:rPr>
          <w:rFonts w:ascii="Arial" w:cs="Arial" w:eastAsia="Arial" w:hAnsi="Arial"/>
          <w:sz w:val="13"/>
          <w:szCs w:val="13"/>
          <w:color w:val="auto"/>
        </w:rPr>
        <w:t>.</w:t>
      </w:r>
    </w:p>
    <w:p>
      <w:pPr>
        <w:spacing w:after="0" w:line="1" w:lineRule="exact"/>
        <w:rPr>
          <w:rFonts w:ascii="Arial" w:cs="Arial" w:eastAsia="Arial" w:hAnsi="Arial"/>
          <w:sz w:val="14"/>
          <w:szCs w:val="14"/>
          <w:color w:val="auto"/>
        </w:rPr>
      </w:pPr>
    </w:p>
    <w:p>
      <w:pPr>
        <w:jc w:val="both"/>
        <w:ind w:left="420" w:hanging="212"/>
        <w:spacing w:after="0" w:line="212" w:lineRule="auto"/>
        <w:tabs>
          <w:tab w:leader="none" w:pos="416" w:val="left"/>
        </w:tabs>
        <w:numPr>
          <w:ilvl w:val="0"/>
          <w:numId w:val="6"/>
        </w:numPr>
        <w:rPr>
          <w:rFonts w:ascii="Arial" w:cs="Arial" w:eastAsia="Arial" w:hAnsi="Arial"/>
          <w:sz w:val="14"/>
          <w:szCs w:val="14"/>
          <w:color w:val="auto"/>
        </w:rPr>
      </w:pPr>
      <w:r>
        <w:rPr>
          <w:rFonts w:ascii="Arial" w:cs="Arial" w:eastAsia="Arial" w:hAnsi="Arial"/>
          <w:sz w:val="13"/>
          <w:szCs w:val="13"/>
          <w:b w:val="1"/>
          <w:bCs w:val="1"/>
          <w:color w:val="auto"/>
        </w:rPr>
        <w:t xml:space="preserve">Uinta Basin - strategic optionality and development upside: </w:t>
      </w:r>
      <w:r>
        <w:rPr>
          <w:rFonts w:ascii="Arial" w:cs="Arial" w:eastAsia="Arial" w:hAnsi="Arial"/>
          <w:sz w:val="13"/>
          <w:szCs w:val="13"/>
          <w:color w:val="auto"/>
        </w:rPr>
        <w:t>Berry’s large, contiguous Uinta Basin position (~100,000 net acres with significant identified inventory), provides</w:t>
      </w:r>
      <w:r>
        <w:rPr>
          <w:rFonts w:ascii="Arial" w:cs="Arial" w:eastAsia="Arial" w:hAnsi="Arial"/>
          <w:sz w:val="13"/>
          <w:szCs w:val="13"/>
          <w:b w:val="1"/>
          <w:bCs w:val="1"/>
          <w:color w:val="auto"/>
        </w:rPr>
        <w:t xml:space="preserve"> </w:t>
      </w:r>
      <w:r>
        <w:rPr>
          <w:rFonts w:ascii="Arial" w:cs="Arial" w:eastAsia="Arial" w:hAnsi="Arial"/>
          <w:sz w:val="13"/>
          <w:szCs w:val="13"/>
          <w:color w:val="auto"/>
        </w:rPr>
        <w:t>additional operational and financial optionality. Second quarter 2025 production was 4.2 MBoe/d (~65% oil/liquids, 79% NRI) with a PV-10</w:t>
      </w:r>
      <w:r>
        <w:rPr>
          <w:rFonts w:ascii="Arial" w:cs="Arial" w:eastAsia="Arial" w:hAnsi="Arial"/>
          <w:sz w:val="17"/>
          <w:szCs w:val="17"/>
          <w:color w:val="auto"/>
          <w:vertAlign w:val="superscript"/>
        </w:rPr>
        <w:t>3,4</w:t>
      </w:r>
      <w:r>
        <w:rPr>
          <w:rFonts w:ascii="Arial" w:cs="Arial" w:eastAsia="Arial" w:hAnsi="Arial"/>
          <w:sz w:val="13"/>
          <w:szCs w:val="13"/>
          <w:color w:val="auto"/>
        </w:rPr>
        <w:t xml:space="preserve"> of total proved reserves of approximately $110 million as of year-end 2024. Berry recently brought online four horizontal wells which together are producing approximately 3.8 MBoe/d gross (~93% oil)</w:t>
      </w:r>
      <w:r>
        <w:rPr>
          <w:rFonts w:ascii="Arial" w:cs="Arial" w:eastAsia="Arial" w:hAnsi="Arial"/>
          <w:sz w:val="17"/>
          <w:szCs w:val="17"/>
          <w:color w:val="auto"/>
          <w:vertAlign w:val="superscript"/>
        </w:rPr>
        <w:t>7</w:t>
      </w:r>
      <w:r>
        <w:rPr>
          <w:rFonts w:ascii="Arial" w:cs="Arial" w:eastAsia="Arial" w:hAnsi="Arial"/>
          <w:sz w:val="13"/>
          <w:szCs w:val="13"/>
          <w:color w:val="auto"/>
        </w:rPr>
        <w:t xml:space="preserve"> with peak production expected in late September to early October.</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Transaction Details</w:t>
      </w:r>
    </w:p>
    <w:p>
      <w:pPr>
        <w:spacing w:after="0" w:line="166" w:lineRule="exact"/>
        <w:rPr>
          <w:sz w:val="20"/>
          <w:szCs w:val="20"/>
          <w:color w:val="auto"/>
        </w:rPr>
      </w:pPr>
    </w:p>
    <w:p>
      <w:pPr>
        <w:jc w:val="both"/>
        <w:ind w:firstLine="216"/>
        <w:spacing w:after="0" w:line="234" w:lineRule="auto"/>
        <w:rPr>
          <w:sz w:val="20"/>
          <w:szCs w:val="20"/>
          <w:color w:val="auto"/>
        </w:rPr>
      </w:pPr>
      <w:r>
        <w:rPr>
          <w:rFonts w:ascii="Arial" w:cs="Arial" w:eastAsia="Arial" w:hAnsi="Arial"/>
          <w:sz w:val="13"/>
          <w:szCs w:val="13"/>
          <w:color w:val="auto"/>
        </w:rPr>
        <w:t>Berry shareholders will receive a fixed exchange ratio of 0.0718 shares of CRC common stock for each share of BRY common stock owned, representing a premium of 15% based on the closing prices of the stocks on Friday, September 12, 2025. Based on the closing stock prices for CRC and Berry on September 12, 2025, the exchange ratio implies an enterprise value for the combined entity of more than $6 billion</w:t>
      </w:r>
      <w:r>
        <w:rPr>
          <w:rFonts w:ascii="Arial" w:cs="Arial" w:eastAsia="Arial" w:hAnsi="Arial"/>
          <w:sz w:val="17"/>
          <w:szCs w:val="17"/>
          <w:color w:val="auto"/>
          <w:vertAlign w:val="superscript"/>
        </w:rPr>
        <w:t>1</w:t>
      </w:r>
      <w:r>
        <w:rPr>
          <w:rFonts w:ascii="Arial" w:cs="Arial" w:eastAsia="Arial" w:hAnsi="Arial"/>
          <w:sz w:val="13"/>
          <w:szCs w:val="13"/>
          <w:color w:val="auto"/>
        </w:rPr>
        <w:t>. CRC plans to refinance Berry’s outstanding debt with cash on hand and borrowings under its Credit Agreement and may also pursue a new debt issuance, subject to market conditions, to further optimize its balance sheet and support long-term capital allocation priorities. CRC’s strong balance sheet and liquidity position provides flexibility regarding refinancing options and timing.</w:t>
      </w:r>
    </w:p>
    <w:p>
      <w:pPr>
        <w:spacing w:after="0" w:line="144" w:lineRule="exact"/>
        <w:rPr>
          <w:sz w:val="20"/>
          <w:szCs w:val="20"/>
          <w:color w:val="auto"/>
        </w:rPr>
      </w:pPr>
    </w:p>
    <w:p>
      <w:pPr>
        <w:jc w:val="both"/>
        <w:ind w:right="20" w:firstLine="216"/>
        <w:spacing w:after="0" w:line="264" w:lineRule="auto"/>
        <w:rPr>
          <w:sz w:val="20"/>
          <w:szCs w:val="20"/>
          <w:color w:val="auto"/>
        </w:rPr>
      </w:pPr>
      <w:r>
        <w:rPr>
          <w:rFonts w:ascii="Arial" w:cs="Arial" w:eastAsia="Arial" w:hAnsi="Arial"/>
          <w:sz w:val="13"/>
          <w:szCs w:val="13"/>
          <w:color w:val="auto"/>
        </w:rPr>
        <w:t>The transaction, which is expected to close in the first quarter of 2026, has been unanimously approved by the board of directors of both companies. Closing is subject to customary closing conditions, including receipt of required regulatory approvals and receipt of Berry shareholder approval. CRC’s executive management team will lead the combined company from its headquarters in Long Beach, California. Following the close of the transaction, CRC will provide additional financial and operating guidance for the combined company.</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Advisors</w:t>
      </w:r>
    </w:p>
    <w:p>
      <w:pPr>
        <w:spacing w:after="0" w:line="166" w:lineRule="exact"/>
        <w:rPr>
          <w:sz w:val="20"/>
          <w:szCs w:val="20"/>
          <w:color w:val="auto"/>
        </w:rPr>
      </w:pPr>
    </w:p>
    <w:p>
      <w:pPr>
        <w:jc w:val="both"/>
        <w:ind w:right="20" w:firstLine="216"/>
        <w:spacing w:after="0" w:line="284" w:lineRule="auto"/>
        <w:rPr>
          <w:sz w:val="20"/>
          <w:szCs w:val="20"/>
          <w:color w:val="auto"/>
        </w:rPr>
      </w:pPr>
      <w:r>
        <w:rPr>
          <w:rFonts w:ascii="Arial" w:cs="Arial" w:eastAsia="Arial" w:hAnsi="Arial"/>
          <w:sz w:val="13"/>
          <w:szCs w:val="13"/>
          <w:color w:val="auto"/>
        </w:rPr>
        <w:t>RBC Capital Markets and Petrie Partners are serving as financial advisors and Sullivan &amp; Cromwell LLP is serving as a legal advisor to CRC. Guggenheim Securities, LLC is serving as financial advisor and Vinson &amp; Elkins LLP is serving as legal advisor to Berry.</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Conference Call Details</w:t>
      </w:r>
    </w:p>
    <w:p>
      <w:pPr>
        <w:spacing w:after="0" w:line="166" w:lineRule="exact"/>
        <w:rPr>
          <w:sz w:val="20"/>
          <w:szCs w:val="20"/>
          <w:color w:val="auto"/>
        </w:rPr>
      </w:pPr>
    </w:p>
    <w:p>
      <w:pPr>
        <w:jc w:val="both"/>
        <w:ind w:firstLine="216"/>
        <w:spacing w:after="0" w:line="284" w:lineRule="auto"/>
        <w:rPr>
          <w:sz w:val="20"/>
          <w:szCs w:val="20"/>
          <w:color w:val="auto"/>
        </w:rPr>
      </w:pPr>
      <w:r>
        <w:rPr>
          <w:rFonts w:ascii="Arial" w:cs="Arial" w:eastAsia="Arial" w:hAnsi="Arial"/>
          <w:sz w:val="13"/>
          <w:szCs w:val="13"/>
          <w:color w:val="auto"/>
        </w:rPr>
        <w:t>A conference call and webcast is planned for 9 a.m. ET (6 a.m. PT) on Monday, September 15, 2025. To participate in the call, dial (877) 328-5505 (International calls dial +1 (412) 317-5421) or access via webcast at www.crc.com. Participants may also pre-register for the conference call at</w:t>
      </w:r>
    </w:p>
    <w:p>
      <w:pPr>
        <w:sectPr>
          <w:pgSz w:w="11900" w:h="16838" w:orient="portrait"/>
          <w:cols w:equalWidth="0" w:num="1">
            <w:col w:w="11300"/>
          </w:cols>
          <w:pgMar w:left="300" w:top="638" w:right="299" w:bottom="1440" w:gutter="0" w:footer="0" w:header="0"/>
        </w:sectPr>
      </w:pPr>
    </w:p>
    <w:bookmarkStart w:id="7" w:name="page8"/>
    <w:bookmarkEnd w:id="7"/>
    <w:p>
      <w:pPr>
        <w:ind w:left="8"/>
        <w:spacing w:after="0"/>
        <w:rPr>
          <w:sz w:val="20"/>
          <w:szCs w:val="20"/>
          <w:color w:val="auto"/>
        </w:rPr>
      </w:pPr>
      <w:r>
        <w:rPr>
          <w:rFonts w:ascii="Arial" w:cs="Arial" w:eastAsia="Arial" w:hAnsi="Arial"/>
          <w:sz w:val="13"/>
          <w:szCs w:val="13"/>
          <w:color w:val="auto"/>
        </w:rPr>
        <w:t>https://dpregister.com/sreg/10202940/ffe8c57248. A digital replay of the conference call will be available for approximately 90 days.</w:t>
      </w:r>
    </w:p>
    <w:p>
      <w:pPr>
        <w:spacing w:after="0" w:line="166" w:lineRule="exact"/>
        <w:rPr>
          <w:sz w:val="20"/>
          <w:szCs w:val="20"/>
          <w:color w:val="auto"/>
        </w:rPr>
      </w:pPr>
    </w:p>
    <w:p>
      <w:pPr>
        <w:ind w:left="8" w:right="20" w:hanging="8"/>
        <w:spacing w:after="0" w:line="243" w:lineRule="auto"/>
        <w:tabs>
          <w:tab w:leader="none" w:pos="60" w:val="left"/>
        </w:tabs>
        <w:numPr>
          <w:ilvl w:val="0"/>
          <w:numId w:val="7"/>
        </w:numPr>
        <w:rPr>
          <w:rFonts w:ascii="Arial" w:cs="Arial" w:eastAsia="Arial" w:hAnsi="Arial"/>
          <w:sz w:val="6"/>
          <w:szCs w:val="6"/>
          <w:color w:val="auto"/>
        </w:rPr>
      </w:pPr>
      <w:r>
        <w:rPr>
          <w:rFonts w:ascii="Arial" w:cs="Arial" w:eastAsia="Arial" w:hAnsi="Arial"/>
          <w:sz w:val="10"/>
          <w:szCs w:val="10"/>
          <w:color w:val="auto"/>
        </w:rPr>
        <w:t>Berry’s transaction value was calculated as $717 million assuming 5.8 million of shares of CRC common stock are issued as consideration in the combination based on a per CRC share price of $53.01 as of September 12, 2025, plus $408 million of assumed net debt as of June 30, 2025. Based on internal management expectations and consensus estimates from FactSet as of September 12, 2025.</w:t>
      </w:r>
    </w:p>
    <w:p>
      <w:pPr>
        <w:jc w:val="both"/>
        <w:ind w:left="8"/>
        <w:spacing w:after="0" w:line="217" w:lineRule="auto"/>
        <w:rPr>
          <w:rFonts w:ascii="Arial" w:cs="Arial" w:eastAsia="Arial" w:hAnsi="Arial"/>
          <w:sz w:val="6"/>
          <w:szCs w:val="6"/>
          <w:color w:val="auto"/>
        </w:rPr>
      </w:pPr>
      <w:r>
        <w:rPr>
          <w:rFonts w:ascii="Arial" w:cs="Arial" w:eastAsia="Arial" w:hAnsi="Arial"/>
          <w:sz w:val="12"/>
          <w:szCs w:val="12"/>
          <w:color w:val="auto"/>
          <w:vertAlign w:val="superscript"/>
        </w:rPr>
        <w:t>2</w:t>
      </w:r>
      <w:r>
        <w:rPr>
          <w:rFonts w:ascii="Arial" w:cs="Arial" w:eastAsia="Arial" w:hAnsi="Arial"/>
          <w:sz w:val="10"/>
          <w:szCs w:val="10"/>
          <w:color w:val="auto"/>
        </w:rPr>
        <w:t xml:space="preserve"> Pro forma 2Q25 production is based on 2Q25 actual production for CRC and Berry from public filings. Unless otherwise noted, pro forma 2025 estimates are based on management estimates and/or FactSet consensus estimates as of September 12, 2025, and exclude estimated annualized synergies. All future quarterly dividends and share repurchases are subject to changes in commodity prices, restrictions under credit agreement covenants and the approval of CRC's Board (in the case of CRC) and Berry’s Board (in the case of Berry). Pro forma 2025 estimates are forward-looking statements and actual results could differ materially.</w:t>
      </w:r>
    </w:p>
    <w:p>
      <w:pPr>
        <w:ind w:left="8"/>
        <w:spacing w:after="0" w:line="187" w:lineRule="auto"/>
        <w:rPr>
          <w:rFonts w:ascii="Arial" w:cs="Arial" w:eastAsia="Arial" w:hAnsi="Arial"/>
          <w:sz w:val="6"/>
          <w:szCs w:val="6"/>
          <w:color w:val="auto"/>
        </w:rPr>
      </w:pPr>
      <w:r>
        <w:rPr>
          <w:rFonts w:ascii="Arial" w:cs="Arial" w:eastAsia="Arial" w:hAnsi="Arial"/>
          <w:sz w:val="12"/>
          <w:szCs w:val="12"/>
          <w:color w:val="auto"/>
          <w:vertAlign w:val="superscript"/>
        </w:rPr>
        <w:t>3</w:t>
      </w:r>
      <w:r>
        <w:rPr>
          <w:rFonts w:ascii="Arial" w:cs="Arial" w:eastAsia="Arial" w:hAnsi="Arial"/>
          <w:sz w:val="10"/>
          <w:szCs w:val="10"/>
          <w:color w:val="auto"/>
        </w:rPr>
        <w:t xml:space="preserve"> Reserves determined as of December 31, 2024 and use 2024 SEC Prices of $80.42 per barrel for oil and $2.13 per MMBtu for natural gas.</w:t>
      </w:r>
    </w:p>
    <w:p>
      <w:pPr>
        <w:jc w:val="both"/>
        <w:ind w:left="8"/>
        <w:spacing w:after="0" w:line="219" w:lineRule="auto"/>
        <w:rPr>
          <w:rFonts w:ascii="Arial" w:cs="Arial" w:eastAsia="Arial" w:hAnsi="Arial"/>
          <w:sz w:val="6"/>
          <w:szCs w:val="6"/>
          <w:color w:val="auto"/>
        </w:rPr>
      </w:pPr>
      <w:r>
        <w:rPr>
          <w:rFonts w:ascii="Arial" w:cs="Arial" w:eastAsia="Arial" w:hAnsi="Arial"/>
          <w:sz w:val="12"/>
          <w:szCs w:val="12"/>
          <w:color w:val="auto"/>
          <w:vertAlign w:val="superscript"/>
        </w:rPr>
        <w:t>4</w:t>
      </w:r>
      <w:r>
        <w:rPr>
          <w:rFonts w:ascii="Arial" w:cs="Arial" w:eastAsia="Arial" w:hAnsi="Arial"/>
          <w:sz w:val="10"/>
          <w:szCs w:val="10"/>
          <w:color w:val="auto"/>
        </w:rPr>
        <w:t xml:space="preserve"> Represents a non-GAAP measure. For all historical non-GAAP financial measures please see the Earning Releases or Investor Relations pages at www.crc.com and www.bry.com for a reconciliation to the nearest GAAP equivalent and other additional information. CRC and Berry are unable to provide a reconciliation of non-GAAP financial measures contained in this release that are presented on a forward-looking basis for the described transaction because CRC and Berry are unable, without unreasonable efforts, to estimate and quantify the most directly comparable GAAP components, largely because predicting future operating results is subject to many factors outside of CRC's and Berry’s control and not readily predictable and that are not part of CRC's and Berry’s routine operating activities, including various economic, regulatory, political and legal factors.</w:t>
      </w:r>
    </w:p>
    <w:p>
      <w:pPr>
        <w:jc w:val="both"/>
        <w:ind w:left="8"/>
        <w:spacing w:after="0" w:line="217" w:lineRule="auto"/>
        <w:rPr>
          <w:rFonts w:ascii="Arial" w:cs="Arial" w:eastAsia="Arial" w:hAnsi="Arial"/>
          <w:sz w:val="6"/>
          <w:szCs w:val="6"/>
          <w:color w:val="auto"/>
        </w:rPr>
      </w:pPr>
      <w:r>
        <w:rPr>
          <w:rFonts w:ascii="Arial" w:cs="Arial" w:eastAsia="Arial" w:hAnsi="Arial"/>
          <w:sz w:val="12"/>
          <w:szCs w:val="12"/>
          <w:color w:val="auto"/>
          <w:vertAlign w:val="superscript"/>
        </w:rPr>
        <w:t>5</w:t>
      </w:r>
      <w:r>
        <w:rPr>
          <w:rFonts w:ascii="Arial" w:cs="Arial" w:eastAsia="Arial" w:hAnsi="Arial"/>
          <w:sz w:val="10"/>
          <w:szCs w:val="10"/>
          <w:color w:val="auto"/>
        </w:rPr>
        <w:t xml:space="preserve"> Based on internal management expectations and consensus estimates from FactSet as of September 12, 2025. Net cash provided by operating activities and free cash flow are both before net changes in operating assets and liabilities and exclude targeted synergies, transaction costs, debt issuance costs and other expenses related to the transaction. Assumes 85.3 million fully-diluted shares outstanding for CRC standalone and 91.1 million fully-diluted shares outstanding for pro forma. Fully-diluted shares has been calculated as if all outstanding equity awards were accelerated upon a change in control and settled in shares.</w:t>
      </w:r>
    </w:p>
    <w:p>
      <w:pPr>
        <w:jc w:val="both"/>
        <w:ind w:left="8" w:right="6500"/>
        <w:spacing w:after="0" w:line="317" w:lineRule="auto"/>
        <w:rPr>
          <w:rFonts w:ascii="Arial" w:cs="Arial" w:eastAsia="Arial" w:hAnsi="Arial"/>
          <w:sz w:val="6"/>
          <w:szCs w:val="6"/>
          <w:color w:val="auto"/>
        </w:rPr>
      </w:pPr>
      <w:r>
        <w:rPr>
          <w:rFonts w:ascii="Arial" w:cs="Arial" w:eastAsia="Arial" w:hAnsi="Arial"/>
          <w:sz w:val="11"/>
          <w:szCs w:val="11"/>
          <w:color w:val="auto"/>
          <w:vertAlign w:val="superscript"/>
        </w:rPr>
        <w:t>6</w:t>
      </w:r>
      <w:r>
        <w:rPr>
          <w:rFonts w:ascii="Arial" w:cs="Arial" w:eastAsia="Arial" w:hAnsi="Arial"/>
          <w:sz w:val="9"/>
          <w:szCs w:val="9"/>
          <w:color w:val="auto"/>
        </w:rPr>
        <w:t xml:space="preserve"> Based on internal management expectations and consensus estimates from FactSet as of September 12, 2025. </w:t>
      </w:r>
      <w:r>
        <w:rPr>
          <w:rFonts w:ascii="Arial" w:cs="Arial" w:eastAsia="Arial" w:hAnsi="Arial"/>
          <w:sz w:val="11"/>
          <w:szCs w:val="11"/>
          <w:color w:val="auto"/>
          <w:vertAlign w:val="superscript"/>
        </w:rPr>
        <w:t>7</w:t>
      </w:r>
      <w:r>
        <w:rPr>
          <w:rFonts w:ascii="Arial" w:cs="Arial" w:eastAsia="Arial" w:hAnsi="Arial"/>
          <w:sz w:val="9"/>
          <w:szCs w:val="9"/>
          <w:color w:val="auto"/>
        </w:rPr>
        <w:t xml:space="preserve"> Represents the 7-day average gross production for the period from September 7, 2025 to September 14, 2025.</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About California Resources Corporation</w:t>
      </w:r>
    </w:p>
    <w:p>
      <w:pPr>
        <w:spacing w:after="0" w:line="166" w:lineRule="exact"/>
        <w:rPr>
          <w:sz w:val="20"/>
          <w:szCs w:val="20"/>
          <w:color w:val="auto"/>
        </w:rPr>
      </w:pPr>
    </w:p>
    <w:p>
      <w:pPr>
        <w:jc w:val="both"/>
        <w:ind w:left="8" w:firstLine="216"/>
        <w:spacing w:after="0" w:line="264" w:lineRule="auto"/>
        <w:rPr>
          <w:sz w:val="20"/>
          <w:szCs w:val="20"/>
          <w:color w:val="auto"/>
        </w:rPr>
      </w:pPr>
      <w:r>
        <w:rPr>
          <w:rFonts w:ascii="Arial" w:cs="Arial" w:eastAsia="Arial" w:hAnsi="Arial"/>
          <w:sz w:val="13"/>
          <w:szCs w:val="13"/>
          <w:color w:val="auto"/>
        </w:rPr>
        <w:t>California Resources Corporation (NYSE: 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carbon capture and storage (CCS) and other emissions reducing projects. For more information about CRC, please visit www.crc.com.</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About Berry Corporation</w:t>
      </w:r>
    </w:p>
    <w:p>
      <w:pPr>
        <w:spacing w:after="0" w:line="166" w:lineRule="exact"/>
        <w:rPr>
          <w:sz w:val="20"/>
          <w:szCs w:val="20"/>
          <w:color w:val="auto"/>
        </w:rPr>
      </w:pPr>
    </w:p>
    <w:p>
      <w:pPr>
        <w:jc w:val="both"/>
        <w:ind w:left="8" w:firstLine="216"/>
        <w:spacing w:after="0" w:line="251" w:lineRule="auto"/>
        <w:rPr>
          <w:sz w:val="20"/>
          <w:szCs w:val="20"/>
          <w:color w:val="auto"/>
        </w:rPr>
      </w:pPr>
      <w:r>
        <w:rPr>
          <w:rFonts w:ascii="Arial" w:cs="Arial" w:eastAsia="Arial" w:hAnsi="Arial"/>
          <w:sz w:val="13"/>
          <w:szCs w:val="13"/>
          <w:color w:val="auto"/>
        </w:rPr>
        <w:t>Berry is a publicly traded (NASDAQ: BRY) western United States independent upstream energy company with a focus on onshore, low geologic risk, long-lived oil and gas reserves. Berry operates in two business segments: (i) exploration and production (“E&amp;P”) and (ii) well servicing and abandonment services. Its E&amp;P assets are located in California and Utah, are characterized by high oil content and are predominantly located in rural areas with low population. Its California assets are in the San Joaquin Basin (100% oil), and its Utah assets are in the Uinta Basin (65% oil). Berry provides well servicing and abandonment services to third party operators in California and its California E&amp;P operations through C&amp;J Well Services (CJWS). More information can be found at the Berry’s website at www.bry.com.</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Additional Information and Where to Find It</w:t>
      </w:r>
    </w:p>
    <w:p>
      <w:pPr>
        <w:spacing w:after="0" w:line="166" w:lineRule="exact"/>
        <w:rPr>
          <w:sz w:val="20"/>
          <w:szCs w:val="20"/>
          <w:color w:val="auto"/>
        </w:rPr>
      </w:pPr>
    </w:p>
    <w:p>
      <w:pPr>
        <w:jc w:val="both"/>
        <w:ind w:left="8" w:firstLine="216"/>
        <w:spacing w:after="0" w:line="256" w:lineRule="auto"/>
        <w:rPr>
          <w:sz w:val="20"/>
          <w:szCs w:val="20"/>
          <w:color w:val="auto"/>
        </w:rPr>
      </w:pPr>
      <w:r>
        <w:rPr>
          <w:rFonts w:ascii="Arial" w:cs="Arial" w:eastAsia="Arial" w:hAnsi="Arial"/>
          <w:sz w:val="13"/>
          <w:szCs w:val="13"/>
          <w:color w:val="auto"/>
        </w:rPr>
        <w:t xml:space="preserve">In connection with the transaction, CRC will file with the U.S. Securities and Exchange Commission (“SEC”) a registration statement on Form S-4 (the “registration statement”), which will include a proxy statement of Berry that also constitutes a prospectus of CRC, and any other documents in connection with the transaction. The definitive proxy statement/prospectus will be sent to the holders of common stock of Berry. </w:t>
      </w:r>
      <w:r>
        <w:rPr>
          <w:rFonts w:ascii="Arial" w:cs="Arial" w:eastAsia="Arial" w:hAnsi="Arial"/>
          <w:sz w:val="13"/>
          <w:szCs w:val="13"/>
          <w:b w:val="1"/>
          <w:bCs w:val="1"/>
          <w:color w:val="auto"/>
        </w:rPr>
        <w:t>Investors and stockholders of CRC and Berry are urged to read the proxy statement/prospectus and any other documents filed or to be filed</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with the SEC in connection with the transaction when they become available, as they will contain important information about CRC, Berry, the transaction and related matters. </w:t>
      </w:r>
      <w:r>
        <w:rPr>
          <w:rFonts w:ascii="Arial" w:cs="Arial" w:eastAsia="Arial" w:hAnsi="Arial"/>
          <w:sz w:val="13"/>
          <w:szCs w:val="13"/>
          <w:color w:val="auto"/>
        </w:rPr>
        <w:t>The</w:t>
      </w:r>
      <w:r>
        <w:rPr>
          <w:rFonts w:ascii="Arial" w:cs="Arial" w:eastAsia="Arial" w:hAnsi="Arial"/>
          <w:sz w:val="13"/>
          <w:szCs w:val="13"/>
          <w:b w:val="1"/>
          <w:bCs w:val="1"/>
          <w:color w:val="auto"/>
        </w:rPr>
        <w:t xml:space="preserve"> </w:t>
      </w:r>
      <w:r>
        <w:rPr>
          <w:rFonts w:ascii="Arial" w:cs="Arial" w:eastAsia="Arial" w:hAnsi="Arial"/>
          <w:sz w:val="13"/>
          <w:szCs w:val="13"/>
          <w:color w:val="auto"/>
        </w:rPr>
        <w:t>registration statement and proxy statement/prospectus and other documents filed by CRC or Berry with the SEC, when filed, will be available free of charge at the SEC’s website at https://www.sec.gov. Alternatively, investors and stockholders may obtain free copies of documents that are filed or will be filed with the SEC by CRC, including the registration statement</w:t>
      </w:r>
    </w:p>
    <w:p>
      <w:pPr>
        <w:sectPr>
          <w:pgSz w:w="11900" w:h="16838" w:orient="portrait"/>
          <w:cols w:equalWidth="0" w:num="1">
            <w:col w:w="11308"/>
          </w:cols>
          <w:pgMar w:left="292" w:top="638" w:right="29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3"/>
          <w:szCs w:val="13"/>
          <w:color w:val="auto"/>
        </w:rPr>
        <w:t>and the proxy statement/prospectus, on CRC’s website at https://www.crc.com/investor-relations, and may obtain free copies of documents that are filed or will be filed with the SEC by Berry, including the proxy statement/prospectus, on Berry’s website at https://ir.bry.com/reports-resources. The information included on, or accessible through, CRC’s or Berry’s website is not incorporated by reference into this communication.</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No Offer or Solicitation</w:t>
      </w:r>
    </w:p>
    <w:p>
      <w:pPr>
        <w:spacing w:after="0" w:line="157"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3"/>
          <w:szCs w:val="13"/>
          <w:color w:val="auto"/>
        </w:rPr>
        <w:t>This communication is not intended to and shall not constitute an offer to sell or the solicitation of an offer to buy any securities, nor shall there be any sale of securities in any jurisdiction in which such offer, solicitation or sale would be unlawful prior to appropriate registration or qualification under the securities laws of such jurisdiction. No offering of securities shall be made except by means of a prospectus meeting the requirements of Section 10 of the Securities Act of 1933, as amended.</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Participants in Solicitation</w:t>
      </w:r>
    </w:p>
    <w:p>
      <w:pPr>
        <w:spacing w:after="0" w:line="157" w:lineRule="exact"/>
        <w:rPr>
          <w:sz w:val="20"/>
          <w:szCs w:val="20"/>
          <w:color w:val="auto"/>
        </w:rPr>
      </w:pPr>
    </w:p>
    <w:p>
      <w:pPr>
        <w:jc w:val="both"/>
        <w:ind w:firstLine="216"/>
        <w:spacing w:after="0" w:line="235" w:lineRule="auto"/>
        <w:rPr>
          <w:sz w:val="20"/>
          <w:szCs w:val="20"/>
          <w:color w:val="auto"/>
        </w:rPr>
      </w:pPr>
      <w:r>
        <w:rPr>
          <w:rFonts w:ascii="Arial" w:cs="Arial" w:eastAsia="Arial" w:hAnsi="Arial"/>
          <w:sz w:val="13"/>
          <w:szCs w:val="13"/>
          <w:color w:val="auto"/>
        </w:rPr>
        <w:t>CRC and certain of its directors, executive officers and other employees, and Berry and its directors and certain of Berry’s executive officers and other employees, may be deemed to be participants in the solicitation of proxies from Berry’s stockholders in connection with the transaction. A description of participants’ direct or indirect interests, by security holdings or otherwise, will be included in the proxy statement/prospectus relating to the transaction when it is filed with the SEC. Information regarding CRC’s directors and executive officers is contained in the “Board of Directors and Corporate Governance,” “Compensation Discussion and Analysis,” “Executive Compensation Tables,” “Director Compensation,” “Stock Ownership Information,” and “Proposals Requiring Your Vote – Proposal 1: Election of Directors” sections of CRC’s definitive proxy statement for CRC’s 2025 Annual Meeting of Stockholders, filed with the SEC on March 19, 2025; under the heading “Directors, Executive Officers and Corporate Governance” in Part III, Item 10 of CRC’s Annual Report on Form 10-K for the fiscal year ended December 31, 2024, filed with the SEC on March 3, 2025; in Item 5.07 of CRC’s Current Report on Form 8-K filed with the SEC on May 6, 2025; in CRC’s Current Reports on Form 8-K filed with the SEC on June 23, 2025 and November 25, 2024; and under “Our Team” accessed through the “Our Business” link on CRC’s website at https://www.crc.com/our-business/our-team. Information regarding Berry’s directors and executive officers is contained in the “Proposal No. 1—Election of Directors,” “Corporate Governance,” “Executive Officers,” “Executive Compensation – Compensation Discussion and Analysis,” “Director Compensation,” “Security Ownership of Certain Beneficial Owners and Management,” and “Certain Relationships and Related Party Transactions” sections of Berry’s definitive proxy statement for its 2025 annual meeting of stockholders, filed with the SEC on April 7, 2025; under the heading “Directors, Executive Officers and Corporate Governance” in Part III, Item 10 of Berry’s Annual Report on Form 10-K for the fiscal year ended December 31, 2024, filed with the SEC on March 13, 2025; in Item 5.07 of Berry’s Current Report on Form 8-K filed with the SEC on May 22, 2025; in Berry’s Current Reports on Form 8-K filed with the SEC on January 22, 2025 and October 25, 2024; and under “Leadership” accessed through the “About” link on Berry’s website at https://bry.com/about/management/. Additional information regarding ownership of Berry’s securities by its directors and executive officers and of CRC’s securities by its directors and executive officers is included in such persons’ SEC filings on Forms 3, 4 or 5, which are available at https://www.sec.gov/cgi-bin/own-disp?action=getissuer&amp;CIK=0001705873 and https://www.sec.gov/cgi-bin/own-disp?action=getissuer&amp;CIK=0001609253, respectively. These documents and the other SEC filings described in this paragraph may be obtained free of charge as described above under the heading “Additional Information and Where to Find It.”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Cautionary Note Regarding Forward-Looking Statements</w:t>
      </w:r>
    </w:p>
    <w:p>
      <w:pPr>
        <w:spacing w:after="0" w:line="157" w:lineRule="exact"/>
        <w:rPr>
          <w:sz w:val="20"/>
          <w:szCs w:val="20"/>
          <w:color w:val="auto"/>
        </w:rPr>
      </w:pPr>
    </w:p>
    <w:p>
      <w:pPr>
        <w:jc w:val="both"/>
        <w:ind w:firstLine="216"/>
        <w:spacing w:after="0" w:line="248" w:lineRule="auto"/>
        <w:rPr>
          <w:sz w:val="20"/>
          <w:szCs w:val="20"/>
          <w:color w:val="auto"/>
        </w:rPr>
      </w:pPr>
      <w:r>
        <w:rPr>
          <w:rFonts w:ascii="Arial" w:cs="Arial" w:eastAsia="Arial" w:hAnsi="Arial"/>
          <w:sz w:val="13"/>
          <w:szCs w:val="13"/>
          <w:color w:val="auto"/>
        </w:rPr>
        <w:t>Information set forth in this communication, including financial estimates and statements as to the effects of the transaction,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transaction, future financial position and operating results of CRC and Berry, business strategy, projected revenues, earnings, costs, capital expenditures and plans, objectives and intentions of management for the future. Words such as “expect,” “could,” “may,” “anticipate,” “intend,” “plan,” “ability,” “believe,” “seek,” “see,” “will,” “would,” “estimate,”</w:t>
      </w:r>
    </w:p>
    <w:p>
      <w:pPr>
        <w:sectPr>
          <w:pgSz w:w="11900" w:h="16838" w:orient="portrait"/>
          <w:cols w:equalWidth="0" w:num="1">
            <w:col w:w="11300"/>
          </w:cols>
          <w:pgMar w:left="300" w:top="692" w:right="299" w:bottom="1440" w:gutter="0" w:footer="0" w:header="0"/>
        </w:sectPr>
      </w:pPr>
    </w:p>
    <w:bookmarkStart w:id="9" w:name="page10"/>
    <w:bookmarkEnd w:id="9"/>
    <w:p>
      <w:pPr>
        <w:jc w:val="both"/>
        <w:spacing w:after="0" w:line="241" w:lineRule="auto"/>
        <w:rPr>
          <w:sz w:val="20"/>
          <w:szCs w:val="20"/>
          <w:color w:val="auto"/>
        </w:rPr>
      </w:pPr>
      <w:r>
        <w:rPr>
          <w:rFonts w:ascii="Arial" w:cs="Arial" w:eastAsia="Arial" w:hAnsi="Arial"/>
          <w:sz w:val="13"/>
          <w:szCs w:val="13"/>
          <w:color w:val="auto"/>
        </w:rPr>
        <w:t>“forecast,” “target,” “guidance,” “outlook,” “opportunity” or “strategy” or similar expressions are generally intended to identify forward-looking statements. Such forward-looking statements are based upon the current beliefs and expectations of the management of CRC and Berry and are subject to risks and uncertainties that could cause actual results to differ materially from those expressed in, projected in, or implied by, such statements. The expectations and forecasts reflected in these forward-looking statements are inherently subject to numerous risks and uncertainties, most of which are difficult to predict and many of which are beyond CRC’s and Berry’s control. No assurance can be given that such forward-looking statements will be correct or achieved or that the assumptions are accurate or will not change over time. Particular uncertainties that could cause CRC’s and/or Berry’s actual results to be materially different from those described in the forward-looking statements include:</w:t>
      </w:r>
    </w:p>
    <w:p>
      <w:pPr>
        <w:spacing w:after="0" w:line="197" w:lineRule="exact"/>
        <w:rPr>
          <w:sz w:val="20"/>
          <w:szCs w:val="20"/>
          <w:color w:val="auto"/>
        </w:rPr>
      </w:pPr>
    </w:p>
    <w:p>
      <w:pPr>
        <w:ind w:left="640" w:hanging="432"/>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transaction costs,</w:t>
      </w:r>
    </w:p>
    <w:p>
      <w:pPr>
        <w:spacing w:after="0" w:line="15" w:lineRule="exact"/>
        <w:rPr>
          <w:rFonts w:ascii="Arial" w:cs="Arial" w:eastAsia="Arial" w:hAnsi="Arial"/>
          <w:sz w:val="13"/>
          <w:szCs w:val="13"/>
          <w:color w:val="auto"/>
        </w:rPr>
      </w:pPr>
    </w:p>
    <w:p>
      <w:pPr>
        <w:ind w:left="640" w:hanging="432"/>
        <w:spacing w:after="0" w:line="231" w:lineRule="auto"/>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unknown liabilities,</w:t>
      </w:r>
    </w:p>
    <w:p>
      <w:pPr>
        <w:ind w:left="640" w:hanging="432"/>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risk that any announcements relating to the transaction could have adverse effects on the market price of CRC’s common stock or Berry’s common stock,</w:t>
      </w:r>
    </w:p>
    <w:p>
      <w:pPr>
        <w:spacing w:after="0" w:line="3" w:lineRule="exact"/>
        <w:rPr>
          <w:rFonts w:ascii="Arial" w:cs="Arial" w:eastAsia="Arial" w:hAnsi="Arial"/>
          <w:sz w:val="13"/>
          <w:szCs w:val="13"/>
          <w:color w:val="auto"/>
        </w:rPr>
      </w:pPr>
    </w:p>
    <w:p>
      <w:pPr>
        <w:ind w:left="640" w:hanging="432"/>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ability to successfully integrate the businesses,</w:t>
      </w:r>
    </w:p>
    <w:p>
      <w:pPr>
        <w:spacing w:after="0" w:line="3" w:lineRule="exact"/>
        <w:rPr>
          <w:rFonts w:ascii="Arial" w:cs="Arial" w:eastAsia="Arial" w:hAnsi="Arial"/>
          <w:sz w:val="13"/>
          <w:szCs w:val="13"/>
          <w:color w:val="auto"/>
        </w:rPr>
      </w:pPr>
    </w:p>
    <w:p>
      <w:pPr>
        <w:ind w:left="640" w:hanging="432"/>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ability to achieve projected synergies or it may take longer than expected to achieve those synergies,</w:t>
      </w:r>
    </w:p>
    <w:p>
      <w:pPr>
        <w:spacing w:after="0" w:line="3" w:lineRule="exact"/>
        <w:rPr>
          <w:rFonts w:ascii="Arial" w:cs="Arial" w:eastAsia="Arial" w:hAnsi="Arial"/>
          <w:sz w:val="13"/>
          <w:szCs w:val="13"/>
          <w:color w:val="auto"/>
        </w:rPr>
      </w:pPr>
    </w:p>
    <w:p>
      <w:pPr>
        <w:ind w:left="640" w:hanging="432"/>
        <w:spacing w:after="0" w:line="245" w:lineRule="auto"/>
        <w:tabs>
          <w:tab w:leader="none" w:pos="634" w:val="left"/>
        </w:tabs>
        <w:numPr>
          <w:ilvl w:val="0"/>
          <w:numId w:val="8"/>
        </w:numPr>
        <w:rPr>
          <w:rFonts w:ascii="Arial" w:cs="Arial" w:eastAsia="Arial" w:hAnsi="Arial"/>
          <w:sz w:val="13"/>
          <w:szCs w:val="13"/>
          <w:color w:val="auto"/>
        </w:rPr>
      </w:pPr>
      <w:r>
        <w:rPr>
          <w:rFonts w:ascii="Arial" w:cs="Arial" w:eastAsia="Arial" w:hAnsi="Arial"/>
          <w:sz w:val="13"/>
          <w:szCs w:val="13"/>
          <w:color w:val="auto"/>
        </w:rPr>
        <w:t>risks related to financial community and rating agency perceptions of CRC and Berry or their respective businesses, operations, financial condition and the industry in which they operate,</w:t>
      </w:r>
    </w:p>
    <w:p>
      <w:pPr>
        <w:spacing w:after="0" w:line="153" w:lineRule="exact"/>
        <w:rPr>
          <w:rFonts w:ascii="Arial" w:cs="Arial" w:eastAsia="Arial" w:hAnsi="Arial"/>
          <w:sz w:val="13"/>
          <w:szCs w:val="13"/>
          <w:color w:val="auto"/>
        </w:rPr>
      </w:pPr>
    </w:p>
    <w:p>
      <w:pPr>
        <w:ind w:left="640" w:hanging="432"/>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risks related to the potential impact of general economic, political and market factors on CRC or Berry or the transaction,</w:t>
      </w:r>
    </w:p>
    <w:p>
      <w:pPr>
        <w:spacing w:after="0" w:line="3" w:lineRule="exact"/>
        <w:rPr>
          <w:rFonts w:ascii="Arial" w:cs="Arial" w:eastAsia="Arial" w:hAnsi="Arial"/>
          <w:sz w:val="13"/>
          <w:szCs w:val="13"/>
          <w:color w:val="auto"/>
        </w:rPr>
      </w:pPr>
    </w:p>
    <w:p>
      <w:pPr>
        <w:ind w:left="640" w:hanging="432"/>
        <w:spacing w:after="0" w:line="238" w:lineRule="auto"/>
        <w:tabs>
          <w:tab w:leader="none" w:pos="639" w:val="left"/>
        </w:tabs>
        <w:numPr>
          <w:ilvl w:val="0"/>
          <w:numId w:val="8"/>
        </w:numPr>
        <w:rPr>
          <w:rFonts w:ascii="Arial" w:cs="Arial" w:eastAsia="Arial" w:hAnsi="Arial"/>
          <w:sz w:val="13"/>
          <w:szCs w:val="13"/>
          <w:color w:val="auto"/>
        </w:rPr>
      </w:pPr>
      <w:r>
        <w:rPr>
          <w:rFonts w:ascii="Arial" w:cs="Arial" w:eastAsia="Arial" w:hAnsi="Arial"/>
          <w:sz w:val="13"/>
          <w:szCs w:val="13"/>
          <w:color w:val="auto"/>
        </w:rPr>
        <w:t>those expressed in CRC’s other forward-looking statements including those factors discussed in Part I, Item 1A – Risk Factors in CRC’s Annual Report on Form 10-K and its other SEC filings available at www.crc.com,</w:t>
      </w:r>
    </w:p>
    <w:p>
      <w:pPr>
        <w:ind w:left="640" w:hanging="432"/>
        <w:spacing w:after="0" w:line="245" w:lineRule="auto"/>
        <w:tabs>
          <w:tab w:leader="none" w:pos="634" w:val="left"/>
        </w:tabs>
        <w:numPr>
          <w:ilvl w:val="0"/>
          <w:numId w:val="8"/>
        </w:numPr>
        <w:rPr>
          <w:rFonts w:ascii="Arial" w:cs="Arial" w:eastAsia="Arial" w:hAnsi="Arial"/>
          <w:sz w:val="13"/>
          <w:szCs w:val="13"/>
          <w:color w:val="auto"/>
        </w:rPr>
      </w:pPr>
      <w:r>
        <w:rPr>
          <w:rFonts w:ascii="Arial" w:cs="Arial" w:eastAsia="Arial" w:hAnsi="Arial"/>
          <w:sz w:val="13"/>
          <w:szCs w:val="13"/>
          <w:color w:val="auto"/>
        </w:rPr>
        <w:t>those expressed in Berry’s other forward-looking statements including those factors discussed in Part I, Item 1A – Risk Factors in Berry’s Annual Report on Form 10-K and its other SEC filings available at https://ir.bry.com/,</w:t>
      </w:r>
    </w:p>
    <w:p>
      <w:pPr>
        <w:ind w:left="640" w:hanging="432"/>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occurrence of any event, change or other circumstances that could give rise to the termination of the transaction,</w:t>
      </w:r>
    </w:p>
    <w:p>
      <w:pPr>
        <w:spacing w:after="0" w:line="3" w:lineRule="exact"/>
        <w:rPr>
          <w:rFonts w:ascii="Arial" w:cs="Arial" w:eastAsia="Arial" w:hAnsi="Arial"/>
          <w:sz w:val="13"/>
          <w:szCs w:val="13"/>
          <w:color w:val="auto"/>
        </w:rPr>
      </w:pPr>
    </w:p>
    <w:p>
      <w:pPr>
        <w:ind w:left="640" w:hanging="432"/>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risk that stockholders of Berry may not approve the transaction,</w:t>
      </w:r>
    </w:p>
    <w:p>
      <w:pPr>
        <w:spacing w:after="0" w:line="11" w:lineRule="exact"/>
        <w:rPr>
          <w:rFonts w:ascii="Arial" w:cs="Arial" w:eastAsia="Arial" w:hAnsi="Arial"/>
          <w:sz w:val="13"/>
          <w:szCs w:val="13"/>
          <w:color w:val="auto"/>
        </w:rPr>
      </w:pPr>
    </w:p>
    <w:p>
      <w:pPr>
        <w:ind w:left="640" w:hanging="432"/>
        <w:spacing w:after="0" w:line="246" w:lineRule="auto"/>
        <w:tabs>
          <w:tab w:leader="none" w:pos="636"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risk that the any of the other closing conditions to the transaction may not be satisfied in a timely manner, including the risk that all necessary regulatory approvals may not be obtained or may be obtained subject to conditions that are not anticipated,</w:t>
      </w:r>
    </w:p>
    <w:p>
      <w:pPr>
        <w:ind w:left="640" w:hanging="432"/>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risks related to disruption of management time from ongoing business operations due to the transaction, and</w:t>
      </w:r>
    </w:p>
    <w:p>
      <w:pPr>
        <w:spacing w:after="0" w:line="3" w:lineRule="exact"/>
        <w:rPr>
          <w:rFonts w:ascii="Arial" w:cs="Arial" w:eastAsia="Arial" w:hAnsi="Arial"/>
          <w:sz w:val="13"/>
          <w:szCs w:val="13"/>
          <w:color w:val="auto"/>
        </w:rPr>
      </w:pPr>
    </w:p>
    <w:p>
      <w:pPr>
        <w:ind w:left="640" w:right="20" w:hanging="432"/>
        <w:spacing w:after="0" w:line="264" w:lineRule="auto"/>
        <w:tabs>
          <w:tab w:leader="none" w:pos="637" w:val="left"/>
        </w:tabs>
        <w:numPr>
          <w:ilvl w:val="0"/>
          <w:numId w:val="8"/>
        </w:numPr>
        <w:rPr>
          <w:rFonts w:ascii="Arial" w:cs="Arial" w:eastAsia="Arial" w:hAnsi="Arial"/>
          <w:sz w:val="13"/>
          <w:szCs w:val="13"/>
          <w:color w:val="auto"/>
        </w:rPr>
      </w:pPr>
      <w:r>
        <w:rPr>
          <w:rFonts w:ascii="Arial" w:cs="Arial" w:eastAsia="Arial" w:hAnsi="Arial"/>
          <w:sz w:val="13"/>
          <w:szCs w:val="13"/>
          <w:color w:val="auto"/>
        </w:rPr>
        <w:t>effects of the announcement, pendency or completion of the transaction on the ability of CRC and Berry to retain customers and retain and hire key personnel and maintain relationships with their respective suppliers and customers.</w:t>
      </w:r>
    </w:p>
    <w:p>
      <w:pPr>
        <w:spacing w:after="0" w:line="127" w:lineRule="exact"/>
        <w:rPr>
          <w:sz w:val="20"/>
          <w:szCs w:val="20"/>
          <w:color w:val="auto"/>
        </w:rPr>
      </w:pPr>
    </w:p>
    <w:p>
      <w:pPr>
        <w:jc w:val="both"/>
        <w:ind w:right="20" w:firstLine="216"/>
        <w:spacing w:after="0" w:line="257" w:lineRule="auto"/>
        <w:rPr>
          <w:sz w:val="20"/>
          <w:szCs w:val="20"/>
          <w:color w:val="auto"/>
        </w:rPr>
      </w:pPr>
      <w:r>
        <w:rPr>
          <w:rFonts w:ascii="Arial" w:cs="Arial" w:eastAsia="Arial" w:hAnsi="Arial"/>
          <w:sz w:val="13"/>
          <w:szCs w:val="13"/>
          <w:color w:val="auto"/>
        </w:rPr>
        <w:t>The foregoing list of factors is not exhaustive. You should carefully consider the foregoing factors and the other risks and uncertainties described in the “Risk Factors” section of CRC’s registration statement on Form S-4 that will contain a proxy statement/prospectus discussed above, when it becomes available, and other documents filed by CRC or Berry from time to time with the SEC.</w:t>
      </w:r>
    </w:p>
    <w:p>
      <w:pPr>
        <w:spacing w:after="0" w:line="13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3"/>
          <w:szCs w:val="13"/>
          <w:color w:val="auto"/>
        </w:rPr>
        <w:t>You are cautioned not to place undue reliance on forward-looking statements contained in this communication, which speak only as of the date hereof, and each of CRC and Berry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neither CRC nor Berry has independently verified them and do not warrant the accuracy or completeness of such third-party information.</w:t>
      </w:r>
    </w:p>
    <w:p>
      <w:pPr>
        <w:sectPr>
          <w:pgSz w:w="11900" w:h="16838" w:orient="portrait"/>
          <w:cols w:equalWidth="0" w:num="1">
            <w:col w:w="11300"/>
          </w:cols>
          <w:pgMar w:left="300" w:top="692"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Contacts:</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50"/>
        </w:trPr>
        <w:tc>
          <w:tcPr>
            <w:tcW w:w="3580" w:type="dxa"/>
            <w:vAlign w:val="bottom"/>
            <w:gridSpan w:val="5"/>
          </w:tcPr>
          <w:p>
            <w:pPr>
              <w:spacing w:after="0"/>
              <w:rPr>
                <w:sz w:val="20"/>
                <w:szCs w:val="20"/>
                <w:color w:val="auto"/>
              </w:rPr>
            </w:pPr>
            <w:r>
              <w:rPr>
                <w:rFonts w:ascii="Arial" w:cs="Arial" w:eastAsia="Arial" w:hAnsi="Arial"/>
                <w:sz w:val="14"/>
                <w:szCs w:val="14"/>
                <w:color w:val="auto"/>
              </w:rPr>
              <w:t>Joanna Park (CRC Investor Daniel Juck (CRC Investor</w:t>
            </w:r>
          </w:p>
        </w:tc>
        <w:tc>
          <w:tcPr>
            <w:tcW w:w="1880" w:type="dxa"/>
            <w:vAlign w:val="bottom"/>
            <w:gridSpan w:val="3"/>
          </w:tcPr>
          <w:p>
            <w:pPr>
              <w:ind w:left="60"/>
              <w:spacing w:after="0"/>
              <w:rPr>
                <w:sz w:val="20"/>
                <w:szCs w:val="20"/>
                <w:color w:val="auto"/>
              </w:rPr>
            </w:pPr>
            <w:r>
              <w:rPr>
                <w:rFonts w:ascii="Arial" w:cs="Arial" w:eastAsia="Arial" w:hAnsi="Arial"/>
                <w:sz w:val="14"/>
                <w:szCs w:val="14"/>
                <w:color w:val="auto"/>
              </w:rPr>
              <w:t>Hailey Bonus (CRC Media)</w:t>
            </w:r>
          </w:p>
        </w:tc>
        <w:tc>
          <w:tcPr>
            <w:tcW w:w="3020" w:type="dxa"/>
            <w:vAlign w:val="bottom"/>
            <w:gridSpan w:val="3"/>
          </w:tcPr>
          <w:p>
            <w:pPr>
              <w:ind w:left="100"/>
              <w:spacing w:after="0"/>
              <w:rPr>
                <w:sz w:val="20"/>
                <w:szCs w:val="20"/>
                <w:color w:val="auto"/>
              </w:rPr>
            </w:pPr>
            <w:r>
              <w:rPr>
                <w:rFonts w:ascii="Arial" w:cs="Arial" w:eastAsia="Arial" w:hAnsi="Arial"/>
                <w:sz w:val="14"/>
                <w:szCs w:val="14"/>
                <w:color w:val="auto"/>
              </w:rPr>
              <w:t>Christopher Denison (BRY Investor Relations)</w:t>
            </w:r>
          </w:p>
        </w:tc>
      </w:tr>
      <w:tr>
        <w:trPr>
          <w:trHeight w:val="153"/>
        </w:trPr>
        <w:tc>
          <w:tcPr>
            <w:tcW w:w="1460" w:type="dxa"/>
            <w:vAlign w:val="bottom"/>
            <w:gridSpan w:val="2"/>
          </w:tcPr>
          <w:p>
            <w:pPr>
              <w:spacing w:after="0" w:line="153" w:lineRule="exact"/>
              <w:rPr>
                <w:sz w:val="20"/>
                <w:szCs w:val="20"/>
                <w:color w:val="auto"/>
              </w:rPr>
            </w:pPr>
            <w:r>
              <w:rPr>
                <w:rFonts w:ascii="Arial" w:cs="Arial" w:eastAsia="Arial" w:hAnsi="Arial"/>
                <w:sz w:val="14"/>
                <w:szCs w:val="14"/>
                <w:color w:val="auto"/>
              </w:rPr>
              <w:t>Relations)</w:t>
            </w:r>
          </w:p>
        </w:tc>
        <w:tc>
          <w:tcPr>
            <w:tcW w:w="2120" w:type="dxa"/>
            <w:vAlign w:val="bottom"/>
            <w:gridSpan w:val="3"/>
          </w:tcPr>
          <w:p>
            <w:pPr>
              <w:ind w:left="360"/>
              <w:spacing w:after="0" w:line="153" w:lineRule="exact"/>
              <w:rPr>
                <w:sz w:val="20"/>
                <w:szCs w:val="20"/>
                <w:color w:val="auto"/>
              </w:rPr>
            </w:pPr>
            <w:r>
              <w:rPr>
                <w:rFonts w:ascii="Arial" w:cs="Arial" w:eastAsia="Arial" w:hAnsi="Arial"/>
                <w:sz w:val="14"/>
                <w:szCs w:val="14"/>
                <w:color w:val="auto"/>
              </w:rPr>
              <w:t>Relations)</w:t>
            </w:r>
          </w:p>
        </w:tc>
        <w:tc>
          <w:tcPr>
            <w:tcW w:w="1540" w:type="dxa"/>
            <w:vAlign w:val="bottom"/>
            <w:gridSpan w:val="2"/>
          </w:tcPr>
          <w:p>
            <w:pPr>
              <w:ind w:left="60"/>
              <w:spacing w:after="0" w:line="153" w:lineRule="exact"/>
              <w:rPr>
                <w:sz w:val="20"/>
                <w:szCs w:val="20"/>
                <w:color w:val="auto"/>
              </w:rPr>
            </w:pPr>
            <w:r>
              <w:rPr>
                <w:rFonts w:ascii="Arial" w:cs="Arial" w:eastAsia="Arial" w:hAnsi="Arial"/>
                <w:sz w:val="14"/>
                <w:szCs w:val="14"/>
                <w:color w:val="auto"/>
              </w:rPr>
              <w:t>714-874-7732</w:t>
            </w:r>
          </w:p>
        </w:tc>
        <w:tc>
          <w:tcPr>
            <w:tcW w:w="340" w:type="dxa"/>
            <w:vAlign w:val="bottom"/>
          </w:tcPr>
          <w:p>
            <w:pPr>
              <w:spacing w:after="0"/>
              <w:rPr>
                <w:sz w:val="13"/>
                <w:szCs w:val="13"/>
                <w:color w:val="auto"/>
              </w:rPr>
            </w:pPr>
          </w:p>
        </w:tc>
        <w:tc>
          <w:tcPr>
            <w:tcW w:w="30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 xml:space="preserve">661-616-3811 </w:t>
            </w:r>
            <w:r>
              <w:rPr>
                <w:rFonts w:ascii="Arial" w:cs="Arial" w:eastAsia="Arial" w:hAnsi="Arial"/>
                <w:sz w:val="14"/>
                <w:szCs w:val="14"/>
                <w:color w:val="421BFF"/>
              </w:rPr>
              <w:t>CDenison@bry.com</w:t>
            </w:r>
          </w:p>
        </w:tc>
      </w:tr>
      <w:tr>
        <w:trPr>
          <w:trHeight w:val="169"/>
        </w:trPr>
        <w:tc>
          <w:tcPr>
            <w:tcW w:w="1460" w:type="dxa"/>
            <w:vAlign w:val="bottom"/>
            <w:gridSpan w:val="2"/>
          </w:tcPr>
          <w:p>
            <w:pPr>
              <w:spacing w:after="0"/>
              <w:rPr>
                <w:sz w:val="20"/>
                <w:szCs w:val="20"/>
                <w:color w:val="auto"/>
              </w:rPr>
            </w:pPr>
            <w:r>
              <w:rPr>
                <w:rFonts w:ascii="Arial" w:cs="Arial" w:eastAsia="Arial" w:hAnsi="Arial"/>
                <w:sz w:val="14"/>
                <w:szCs w:val="14"/>
                <w:color w:val="auto"/>
              </w:rPr>
              <w:t>818-661-3731</w:t>
            </w:r>
          </w:p>
        </w:tc>
        <w:tc>
          <w:tcPr>
            <w:tcW w:w="1760" w:type="dxa"/>
            <w:vAlign w:val="bottom"/>
            <w:gridSpan w:val="2"/>
          </w:tcPr>
          <w:p>
            <w:pPr>
              <w:ind w:left="360"/>
              <w:spacing w:after="0"/>
              <w:rPr>
                <w:sz w:val="20"/>
                <w:szCs w:val="20"/>
                <w:color w:val="auto"/>
              </w:rPr>
            </w:pPr>
            <w:r>
              <w:rPr>
                <w:rFonts w:ascii="Arial" w:cs="Arial" w:eastAsia="Arial" w:hAnsi="Arial"/>
                <w:sz w:val="14"/>
                <w:szCs w:val="14"/>
                <w:color w:val="auto"/>
              </w:rPr>
              <w:t>818-661-6045</w:t>
            </w:r>
          </w:p>
        </w:tc>
        <w:tc>
          <w:tcPr>
            <w:tcW w:w="360" w:type="dxa"/>
            <w:vAlign w:val="bottom"/>
          </w:tcPr>
          <w:p>
            <w:pPr>
              <w:spacing w:after="0"/>
              <w:rPr>
                <w:sz w:val="14"/>
                <w:szCs w:val="14"/>
                <w:color w:val="auto"/>
              </w:rPr>
            </w:pPr>
          </w:p>
        </w:tc>
        <w:tc>
          <w:tcPr>
            <w:tcW w:w="1880" w:type="dxa"/>
            <w:vAlign w:val="bottom"/>
            <w:gridSpan w:val="3"/>
          </w:tcPr>
          <w:p>
            <w:pPr>
              <w:ind w:left="60"/>
              <w:spacing w:after="0"/>
              <w:rPr>
                <w:sz w:val="20"/>
                <w:szCs w:val="20"/>
                <w:color w:val="auto"/>
              </w:rPr>
            </w:pPr>
            <w:r>
              <w:rPr>
                <w:rFonts w:ascii="Arial" w:cs="Arial" w:eastAsia="Arial" w:hAnsi="Arial"/>
                <w:sz w:val="14"/>
                <w:szCs w:val="14"/>
                <w:color w:val="421BFF"/>
              </w:rPr>
              <w:t>Hailey.Bonus@crc.com</w:t>
            </w:r>
          </w:p>
        </w:tc>
        <w:tc>
          <w:tcPr>
            <w:tcW w:w="1020" w:type="dxa"/>
            <w:vAlign w:val="bottom"/>
          </w:tcPr>
          <w:p>
            <w:pPr>
              <w:spacing w:after="0"/>
              <w:rPr>
                <w:sz w:val="14"/>
                <w:szCs w:val="14"/>
                <w:color w:val="auto"/>
              </w:rPr>
            </w:pPr>
          </w:p>
        </w:tc>
        <w:tc>
          <w:tcPr>
            <w:tcW w:w="1280" w:type="dxa"/>
            <w:vAlign w:val="bottom"/>
            <w:tcBorders>
              <w:top w:val="single" w:sz="8" w:color="421BFF"/>
            </w:tcBorders>
          </w:tcPr>
          <w:p>
            <w:pPr>
              <w:spacing w:after="0"/>
              <w:rPr>
                <w:sz w:val="14"/>
                <w:szCs w:val="14"/>
                <w:color w:val="auto"/>
              </w:rPr>
            </w:pPr>
          </w:p>
        </w:tc>
        <w:tc>
          <w:tcPr>
            <w:tcW w:w="720" w:type="dxa"/>
            <w:vAlign w:val="bottom"/>
          </w:tcPr>
          <w:p>
            <w:pPr>
              <w:spacing w:after="0"/>
              <w:rPr>
                <w:sz w:val="14"/>
                <w:szCs w:val="14"/>
                <w:color w:val="auto"/>
              </w:rPr>
            </w:pPr>
          </w:p>
        </w:tc>
      </w:tr>
      <w:tr>
        <w:trPr>
          <w:trHeight w:val="169"/>
        </w:trPr>
        <w:tc>
          <w:tcPr>
            <w:tcW w:w="1460" w:type="dxa"/>
            <w:vAlign w:val="bottom"/>
            <w:tcBorders>
              <w:bottom w:val="single" w:sz="8" w:color="421BFF"/>
            </w:tcBorders>
            <w:gridSpan w:val="2"/>
          </w:tcPr>
          <w:p>
            <w:pPr>
              <w:spacing w:after="0"/>
              <w:rPr>
                <w:sz w:val="20"/>
                <w:szCs w:val="20"/>
                <w:color w:val="auto"/>
              </w:rPr>
            </w:pPr>
            <w:r>
              <w:rPr>
                <w:rFonts w:ascii="Arial" w:cs="Arial" w:eastAsia="Arial" w:hAnsi="Arial"/>
                <w:sz w:val="14"/>
                <w:szCs w:val="14"/>
                <w:color w:val="421BFF"/>
              </w:rPr>
              <w:t>Joanna.Park@crc.com</w:t>
            </w:r>
          </w:p>
        </w:tc>
        <w:tc>
          <w:tcPr>
            <w:tcW w:w="360" w:type="dxa"/>
            <w:vAlign w:val="bottom"/>
          </w:tcPr>
          <w:p>
            <w:pPr>
              <w:spacing w:after="0"/>
              <w:rPr>
                <w:sz w:val="14"/>
                <w:szCs w:val="14"/>
                <w:color w:val="auto"/>
              </w:rPr>
            </w:pPr>
          </w:p>
        </w:tc>
        <w:tc>
          <w:tcPr>
            <w:tcW w:w="1400" w:type="dxa"/>
            <w:vAlign w:val="bottom"/>
            <w:tcBorders>
              <w:bottom w:val="single" w:sz="8" w:color="421BFF"/>
            </w:tcBorders>
          </w:tcPr>
          <w:p>
            <w:pPr>
              <w:spacing w:after="0"/>
              <w:rPr>
                <w:sz w:val="20"/>
                <w:szCs w:val="20"/>
                <w:color w:val="auto"/>
              </w:rPr>
            </w:pPr>
            <w:r>
              <w:rPr>
                <w:rFonts w:ascii="Arial" w:cs="Arial" w:eastAsia="Arial" w:hAnsi="Arial"/>
                <w:sz w:val="14"/>
                <w:szCs w:val="14"/>
                <w:color w:val="421BFF"/>
              </w:rPr>
              <w:t>Daniel.Juck@crc.com</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top w:val="single" w:sz="8" w:color="421BFF"/>
            </w:tcBorders>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ectPr>
          <w:pgSz w:w="11900" w:h="16838" w:orient="portrait"/>
          <w:cols w:equalWidth="0" w:num="1">
            <w:col w:w="10159"/>
          </w:cols>
          <w:pgMar w:left="300" w:top="627" w:right="1440" w:bottom="1440"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1"/>
      <w:numFmt w:val="decimal"/>
      <w:start w:val="104"/>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2025-09-15T07:08:22Z</dcterms:created>
  <dcterms:modified xsi:type="dcterms:W3CDTF">2025-09-15T07:08:22Z</dcterms:modified>
</cp:coreProperties>
</file>