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Stevens Todd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08/17/2020</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276,736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0.1122</w:t>
            </w:r>
            <w:r>
              <w:rPr>
                <w:rFonts w:ascii="Arial" w:cs="Arial" w:eastAsia="Arial" w:hAnsi="Arial"/>
                <w:sz w:val="22"/>
                <w:szCs w:val="22"/>
                <w:color w:val="008000"/>
                <w:w w:val="93"/>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$0.106 to $0.1283, inclusive. The reporting person undertakes to provide to CRC, any security holder of CRC, or the staff of the Securities and Exchange Commission, upon request, full information regarding the number of shares sold at each separate price within the range set forth in footnote (1)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08/19/2020</w:t>
            </w:r>
          </w:p>
        </w:tc>
        <w:tc>
          <w:tcPr>
            <w:tcW w:w="0" w:type="dxa"/>
            <w:vAlign w:val="bottom"/>
          </w:tcPr>
          <w:p>
            <w:pPr>
              <w:spacing w:after="0"/>
              <w:rPr>
                <w:sz w:val="1"/>
                <w:szCs w:val="1"/>
                <w:color w:val="auto"/>
              </w:rPr>
            </w:pPr>
          </w:p>
        </w:tc>
      </w:tr>
      <w:tr>
        <w:trPr>
          <w:trHeight w:val="87"/>
        </w:trPr>
        <w:tc>
          <w:tcPr>
            <w:tcW w:w="194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in-Fact for Todd A. Stevens</w:t>
            </w:r>
          </w:p>
        </w:tc>
        <w:tc>
          <w:tcPr>
            <w:tcW w:w="1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066"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2020-08-19T15:58:32Z</dcterms:created>
  <dcterms:modified xsi:type="dcterms:W3CDTF">2020-08-19T15:58:32Z</dcterms:modified>
</cp:coreProperties>
</file>