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2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6"/>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03/07/2022</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3260" w:type="dxa"/>
            <w:vAlign w:val="bottom"/>
            <w:tcBorders>
              <w:bottom w:val="single" w:sz="8" w:color="2C2C2C"/>
            </w:tcBorders>
            <w:gridSpan w:val="6"/>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6"/>
          </w:tcPr>
          <w:p>
            <w:pPr>
              <w:ind w:left="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880" w:type="dxa"/>
            <w:vAlign w:val="bottom"/>
            <w:gridSpan w:val="6"/>
            <w:vMerge w:val="restart"/>
          </w:tcPr>
          <w:p>
            <w:pPr>
              <w:ind w:left="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28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326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62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42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36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36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and 4)</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rPr>
              <w:t>(A)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1"/>
                <w:szCs w:val="11"/>
                <w:color w:val="auto"/>
              </w:rPr>
            </w:pPr>
          </w:p>
        </w:tc>
        <w:tc>
          <w:tcPr>
            <w:tcW w:w="38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or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03/07/2022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225,000</w:t>
            </w:r>
            <w:r>
              <w:rPr>
                <w:rFonts w:ascii="Arial" w:cs="Arial" w:eastAsia="Arial" w:hAnsi="Arial"/>
                <w:sz w:val="11"/>
                <w:szCs w:val="11"/>
                <w:color w:val="008000"/>
                <w:w w:val="84"/>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43.1793</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8,062,573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03/08/2022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4"/>
                <w:vertAlign w:val="subscript"/>
              </w:rPr>
              <w:t>350,000</w:t>
            </w:r>
            <w:r>
              <w:rPr>
                <w:rFonts w:ascii="Arial" w:cs="Arial" w:eastAsia="Arial" w:hAnsi="Arial"/>
                <w:sz w:val="11"/>
                <w:szCs w:val="11"/>
                <w:color w:val="008000"/>
                <w:w w:val="84"/>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tcPr>
          <w:p>
            <w:pPr>
              <w:ind w:left="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45.1577</w:t>
            </w:r>
          </w:p>
        </w:tc>
        <w:tc>
          <w:tcPr>
            <w:tcW w:w="162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3"/>
                <w:vertAlign w:val="subscript"/>
              </w:rPr>
              <w:t>7,712,573</w:t>
            </w:r>
            <w:r>
              <w:rPr>
                <w:rFonts w:ascii="Arial" w:cs="Arial" w:eastAsia="Arial" w:hAnsi="Arial"/>
                <w:sz w:val="11"/>
                <w:szCs w:val="11"/>
                <w:color w:val="008000"/>
                <w:w w:val="83"/>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80" w:type="dxa"/>
            <w:vAlign w:val="bottom"/>
            <w:gridSpan w:val="18"/>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6"/>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6"/>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12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7,712,573 shares of Common Stock by reason of the direct or indirect beneficial ownership of such shares as follows: (i) ACOF AIV 1A directly holds 393,380 shares of Common Stock, (ii) ACOF AIV 1B directly holds 1,439,557 shares of Common Stock, (iii) ACOF AIV 2 directly holds 1,466,491 shares of Common Stock, (iv) AEOF AIV A-B directly holds 1,894,861 shares of Common Stock, (v) AEOF AIV C directly holds 804,524 shares of Common Stock and (vi) AF Energy Feeder, L.P. directly holds 1,713,760 shares of Common Stock.</w:t>
      </w:r>
    </w:p>
    <w:p>
      <w:pPr>
        <w:spacing w:after="0" w:line="29" w:lineRule="exact"/>
        <w:rPr>
          <w:rFonts w:ascii="Arial" w:cs="Arial" w:eastAsia="Arial" w:hAnsi="Arial"/>
          <w:sz w:val="13"/>
          <w:szCs w:val="13"/>
          <w:color w:val="008000"/>
        </w:rPr>
      </w:pPr>
    </w:p>
    <w:p>
      <w:pPr>
        <w:ind w:right="20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500" w:top="131" w:right="49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61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8616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GeneralPartner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9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65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98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Its: Sole Member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7"/>
          <w:szCs w:val="17"/>
          <w:color w:val="0000FF"/>
        </w:rPr>
        <w:t>ARES PARTNERS HOLDCO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98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03/09/2022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60"/>
          </w:cols>
          <w:pgMar w:left="500" w:top="131" w:right="49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2022-03-09T15:12:51Z</dcterms:created>
  <dcterms:modified xsi:type="dcterms:W3CDTF">2022-03-09T15:12:51Z</dcterms:modified>
</cp:coreProperties>
</file>