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1"/>
          <w:szCs w:val="11"/>
          <w:b w:val="1"/>
          <w:bCs w:val="1"/>
          <w:color w:val="auto"/>
        </w:rPr>
        <w:t>UNITED STATES 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spacing w:after="0" w:line="119" w:lineRule="exact"/>
        <w:rPr>
          <w:sz w:val="24"/>
          <w:szCs w:val="24"/>
          <w:color w:val="auto"/>
        </w:rPr>
      </w:pPr>
    </w:p>
    <w:p>
      <w:pPr>
        <w:ind w:left="3540" w:right="3240" w:hanging="864"/>
        <w:spacing w:after="0" w:line="268" w:lineRule="auto"/>
        <w:tabs>
          <w:tab w:leader="none" w:pos="2882"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 xml:space="preserve">ANNUAL REPORT PURSUANT TO SECTION 13 OR 15(d) OF THE SECURITIES EXCHANGE ACT OF 1934 </w:t>
      </w:r>
      <w:r>
        <w:rPr>
          <w:rFonts w:ascii="Arial" w:cs="Arial" w:eastAsia="Arial" w:hAnsi="Arial"/>
          <w:sz w:val="11"/>
          <w:szCs w:val="11"/>
          <w:color w:val="auto"/>
        </w:rPr>
        <w:t>For the fiscal year ended December 31, 2017</w:t>
      </w:r>
    </w:p>
    <w:p>
      <w:pPr>
        <w:spacing w:after="0" w:line="15" w:lineRule="exact"/>
        <w:rPr>
          <w:sz w:val="24"/>
          <w:szCs w:val="24"/>
          <w:color w:val="auto"/>
        </w:rPr>
      </w:pPr>
    </w:p>
    <w:p>
      <w:pPr>
        <w:ind w:left="2880" w:hanging="204"/>
        <w:spacing w:after="0"/>
        <w:tabs>
          <w:tab w:leader="none" w:pos="288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32" w:lineRule="exact"/>
        <w:rPr>
          <w:sz w:val="24"/>
          <w:szCs w:val="24"/>
          <w:color w:val="auto"/>
        </w:rPr>
      </w:pPr>
    </w:p>
    <w:p>
      <w:pPr>
        <w:ind w:left="3540"/>
        <w:spacing w:after="0"/>
        <w:tabs>
          <w:tab w:leader="none" w:pos="5180" w:val="left"/>
        </w:tabs>
        <w:rPr>
          <w:sz w:val="20"/>
          <w:szCs w:val="20"/>
          <w:color w:val="auto"/>
        </w:rPr>
      </w:pPr>
      <w:r>
        <w:rPr>
          <w:rFonts w:ascii="Arial" w:cs="Arial" w:eastAsia="Arial" w:hAnsi="Arial"/>
          <w:sz w:val="11"/>
          <w:szCs w:val="11"/>
          <w:color w:val="auto"/>
        </w:rPr>
        <w:t>For the transition period from</w:t>
      </w:r>
      <w:r>
        <w:rPr>
          <w:sz w:val="20"/>
          <w:szCs w:val="20"/>
          <w:color w:val="auto"/>
        </w:rPr>
        <w:tab/>
      </w:r>
      <w:r>
        <w:rPr>
          <w:rFonts w:ascii="Arial" w:cs="Arial" w:eastAsia="Arial" w:hAnsi="Arial"/>
          <w:sz w:val="9"/>
          <w:szCs w:val="9"/>
          <w:color w:val="auto"/>
        </w:rPr>
        <w:t>to</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Number 001-36478</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460"/>
          </w:cols>
          <w:pgMar w:left="220" w:top="201" w:right="219" w:bottom="1440" w:gutter="0" w:footer="0" w:header="0"/>
        </w:sectPr>
      </w:pPr>
    </w:p>
    <w:p>
      <w:pPr>
        <w:spacing w:after="0" w:line="104" w:lineRule="exact"/>
        <w:rPr>
          <w:sz w:val="24"/>
          <w:szCs w:val="24"/>
          <w:color w:val="auto"/>
        </w:rPr>
      </w:pPr>
    </w:p>
    <w:p>
      <w:pPr>
        <w:ind w:left="2580"/>
        <w:spacing w:after="0"/>
        <w:rPr>
          <w:sz w:val="20"/>
          <w:szCs w:val="20"/>
          <w:color w:val="auto"/>
        </w:rPr>
      </w:pPr>
      <w:r>
        <w:rPr>
          <w:rFonts w:ascii="Arial" w:cs="Arial" w:eastAsia="Arial" w:hAnsi="Arial"/>
          <w:sz w:val="11"/>
          <w:szCs w:val="11"/>
          <w:b w:val="1"/>
          <w:bCs w:val="1"/>
          <w:color w:val="auto"/>
        </w:rPr>
        <w:t>Delaware</w:t>
      </w:r>
    </w:p>
    <w:p>
      <w:pPr>
        <w:spacing w:after="0" w:line="11" w:lineRule="exact"/>
        <w:rPr>
          <w:sz w:val="24"/>
          <w:szCs w:val="24"/>
          <w:color w:val="auto"/>
        </w:rPr>
      </w:pPr>
    </w:p>
    <w:p>
      <w:pPr>
        <w:ind w:left="2140"/>
        <w:spacing w:after="0"/>
        <w:rPr>
          <w:sz w:val="20"/>
          <w:szCs w:val="20"/>
          <w:color w:val="auto"/>
        </w:rPr>
      </w:pPr>
      <w:r>
        <w:rPr>
          <w:rFonts w:ascii="Arial" w:cs="Arial" w:eastAsia="Arial" w:hAnsi="Arial"/>
          <w:sz w:val="11"/>
          <w:szCs w:val="11"/>
          <w:color w:val="auto"/>
        </w:rPr>
        <w:t>(State or other jurisdiction of</w:t>
      </w:r>
    </w:p>
    <w:p>
      <w:pPr>
        <w:ind w:left="2120"/>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2440"/>
        <w:spacing w:after="0"/>
        <w:rPr>
          <w:sz w:val="20"/>
          <w:szCs w:val="20"/>
          <w:color w:val="auto"/>
        </w:rPr>
      </w:pPr>
      <w:r>
        <w:rPr>
          <w:rFonts w:ascii="Arial" w:cs="Arial" w:eastAsia="Arial" w:hAnsi="Arial"/>
          <w:sz w:val="11"/>
          <w:szCs w:val="11"/>
          <w:b w:val="1"/>
          <w:bCs w:val="1"/>
          <w:color w:val="auto"/>
        </w:rPr>
        <w:t>46-5670947</w:t>
      </w:r>
    </w:p>
    <w:p>
      <w:pPr>
        <w:spacing w:after="0" w:line="11" w:lineRule="exact"/>
        <w:rPr>
          <w:sz w:val="24"/>
          <w:szCs w:val="24"/>
          <w:color w:val="auto"/>
        </w:rPr>
      </w:pPr>
    </w:p>
    <w:p>
      <w:pPr>
        <w:jc w:val="center"/>
        <w:ind w:right="2440"/>
        <w:spacing w:after="0"/>
        <w:rPr>
          <w:sz w:val="20"/>
          <w:szCs w:val="20"/>
          <w:color w:val="auto"/>
        </w:rPr>
      </w:pPr>
      <w:r>
        <w:rPr>
          <w:rFonts w:ascii="Arial" w:cs="Arial" w:eastAsia="Arial" w:hAnsi="Arial"/>
          <w:sz w:val="11"/>
          <w:szCs w:val="11"/>
          <w:color w:val="auto"/>
        </w:rPr>
        <w:t>(I.R.S. Employer</w:t>
      </w:r>
    </w:p>
    <w:p>
      <w:pPr>
        <w:jc w:val="center"/>
        <w:ind w:right="2440"/>
        <w:spacing w:after="0"/>
        <w:rPr>
          <w:sz w:val="20"/>
          <w:szCs w:val="20"/>
          <w:color w:val="auto"/>
        </w:rPr>
      </w:pPr>
      <w:r>
        <w:rPr>
          <w:rFonts w:ascii="Arial" w:cs="Arial" w:eastAsia="Arial" w:hAnsi="Arial"/>
          <w:sz w:val="10"/>
          <w:szCs w:val="10"/>
          <w:color w:val="auto"/>
        </w:rPr>
        <w:t>Identification No.)</w:t>
      </w:r>
    </w:p>
    <w:p>
      <w:pPr>
        <w:spacing w:after="0" w:line="200" w:lineRule="exact"/>
        <w:rPr>
          <w:sz w:val="24"/>
          <w:szCs w:val="24"/>
          <w:color w:val="auto"/>
        </w:rPr>
      </w:pPr>
    </w:p>
    <w:p>
      <w:pPr>
        <w:sectPr>
          <w:pgSz w:w="11900" w:h="16838" w:orient="portrait"/>
          <w:cols w:equalWidth="0" w:num="2">
            <w:col w:w="7460" w:space="720"/>
            <w:col w:w="3280"/>
          </w:cols>
          <w:pgMar w:left="220" w:top="201" w:right="219" w:bottom="1440" w:gutter="0" w:footer="0" w:header="0"/>
          <w:type w:val="continuous"/>
        </w:sectPr>
      </w:pPr>
    </w:p>
    <w:p>
      <w:pPr>
        <w:spacing w:after="0" w:line="15" w:lineRule="exact"/>
        <w:rPr>
          <w:sz w:val="24"/>
          <w:szCs w:val="24"/>
          <w:color w:val="auto"/>
        </w:rPr>
      </w:pPr>
    </w:p>
    <w:p>
      <w:pPr>
        <w:jc w:val="center"/>
        <w:ind w:right="1980"/>
        <w:spacing w:after="0"/>
        <w:rPr>
          <w:sz w:val="20"/>
          <w:szCs w:val="20"/>
          <w:color w:val="auto"/>
        </w:rPr>
      </w:pPr>
      <w:r>
        <w:rPr>
          <w:rFonts w:ascii="Arial" w:cs="Arial" w:eastAsia="Arial" w:hAnsi="Arial"/>
          <w:sz w:val="11"/>
          <w:szCs w:val="11"/>
          <w:b w:val="1"/>
          <w:bCs w:val="1"/>
          <w:color w:val="auto"/>
        </w:rPr>
        <w:t>9200 Oakdale Ave.</w:t>
      </w:r>
    </w:p>
    <w:p>
      <w:pPr>
        <w:spacing w:after="0" w:line="11" w:lineRule="exact"/>
        <w:rPr>
          <w:sz w:val="24"/>
          <w:szCs w:val="24"/>
          <w:color w:val="auto"/>
        </w:rPr>
      </w:pPr>
    </w:p>
    <w:p>
      <w:pPr>
        <w:jc w:val="center"/>
        <w:ind w:right="1980"/>
        <w:spacing w:after="0"/>
        <w:rPr>
          <w:sz w:val="20"/>
          <w:szCs w:val="20"/>
          <w:color w:val="auto"/>
        </w:rPr>
      </w:pPr>
      <w:r>
        <w:rPr>
          <w:rFonts w:ascii="Arial" w:cs="Arial" w:eastAsia="Arial" w:hAnsi="Arial"/>
          <w:sz w:val="11"/>
          <w:szCs w:val="11"/>
          <w:b w:val="1"/>
          <w:bCs w:val="1"/>
          <w:color w:val="auto"/>
        </w:rPr>
        <w:t>Los Angeles, California</w:t>
      </w:r>
    </w:p>
    <w:p>
      <w:pPr>
        <w:jc w:val="center"/>
        <w:ind w:right="1980"/>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20"/>
        <w:spacing w:after="0"/>
        <w:rPr>
          <w:sz w:val="20"/>
          <w:szCs w:val="20"/>
          <w:color w:val="auto"/>
        </w:rPr>
      </w:pPr>
      <w:r>
        <w:rPr>
          <w:rFonts w:ascii="Arial" w:cs="Arial" w:eastAsia="Arial" w:hAnsi="Arial"/>
          <w:sz w:val="11"/>
          <w:szCs w:val="11"/>
          <w:b w:val="1"/>
          <w:bCs w:val="1"/>
          <w:color w:val="auto"/>
        </w:rPr>
        <w:t>91311</w:t>
      </w:r>
    </w:p>
    <w:p>
      <w:pPr>
        <w:spacing w:after="0" w:line="12" w:lineRule="exact"/>
        <w:rPr>
          <w:sz w:val="24"/>
          <w:szCs w:val="24"/>
          <w:color w:val="auto"/>
        </w:rPr>
      </w:pPr>
    </w:p>
    <w:p>
      <w:pPr>
        <w:jc w:val="center"/>
        <w:ind w:right="2620"/>
        <w:spacing w:after="0"/>
        <w:rPr>
          <w:sz w:val="20"/>
          <w:szCs w:val="20"/>
          <w:color w:val="auto"/>
        </w:rPr>
      </w:pPr>
      <w:r>
        <w:rPr>
          <w:rFonts w:ascii="Arial" w:cs="Arial" w:eastAsia="Arial" w:hAnsi="Arial"/>
          <w:sz w:val="10"/>
          <w:szCs w:val="10"/>
          <w:color w:val="auto"/>
        </w:rPr>
        <w:t>(Zip Code)</w:t>
      </w:r>
    </w:p>
    <w:p>
      <w:pPr>
        <w:spacing w:after="0" w:line="143" w:lineRule="exact"/>
        <w:rPr>
          <w:sz w:val="24"/>
          <w:szCs w:val="24"/>
          <w:color w:val="auto"/>
        </w:rPr>
      </w:pPr>
    </w:p>
    <w:p>
      <w:pPr>
        <w:sectPr>
          <w:pgSz w:w="11900" w:h="16838" w:orient="portrait"/>
          <w:cols w:equalWidth="0" w:num="2">
            <w:col w:w="7620" w:space="720"/>
            <w:col w:w="3120"/>
          </w:cols>
          <w:pgMar w:left="220" w:top="201" w:right="219" w:bottom="1440" w:gutter="0" w:footer="0" w:header="0"/>
          <w:type w:val="continuous"/>
        </w:sectPr>
      </w:pPr>
    </w:p>
    <w:p>
      <w:pPr>
        <w:ind w:left="5360"/>
        <w:spacing w:after="0"/>
        <w:rPr>
          <w:sz w:val="20"/>
          <w:szCs w:val="20"/>
          <w:color w:val="auto"/>
        </w:rPr>
      </w:pPr>
      <w:r>
        <w:rPr>
          <w:rFonts w:ascii="Arial" w:cs="Arial" w:eastAsia="Arial" w:hAnsi="Arial"/>
          <w:sz w:val="11"/>
          <w:szCs w:val="11"/>
          <w:b w:val="1"/>
          <w:bCs w:val="1"/>
          <w:color w:val="auto"/>
        </w:rPr>
        <w:t>(888) 848-4754</w:t>
      </w:r>
    </w:p>
    <w:p>
      <w:pPr>
        <w:spacing w:after="0" w:line="11" w:lineRule="exact"/>
        <w:rPr>
          <w:sz w:val="24"/>
          <w:szCs w:val="24"/>
          <w:color w:val="auto"/>
        </w:rPr>
      </w:pPr>
    </w:p>
    <w:p>
      <w:pPr>
        <w:ind w:left="4460"/>
        <w:spacing w:after="0"/>
        <w:rPr>
          <w:sz w:val="20"/>
          <w:szCs w:val="20"/>
          <w:color w:val="auto"/>
        </w:rPr>
      </w:pPr>
      <w:r>
        <w:rPr>
          <w:rFonts w:ascii="Arial" w:cs="Arial" w:eastAsia="Arial" w:hAnsi="Arial"/>
          <w:sz w:val="11"/>
          <w:szCs w:val="11"/>
          <w:color w:val="auto"/>
        </w:rPr>
        <w:t>(Registrant’s telephone number, including area code)</w:t>
      </w:r>
    </w:p>
    <w:p>
      <w:pPr>
        <w:ind w:left="4360"/>
        <w:spacing w:after="0"/>
        <w:rPr>
          <w:sz w:val="20"/>
          <w:szCs w:val="20"/>
          <w:color w:val="auto"/>
        </w:rPr>
      </w:pPr>
      <w:r>
        <w:rPr>
          <w:rFonts w:ascii="Arial" w:cs="Arial" w:eastAsia="Arial" w:hAnsi="Arial"/>
          <w:sz w:val="10"/>
          <w:szCs w:val="10"/>
          <w:color w:val="auto"/>
        </w:rPr>
        <w:t>Securities registered pursuant to Section 12(b) of the Act:</w:t>
      </w:r>
    </w:p>
    <w:p>
      <w:pPr>
        <w:sectPr>
          <w:pgSz w:w="11900" w:h="16838" w:orient="portrait"/>
          <w:cols w:equalWidth="0" w:num="1">
            <w:col w:w="11460"/>
          </w:cols>
          <w:pgMar w:left="220" w:top="201" w:right="219" w:bottom="1440" w:gutter="0" w:footer="0" w:header="0"/>
          <w:type w:val="continuous"/>
        </w:sectPr>
      </w:pPr>
    </w:p>
    <w:p>
      <w:pPr>
        <w:spacing w:after="0" w:line="125" w:lineRule="exact"/>
        <w:rPr>
          <w:sz w:val="24"/>
          <w:szCs w:val="24"/>
          <w:color w:val="auto"/>
        </w:rPr>
      </w:pPr>
    </w:p>
    <w:p>
      <w:pPr>
        <w:ind w:left="2680"/>
        <w:spacing w:after="0"/>
        <w:rPr>
          <w:sz w:val="20"/>
          <w:szCs w:val="20"/>
          <w:color w:val="auto"/>
        </w:rPr>
      </w:pPr>
      <w:r>
        <w:rPr>
          <w:rFonts w:ascii="Arial" w:cs="Arial" w:eastAsia="Arial" w:hAnsi="Arial"/>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Name of Each Exchange on Which Registered</w:t>
      </w:r>
    </w:p>
    <w:p>
      <w:pPr>
        <w:spacing w:after="0" w:line="77" w:lineRule="exact"/>
        <w:rPr>
          <w:sz w:val="24"/>
          <w:szCs w:val="24"/>
          <w:color w:val="auto"/>
        </w:rPr>
      </w:pPr>
    </w:p>
    <w:p>
      <w:pPr>
        <w:sectPr>
          <w:pgSz w:w="11900" w:h="16838" w:orient="portrait"/>
          <w:cols w:equalWidth="0" w:num="2">
            <w:col w:w="5060" w:space="720"/>
            <w:col w:w="5680"/>
          </w:cols>
          <w:pgMar w:left="220" w:top="201" w:right="219" w:bottom="1440" w:gutter="0" w:footer="0" w:header="0"/>
          <w:type w:val="continuous"/>
        </w:sectPr>
      </w:pPr>
    </w:p>
    <w:p>
      <w:pPr>
        <w:ind w:left="2680"/>
        <w:spacing w:after="0"/>
        <w:rPr>
          <w:sz w:val="20"/>
          <w:szCs w:val="20"/>
          <w:color w:val="auto"/>
        </w:rPr>
      </w:pPr>
      <w:r>
        <w:rPr>
          <w:rFonts w:ascii="Arial" w:cs="Arial" w:eastAsia="Arial" w:hAnsi="Arial"/>
          <w:sz w:val="10"/>
          <w:szCs w:val="10"/>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New York Stock Exchange</w:t>
      </w:r>
    </w:p>
    <w:p>
      <w:pPr>
        <w:spacing w:after="0" w:line="107" w:lineRule="exact"/>
        <w:rPr>
          <w:sz w:val="24"/>
          <w:szCs w:val="24"/>
          <w:color w:val="auto"/>
        </w:rPr>
      </w:pPr>
    </w:p>
    <w:p>
      <w:pPr>
        <w:sectPr>
          <w:pgSz w:w="11900" w:h="16838" w:orient="portrait"/>
          <w:cols w:equalWidth="0" w:num="2">
            <w:col w:w="5060" w:space="720"/>
            <w:col w:w="5680"/>
          </w:cols>
          <w:pgMar w:left="220" w:top="201" w:right="219" w:bottom="1440" w:gutter="0" w:footer="0" w:header="0"/>
          <w:type w:val="continuous"/>
        </w:sectPr>
      </w:pPr>
    </w:p>
    <w:p>
      <w:pPr>
        <w:ind w:left="4300"/>
        <w:spacing w:after="0"/>
        <w:rPr>
          <w:sz w:val="20"/>
          <w:szCs w:val="20"/>
          <w:color w:val="auto"/>
        </w:rPr>
      </w:pPr>
      <w:r>
        <w:rPr>
          <w:rFonts w:ascii="Arial" w:cs="Arial" w:eastAsia="Arial" w:hAnsi="Arial"/>
          <w:sz w:val="10"/>
          <w:szCs w:val="10"/>
          <w:color w:val="auto"/>
        </w:rPr>
        <w:t>Securities registered pursuant to Section 12(g) of the Act: None</w:t>
      </w:r>
    </w:p>
    <w:p>
      <w:pPr>
        <w:spacing w:after="0" w:line="12" w:lineRule="exact"/>
        <w:rPr>
          <w:sz w:val="24"/>
          <w:szCs w:val="24"/>
          <w:color w:val="auto"/>
        </w:rPr>
      </w:pPr>
    </w:p>
    <w:p>
      <w:pPr>
        <w:ind w:left="100"/>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ectPr>
          <w:pgSz w:w="11900" w:h="16838" w:orient="portrait"/>
          <w:cols w:equalWidth="0" w:num="1">
            <w:col w:w="11460"/>
          </w:cols>
          <w:pgMar w:left="220" w:top="201" w:right="219" w:bottom="1440" w:gutter="0" w:footer="0" w:header="0"/>
          <w:type w:val="continuous"/>
        </w:sectPr>
      </w:pPr>
    </w:p>
    <w:p>
      <w:pPr>
        <w:spacing w:after="0" w:line="46" w:lineRule="exact"/>
        <w:rPr>
          <w:sz w:val="24"/>
          <w:szCs w:val="24"/>
          <w:color w:val="auto"/>
        </w:rPr>
      </w:pPr>
    </w:p>
    <w:p>
      <w:pPr>
        <w:ind w:left="100"/>
        <w:spacing w:after="0" w:line="115" w:lineRule="exact"/>
        <w:tabs>
          <w:tab w:leader="none" w:pos="5760" w:val="left"/>
        </w:tabs>
        <w:rPr>
          <w:sz w:val="20"/>
          <w:szCs w:val="20"/>
          <w:color w:val="auto"/>
        </w:rPr>
      </w:pPr>
      <w:r>
        <w:rPr>
          <w:rFonts w:ascii="Arial" w:cs="Arial" w:eastAsia="Arial" w:hAnsi="Arial"/>
          <w:sz w:val="10"/>
          <w:szCs w:val="10"/>
          <w:color w:val="auto"/>
        </w:rPr>
        <w:t>Indicate by check mark if the registrant is not required to file reports pursuant to Section 13 or Section 15(d) of the Act:Yes</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57" w:lineRule="exact"/>
        <w:rPr>
          <w:sz w:val="24"/>
          <w:szCs w:val="24"/>
          <w:color w:val="auto"/>
        </w:rPr>
      </w:pPr>
    </w:p>
    <w:p>
      <w:pPr>
        <w:ind w:firstLine="108"/>
        <w:spacing w:after="0" w:line="126"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9" w:lineRule="exact"/>
        <w:rPr>
          <w:sz w:val="24"/>
          <w:szCs w:val="24"/>
          <w:color w:val="auto"/>
        </w:rPr>
      </w:pPr>
    </w:p>
    <w:p>
      <w:pPr>
        <w:ind w:firstLine="108"/>
        <w:spacing w:after="0" w:line="126" w:lineRule="exact"/>
        <w:rPr>
          <w:sz w:val="20"/>
          <w:szCs w:val="20"/>
          <w:color w:val="auto"/>
        </w:rPr>
      </w:pPr>
      <w:r>
        <w:rPr>
          <w:rFonts w:ascii="Arial" w:cs="Arial" w:eastAsia="Arial" w:hAnsi="Arial"/>
          <w:sz w:val="10"/>
          <w:szCs w:val="10"/>
          <w:color w:val="auto"/>
        </w:rPr>
        <w:t xml:space="preserve">Indicate by check mark whether the registrant has submitted electronically and posted on its corporate Web site, if any, every Interactive Date File required to be submitted and posted pursuant to Rule 405 of Regulation S-T during the preceding 12 months (or such shorter period as the registrant was required to submit and post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9" w:lineRule="exact"/>
        <w:rPr>
          <w:sz w:val="24"/>
          <w:szCs w:val="24"/>
          <w:color w:val="auto"/>
        </w:rPr>
      </w:pPr>
    </w:p>
    <w:p>
      <w:pPr>
        <w:ind w:firstLine="108"/>
        <w:spacing w:after="0" w:line="126" w:lineRule="exact"/>
        <w:rPr>
          <w:sz w:val="20"/>
          <w:szCs w:val="20"/>
          <w:color w:val="auto"/>
        </w:rPr>
      </w:pPr>
      <w:r>
        <w:rPr>
          <w:rFonts w:ascii="Arial" w:cs="Arial" w:eastAsia="Arial" w:hAnsi="Arial"/>
          <w:sz w:val="10"/>
          <w:szCs w:val="10"/>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0"/>
          <w:szCs w:val="10"/>
          <w:color w:val="auto"/>
        </w:rPr>
        <w:t>☐</w:t>
      </w:r>
    </w:p>
    <w:p>
      <w:pPr>
        <w:spacing w:after="0" w:line="19" w:lineRule="exact"/>
        <w:rPr>
          <w:sz w:val="24"/>
          <w:szCs w:val="24"/>
          <w:color w:val="auto"/>
        </w:rPr>
      </w:pPr>
    </w:p>
    <w:p>
      <w:pPr>
        <w:ind w:firstLine="108"/>
        <w:spacing w:after="0" w:line="259"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20" w:top="201" w:right="219" w:bottom="1440" w:gutter="0" w:footer="0" w:header="0"/>
          <w:type w:val="continuous"/>
        </w:sectPr>
      </w:pPr>
    </w:p>
    <w:p>
      <w:pPr>
        <w:spacing w:after="0" w:line="112" w:lineRule="exact"/>
        <w:rPr>
          <w:sz w:val="24"/>
          <w:szCs w:val="24"/>
          <w:color w:val="auto"/>
        </w:rPr>
      </w:pPr>
    </w:p>
    <w:p>
      <w:pPr>
        <w:ind w:left="2680"/>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0" w:lineRule="exact"/>
        <w:rPr>
          <w:sz w:val="24"/>
          <w:szCs w:val="24"/>
          <w:color w:val="auto"/>
        </w:rPr>
      </w:pPr>
    </w:p>
    <w:p>
      <w:pPr>
        <w:sectPr>
          <w:pgSz w:w="11900" w:h="16838" w:orient="portrait"/>
          <w:cols w:equalWidth="0" w:num="6">
            <w:col w:w="3740" w:space="300"/>
            <w:col w:w="100" w:space="660"/>
            <w:col w:w="780" w:space="600"/>
            <w:col w:w="100" w:space="680"/>
            <w:col w:w="980" w:space="100"/>
            <w:col w:w="3420"/>
          </w:cols>
          <w:pgMar w:left="220" w:top="201" w:right="219" w:bottom="1440" w:gutter="0" w:footer="0" w:header="0"/>
          <w:type w:val="continuous"/>
        </w:sectPr>
      </w:pPr>
    </w:p>
    <w:p>
      <w:pPr>
        <w:spacing w:after="0" w:line="35" w:lineRule="exact"/>
        <w:rPr>
          <w:sz w:val="24"/>
          <w:szCs w:val="24"/>
          <w:color w:val="auto"/>
        </w:rPr>
      </w:pPr>
    </w:p>
    <w:p>
      <w:pPr>
        <w:ind w:left="2680"/>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78" w:lineRule="exact"/>
        <w:rPr>
          <w:sz w:val="24"/>
          <w:szCs w:val="24"/>
          <w:color w:val="auto"/>
        </w:rPr>
      </w:pPr>
    </w:p>
    <w:p>
      <w:pPr>
        <w:sectPr>
          <w:pgSz w:w="11900" w:h="16838" w:orient="portrait"/>
          <w:cols w:equalWidth="0" w:num="4">
            <w:col w:w="3980" w:space="60"/>
            <w:col w:w="100" w:space="660"/>
            <w:col w:w="1260" w:space="120"/>
            <w:col w:w="5280"/>
          </w:cols>
          <w:pgMar w:left="220" w:top="201" w:right="219" w:bottom="1440" w:gutter="0" w:footer="0" w:header="0"/>
          <w:type w:val="continuous"/>
        </w:sectPr>
      </w:pPr>
    </w:p>
    <w:p>
      <w:pPr>
        <w:ind w:left="100"/>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1" w:lineRule="exact"/>
        <w:rPr>
          <w:sz w:val="20"/>
          <w:szCs w:val="20"/>
          <w:color w:val="auto"/>
        </w:rPr>
      </w:pPr>
      <w:r>
        <w:rPr>
          <w:rFonts w:ascii="MS PGothic" w:cs="MS PGothic" w:eastAsia="MS PGothic" w:hAnsi="MS PGothic"/>
          <w:sz w:val="10"/>
          <w:szCs w:val="10"/>
          <w:color w:val="auto"/>
        </w:rPr>
        <w:t>☐</w:t>
      </w:r>
    </w:p>
    <w:p>
      <w:pPr>
        <w:spacing w:after="0" w:line="37" w:lineRule="exact"/>
        <w:rPr>
          <w:sz w:val="24"/>
          <w:szCs w:val="24"/>
          <w:color w:val="auto"/>
        </w:rPr>
      </w:pPr>
    </w:p>
    <w:p>
      <w:pPr>
        <w:ind w:left="100"/>
        <w:spacing w:after="0" w:line="115" w:lineRule="exact"/>
        <w:tabs>
          <w:tab w:leader="none" w:pos="506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75" w:lineRule="exact"/>
        <w:rPr>
          <w:sz w:val="24"/>
          <w:szCs w:val="24"/>
          <w:color w:val="auto"/>
        </w:rPr>
      </w:pPr>
    </w:p>
    <w:p>
      <w:pPr>
        <w:jc w:val="both"/>
        <w:ind w:firstLine="108"/>
        <w:spacing w:after="0" w:line="252" w:lineRule="auto"/>
        <w:rPr>
          <w:sz w:val="20"/>
          <w:szCs w:val="20"/>
          <w:color w:val="auto"/>
        </w:rPr>
      </w:pPr>
      <w:r>
        <w:rPr>
          <w:rFonts w:ascii="Arial" w:cs="Arial" w:eastAsia="Arial" w:hAnsi="Arial"/>
          <w:sz w:val="10"/>
          <w:szCs w:val="10"/>
          <w:color w:val="auto"/>
        </w:rPr>
        <w:t>The aggregate market value of the voting common stock held by nonaffiliates of the registrant was approximately $363 million, computed by reference to the closing price on the New York Stock Exchange composite tape of $8.55 per share of Common Stock on June 30, 2017. Shares of Common Stock held by each executive officer and director have been excluded from this computation in that such persons may be deemed to be affiliates. This determination of potential affiliate status is not a conclusive determination for other purposes.</w:t>
      </w:r>
    </w:p>
    <w:p>
      <w:pPr>
        <w:spacing w:after="0" w:line="97" w:lineRule="exact"/>
        <w:rPr>
          <w:sz w:val="24"/>
          <w:szCs w:val="24"/>
          <w:color w:val="auto"/>
        </w:rPr>
      </w:pPr>
    </w:p>
    <w:p>
      <w:pPr>
        <w:ind w:left="100"/>
        <w:spacing w:after="0"/>
        <w:rPr>
          <w:sz w:val="20"/>
          <w:szCs w:val="20"/>
          <w:color w:val="auto"/>
        </w:rPr>
      </w:pPr>
      <w:r>
        <w:rPr>
          <w:rFonts w:ascii="Arial" w:cs="Arial" w:eastAsia="Arial" w:hAnsi="Arial"/>
          <w:sz w:val="10"/>
          <w:szCs w:val="10"/>
          <w:color w:val="auto"/>
        </w:rPr>
        <w:t>At January 31, 2018, there were 42,901,946 shares of Common Stock outstanding.</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DOCUMENTS INCORPORATED BY REFERENCE</w:t>
      </w:r>
    </w:p>
    <w:p>
      <w:pPr>
        <w:spacing w:after="0" w:line="38" w:lineRule="exact"/>
        <w:rPr>
          <w:sz w:val="24"/>
          <w:szCs w:val="24"/>
          <w:color w:val="auto"/>
        </w:rPr>
      </w:pPr>
    </w:p>
    <w:p>
      <w:pPr>
        <w:jc w:val="center"/>
        <w:ind w:right="280"/>
        <w:spacing w:after="0"/>
        <w:rPr>
          <w:sz w:val="20"/>
          <w:szCs w:val="20"/>
          <w:color w:val="auto"/>
        </w:rPr>
      </w:pPr>
      <w:r>
        <w:rPr>
          <w:rFonts w:ascii="Arial" w:cs="Arial" w:eastAsia="Arial" w:hAnsi="Arial"/>
          <w:sz w:val="10"/>
          <w:szCs w:val="10"/>
          <w:color w:val="auto"/>
        </w:rPr>
        <w:t>Portions of the registrant’s definitive proxy statement to be filed with the Securities and Exchange Commission in connection with the registrant's 2018 Annual Meeting of Stockholders, are incorporated by reference into Part III of this Form 10-K.</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60"/>
          </w:cols>
          <w:pgMar w:left="220" w:top="201"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TABLE OF CONTENTS</w:t>
      </w:r>
    </w:p>
    <w:p>
      <w:pPr>
        <w:spacing w:after="0" w:line="136" w:lineRule="exact"/>
        <w:rPr>
          <w:sz w:val="20"/>
          <w:szCs w:val="20"/>
          <w:color w:val="auto"/>
        </w:rPr>
      </w:pPr>
    </w:p>
    <w:tbl>
      <w:tblPr>
        <w:tblLayout w:type="fixed"/>
        <w:tblInd w:w="146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Part I</w:t>
            </w:r>
          </w:p>
        </w:tc>
        <w:tc>
          <w:tcPr>
            <w:tcW w:w="5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1</w:t>
            </w:r>
          </w:p>
        </w:tc>
        <w:tc>
          <w:tcPr>
            <w:tcW w:w="5040" w:type="dxa"/>
            <w:vAlign w:val="bottom"/>
          </w:tcPr>
          <w:p>
            <w:pPr>
              <w:ind w:left="120"/>
              <w:spacing w:after="0"/>
              <w:rPr>
                <w:sz w:val="20"/>
                <w:szCs w:val="20"/>
                <w:color w:val="auto"/>
              </w:rPr>
            </w:pPr>
            <w:r>
              <w:rPr>
                <w:rFonts w:ascii="Arial" w:cs="Arial" w:eastAsia="Arial" w:hAnsi="Arial"/>
                <w:sz w:val="11"/>
                <w:szCs w:val="11"/>
                <w:color w:val="auto"/>
              </w:rPr>
              <w:t>BUSINESS</w:t>
            </w:r>
          </w:p>
        </w:tc>
        <w:tc>
          <w:tcPr>
            <w:tcW w:w="460" w:type="dxa"/>
            <w:vAlign w:val="bottom"/>
          </w:tcPr>
          <w:p>
            <w:pPr>
              <w:jc w:val="right"/>
              <w:spacing w:after="0"/>
              <w:rPr>
                <w:rFonts w:ascii="Arial" w:cs="Arial" w:eastAsia="Arial" w:hAnsi="Arial"/>
                <w:sz w:val="11"/>
                <w:szCs w:val="11"/>
                <w:b w:val="1"/>
                <w:bCs w:val="1"/>
                <w:color w:val="auto"/>
              </w:rPr>
            </w:pPr>
            <w:hyperlink w:anchor="page4">
              <w:r>
                <w:rPr>
                  <w:rFonts w:ascii="Arial" w:cs="Arial" w:eastAsia="Arial" w:hAnsi="Arial"/>
                  <w:sz w:val="11"/>
                  <w:szCs w:val="11"/>
                  <w:b w:val="1"/>
                  <w:bCs w:val="1"/>
                  <w:color w:val="auto"/>
                </w:rPr>
                <w:t>4</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General</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4">
              <w:r>
                <w:rPr>
                  <w:rFonts w:ascii="Arial" w:cs="Arial" w:eastAsia="Arial" w:hAnsi="Arial"/>
                  <w:sz w:val="11"/>
                  <w:szCs w:val="11"/>
                  <w:b w:val="1"/>
                  <w:bCs w:val="1"/>
                  <w:color w:val="auto"/>
                </w:rPr>
                <w:t>4</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Business Operations and Environment</w:t>
            </w:r>
          </w:p>
        </w:tc>
        <w:tc>
          <w:tcPr>
            <w:tcW w:w="460" w:type="dxa"/>
            <w:vAlign w:val="bottom"/>
          </w:tcPr>
          <w:p>
            <w:pPr>
              <w:jc w:val="right"/>
              <w:spacing w:after="0"/>
              <w:rPr>
                <w:rFonts w:ascii="Arial" w:cs="Arial" w:eastAsia="Arial" w:hAnsi="Arial"/>
                <w:sz w:val="11"/>
                <w:szCs w:val="11"/>
                <w:b w:val="1"/>
                <w:bCs w:val="1"/>
                <w:color w:val="auto"/>
              </w:rPr>
            </w:pPr>
            <w:hyperlink w:anchor="page4">
              <w:r>
                <w:rPr>
                  <w:rFonts w:ascii="Arial" w:cs="Arial" w:eastAsia="Arial" w:hAnsi="Arial"/>
                  <w:sz w:val="11"/>
                  <w:szCs w:val="11"/>
                  <w:b w:val="1"/>
                  <w:bCs w:val="1"/>
                  <w:color w:val="auto"/>
                </w:rPr>
                <w:t>4</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Our Business Strategy</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6">
              <w:r>
                <w:rPr>
                  <w:rFonts w:ascii="Arial" w:cs="Arial" w:eastAsia="Arial" w:hAnsi="Arial"/>
                  <w:sz w:val="11"/>
                  <w:szCs w:val="11"/>
                  <w:b w:val="1"/>
                  <w:bCs w:val="1"/>
                  <w:color w:val="auto"/>
                </w:rPr>
                <w:t>6</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Key Characteristics of our Operations</w:t>
            </w:r>
          </w:p>
        </w:tc>
        <w:tc>
          <w:tcPr>
            <w:tcW w:w="460" w:type="dxa"/>
            <w:vAlign w:val="bottom"/>
          </w:tcPr>
          <w:p>
            <w:pPr>
              <w:jc w:val="right"/>
              <w:spacing w:after="0"/>
              <w:rPr>
                <w:rFonts w:ascii="Arial" w:cs="Arial" w:eastAsia="Arial" w:hAnsi="Arial"/>
                <w:sz w:val="11"/>
                <w:szCs w:val="11"/>
                <w:b w:val="1"/>
                <w:bCs w:val="1"/>
                <w:color w:val="auto"/>
              </w:rPr>
            </w:pPr>
            <w:hyperlink w:anchor="page8">
              <w:r>
                <w:rPr>
                  <w:rFonts w:ascii="Arial" w:cs="Arial" w:eastAsia="Arial" w:hAnsi="Arial"/>
                  <w:sz w:val="11"/>
                  <w:szCs w:val="11"/>
                  <w:b w:val="1"/>
                  <w:bCs w:val="1"/>
                  <w:color w:val="auto"/>
                </w:rPr>
                <w:t>8</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Portfolio Management and Capital Program</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9">
              <w:r>
                <w:rPr>
                  <w:rFonts w:ascii="Arial" w:cs="Arial" w:eastAsia="Arial" w:hAnsi="Arial"/>
                  <w:sz w:val="11"/>
                  <w:szCs w:val="11"/>
                  <w:b w:val="1"/>
                  <w:bCs w:val="1"/>
                  <w:color w:val="auto"/>
                </w:rPr>
                <w:t>9</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Reserves and Production Information</w:t>
            </w:r>
          </w:p>
        </w:tc>
        <w:tc>
          <w:tcPr>
            <w:tcW w:w="460" w:type="dxa"/>
            <w:vAlign w:val="bottom"/>
          </w:tcPr>
          <w:p>
            <w:pPr>
              <w:jc w:val="right"/>
              <w:spacing w:after="0"/>
              <w:rPr>
                <w:rFonts w:ascii="Arial" w:cs="Arial" w:eastAsia="Arial" w:hAnsi="Arial"/>
                <w:sz w:val="11"/>
                <w:szCs w:val="11"/>
                <w:b w:val="1"/>
                <w:bCs w:val="1"/>
                <w:color w:val="auto"/>
              </w:rPr>
            </w:pPr>
            <w:hyperlink w:anchor="page10">
              <w:r>
                <w:rPr>
                  <w:rFonts w:ascii="Arial" w:cs="Arial" w:eastAsia="Arial" w:hAnsi="Arial"/>
                  <w:sz w:val="11"/>
                  <w:szCs w:val="11"/>
                  <w:b w:val="1"/>
                  <w:bCs w:val="1"/>
                  <w:color w:val="auto"/>
                </w:rPr>
                <w:t>10</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Marketing Arrangements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10">
              <w:r>
                <w:rPr>
                  <w:rFonts w:ascii="Arial" w:cs="Arial" w:eastAsia="Arial" w:hAnsi="Arial"/>
                  <w:sz w:val="11"/>
                  <w:szCs w:val="11"/>
                  <w:b w:val="1"/>
                  <w:bCs w:val="1"/>
                  <w:color w:val="auto"/>
                </w:rPr>
                <w:t>10</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Regulation of the Oil and Natural Gas Industry</w:t>
            </w:r>
          </w:p>
        </w:tc>
        <w:tc>
          <w:tcPr>
            <w:tcW w:w="460" w:type="dxa"/>
            <w:vAlign w:val="bottom"/>
          </w:tcPr>
          <w:p>
            <w:pPr>
              <w:jc w:val="right"/>
              <w:spacing w:after="0"/>
              <w:rPr>
                <w:rFonts w:ascii="Arial" w:cs="Arial" w:eastAsia="Arial" w:hAnsi="Arial"/>
                <w:sz w:val="11"/>
                <w:szCs w:val="11"/>
                <w:b w:val="1"/>
                <w:bCs w:val="1"/>
                <w:color w:val="auto"/>
              </w:rPr>
            </w:pPr>
            <w:hyperlink w:anchor="page11">
              <w:r>
                <w:rPr>
                  <w:rFonts w:ascii="Arial" w:cs="Arial" w:eastAsia="Arial" w:hAnsi="Arial"/>
                  <w:sz w:val="11"/>
                  <w:szCs w:val="11"/>
                  <w:b w:val="1"/>
                  <w:bCs w:val="1"/>
                  <w:color w:val="auto"/>
                </w:rPr>
                <w:t>11</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Employees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15">
              <w:r>
                <w:rPr>
                  <w:rFonts w:ascii="Arial" w:cs="Arial" w:eastAsia="Arial" w:hAnsi="Arial"/>
                  <w:sz w:val="11"/>
                  <w:szCs w:val="11"/>
                  <w:b w:val="1"/>
                  <w:bCs w:val="1"/>
                  <w:color w:val="auto"/>
                </w:rPr>
                <w:t>15</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Spin-Off and Reverse Stock Split</w:t>
            </w:r>
          </w:p>
        </w:tc>
        <w:tc>
          <w:tcPr>
            <w:tcW w:w="460" w:type="dxa"/>
            <w:vAlign w:val="bottom"/>
          </w:tcPr>
          <w:p>
            <w:pPr>
              <w:jc w:val="right"/>
              <w:spacing w:after="0"/>
              <w:rPr>
                <w:rFonts w:ascii="Arial" w:cs="Arial" w:eastAsia="Arial" w:hAnsi="Arial"/>
                <w:sz w:val="11"/>
                <w:szCs w:val="11"/>
                <w:b w:val="1"/>
                <w:bCs w:val="1"/>
                <w:color w:val="auto"/>
              </w:rPr>
            </w:pPr>
            <w:hyperlink w:anchor="page16">
              <w:r>
                <w:rPr>
                  <w:rFonts w:ascii="Arial" w:cs="Arial" w:eastAsia="Arial" w:hAnsi="Arial"/>
                  <w:sz w:val="11"/>
                  <w:szCs w:val="11"/>
                  <w:b w:val="1"/>
                  <w:bCs w:val="1"/>
                  <w:color w:val="auto"/>
                </w:rPr>
                <w:t>16</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Available Information</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16">
              <w:r>
                <w:rPr>
                  <w:rFonts w:ascii="Arial" w:cs="Arial" w:eastAsia="Arial" w:hAnsi="Arial"/>
                  <w:sz w:val="11"/>
                  <w:szCs w:val="11"/>
                  <w:b w:val="1"/>
                  <w:bCs w:val="1"/>
                  <w:color w:val="auto"/>
                </w:rPr>
                <w:t>16</w:t>
              </w:r>
            </w:hyperlink>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1A</w:t>
            </w:r>
          </w:p>
        </w:tc>
        <w:tc>
          <w:tcPr>
            <w:tcW w:w="5040" w:type="dxa"/>
            <w:vAlign w:val="bottom"/>
          </w:tcPr>
          <w:p>
            <w:pPr>
              <w:ind w:left="120"/>
              <w:spacing w:after="0"/>
              <w:rPr>
                <w:sz w:val="20"/>
                <w:szCs w:val="20"/>
                <w:color w:val="auto"/>
              </w:rPr>
            </w:pPr>
            <w:r>
              <w:rPr>
                <w:rFonts w:ascii="Arial" w:cs="Arial" w:eastAsia="Arial" w:hAnsi="Arial"/>
                <w:sz w:val="11"/>
                <w:szCs w:val="11"/>
                <w:color w:val="auto"/>
              </w:rPr>
              <w:t>RISK FACTORS</w:t>
            </w:r>
          </w:p>
        </w:tc>
        <w:tc>
          <w:tcPr>
            <w:tcW w:w="460" w:type="dxa"/>
            <w:vAlign w:val="bottom"/>
          </w:tcPr>
          <w:p>
            <w:pPr>
              <w:jc w:val="right"/>
              <w:spacing w:after="0"/>
              <w:rPr>
                <w:rFonts w:ascii="Arial" w:cs="Arial" w:eastAsia="Arial" w:hAnsi="Arial"/>
                <w:sz w:val="11"/>
                <w:szCs w:val="11"/>
                <w:b w:val="1"/>
                <w:bCs w:val="1"/>
                <w:color w:val="auto"/>
              </w:rPr>
            </w:pPr>
            <w:hyperlink w:anchor="page16">
              <w:r>
                <w:rPr>
                  <w:rFonts w:ascii="Arial" w:cs="Arial" w:eastAsia="Arial" w:hAnsi="Arial"/>
                  <w:sz w:val="11"/>
                  <w:szCs w:val="11"/>
                  <w:b w:val="1"/>
                  <w:bCs w:val="1"/>
                  <w:color w:val="auto"/>
                </w:rPr>
                <w:t>16</w:t>
              </w:r>
            </w:hyperlink>
          </w:p>
        </w:tc>
        <w:tc>
          <w:tcPr>
            <w:tcW w:w="0" w:type="dxa"/>
            <w:vAlign w:val="bottom"/>
          </w:tcPr>
          <w:p>
            <w:pPr>
              <w:spacing w:after="0"/>
              <w:rPr>
                <w:sz w:val="1"/>
                <w:szCs w:val="1"/>
                <w:color w:val="auto"/>
              </w:rPr>
            </w:pPr>
          </w:p>
        </w:tc>
      </w:tr>
      <w:tr>
        <w:trPr>
          <w:trHeight w:val="169"/>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1B</w:t>
            </w:r>
          </w:p>
        </w:tc>
        <w:tc>
          <w:tcPr>
            <w:tcW w:w="5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UNRESOLVED STAFF COMMENTS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24">
              <w:r>
                <w:rPr>
                  <w:rFonts w:ascii="Arial" w:cs="Arial" w:eastAsia="Arial" w:hAnsi="Arial"/>
                  <w:sz w:val="11"/>
                  <w:szCs w:val="11"/>
                  <w:b w:val="1"/>
                  <w:bCs w:val="1"/>
                  <w:color w:val="auto"/>
                </w:rPr>
                <w:t>24</w:t>
              </w:r>
            </w:hyperlink>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2</w:t>
            </w:r>
          </w:p>
        </w:tc>
        <w:tc>
          <w:tcPr>
            <w:tcW w:w="5040" w:type="dxa"/>
            <w:vAlign w:val="bottom"/>
          </w:tcPr>
          <w:p>
            <w:pPr>
              <w:ind w:left="120"/>
              <w:spacing w:after="0"/>
              <w:rPr>
                <w:sz w:val="20"/>
                <w:szCs w:val="20"/>
                <w:color w:val="auto"/>
              </w:rPr>
            </w:pPr>
            <w:r>
              <w:rPr>
                <w:rFonts w:ascii="Arial" w:cs="Arial" w:eastAsia="Arial" w:hAnsi="Arial"/>
                <w:sz w:val="11"/>
                <w:szCs w:val="11"/>
                <w:color w:val="auto"/>
              </w:rPr>
              <w:t>PROPERTIES</w:t>
            </w:r>
          </w:p>
        </w:tc>
        <w:tc>
          <w:tcPr>
            <w:tcW w:w="460" w:type="dxa"/>
            <w:vAlign w:val="bottom"/>
          </w:tcPr>
          <w:p>
            <w:pPr>
              <w:jc w:val="right"/>
              <w:spacing w:after="0"/>
              <w:rPr>
                <w:rFonts w:ascii="Arial" w:cs="Arial" w:eastAsia="Arial" w:hAnsi="Arial"/>
                <w:sz w:val="11"/>
                <w:szCs w:val="11"/>
                <w:b w:val="1"/>
                <w:bCs w:val="1"/>
                <w:color w:val="auto"/>
              </w:rPr>
            </w:pPr>
            <w:hyperlink w:anchor="page25">
              <w:r>
                <w:rPr>
                  <w:rFonts w:ascii="Arial" w:cs="Arial" w:eastAsia="Arial" w:hAnsi="Arial"/>
                  <w:sz w:val="11"/>
                  <w:szCs w:val="11"/>
                  <w:b w:val="1"/>
                  <w:bCs w:val="1"/>
                  <w:color w:val="auto"/>
                </w:rPr>
                <w:t>25</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Our Operations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25">
              <w:r>
                <w:rPr>
                  <w:rFonts w:ascii="Arial" w:cs="Arial" w:eastAsia="Arial" w:hAnsi="Arial"/>
                  <w:sz w:val="11"/>
                  <w:szCs w:val="11"/>
                  <w:b w:val="1"/>
                  <w:bCs w:val="1"/>
                  <w:color w:val="auto"/>
                </w:rPr>
                <w:t>25</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Exploration Program</w:t>
            </w:r>
          </w:p>
        </w:tc>
        <w:tc>
          <w:tcPr>
            <w:tcW w:w="460" w:type="dxa"/>
            <w:vAlign w:val="bottom"/>
          </w:tcPr>
          <w:p>
            <w:pPr>
              <w:jc w:val="right"/>
              <w:spacing w:after="0"/>
              <w:rPr>
                <w:rFonts w:ascii="Arial" w:cs="Arial" w:eastAsia="Arial" w:hAnsi="Arial"/>
                <w:sz w:val="11"/>
                <w:szCs w:val="11"/>
                <w:b w:val="1"/>
                <w:bCs w:val="1"/>
                <w:color w:val="auto"/>
              </w:rPr>
            </w:pPr>
            <w:hyperlink w:anchor="page29">
              <w:r>
                <w:rPr>
                  <w:rFonts w:ascii="Arial" w:cs="Arial" w:eastAsia="Arial" w:hAnsi="Arial"/>
                  <w:sz w:val="11"/>
                  <w:szCs w:val="11"/>
                  <w:b w:val="1"/>
                  <w:bCs w:val="1"/>
                  <w:color w:val="auto"/>
                </w:rPr>
                <w:t>29</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Our Reserves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29">
              <w:r>
                <w:rPr>
                  <w:rFonts w:ascii="Arial" w:cs="Arial" w:eastAsia="Arial" w:hAnsi="Arial"/>
                  <w:sz w:val="11"/>
                  <w:szCs w:val="11"/>
                  <w:b w:val="1"/>
                  <w:bCs w:val="1"/>
                  <w:color w:val="auto"/>
                </w:rPr>
                <w:t>29</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Drilling Locations</w:t>
            </w:r>
          </w:p>
        </w:tc>
        <w:tc>
          <w:tcPr>
            <w:tcW w:w="460" w:type="dxa"/>
            <w:vAlign w:val="bottom"/>
          </w:tcPr>
          <w:p>
            <w:pPr>
              <w:jc w:val="right"/>
              <w:spacing w:after="0"/>
              <w:rPr>
                <w:rFonts w:ascii="Arial" w:cs="Arial" w:eastAsia="Arial" w:hAnsi="Arial"/>
                <w:sz w:val="11"/>
                <w:szCs w:val="11"/>
                <w:b w:val="1"/>
                <w:bCs w:val="1"/>
                <w:color w:val="auto"/>
              </w:rPr>
            </w:pPr>
            <w:hyperlink w:anchor="page35">
              <w:r>
                <w:rPr>
                  <w:rFonts w:ascii="Arial" w:cs="Arial" w:eastAsia="Arial" w:hAnsi="Arial"/>
                  <w:sz w:val="11"/>
                  <w:szCs w:val="11"/>
                  <w:b w:val="1"/>
                  <w:bCs w:val="1"/>
                  <w:color w:val="auto"/>
                </w:rPr>
                <w:t>35</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Production, Price and Cost History</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38">
              <w:r>
                <w:rPr>
                  <w:rFonts w:ascii="Arial" w:cs="Arial" w:eastAsia="Arial" w:hAnsi="Arial"/>
                  <w:sz w:val="11"/>
                  <w:szCs w:val="11"/>
                  <w:b w:val="1"/>
                  <w:bCs w:val="1"/>
                  <w:color w:val="auto"/>
                </w:rPr>
                <w:t>38</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Productive Wells</w:t>
            </w:r>
          </w:p>
        </w:tc>
        <w:tc>
          <w:tcPr>
            <w:tcW w:w="460" w:type="dxa"/>
            <w:vAlign w:val="bottom"/>
          </w:tcPr>
          <w:p>
            <w:pPr>
              <w:jc w:val="right"/>
              <w:spacing w:after="0"/>
              <w:rPr>
                <w:rFonts w:ascii="Arial" w:cs="Arial" w:eastAsia="Arial" w:hAnsi="Arial"/>
                <w:sz w:val="11"/>
                <w:szCs w:val="11"/>
                <w:b w:val="1"/>
                <w:bCs w:val="1"/>
                <w:color w:val="auto"/>
              </w:rPr>
            </w:pPr>
            <w:hyperlink w:anchor="page41">
              <w:r>
                <w:rPr>
                  <w:rFonts w:ascii="Arial" w:cs="Arial" w:eastAsia="Arial" w:hAnsi="Arial"/>
                  <w:sz w:val="11"/>
                  <w:szCs w:val="11"/>
                  <w:b w:val="1"/>
                  <w:bCs w:val="1"/>
                  <w:color w:val="auto"/>
                </w:rPr>
                <w:t>41</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Acreage</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41">
              <w:r>
                <w:rPr>
                  <w:rFonts w:ascii="Arial" w:cs="Arial" w:eastAsia="Arial" w:hAnsi="Arial"/>
                  <w:sz w:val="11"/>
                  <w:szCs w:val="11"/>
                  <w:b w:val="1"/>
                  <w:bCs w:val="1"/>
                  <w:color w:val="auto"/>
                </w:rPr>
                <w:t>41</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Drilling Activities</w:t>
            </w:r>
          </w:p>
        </w:tc>
        <w:tc>
          <w:tcPr>
            <w:tcW w:w="460" w:type="dxa"/>
            <w:vAlign w:val="bottom"/>
          </w:tcPr>
          <w:p>
            <w:pPr>
              <w:jc w:val="right"/>
              <w:spacing w:after="0"/>
              <w:rPr>
                <w:rFonts w:ascii="Arial" w:cs="Arial" w:eastAsia="Arial" w:hAnsi="Arial"/>
                <w:sz w:val="11"/>
                <w:szCs w:val="11"/>
                <w:b w:val="1"/>
                <w:bCs w:val="1"/>
                <w:color w:val="auto"/>
              </w:rPr>
            </w:pPr>
            <w:hyperlink w:anchor="page42">
              <w:r>
                <w:rPr>
                  <w:rFonts w:ascii="Arial" w:cs="Arial" w:eastAsia="Arial" w:hAnsi="Arial"/>
                  <w:sz w:val="11"/>
                  <w:szCs w:val="11"/>
                  <w:b w:val="1"/>
                  <w:bCs w:val="1"/>
                  <w:color w:val="auto"/>
                </w:rPr>
                <w:t>42</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Delivery Commitments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42">
              <w:r>
                <w:rPr>
                  <w:rFonts w:ascii="Arial" w:cs="Arial" w:eastAsia="Arial" w:hAnsi="Arial"/>
                  <w:sz w:val="11"/>
                  <w:szCs w:val="11"/>
                  <w:b w:val="1"/>
                  <w:bCs w:val="1"/>
                  <w:color w:val="auto"/>
                </w:rPr>
                <w:t>42</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Our Infrastructure</w:t>
            </w:r>
          </w:p>
        </w:tc>
        <w:tc>
          <w:tcPr>
            <w:tcW w:w="460" w:type="dxa"/>
            <w:vAlign w:val="bottom"/>
          </w:tcPr>
          <w:p>
            <w:pPr>
              <w:jc w:val="right"/>
              <w:spacing w:after="0"/>
              <w:rPr>
                <w:rFonts w:ascii="Arial" w:cs="Arial" w:eastAsia="Arial" w:hAnsi="Arial"/>
                <w:sz w:val="11"/>
                <w:szCs w:val="11"/>
                <w:b w:val="1"/>
                <w:bCs w:val="1"/>
                <w:color w:val="auto"/>
              </w:rPr>
            </w:pPr>
            <w:hyperlink w:anchor="page43">
              <w:r>
                <w:rPr>
                  <w:rFonts w:ascii="Arial" w:cs="Arial" w:eastAsia="Arial" w:hAnsi="Arial"/>
                  <w:sz w:val="11"/>
                  <w:szCs w:val="11"/>
                  <w:b w:val="1"/>
                  <w:bCs w:val="1"/>
                  <w:color w:val="auto"/>
                </w:rPr>
                <w:t>43</w:t>
              </w:r>
            </w:hyperlink>
          </w:p>
        </w:tc>
        <w:tc>
          <w:tcPr>
            <w:tcW w:w="0" w:type="dxa"/>
            <w:vAlign w:val="bottom"/>
          </w:tcPr>
          <w:p>
            <w:pPr>
              <w:spacing w:after="0"/>
              <w:rPr>
                <w:sz w:val="1"/>
                <w:szCs w:val="1"/>
                <w:color w:val="auto"/>
              </w:rPr>
            </w:pPr>
          </w:p>
        </w:tc>
      </w:tr>
      <w:tr>
        <w:trPr>
          <w:trHeight w:val="169"/>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3</w:t>
            </w:r>
          </w:p>
        </w:tc>
        <w:tc>
          <w:tcPr>
            <w:tcW w:w="5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LEGAL PROCEEDINGS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44">
              <w:r>
                <w:rPr>
                  <w:rFonts w:ascii="Arial" w:cs="Arial" w:eastAsia="Arial" w:hAnsi="Arial"/>
                  <w:sz w:val="11"/>
                  <w:szCs w:val="11"/>
                  <w:b w:val="1"/>
                  <w:bCs w:val="1"/>
                  <w:color w:val="auto"/>
                </w:rPr>
                <w:t>44</w:t>
              </w:r>
            </w:hyperlink>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4</w:t>
            </w:r>
          </w:p>
        </w:tc>
        <w:tc>
          <w:tcPr>
            <w:tcW w:w="5040" w:type="dxa"/>
            <w:vAlign w:val="bottom"/>
          </w:tcPr>
          <w:p>
            <w:pPr>
              <w:ind w:left="120"/>
              <w:spacing w:after="0"/>
              <w:rPr>
                <w:sz w:val="20"/>
                <w:szCs w:val="20"/>
                <w:color w:val="auto"/>
              </w:rPr>
            </w:pPr>
            <w:r>
              <w:rPr>
                <w:rFonts w:ascii="Arial" w:cs="Arial" w:eastAsia="Arial" w:hAnsi="Arial"/>
                <w:sz w:val="11"/>
                <w:szCs w:val="11"/>
                <w:color w:val="auto"/>
              </w:rPr>
              <w:t>MINE SAFETY DISCLOSURES</w:t>
            </w:r>
          </w:p>
        </w:tc>
        <w:tc>
          <w:tcPr>
            <w:tcW w:w="460" w:type="dxa"/>
            <w:vAlign w:val="bottom"/>
          </w:tcPr>
          <w:p>
            <w:pPr>
              <w:jc w:val="right"/>
              <w:spacing w:after="0"/>
              <w:rPr>
                <w:rFonts w:ascii="Arial" w:cs="Arial" w:eastAsia="Arial" w:hAnsi="Arial"/>
                <w:sz w:val="11"/>
                <w:szCs w:val="11"/>
                <w:b w:val="1"/>
                <w:bCs w:val="1"/>
                <w:color w:val="auto"/>
              </w:rPr>
            </w:pPr>
            <w:hyperlink w:anchor="page44">
              <w:r>
                <w:rPr>
                  <w:rFonts w:ascii="Arial" w:cs="Arial" w:eastAsia="Arial" w:hAnsi="Arial"/>
                  <w:sz w:val="11"/>
                  <w:szCs w:val="11"/>
                  <w:b w:val="1"/>
                  <w:bCs w:val="1"/>
                  <w:color w:val="auto"/>
                </w:rPr>
                <w:t>44</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EXECUTIVE OFFICERS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45">
              <w:r>
                <w:rPr>
                  <w:rFonts w:ascii="Arial" w:cs="Arial" w:eastAsia="Arial" w:hAnsi="Arial"/>
                  <w:sz w:val="11"/>
                  <w:szCs w:val="11"/>
                  <w:b w:val="1"/>
                  <w:bCs w:val="1"/>
                  <w:color w:val="auto"/>
                </w:rPr>
                <w:t>45</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20"/>
                <w:szCs w:val="20"/>
                <w:color w:val="auto"/>
              </w:rPr>
            </w:pPr>
            <w:r>
              <w:rPr>
                <w:rFonts w:ascii="Arial" w:cs="Arial" w:eastAsia="Arial" w:hAnsi="Arial"/>
                <w:sz w:val="11"/>
                <w:szCs w:val="11"/>
                <w:b w:val="1"/>
                <w:bCs w:val="1"/>
                <w:color w:val="auto"/>
              </w:rPr>
              <w:t>Part II</w:t>
            </w:r>
          </w:p>
        </w:tc>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5</w:t>
            </w:r>
          </w:p>
        </w:tc>
        <w:tc>
          <w:tcPr>
            <w:tcW w:w="5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MARKET FOR REGISTRANT'S COMMON EQUITY, RELATED STOCKHOLDER MATTERS AND</w:t>
            </w:r>
          </w:p>
        </w:tc>
        <w:tc>
          <w:tcPr>
            <w:tcW w:w="460" w:type="dxa"/>
            <w:vAlign w:val="bottom"/>
            <w:vMerge w:val="restart"/>
            <w:shd w:val="clear" w:color="auto" w:fill="CCEEFF"/>
          </w:tcPr>
          <w:p>
            <w:pPr>
              <w:jc w:val="right"/>
              <w:spacing w:after="0"/>
              <w:rPr>
                <w:rFonts w:ascii="Arial" w:cs="Arial" w:eastAsia="Arial" w:hAnsi="Arial"/>
                <w:sz w:val="11"/>
                <w:szCs w:val="11"/>
                <w:b w:val="1"/>
                <w:bCs w:val="1"/>
                <w:color w:val="auto"/>
              </w:rPr>
            </w:pPr>
            <w:hyperlink w:anchor="page46">
              <w:r>
                <w:rPr>
                  <w:rFonts w:ascii="Arial" w:cs="Arial" w:eastAsia="Arial" w:hAnsi="Arial"/>
                  <w:sz w:val="11"/>
                  <w:szCs w:val="11"/>
                  <w:b w:val="1"/>
                  <w:bCs w:val="1"/>
                  <w:color w:val="auto"/>
                </w:rPr>
                <w:t>46</w:t>
              </w:r>
            </w:hyperlink>
          </w:p>
        </w:tc>
        <w:tc>
          <w:tcPr>
            <w:tcW w:w="0" w:type="dxa"/>
            <w:vAlign w:val="bottom"/>
          </w:tcPr>
          <w:p>
            <w:pPr>
              <w:spacing w:after="0"/>
              <w:rPr>
                <w:sz w:val="1"/>
                <w:szCs w:val="1"/>
                <w:color w:val="auto"/>
              </w:rPr>
            </w:pPr>
          </w:p>
        </w:tc>
      </w:tr>
      <w:tr>
        <w:trPr>
          <w:trHeight w:val="143"/>
        </w:trPr>
        <w:tc>
          <w:tcPr>
            <w:tcW w:w="620" w:type="dxa"/>
            <w:vAlign w:val="bottom"/>
            <w:shd w:val="clear" w:color="auto" w:fill="CCEEFF"/>
          </w:tcPr>
          <w:p>
            <w:pPr>
              <w:spacing w:after="0"/>
              <w:rPr>
                <w:sz w:val="12"/>
                <w:szCs w:val="12"/>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ISSUER PURCHASES OF EQUITY SECURITIES</w:t>
            </w:r>
          </w:p>
        </w:tc>
        <w:tc>
          <w:tcPr>
            <w:tcW w:w="4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6</w:t>
            </w:r>
          </w:p>
        </w:tc>
        <w:tc>
          <w:tcPr>
            <w:tcW w:w="5040" w:type="dxa"/>
            <w:vAlign w:val="bottom"/>
          </w:tcPr>
          <w:p>
            <w:pPr>
              <w:ind w:left="120"/>
              <w:spacing w:after="0"/>
              <w:rPr>
                <w:sz w:val="20"/>
                <w:szCs w:val="20"/>
                <w:color w:val="auto"/>
              </w:rPr>
            </w:pPr>
            <w:r>
              <w:rPr>
                <w:rFonts w:ascii="Arial" w:cs="Arial" w:eastAsia="Arial" w:hAnsi="Arial"/>
                <w:sz w:val="11"/>
                <w:szCs w:val="11"/>
                <w:color w:val="auto"/>
              </w:rPr>
              <w:t>SELECTED FINANCIAL DATA</w:t>
            </w:r>
          </w:p>
        </w:tc>
        <w:tc>
          <w:tcPr>
            <w:tcW w:w="460" w:type="dxa"/>
            <w:vAlign w:val="bottom"/>
          </w:tcPr>
          <w:p>
            <w:pPr>
              <w:jc w:val="right"/>
              <w:spacing w:after="0"/>
              <w:rPr>
                <w:rFonts w:ascii="Arial" w:cs="Arial" w:eastAsia="Arial" w:hAnsi="Arial"/>
                <w:sz w:val="11"/>
                <w:szCs w:val="11"/>
                <w:b w:val="1"/>
                <w:bCs w:val="1"/>
                <w:color w:val="auto"/>
              </w:rPr>
            </w:pPr>
            <w:hyperlink w:anchor="page48">
              <w:r>
                <w:rPr>
                  <w:rFonts w:ascii="Arial" w:cs="Arial" w:eastAsia="Arial" w:hAnsi="Arial"/>
                  <w:sz w:val="11"/>
                  <w:szCs w:val="11"/>
                  <w:b w:val="1"/>
                  <w:bCs w:val="1"/>
                  <w:color w:val="auto"/>
                </w:rPr>
                <w:t>48</w:t>
              </w:r>
            </w:hyperlink>
          </w:p>
        </w:tc>
        <w:tc>
          <w:tcPr>
            <w:tcW w:w="0" w:type="dxa"/>
            <w:vAlign w:val="bottom"/>
          </w:tcPr>
          <w:p>
            <w:pPr>
              <w:spacing w:after="0"/>
              <w:rPr>
                <w:sz w:val="1"/>
                <w:szCs w:val="1"/>
                <w:color w:val="auto"/>
              </w:rPr>
            </w:pPr>
          </w:p>
        </w:tc>
      </w:tr>
      <w:tr>
        <w:trPr>
          <w:trHeight w:val="152"/>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7</w:t>
            </w:r>
          </w:p>
        </w:tc>
        <w:tc>
          <w:tcPr>
            <w:tcW w:w="5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MANAGEMENT'S DISCUSSION AND ANALYSIS OF FINANCIAL CONDITION AND RESULTS OF</w:t>
            </w:r>
          </w:p>
        </w:tc>
        <w:tc>
          <w:tcPr>
            <w:tcW w:w="460" w:type="dxa"/>
            <w:vAlign w:val="bottom"/>
            <w:vMerge w:val="restart"/>
            <w:shd w:val="clear" w:color="auto" w:fill="CCEEFF"/>
          </w:tcPr>
          <w:p>
            <w:pPr>
              <w:jc w:val="right"/>
              <w:spacing w:after="0"/>
              <w:rPr>
                <w:rFonts w:ascii="Arial" w:cs="Arial" w:eastAsia="Arial" w:hAnsi="Arial"/>
                <w:sz w:val="11"/>
                <w:szCs w:val="11"/>
                <w:b w:val="1"/>
                <w:bCs w:val="1"/>
                <w:color w:val="auto"/>
              </w:rPr>
            </w:pPr>
            <w:hyperlink w:anchor="page49">
              <w:r>
                <w:rPr>
                  <w:rFonts w:ascii="Arial" w:cs="Arial" w:eastAsia="Arial" w:hAnsi="Arial"/>
                  <w:sz w:val="11"/>
                  <w:szCs w:val="11"/>
                  <w:b w:val="1"/>
                  <w:bCs w:val="1"/>
                  <w:color w:val="auto"/>
                </w:rPr>
                <w:t>49</w:t>
              </w:r>
            </w:hyperlink>
          </w:p>
        </w:tc>
        <w:tc>
          <w:tcPr>
            <w:tcW w:w="0" w:type="dxa"/>
            <w:vAlign w:val="bottom"/>
          </w:tcPr>
          <w:p>
            <w:pPr>
              <w:spacing w:after="0"/>
              <w:rPr>
                <w:sz w:val="1"/>
                <w:szCs w:val="1"/>
                <w:color w:val="auto"/>
              </w:rPr>
            </w:pPr>
          </w:p>
        </w:tc>
      </w:tr>
      <w:tr>
        <w:trPr>
          <w:trHeight w:val="143"/>
        </w:trPr>
        <w:tc>
          <w:tcPr>
            <w:tcW w:w="620" w:type="dxa"/>
            <w:vAlign w:val="bottom"/>
            <w:shd w:val="clear" w:color="auto" w:fill="CCEEFF"/>
          </w:tcPr>
          <w:p>
            <w:pPr>
              <w:spacing w:after="0"/>
              <w:rPr>
                <w:sz w:val="12"/>
                <w:szCs w:val="12"/>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OPERATIONS</w:t>
            </w:r>
          </w:p>
        </w:tc>
        <w:tc>
          <w:tcPr>
            <w:tcW w:w="4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Basis of Presentation and Certain Factors Affecting Comparability</w:t>
            </w:r>
          </w:p>
        </w:tc>
        <w:tc>
          <w:tcPr>
            <w:tcW w:w="460" w:type="dxa"/>
            <w:vAlign w:val="bottom"/>
          </w:tcPr>
          <w:p>
            <w:pPr>
              <w:jc w:val="right"/>
              <w:spacing w:after="0"/>
              <w:rPr>
                <w:rFonts w:ascii="Arial" w:cs="Arial" w:eastAsia="Arial" w:hAnsi="Arial"/>
                <w:sz w:val="11"/>
                <w:szCs w:val="11"/>
                <w:b w:val="1"/>
                <w:bCs w:val="1"/>
                <w:color w:val="auto"/>
              </w:rPr>
            </w:pPr>
            <w:hyperlink w:anchor="page49">
              <w:r>
                <w:rPr>
                  <w:rFonts w:ascii="Arial" w:cs="Arial" w:eastAsia="Arial" w:hAnsi="Arial"/>
                  <w:sz w:val="11"/>
                  <w:szCs w:val="11"/>
                  <w:b w:val="1"/>
                  <w:bCs w:val="1"/>
                  <w:color w:val="auto"/>
                </w:rPr>
                <w:t>49</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Business Environment and Industry Outlook</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49">
              <w:r>
                <w:rPr>
                  <w:rFonts w:ascii="Arial" w:cs="Arial" w:eastAsia="Arial" w:hAnsi="Arial"/>
                  <w:sz w:val="11"/>
                  <w:szCs w:val="11"/>
                  <w:b w:val="1"/>
                  <w:bCs w:val="1"/>
                  <w:color w:val="auto"/>
                </w:rPr>
                <w:t>49</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Seasonality</w:t>
            </w:r>
          </w:p>
        </w:tc>
        <w:tc>
          <w:tcPr>
            <w:tcW w:w="460" w:type="dxa"/>
            <w:vAlign w:val="bottom"/>
          </w:tcPr>
          <w:p>
            <w:pPr>
              <w:jc w:val="right"/>
              <w:spacing w:after="0"/>
              <w:rPr>
                <w:rFonts w:ascii="Arial" w:cs="Arial" w:eastAsia="Arial" w:hAnsi="Arial"/>
                <w:sz w:val="11"/>
                <w:szCs w:val="11"/>
                <w:b w:val="1"/>
                <w:bCs w:val="1"/>
                <w:color w:val="auto"/>
              </w:rPr>
            </w:pPr>
            <w:hyperlink w:anchor="page50">
              <w:r>
                <w:rPr>
                  <w:rFonts w:ascii="Arial" w:cs="Arial" w:eastAsia="Arial" w:hAnsi="Arial"/>
                  <w:sz w:val="11"/>
                  <w:szCs w:val="11"/>
                  <w:b w:val="1"/>
                  <w:bCs w:val="1"/>
                  <w:color w:val="auto"/>
                </w:rPr>
                <w:t>50</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Joint Ventures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50">
              <w:r>
                <w:rPr>
                  <w:rFonts w:ascii="Arial" w:cs="Arial" w:eastAsia="Arial" w:hAnsi="Arial"/>
                  <w:sz w:val="11"/>
                  <w:szCs w:val="11"/>
                  <w:b w:val="1"/>
                  <w:bCs w:val="1"/>
                  <w:color w:val="auto"/>
                </w:rPr>
                <w:t>50</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Private Placement</w:t>
            </w:r>
          </w:p>
        </w:tc>
        <w:tc>
          <w:tcPr>
            <w:tcW w:w="460" w:type="dxa"/>
            <w:vAlign w:val="bottom"/>
          </w:tcPr>
          <w:p>
            <w:pPr>
              <w:jc w:val="right"/>
              <w:spacing w:after="0"/>
              <w:rPr>
                <w:rFonts w:ascii="Arial" w:cs="Arial" w:eastAsia="Arial" w:hAnsi="Arial"/>
                <w:sz w:val="11"/>
                <w:szCs w:val="11"/>
                <w:b w:val="1"/>
                <w:bCs w:val="1"/>
                <w:color w:val="auto"/>
              </w:rPr>
            </w:pPr>
            <w:hyperlink w:anchor="page51">
              <w:r>
                <w:rPr>
                  <w:rFonts w:ascii="Arial" w:cs="Arial" w:eastAsia="Arial" w:hAnsi="Arial"/>
                  <w:sz w:val="11"/>
                  <w:szCs w:val="11"/>
                  <w:b w:val="1"/>
                  <w:bCs w:val="1"/>
                  <w:color w:val="auto"/>
                </w:rPr>
                <w:t>51</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Acquisitions and Divestitures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51">
              <w:r>
                <w:rPr>
                  <w:rFonts w:ascii="Arial" w:cs="Arial" w:eastAsia="Arial" w:hAnsi="Arial"/>
                  <w:sz w:val="11"/>
                  <w:szCs w:val="11"/>
                  <w:b w:val="1"/>
                  <w:bCs w:val="1"/>
                  <w:color w:val="auto"/>
                </w:rPr>
                <w:t>51</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Income Taxes</w:t>
            </w:r>
          </w:p>
        </w:tc>
        <w:tc>
          <w:tcPr>
            <w:tcW w:w="460" w:type="dxa"/>
            <w:vAlign w:val="bottom"/>
          </w:tcPr>
          <w:p>
            <w:pPr>
              <w:jc w:val="right"/>
              <w:spacing w:after="0"/>
              <w:rPr>
                <w:rFonts w:ascii="Arial" w:cs="Arial" w:eastAsia="Arial" w:hAnsi="Arial"/>
                <w:sz w:val="11"/>
                <w:szCs w:val="11"/>
                <w:b w:val="1"/>
                <w:bCs w:val="1"/>
                <w:color w:val="auto"/>
              </w:rPr>
            </w:pPr>
            <w:hyperlink w:anchor="page52">
              <w:r>
                <w:rPr>
                  <w:rFonts w:ascii="Arial" w:cs="Arial" w:eastAsia="Arial" w:hAnsi="Arial"/>
                  <w:sz w:val="11"/>
                  <w:szCs w:val="11"/>
                  <w:b w:val="1"/>
                  <w:bCs w:val="1"/>
                  <w:color w:val="auto"/>
                </w:rPr>
                <w:t>52</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Operations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53">
              <w:r>
                <w:rPr>
                  <w:rFonts w:ascii="Arial" w:cs="Arial" w:eastAsia="Arial" w:hAnsi="Arial"/>
                  <w:sz w:val="11"/>
                  <w:szCs w:val="11"/>
                  <w:b w:val="1"/>
                  <w:bCs w:val="1"/>
                  <w:color w:val="auto"/>
                </w:rPr>
                <w:t>53</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Production and Prices</w:t>
            </w:r>
          </w:p>
        </w:tc>
        <w:tc>
          <w:tcPr>
            <w:tcW w:w="460" w:type="dxa"/>
            <w:vAlign w:val="bottom"/>
          </w:tcPr>
          <w:p>
            <w:pPr>
              <w:jc w:val="right"/>
              <w:spacing w:after="0"/>
              <w:rPr>
                <w:rFonts w:ascii="Arial" w:cs="Arial" w:eastAsia="Arial" w:hAnsi="Arial"/>
                <w:sz w:val="11"/>
                <w:szCs w:val="11"/>
                <w:b w:val="1"/>
                <w:bCs w:val="1"/>
                <w:color w:val="auto"/>
              </w:rPr>
            </w:pPr>
            <w:hyperlink w:anchor="page54">
              <w:r>
                <w:rPr>
                  <w:rFonts w:ascii="Arial" w:cs="Arial" w:eastAsia="Arial" w:hAnsi="Arial"/>
                  <w:sz w:val="11"/>
                  <w:szCs w:val="11"/>
                  <w:b w:val="1"/>
                  <w:bCs w:val="1"/>
                  <w:color w:val="auto"/>
                </w:rPr>
                <w:t>54</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Balance Sheet Analysis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55">
              <w:r>
                <w:rPr>
                  <w:rFonts w:ascii="Arial" w:cs="Arial" w:eastAsia="Arial" w:hAnsi="Arial"/>
                  <w:sz w:val="11"/>
                  <w:szCs w:val="11"/>
                  <w:b w:val="1"/>
                  <w:bCs w:val="1"/>
                  <w:color w:val="auto"/>
                </w:rPr>
                <w:t>55</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Statement of Operations Analysis</w:t>
            </w:r>
          </w:p>
        </w:tc>
        <w:tc>
          <w:tcPr>
            <w:tcW w:w="460" w:type="dxa"/>
            <w:vAlign w:val="bottom"/>
          </w:tcPr>
          <w:p>
            <w:pPr>
              <w:jc w:val="right"/>
              <w:spacing w:after="0"/>
              <w:rPr>
                <w:rFonts w:ascii="Arial" w:cs="Arial" w:eastAsia="Arial" w:hAnsi="Arial"/>
                <w:sz w:val="11"/>
                <w:szCs w:val="11"/>
                <w:b w:val="1"/>
                <w:bCs w:val="1"/>
                <w:color w:val="auto"/>
              </w:rPr>
            </w:pPr>
            <w:hyperlink w:anchor="page56">
              <w:r>
                <w:rPr>
                  <w:rFonts w:ascii="Arial" w:cs="Arial" w:eastAsia="Arial" w:hAnsi="Arial"/>
                  <w:sz w:val="11"/>
                  <w:szCs w:val="11"/>
                  <w:b w:val="1"/>
                  <w:bCs w:val="1"/>
                  <w:color w:val="auto"/>
                </w:rPr>
                <w:t>56</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Liquidity and Capital Resources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61">
              <w:r>
                <w:rPr>
                  <w:rFonts w:ascii="Arial" w:cs="Arial" w:eastAsia="Arial" w:hAnsi="Arial"/>
                  <w:sz w:val="11"/>
                  <w:szCs w:val="11"/>
                  <w:b w:val="1"/>
                  <w:bCs w:val="1"/>
                  <w:color w:val="auto"/>
                </w:rPr>
                <w:t>61</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Cash Flow Analysis</w:t>
            </w:r>
          </w:p>
        </w:tc>
        <w:tc>
          <w:tcPr>
            <w:tcW w:w="460" w:type="dxa"/>
            <w:vAlign w:val="bottom"/>
          </w:tcPr>
          <w:p>
            <w:pPr>
              <w:jc w:val="right"/>
              <w:spacing w:after="0"/>
              <w:rPr>
                <w:rFonts w:ascii="Arial" w:cs="Arial" w:eastAsia="Arial" w:hAnsi="Arial"/>
                <w:sz w:val="11"/>
                <w:szCs w:val="11"/>
                <w:b w:val="1"/>
                <w:bCs w:val="1"/>
                <w:color w:val="auto"/>
              </w:rPr>
            </w:pPr>
            <w:hyperlink w:anchor="page68">
              <w:r>
                <w:rPr>
                  <w:rFonts w:ascii="Arial" w:cs="Arial" w:eastAsia="Arial" w:hAnsi="Arial"/>
                  <w:sz w:val="11"/>
                  <w:szCs w:val="11"/>
                  <w:b w:val="1"/>
                  <w:bCs w:val="1"/>
                  <w:color w:val="auto"/>
                </w:rPr>
                <w:t>68</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2017 and 2018 Capital Program</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69">
              <w:r>
                <w:rPr>
                  <w:rFonts w:ascii="Arial" w:cs="Arial" w:eastAsia="Arial" w:hAnsi="Arial"/>
                  <w:sz w:val="11"/>
                  <w:szCs w:val="11"/>
                  <w:b w:val="1"/>
                  <w:bCs w:val="1"/>
                  <w:color w:val="auto"/>
                </w:rPr>
                <w:t>69</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Off-Balance-Sheet Arrangements</w:t>
            </w:r>
          </w:p>
        </w:tc>
        <w:tc>
          <w:tcPr>
            <w:tcW w:w="460" w:type="dxa"/>
            <w:vAlign w:val="bottom"/>
          </w:tcPr>
          <w:p>
            <w:pPr>
              <w:jc w:val="right"/>
              <w:spacing w:after="0"/>
              <w:rPr>
                <w:rFonts w:ascii="Arial" w:cs="Arial" w:eastAsia="Arial" w:hAnsi="Arial"/>
                <w:sz w:val="11"/>
                <w:szCs w:val="11"/>
                <w:b w:val="1"/>
                <w:bCs w:val="1"/>
                <w:color w:val="auto"/>
              </w:rPr>
            </w:pPr>
            <w:hyperlink w:anchor="page70">
              <w:r>
                <w:rPr>
                  <w:rFonts w:ascii="Arial" w:cs="Arial" w:eastAsia="Arial" w:hAnsi="Arial"/>
                  <w:sz w:val="11"/>
                  <w:szCs w:val="11"/>
                  <w:b w:val="1"/>
                  <w:bCs w:val="1"/>
                  <w:color w:val="auto"/>
                </w:rPr>
                <w:t>70</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Lawsuits, Claims, Commitments and Contingencies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71">
              <w:r>
                <w:rPr>
                  <w:rFonts w:ascii="Arial" w:cs="Arial" w:eastAsia="Arial" w:hAnsi="Arial"/>
                  <w:sz w:val="11"/>
                  <w:szCs w:val="11"/>
                  <w:b w:val="1"/>
                  <w:bCs w:val="1"/>
                  <w:color w:val="auto"/>
                </w:rPr>
                <w:t>71</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Arial" w:cs="Arial" w:eastAsia="Arial" w:hAnsi="Arial"/>
                <w:sz w:val="11"/>
                <w:szCs w:val="11"/>
                <w:color w:val="auto"/>
              </w:rPr>
              <w:t>Critical Accounting Policies and Estimates</w:t>
            </w:r>
          </w:p>
        </w:tc>
        <w:tc>
          <w:tcPr>
            <w:tcW w:w="460" w:type="dxa"/>
            <w:vAlign w:val="bottom"/>
          </w:tcPr>
          <w:p>
            <w:pPr>
              <w:jc w:val="right"/>
              <w:spacing w:after="0"/>
              <w:rPr>
                <w:rFonts w:ascii="Arial" w:cs="Arial" w:eastAsia="Arial" w:hAnsi="Arial"/>
                <w:sz w:val="11"/>
                <w:szCs w:val="11"/>
                <w:b w:val="1"/>
                <w:bCs w:val="1"/>
                <w:color w:val="auto"/>
              </w:rPr>
            </w:pPr>
            <w:hyperlink w:anchor="page72">
              <w:r>
                <w:rPr>
                  <w:rFonts w:ascii="Arial" w:cs="Arial" w:eastAsia="Arial" w:hAnsi="Arial"/>
                  <w:sz w:val="11"/>
                  <w:szCs w:val="11"/>
                  <w:b w:val="1"/>
                  <w:bCs w:val="1"/>
                  <w:color w:val="auto"/>
                </w:rPr>
                <w:t>72</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0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Significant Accounting and Disclosure Changes</w:t>
            </w:r>
          </w:p>
        </w:tc>
        <w:tc>
          <w:tcPr>
            <w:tcW w:w="460" w:type="dxa"/>
            <w:vAlign w:val="bottom"/>
            <w:shd w:val="clear" w:color="auto" w:fill="CCEEFF"/>
          </w:tcPr>
          <w:p>
            <w:pPr>
              <w:jc w:val="right"/>
              <w:spacing w:after="0"/>
              <w:rPr>
                <w:rFonts w:ascii="Arial" w:cs="Arial" w:eastAsia="Arial" w:hAnsi="Arial"/>
                <w:sz w:val="11"/>
                <w:szCs w:val="11"/>
                <w:b w:val="1"/>
                <w:bCs w:val="1"/>
                <w:color w:val="auto"/>
              </w:rPr>
            </w:pPr>
            <w:hyperlink w:anchor="page72">
              <w:r>
                <w:rPr>
                  <w:rFonts w:ascii="Arial" w:cs="Arial" w:eastAsia="Arial" w:hAnsi="Arial"/>
                  <w:sz w:val="11"/>
                  <w:szCs w:val="11"/>
                  <w:b w:val="1"/>
                  <w:bCs w:val="1"/>
                  <w:color w:val="auto"/>
                </w:rPr>
                <w:t>72</w:t>
              </w:r>
            </w:hyperlink>
          </w:p>
        </w:tc>
        <w:tc>
          <w:tcPr>
            <w:tcW w:w="0" w:type="dxa"/>
            <w:vAlign w:val="bottom"/>
          </w:tcPr>
          <w:p>
            <w:pPr>
              <w:spacing w:after="0"/>
              <w:rPr>
                <w:sz w:val="1"/>
                <w:szCs w:val="1"/>
                <w:color w:val="auto"/>
              </w:rPr>
            </w:pPr>
          </w:p>
        </w:tc>
      </w:tr>
      <w:tr>
        <w:trPr>
          <w:trHeight w:val="149"/>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7A</w:t>
            </w:r>
          </w:p>
        </w:tc>
        <w:tc>
          <w:tcPr>
            <w:tcW w:w="5040" w:type="dxa"/>
            <w:vAlign w:val="bottom"/>
          </w:tcPr>
          <w:p>
            <w:pPr>
              <w:ind w:left="120"/>
              <w:spacing w:after="0"/>
              <w:rPr>
                <w:sz w:val="20"/>
                <w:szCs w:val="20"/>
                <w:color w:val="auto"/>
              </w:rPr>
            </w:pPr>
            <w:r>
              <w:rPr>
                <w:rFonts w:ascii="Arial" w:cs="Arial" w:eastAsia="Arial" w:hAnsi="Arial"/>
                <w:sz w:val="11"/>
                <w:szCs w:val="11"/>
                <w:color w:val="auto"/>
              </w:rPr>
              <w:t>QUANTITATIVE AND QUALITATIVE DISCLOSURES ABOUT MARKET RISK</w:t>
            </w:r>
          </w:p>
        </w:tc>
        <w:tc>
          <w:tcPr>
            <w:tcW w:w="460" w:type="dxa"/>
            <w:vAlign w:val="bottom"/>
          </w:tcPr>
          <w:p>
            <w:pPr>
              <w:jc w:val="right"/>
              <w:spacing w:after="0"/>
              <w:rPr>
                <w:rFonts w:ascii="Arial" w:cs="Arial" w:eastAsia="Arial" w:hAnsi="Arial"/>
                <w:sz w:val="11"/>
                <w:szCs w:val="11"/>
                <w:b w:val="1"/>
                <w:bCs w:val="1"/>
                <w:color w:val="auto"/>
              </w:rPr>
            </w:pPr>
            <w:hyperlink w:anchor="page72">
              <w:r>
                <w:rPr>
                  <w:rFonts w:ascii="Arial" w:cs="Arial" w:eastAsia="Arial" w:hAnsi="Arial"/>
                  <w:sz w:val="11"/>
                  <w:szCs w:val="11"/>
                  <w:b w:val="1"/>
                  <w:bCs w:val="1"/>
                  <w:color w:val="auto"/>
                </w:rPr>
                <w:t>72</w:t>
              </w:r>
            </w:hyperlink>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377" w:right="1440" w:bottom="1440" w:gutter="0" w:footer="0" w:header="0"/>
        </w:sectPr>
      </w:pPr>
    </w:p>
    <w:bookmarkStart w:id="2" w:name="page3"/>
    <w:bookmarkEnd w:id="2"/>
    <w:tbl>
      <w:tblPr>
        <w:tblLayout w:type="fixed"/>
        <w:tblInd w:w="1460" w:type="dxa"/>
        <w:tblCellMar>
          <w:top w:w="0" w:type="dxa"/>
          <w:left w:w="0" w:type="dxa"/>
          <w:bottom w:w="0" w:type="dxa"/>
          <w:right w:w="0" w:type="dxa"/>
        </w:tblCellMar>
      </w:tblPr>
      <w:tr>
        <w:trPr>
          <w:trHeight w:val="180"/>
        </w:trPr>
        <w:tc>
          <w:tcPr>
            <w:tcW w:w="620" w:type="dxa"/>
            <w:vAlign w:val="bottom"/>
            <w:shd w:val="clear" w:color="auto" w:fill="CCEEFF"/>
          </w:tcPr>
          <w:p>
            <w:pPr>
              <w:spacing w:after="0"/>
              <w:rPr>
                <w:sz w:val="15"/>
                <w:szCs w:val="15"/>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FORWARD-LOOKING STATEMENTS</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74">
              <w:r>
                <w:rPr>
                  <w:rFonts w:ascii="Arial" w:cs="Arial" w:eastAsia="Arial" w:hAnsi="Arial"/>
                  <w:sz w:val="11"/>
                  <w:szCs w:val="11"/>
                  <w:b w:val="1"/>
                  <w:bCs w:val="1"/>
                  <w:color w:val="auto"/>
                </w:rPr>
                <w:t>74</w:t>
              </w:r>
            </w:hyperlink>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8</w:t>
            </w:r>
          </w:p>
        </w:tc>
        <w:tc>
          <w:tcPr>
            <w:tcW w:w="5180" w:type="dxa"/>
            <w:vAlign w:val="bottom"/>
          </w:tcPr>
          <w:p>
            <w:pPr>
              <w:ind w:left="120"/>
              <w:spacing w:after="0"/>
              <w:rPr>
                <w:sz w:val="20"/>
                <w:szCs w:val="20"/>
                <w:color w:val="auto"/>
              </w:rPr>
            </w:pPr>
            <w:r>
              <w:rPr>
                <w:rFonts w:ascii="Arial" w:cs="Arial" w:eastAsia="Arial" w:hAnsi="Arial"/>
                <w:sz w:val="11"/>
                <w:szCs w:val="11"/>
                <w:color w:val="auto"/>
              </w:rPr>
              <w:t>FINANCIAL STATEMENTS AND SUPPLEMENTARY DATA</w:t>
            </w:r>
          </w:p>
        </w:tc>
        <w:tc>
          <w:tcPr>
            <w:tcW w:w="320" w:type="dxa"/>
            <w:vAlign w:val="bottom"/>
          </w:tcPr>
          <w:p>
            <w:pPr>
              <w:jc w:val="right"/>
              <w:spacing w:after="0"/>
              <w:rPr>
                <w:rFonts w:ascii="Arial" w:cs="Arial" w:eastAsia="Arial" w:hAnsi="Arial"/>
                <w:sz w:val="11"/>
                <w:szCs w:val="11"/>
                <w:b w:val="1"/>
                <w:bCs w:val="1"/>
                <w:color w:val="auto"/>
              </w:rPr>
            </w:pPr>
            <w:hyperlink w:anchor="page75">
              <w:r>
                <w:rPr>
                  <w:rFonts w:ascii="Arial" w:cs="Arial" w:eastAsia="Arial" w:hAnsi="Arial"/>
                  <w:sz w:val="11"/>
                  <w:szCs w:val="11"/>
                  <w:b w:val="1"/>
                  <w:bCs w:val="1"/>
                  <w:color w:val="auto"/>
                </w:rPr>
                <w:t>75</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1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Report of Independent Registered Public Accounting Firm</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75">
              <w:r>
                <w:rPr>
                  <w:rFonts w:ascii="Arial" w:cs="Arial" w:eastAsia="Arial" w:hAnsi="Arial"/>
                  <w:sz w:val="11"/>
                  <w:szCs w:val="11"/>
                  <w:b w:val="1"/>
                  <w:bCs w:val="1"/>
                  <w:color w:val="auto"/>
                </w:rPr>
                <w:t>75</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180" w:type="dxa"/>
            <w:vAlign w:val="bottom"/>
          </w:tcPr>
          <w:p>
            <w:pPr>
              <w:ind w:left="280"/>
              <w:spacing w:after="0"/>
              <w:rPr>
                <w:sz w:val="20"/>
                <w:szCs w:val="20"/>
                <w:color w:val="auto"/>
              </w:rPr>
            </w:pPr>
            <w:r>
              <w:rPr>
                <w:rFonts w:ascii="Arial" w:cs="Arial" w:eastAsia="Arial" w:hAnsi="Arial"/>
                <w:sz w:val="11"/>
                <w:szCs w:val="11"/>
                <w:color w:val="auto"/>
              </w:rPr>
              <w:t>Consolidated Balance Sheets</w:t>
            </w:r>
          </w:p>
        </w:tc>
        <w:tc>
          <w:tcPr>
            <w:tcW w:w="320" w:type="dxa"/>
            <w:vAlign w:val="bottom"/>
          </w:tcPr>
          <w:p>
            <w:pPr>
              <w:jc w:val="right"/>
              <w:spacing w:after="0"/>
              <w:rPr>
                <w:rFonts w:ascii="Arial" w:cs="Arial" w:eastAsia="Arial" w:hAnsi="Arial"/>
                <w:sz w:val="11"/>
                <w:szCs w:val="11"/>
                <w:b w:val="1"/>
                <w:bCs w:val="1"/>
                <w:color w:val="auto"/>
              </w:rPr>
            </w:pPr>
            <w:hyperlink w:anchor="page77">
              <w:r>
                <w:rPr>
                  <w:rFonts w:ascii="Arial" w:cs="Arial" w:eastAsia="Arial" w:hAnsi="Arial"/>
                  <w:sz w:val="11"/>
                  <w:szCs w:val="11"/>
                  <w:b w:val="1"/>
                  <w:bCs w:val="1"/>
                  <w:color w:val="auto"/>
                </w:rPr>
                <w:t>77</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1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Consolidated Statements of Operations</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78">
              <w:r>
                <w:rPr>
                  <w:rFonts w:ascii="Arial" w:cs="Arial" w:eastAsia="Arial" w:hAnsi="Arial"/>
                  <w:sz w:val="11"/>
                  <w:szCs w:val="11"/>
                  <w:b w:val="1"/>
                  <w:bCs w:val="1"/>
                  <w:color w:val="auto"/>
                </w:rPr>
                <w:t>78</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180" w:type="dxa"/>
            <w:vAlign w:val="bottom"/>
          </w:tcPr>
          <w:p>
            <w:pPr>
              <w:ind w:left="280"/>
              <w:spacing w:after="0"/>
              <w:rPr>
                <w:sz w:val="20"/>
                <w:szCs w:val="20"/>
                <w:color w:val="auto"/>
              </w:rPr>
            </w:pPr>
            <w:r>
              <w:rPr>
                <w:rFonts w:ascii="Arial" w:cs="Arial" w:eastAsia="Arial" w:hAnsi="Arial"/>
                <w:sz w:val="11"/>
                <w:szCs w:val="11"/>
                <w:color w:val="auto"/>
              </w:rPr>
              <w:t>Consolidated Statements of Comprehensive Income</w:t>
            </w:r>
          </w:p>
        </w:tc>
        <w:tc>
          <w:tcPr>
            <w:tcW w:w="320" w:type="dxa"/>
            <w:vAlign w:val="bottom"/>
          </w:tcPr>
          <w:p>
            <w:pPr>
              <w:jc w:val="right"/>
              <w:spacing w:after="0"/>
              <w:rPr>
                <w:rFonts w:ascii="Arial" w:cs="Arial" w:eastAsia="Arial" w:hAnsi="Arial"/>
                <w:sz w:val="11"/>
                <w:szCs w:val="11"/>
                <w:b w:val="1"/>
                <w:bCs w:val="1"/>
                <w:color w:val="auto"/>
              </w:rPr>
            </w:pPr>
            <w:hyperlink w:anchor="page79">
              <w:r>
                <w:rPr>
                  <w:rFonts w:ascii="Arial" w:cs="Arial" w:eastAsia="Arial" w:hAnsi="Arial"/>
                  <w:sz w:val="11"/>
                  <w:szCs w:val="11"/>
                  <w:b w:val="1"/>
                  <w:bCs w:val="1"/>
                  <w:color w:val="auto"/>
                </w:rPr>
                <w:t>79</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1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Consolidated Statements of Equity</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80">
              <w:r>
                <w:rPr>
                  <w:rFonts w:ascii="Arial" w:cs="Arial" w:eastAsia="Arial" w:hAnsi="Arial"/>
                  <w:sz w:val="11"/>
                  <w:szCs w:val="11"/>
                  <w:b w:val="1"/>
                  <w:bCs w:val="1"/>
                  <w:color w:val="auto"/>
                </w:rPr>
                <w:t>80</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180" w:type="dxa"/>
            <w:vAlign w:val="bottom"/>
          </w:tcPr>
          <w:p>
            <w:pPr>
              <w:ind w:left="280"/>
              <w:spacing w:after="0"/>
              <w:rPr>
                <w:sz w:val="20"/>
                <w:szCs w:val="20"/>
                <w:color w:val="auto"/>
              </w:rPr>
            </w:pPr>
            <w:r>
              <w:rPr>
                <w:rFonts w:ascii="Arial" w:cs="Arial" w:eastAsia="Arial" w:hAnsi="Arial"/>
                <w:sz w:val="11"/>
                <w:szCs w:val="11"/>
                <w:color w:val="auto"/>
              </w:rPr>
              <w:t>Consolidated Statements of Cash Flows</w:t>
            </w:r>
          </w:p>
        </w:tc>
        <w:tc>
          <w:tcPr>
            <w:tcW w:w="320" w:type="dxa"/>
            <w:vAlign w:val="bottom"/>
          </w:tcPr>
          <w:p>
            <w:pPr>
              <w:jc w:val="right"/>
              <w:spacing w:after="0"/>
              <w:rPr>
                <w:rFonts w:ascii="Arial" w:cs="Arial" w:eastAsia="Arial" w:hAnsi="Arial"/>
                <w:sz w:val="11"/>
                <w:szCs w:val="11"/>
                <w:b w:val="1"/>
                <w:bCs w:val="1"/>
                <w:color w:val="auto"/>
              </w:rPr>
            </w:pPr>
            <w:hyperlink w:anchor="page81">
              <w:r>
                <w:rPr>
                  <w:rFonts w:ascii="Arial" w:cs="Arial" w:eastAsia="Arial" w:hAnsi="Arial"/>
                  <w:sz w:val="11"/>
                  <w:szCs w:val="11"/>
                  <w:b w:val="1"/>
                  <w:bCs w:val="1"/>
                  <w:color w:val="auto"/>
                </w:rPr>
                <w:t>81</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1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Notes to Consolidated Financial Statements</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82">
              <w:r>
                <w:rPr>
                  <w:rFonts w:ascii="Arial" w:cs="Arial" w:eastAsia="Arial" w:hAnsi="Arial"/>
                  <w:sz w:val="11"/>
                  <w:szCs w:val="11"/>
                  <w:b w:val="1"/>
                  <w:bCs w:val="1"/>
                  <w:color w:val="auto"/>
                </w:rPr>
                <w:t>82</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180" w:type="dxa"/>
            <w:vAlign w:val="bottom"/>
          </w:tcPr>
          <w:p>
            <w:pPr>
              <w:ind w:left="280"/>
              <w:spacing w:after="0"/>
              <w:rPr>
                <w:sz w:val="20"/>
                <w:szCs w:val="20"/>
                <w:color w:val="auto"/>
              </w:rPr>
            </w:pPr>
            <w:r>
              <w:rPr>
                <w:rFonts w:ascii="Arial" w:cs="Arial" w:eastAsia="Arial" w:hAnsi="Arial"/>
                <w:sz w:val="11"/>
                <w:szCs w:val="11"/>
                <w:color w:val="auto"/>
              </w:rPr>
              <w:t>Quarterly Financial Data (Unaudited)</w:t>
            </w:r>
          </w:p>
        </w:tc>
        <w:tc>
          <w:tcPr>
            <w:tcW w:w="320" w:type="dxa"/>
            <w:vAlign w:val="bottom"/>
          </w:tcPr>
          <w:p>
            <w:pPr>
              <w:jc w:val="right"/>
              <w:spacing w:after="0"/>
              <w:rPr>
                <w:rFonts w:ascii="Arial" w:cs="Arial" w:eastAsia="Arial" w:hAnsi="Arial"/>
                <w:sz w:val="11"/>
                <w:szCs w:val="11"/>
                <w:b w:val="1"/>
                <w:bCs w:val="1"/>
                <w:color w:val="auto"/>
              </w:rPr>
            </w:pPr>
            <w:hyperlink w:anchor="page115">
              <w:r>
                <w:rPr>
                  <w:rFonts w:ascii="Arial" w:cs="Arial" w:eastAsia="Arial" w:hAnsi="Arial"/>
                  <w:sz w:val="11"/>
                  <w:szCs w:val="11"/>
                  <w:b w:val="1"/>
                  <w:bCs w:val="1"/>
                  <w:color w:val="auto"/>
                </w:rPr>
                <w:t>115</w:t>
              </w:r>
            </w:hyperlink>
          </w:p>
        </w:tc>
        <w:tc>
          <w:tcPr>
            <w:tcW w:w="0" w:type="dxa"/>
            <w:vAlign w:val="bottom"/>
          </w:tcPr>
          <w:p>
            <w:pPr>
              <w:spacing w:after="0"/>
              <w:rPr>
                <w:sz w:val="1"/>
                <w:szCs w:val="1"/>
                <w:color w:val="auto"/>
              </w:rPr>
            </w:pPr>
          </w:p>
        </w:tc>
      </w:tr>
      <w:tr>
        <w:trPr>
          <w:trHeight w:val="187"/>
        </w:trPr>
        <w:tc>
          <w:tcPr>
            <w:tcW w:w="620" w:type="dxa"/>
            <w:vAlign w:val="bottom"/>
            <w:shd w:val="clear" w:color="auto" w:fill="CCEEFF"/>
          </w:tcPr>
          <w:p>
            <w:pPr>
              <w:spacing w:after="0"/>
              <w:rPr>
                <w:sz w:val="16"/>
                <w:szCs w:val="16"/>
                <w:color w:val="auto"/>
              </w:rPr>
            </w:pPr>
          </w:p>
        </w:tc>
        <w:tc>
          <w:tcPr>
            <w:tcW w:w="51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Supplemental Oil and Gas Information (Unaudited)</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116">
              <w:r>
                <w:rPr>
                  <w:rFonts w:ascii="Arial" w:cs="Arial" w:eastAsia="Arial" w:hAnsi="Arial"/>
                  <w:sz w:val="11"/>
                  <w:szCs w:val="11"/>
                  <w:b w:val="1"/>
                  <w:bCs w:val="1"/>
                  <w:color w:val="auto"/>
                </w:rPr>
                <w:t>116</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5180" w:type="dxa"/>
            <w:vAlign w:val="bottom"/>
          </w:tcPr>
          <w:p>
            <w:pPr>
              <w:ind w:left="120"/>
              <w:spacing w:after="0"/>
              <w:rPr>
                <w:sz w:val="20"/>
                <w:szCs w:val="20"/>
                <w:color w:val="auto"/>
              </w:rPr>
            </w:pPr>
            <w:r>
              <w:rPr>
                <w:rFonts w:ascii="Arial" w:cs="Arial" w:eastAsia="Arial" w:hAnsi="Arial"/>
                <w:sz w:val="11"/>
                <w:szCs w:val="11"/>
                <w:color w:val="auto"/>
              </w:rPr>
              <w:t>SCHEDULE II - VALUATION AND QUALIFYING ACCOUNTS</w:t>
            </w:r>
          </w:p>
        </w:tc>
        <w:tc>
          <w:tcPr>
            <w:tcW w:w="320" w:type="dxa"/>
            <w:vAlign w:val="bottom"/>
          </w:tcPr>
          <w:p>
            <w:pPr>
              <w:jc w:val="right"/>
              <w:spacing w:after="0"/>
              <w:rPr>
                <w:rFonts w:ascii="Arial" w:cs="Arial" w:eastAsia="Arial" w:hAnsi="Arial"/>
                <w:sz w:val="11"/>
                <w:szCs w:val="11"/>
                <w:b w:val="1"/>
                <w:bCs w:val="1"/>
                <w:color w:val="auto"/>
              </w:rPr>
            </w:pPr>
            <w:hyperlink w:anchor="page121">
              <w:r>
                <w:rPr>
                  <w:rFonts w:ascii="Arial" w:cs="Arial" w:eastAsia="Arial" w:hAnsi="Arial"/>
                  <w:sz w:val="11"/>
                  <w:szCs w:val="11"/>
                  <w:b w:val="1"/>
                  <w:bCs w:val="1"/>
                  <w:color w:val="auto"/>
                </w:rPr>
                <w:t>121</w:t>
              </w:r>
            </w:hyperlink>
          </w:p>
        </w:tc>
        <w:tc>
          <w:tcPr>
            <w:tcW w:w="0" w:type="dxa"/>
            <w:vAlign w:val="bottom"/>
          </w:tcPr>
          <w:p>
            <w:pPr>
              <w:spacing w:after="0"/>
              <w:rPr>
                <w:sz w:val="1"/>
                <w:szCs w:val="1"/>
                <w:color w:val="auto"/>
              </w:rPr>
            </w:pPr>
          </w:p>
        </w:tc>
      </w:tr>
      <w:tr>
        <w:trPr>
          <w:trHeight w:val="152"/>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9</w:t>
            </w: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CHANGES IN AND DISAGREEMENTS WITH ACCOUNTANTS ON ACCOUNTING AND FINANCIAL</w:t>
            </w:r>
          </w:p>
        </w:tc>
        <w:tc>
          <w:tcPr>
            <w:tcW w:w="320" w:type="dxa"/>
            <w:vAlign w:val="bottom"/>
            <w:vMerge w:val="restart"/>
            <w:shd w:val="clear" w:color="auto" w:fill="CCEEFF"/>
          </w:tcPr>
          <w:p>
            <w:pPr>
              <w:jc w:val="right"/>
              <w:spacing w:after="0"/>
              <w:rPr>
                <w:rFonts w:ascii="Arial" w:cs="Arial" w:eastAsia="Arial" w:hAnsi="Arial"/>
                <w:sz w:val="11"/>
                <w:szCs w:val="11"/>
                <w:b w:val="1"/>
                <w:bCs w:val="1"/>
                <w:color w:val="auto"/>
              </w:rPr>
            </w:pPr>
            <w:hyperlink w:anchor="page122">
              <w:r>
                <w:rPr>
                  <w:rFonts w:ascii="Arial" w:cs="Arial" w:eastAsia="Arial" w:hAnsi="Arial"/>
                  <w:sz w:val="11"/>
                  <w:szCs w:val="11"/>
                  <w:b w:val="1"/>
                  <w:bCs w:val="1"/>
                  <w:color w:val="auto"/>
                </w:rPr>
                <w:t>122</w:t>
              </w:r>
            </w:hyperlink>
          </w:p>
        </w:tc>
        <w:tc>
          <w:tcPr>
            <w:tcW w:w="0" w:type="dxa"/>
            <w:vAlign w:val="bottom"/>
          </w:tcPr>
          <w:p>
            <w:pPr>
              <w:spacing w:after="0"/>
              <w:rPr>
                <w:sz w:val="1"/>
                <w:szCs w:val="1"/>
                <w:color w:val="auto"/>
              </w:rPr>
            </w:pPr>
          </w:p>
        </w:tc>
      </w:tr>
      <w:tr>
        <w:trPr>
          <w:trHeight w:val="143"/>
        </w:trPr>
        <w:tc>
          <w:tcPr>
            <w:tcW w:w="620" w:type="dxa"/>
            <w:vAlign w:val="bottom"/>
            <w:shd w:val="clear" w:color="auto" w:fill="CCEEFF"/>
          </w:tcPr>
          <w:p>
            <w:pPr>
              <w:spacing w:after="0"/>
              <w:rPr>
                <w:sz w:val="12"/>
                <w:szCs w:val="12"/>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DISCLOSURE</w:t>
            </w:r>
          </w:p>
        </w:tc>
        <w:tc>
          <w:tcPr>
            <w:tcW w:w="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9A</w:t>
            </w:r>
          </w:p>
        </w:tc>
        <w:tc>
          <w:tcPr>
            <w:tcW w:w="5180" w:type="dxa"/>
            <w:vAlign w:val="bottom"/>
          </w:tcPr>
          <w:p>
            <w:pPr>
              <w:ind w:left="120"/>
              <w:spacing w:after="0"/>
              <w:rPr>
                <w:sz w:val="20"/>
                <w:szCs w:val="20"/>
                <w:color w:val="auto"/>
              </w:rPr>
            </w:pPr>
            <w:r>
              <w:rPr>
                <w:rFonts w:ascii="Arial" w:cs="Arial" w:eastAsia="Arial" w:hAnsi="Arial"/>
                <w:sz w:val="11"/>
                <w:szCs w:val="11"/>
                <w:color w:val="auto"/>
              </w:rPr>
              <w:t>CONTROLS AND PROCEDURES</w:t>
            </w:r>
          </w:p>
        </w:tc>
        <w:tc>
          <w:tcPr>
            <w:tcW w:w="320" w:type="dxa"/>
            <w:vAlign w:val="bottom"/>
          </w:tcPr>
          <w:p>
            <w:pPr>
              <w:jc w:val="right"/>
              <w:spacing w:after="0"/>
              <w:rPr>
                <w:rFonts w:ascii="Arial" w:cs="Arial" w:eastAsia="Arial" w:hAnsi="Arial"/>
                <w:sz w:val="11"/>
                <w:szCs w:val="11"/>
                <w:b w:val="1"/>
                <w:bCs w:val="1"/>
                <w:color w:val="auto"/>
              </w:rPr>
            </w:pPr>
            <w:hyperlink w:anchor="page122">
              <w:r>
                <w:rPr>
                  <w:rFonts w:ascii="Arial" w:cs="Arial" w:eastAsia="Arial" w:hAnsi="Arial"/>
                  <w:sz w:val="11"/>
                  <w:szCs w:val="11"/>
                  <w:b w:val="1"/>
                  <w:bCs w:val="1"/>
                  <w:color w:val="auto"/>
                </w:rPr>
                <w:t>122</w:t>
              </w:r>
            </w:hyperlink>
          </w:p>
        </w:tc>
        <w:tc>
          <w:tcPr>
            <w:tcW w:w="0" w:type="dxa"/>
            <w:vAlign w:val="bottom"/>
          </w:tcPr>
          <w:p>
            <w:pPr>
              <w:spacing w:after="0"/>
              <w:rPr>
                <w:sz w:val="1"/>
                <w:szCs w:val="1"/>
                <w:color w:val="auto"/>
              </w:rPr>
            </w:pPr>
          </w:p>
        </w:tc>
      </w:tr>
      <w:tr>
        <w:trPr>
          <w:trHeight w:val="169"/>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9B</w:t>
            </w: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INFORMATION</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123">
              <w:r>
                <w:rPr>
                  <w:rFonts w:ascii="Arial" w:cs="Arial" w:eastAsia="Arial" w:hAnsi="Arial"/>
                  <w:sz w:val="11"/>
                  <w:szCs w:val="11"/>
                  <w:b w:val="1"/>
                  <w:bCs w:val="1"/>
                  <w:color w:val="auto"/>
                </w:rPr>
                <w:t>123</w:t>
              </w:r>
            </w:hyperlink>
          </w:p>
        </w:tc>
        <w:tc>
          <w:tcPr>
            <w:tcW w:w="0" w:type="dxa"/>
            <w:vAlign w:val="bottom"/>
          </w:tcPr>
          <w:p>
            <w:pPr>
              <w:spacing w:after="0"/>
              <w:rPr>
                <w:sz w:val="1"/>
                <w:szCs w:val="1"/>
                <w:color w:val="auto"/>
              </w:rPr>
            </w:pPr>
          </w:p>
        </w:tc>
      </w:tr>
      <w:tr>
        <w:trPr>
          <w:trHeight w:val="156"/>
        </w:trPr>
        <w:tc>
          <w:tcPr>
            <w:tcW w:w="620" w:type="dxa"/>
            <w:vAlign w:val="bottom"/>
          </w:tcPr>
          <w:p>
            <w:pPr>
              <w:spacing w:after="0"/>
              <w:rPr>
                <w:sz w:val="20"/>
                <w:szCs w:val="20"/>
                <w:color w:val="auto"/>
              </w:rPr>
            </w:pPr>
            <w:r>
              <w:rPr>
                <w:rFonts w:ascii="Arial" w:cs="Arial" w:eastAsia="Arial" w:hAnsi="Arial"/>
                <w:sz w:val="11"/>
                <w:szCs w:val="11"/>
                <w:b w:val="1"/>
                <w:bCs w:val="1"/>
                <w:color w:val="auto"/>
              </w:rPr>
              <w:t>Part III</w:t>
            </w:r>
          </w:p>
        </w:tc>
        <w:tc>
          <w:tcPr>
            <w:tcW w:w="5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10</w:t>
            </w: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DIRECTORS, EXECUTIVE OFFICERS AND CORPORATE GOVERNANCE</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123">
              <w:r>
                <w:rPr>
                  <w:rFonts w:ascii="Arial" w:cs="Arial" w:eastAsia="Arial" w:hAnsi="Arial"/>
                  <w:sz w:val="11"/>
                  <w:szCs w:val="11"/>
                  <w:b w:val="1"/>
                  <w:bCs w:val="1"/>
                  <w:color w:val="auto"/>
                </w:rPr>
                <w:t>123</w:t>
              </w:r>
            </w:hyperlink>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11</w:t>
            </w:r>
          </w:p>
        </w:tc>
        <w:tc>
          <w:tcPr>
            <w:tcW w:w="5180" w:type="dxa"/>
            <w:vAlign w:val="bottom"/>
          </w:tcPr>
          <w:p>
            <w:pPr>
              <w:ind w:left="120"/>
              <w:spacing w:after="0"/>
              <w:rPr>
                <w:sz w:val="20"/>
                <w:szCs w:val="20"/>
                <w:color w:val="auto"/>
              </w:rPr>
            </w:pPr>
            <w:r>
              <w:rPr>
                <w:rFonts w:ascii="Arial" w:cs="Arial" w:eastAsia="Arial" w:hAnsi="Arial"/>
                <w:sz w:val="11"/>
                <w:szCs w:val="11"/>
                <w:color w:val="auto"/>
              </w:rPr>
              <w:t>EXECUTIVE COMPENSATION</w:t>
            </w:r>
          </w:p>
        </w:tc>
        <w:tc>
          <w:tcPr>
            <w:tcW w:w="320" w:type="dxa"/>
            <w:vAlign w:val="bottom"/>
          </w:tcPr>
          <w:p>
            <w:pPr>
              <w:jc w:val="right"/>
              <w:spacing w:after="0"/>
              <w:rPr>
                <w:rFonts w:ascii="Arial" w:cs="Arial" w:eastAsia="Arial" w:hAnsi="Arial"/>
                <w:sz w:val="11"/>
                <w:szCs w:val="11"/>
                <w:b w:val="1"/>
                <w:bCs w:val="1"/>
                <w:color w:val="auto"/>
              </w:rPr>
            </w:pPr>
            <w:hyperlink w:anchor="page123">
              <w:r>
                <w:rPr>
                  <w:rFonts w:ascii="Arial" w:cs="Arial" w:eastAsia="Arial" w:hAnsi="Arial"/>
                  <w:sz w:val="11"/>
                  <w:szCs w:val="11"/>
                  <w:b w:val="1"/>
                  <w:bCs w:val="1"/>
                  <w:color w:val="auto"/>
                </w:rPr>
                <w:t>123</w:t>
              </w:r>
            </w:hyperlink>
          </w:p>
        </w:tc>
        <w:tc>
          <w:tcPr>
            <w:tcW w:w="0" w:type="dxa"/>
            <w:vAlign w:val="bottom"/>
          </w:tcPr>
          <w:p>
            <w:pPr>
              <w:spacing w:after="0"/>
              <w:rPr>
                <w:sz w:val="1"/>
                <w:szCs w:val="1"/>
                <w:color w:val="auto"/>
              </w:rPr>
            </w:pPr>
          </w:p>
        </w:tc>
      </w:tr>
      <w:tr>
        <w:trPr>
          <w:trHeight w:val="152"/>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12</w:t>
            </w: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9"/>
              </w:rPr>
              <w:t>SECURITY OWNERSHIP OF CERTAIN BENEFICIAL OWNERS AND MANAGEMENT AND RELATED</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123">
              <w:r>
                <w:rPr>
                  <w:rFonts w:ascii="Arial" w:cs="Arial" w:eastAsia="Arial" w:hAnsi="Arial"/>
                  <w:sz w:val="11"/>
                  <w:szCs w:val="11"/>
                  <w:b w:val="1"/>
                  <w:bCs w:val="1"/>
                  <w:color w:val="auto"/>
                </w:rPr>
                <w:t>123</w:t>
              </w:r>
            </w:hyperlink>
          </w:p>
        </w:tc>
        <w:tc>
          <w:tcPr>
            <w:tcW w:w="0" w:type="dxa"/>
            <w:vAlign w:val="bottom"/>
          </w:tcPr>
          <w:p>
            <w:pPr>
              <w:spacing w:after="0"/>
              <w:rPr>
                <w:sz w:val="1"/>
                <w:szCs w:val="1"/>
                <w:color w:val="auto"/>
              </w:rPr>
            </w:pPr>
          </w:p>
        </w:tc>
      </w:tr>
      <w:tr>
        <w:trPr>
          <w:trHeight w:val="143"/>
        </w:trPr>
        <w:tc>
          <w:tcPr>
            <w:tcW w:w="620" w:type="dxa"/>
            <w:vAlign w:val="bottom"/>
            <w:shd w:val="clear" w:color="auto" w:fill="CCEEFF"/>
          </w:tcPr>
          <w:p>
            <w:pPr>
              <w:spacing w:after="0"/>
              <w:rPr>
                <w:sz w:val="12"/>
                <w:szCs w:val="12"/>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STOCKHOLDER MATTERS</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Item 13</w:t>
            </w:r>
          </w:p>
        </w:tc>
        <w:tc>
          <w:tcPr>
            <w:tcW w:w="5180" w:type="dxa"/>
            <w:vAlign w:val="bottom"/>
          </w:tcPr>
          <w:p>
            <w:pPr>
              <w:ind w:left="120"/>
              <w:spacing w:after="0"/>
              <w:rPr>
                <w:sz w:val="20"/>
                <w:szCs w:val="20"/>
                <w:color w:val="auto"/>
              </w:rPr>
            </w:pPr>
            <w:r>
              <w:rPr>
                <w:rFonts w:ascii="Arial" w:cs="Arial" w:eastAsia="Arial" w:hAnsi="Arial"/>
                <w:sz w:val="11"/>
                <w:szCs w:val="11"/>
                <w:color w:val="auto"/>
              </w:rPr>
              <w:t>CERTAIN RELATIONSHIPS AND RELATED TRANSACTIONS AND DIRECTOR INDEPENDENCE</w:t>
            </w:r>
          </w:p>
        </w:tc>
        <w:tc>
          <w:tcPr>
            <w:tcW w:w="320" w:type="dxa"/>
            <w:vAlign w:val="bottom"/>
          </w:tcPr>
          <w:p>
            <w:pPr>
              <w:jc w:val="right"/>
              <w:spacing w:after="0"/>
              <w:rPr>
                <w:rFonts w:ascii="Arial" w:cs="Arial" w:eastAsia="Arial" w:hAnsi="Arial"/>
                <w:sz w:val="11"/>
                <w:szCs w:val="11"/>
                <w:b w:val="1"/>
                <w:bCs w:val="1"/>
                <w:color w:val="auto"/>
              </w:rPr>
            </w:pPr>
            <w:hyperlink w:anchor="page124">
              <w:r>
                <w:rPr>
                  <w:rFonts w:ascii="Arial" w:cs="Arial" w:eastAsia="Arial" w:hAnsi="Arial"/>
                  <w:sz w:val="11"/>
                  <w:szCs w:val="11"/>
                  <w:b w:val="1"/>
                  <w:bCs w:val="1"/>
                  <w:color w:val="auto"/>
                </w:rPr>
                <w:t>124</w:t>
              </w:r>
            </w:hyperlink>
          </w:p>
        </w:tc>
        <w:tc>
          <w:tcPr>
            <w:tcW w:w="0" w:type="dxa"/>
            <w:vAlign w:val="bottom"/>
          </w:tcPr>
          <w:p>
            <w:pPr>
              <w:spacing w:after="0"/>
              <w:rPr>
                <w:sz w:val="1"/>
                <w:szCs w:val="1"/>
                <w:color w:val="auto"/>
              </w:rPr>
            </w:pPr>
          </w:p>
        </w:tc>
      </w:tr>
      <w:tr>
        <w:trPr>
          <w:trHeight w:val="169"/>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14</w:t>
            </w: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PRINCIPAL ACCOUNTANT FEES AND SERVICES</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124">
              <w:r>
                <w:rPr>
                  <w:rFonts w:ascii="Arial" w:cs="Arial" w:eastAsia="Arial" w:hAnsi="Arial"/>
                  <w:sz w:val="11"/>
                  <w:szCs w:val="11"/>
                  <w:b w:val="1"/>
                  <w:bCs w:val="1"/>
                  <w:color w:val="auto"/>
                </w:rPr>
                <w:t>124</w:t>
              </w:r>
            </w:hyperlink>
          </w:p>
        </w:tc>
        <w:tc>
          <w:tcPr>
            <w:tcW w:w="0" w:type="dxa"/>
            <w:vAlign w:val="bottom"/>
          </w:tcPr>
          <w:p>
            <w:pPr>
              <w:spacing w:after="0"/>
              <w:rPr>
                <w:sz w:val="1"/>
                <w:szCs w:val="1"/>
                <w:color w:val="auto"/>
              </w:rPr>
            </w:pPr>
          </w:p>
        </w:tc>
      </w:tr>
      <w:tr>
        <w:trPr>
          <w:trHeight w:val="174"/>
        </w:trPr>
        <w:tc>
          <w:tcPr>
            <w:tcW w:w="620" w:type="dxa"/>
            <w:vAlign w:val="bottom"/>
          </w:tcPr>
          <w:p>
            <w:pPr>
              <w:spacing w:after="0"/>
              <w:rPr>
                <w:sz w:val="20"/>
                <w:szCs w:val="20"/>
                <w:color w:val="auto"/>
              </w:rPr>
            </w:pPr>
            <w:r>
              <w:rPr>
                <w:rFonts w:ascii="Arial" w:cs="Arial" w:eastAsia="Arial" w:hAnsi="Arial"/>
                <w:sz w:val="11"/>
                <w:szCs w:val="11"/>
                <w:b w:val="1"/>
                <w:bCs w:val="1"/>
                <w:color w:val="auto"/>
              </w:rPr>
              <w:t>Part IV</w:t>
            </w:r>
          </w:p>
        </w:tc>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Item 15</w:t>
            </w:r>
          </w:p>
        </w:tc>
        <w:tc>
          <w:tcPr>
            <w:tcW w:w="5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EXHIBITS</w:t>
            </w:r>
          </w:p>
        </w:tc>
        <w:tc>
          <w:tcPr>
            <w:tcW w:w="320" w:type="dxa"/>
            <w:vAlign w:val="bottom"/>
            <w:shd w:val="clear" w:color="auto" w:fill="CCEEFF"/>
          </w:tcPr>
          <w:p>
            <w:pPr>
              <w:jc w:val="right"/>
              <w:spacing w:after="0"/>
              <w:rPr>
                <w:rFonts w:ascii="Arial" w:cs="Arial" w:eastAsia="Arial" w:hAnsi="Arial"/>
                <w:sz w:val="11"/>
                <w:szCs w:val="11"/>
                <w:b w:val="1"/>
                <w:bCs w:val="1"/>
                <w:color w:val="auto"/>
              </w:rPr>
            </w:pPr>
            <w:hyperlink w:anchor="page125">
              <w:r>
                <w:rPr>
                  <w:rFonts w:ascii="Arial" w:cs="Arial" w:eastAsia="Arial" w:hAnsi="Arial"/>
                  <w:sz w:val="11"/>
                  <w:szCs w:val="11"/>
                  <w:b w:val="1"/>
                  <w:bCs w:val="1"/>
                  <w:color w:val="auto"/>
                </w:rPr>
                <w:t>125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482" w:right="1440"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64"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We are an independent oil and natural gas exploration and production company operating properties within California. We are the largest oil and gas producer in California on a gross operated basis and we believe we have the largest privately held mineral acreage position in the state, consisting of approximately 2.3 million net mineral acres spanning the state’s four major oil and gas basins. We produced approximately 129 thousand barrels of oil equivalent per day (MBoe/d) for the year ended December 31, 2017. As of December 31, 2017, we had net proved reserves of 618 million barrels of oil equivalent (MMBoe), of which approximately 71% was categorized as proved developed reserves. Oil represented 72% of our proved reserves. We were formed in April 2014 and listed on the New York Stock Exchange on December 1, 2014. All references to ‘‘CRC,’’ the ‘‘Company,’’ ‘‘we,’’ ‘‘us’’ and ‘‘our’’ refer to California Resources Corporation and its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Operations and Environment</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business is focused on the production, development and exploration of conventional and unconventional oil and gas assets in California.</w:t>
      </w:r>
    </w:p>
    <w:p>
      <w:pPr>
        <w:spacing w:after="0" w:line="123" w:lineRule="exact"/>
        <w:rPr>
          <w:sz w:val="20"/>
          <w:szCs w:val="20"/>
          <w:color w:val="auto"/>
        </w:rPr>
      </w:pPr>
    </w:p>
    <w:p>
      <w:pPr>
        <w:ind w:right="140" w:firstLine="216"/>
        <w:spacing w:after="0" w:line="252" w:lineRule="auto"/>
        <w:rPr>
          <w:sz w:val="20"/>
          <w:szCs w:val="20"/>
          <w:color w:val="auto"/>
        </w:rPr>
      </w:pPr>
      <w:r>
        <w:rPr>
          <w:rFonts w:ascii="Arial" w:cs="Arial" w:eastAsia="Arial" w:hAnsi="Arial"/>
          <w:sz w:val="12"/>
          <w:szCs w:val="12"/>
          <w:color w:val="auto"/>
        </w:rPr>
        <w:t>Our large acreage position and extensive drilling inventory provide us a diversified portfolio of oil and natural gas locations that are economically viable in a variety of operating and commodity price conditions, including many that are high-value projects throughout the price cycle. Our large fee mineral acreage position also enhances our returns because we do not make royalty and other lease payments related to these assets. Our acreage position contains numerous development and growth opportunities due to its varied geologic characteristics and multiple stacked pay reservoirs which are in many cases thousands of feet thick. We have a large portfolio of low-risk and low-decline conventional opportunities in each of our major oil and gas basins comprising approximately 71% of our proved reserves. Conventional reservoirs are capable of natural flow during primary recovery phase, often followed by waterflood and steamflood recovery methods to enhance ultimate recovery. We also have a significant portfolio of lower permeability unconventional reservoirs that typically utilize established well stimulation techniques. Our conventional and unconventional reservoirs currently include approximately 20,550 and 4,530 net identified drilling locations, respectively, primarily in the San Joaquin basin.</w:t>
      </w:r>
    </w:p>
    <w:p>
      <w:pPr>
        <w:spacing w:after="0" w:line="139"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We are in various phases of developing many of our conventional assets and will continue to develop them using internally generated cash flow and, when appropriate, capital raised through joint ventures. Prior to the severe price declines that began in late 2014, we were focused on higher-value unconventional production from seven discrete stacked pay horizons within the Monterey formation, primarily within the upper Monterey. As commodity prices and project economics improved in 2017, we renewed our development activities in the upper Monterey and started to appraise and delineate the Kreyenhagen formation within our Kettleman North Dome field. We expect to continue pursuing unconventional opportunities in 2018 and beyond if prices remain at current levels. Over the longer term, we believe our project economics will improve, which should allow us to duplicate our successful upper Monterey results to develop opportunities in the unconventional reservoirs of the lower Monterey, Kreyenhagen and Moreno formations, which have similar geological attributes.</w:t>
      </w:r>
    </w:p>
    <w:p>
      <w:pPr>
        <w:spacing w:after="0" w:line="139"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We have also built a 3D seismic library that covers approximately 4,820 square miles, representing over 90% of the 3D seismic data available in California. We have developed unique, proprietary stratigraphic and structural models of the subsurface geology and hydrocarbon potential in each of the four basins in which we operate. In recent years we have tested and successfully implemented various exploration, drilling, completion and enhanced recovery technologies to increase recoveries, growth and value from our portfolio. We continue working to build depth in our exploration inventory and identify new prospects based on the competitive advantage provided by this proprietary data set and our experience.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60"/>
          </w:cols>
          <w:pgMar w:left="220" w:top="287" w:right="219" w:bottom="1440" w:gutter="0" w:footer="0" w:header="0"/>
        </w:sectPr>
      </w:pPr>
    </w:p>
    <w:bookmarkStart w:id="4" w:name="page5"/>
    <w:bookmarkEnd w:id="4"/>
    <w:p>
      <w:pPr>
        <w:ind w:right="80" w:firstLine="216"/>
        <w:spacing w:after="0" w:line="252" w:lineRule="auto"/>
        <w:rPr>
          <w:sz w:val="20"/>
          <w:szCs w:val="20"/>
          <w:color w:val="auto"/>
        </w:rPr>
      </w:pPr>
      <w:r>
        <w:rPr>
          <w:rFonts w:ascii="Arial" w:cs="Arial" w:eastAsia="Arial" w:hAnsi="Arial"/>
          <w:sz w:val="12"/>
          <w:szCs w:val="12"/>
          <w:color w:val="auto"/>
        </w:rPr>
        <w:t>We develop our capital program by prioritizing life-of-project returns to grow our net asset value over the long term, while balancing the short- and long-term growth potential of each of our assets. We use a Value Creation Index (VCI) metric for project selection and capital allocation across our asset portfolio. We calculate the VCI for each of our projects by dividing the net present value of the project's expected pre-tax cash flow over its life by the present value of the investments, each using a 10% discount rate. Projects are expected to meet a VCI of 1.3, meaning that 30% of expected value is created above our cost of capital for every dollar invested. Our technical teams are consistently working to enhance value by improving the economics of our inventory through detailed geologic studies as well as application of more effective and efficient drilling and completion techniques. As a result, we expect many projects that do not currently meet our VCI threshold today will do so by the time of development. We regularly monitor internal performance and external factors and adjust our capital investment program with the objective of creating the most value from our asset portfolio.</w:t>
      </w:r>
    </w:p>
    <w:p>
      <w:pPr>
        <w:spacing w:after="0" w:line="112" w:lineRule="exact"/>
        <w:rPr>
          <w:sz w:val="20"/>
          <w:szCs w:val="20"/>
          <w:color w:val="auto"/>
        </w:rPr>
      </w:pPr>
    </w:p>
    <w:p>
      <w:pPr>
        <w:ind w:right="80" w:firstLine="216"/>
        <w:spacing w:after="0" w:line="253" w:lineRule="auto"/>
        <w:rPr>
          <w:sz w:val="20"/>
          <w:szCs w:val="20"/>
          <w:color w:val="auto"/>
        </w:rPr>
      </w:pPr>
      <w:r>
        <w:rPr>
          <w:rFonts w:ascii="Arial" w:cs="Arial" w:eastAsia="Arial" w:hAnsi="Arial"/>
          <w:sz w:val="12"/>
          <w:szCs w:val="12"/>
          <w:color w:val="auto"/>
        </w:rPr>
        <w:t>With significant operating control of our properties, we have the ability to adjust our drilling and workover rig count based on commodity prices and to increase or decrease our program according to changing market conditions. We began 2017 with two drilling rigs and ended the year with nine; seven in the San Joaquin basin and one each in the Los Angeles and Ventura basins. We drilled and completed 109 net development wells with 92 wells in the San Joaquin basin, 15 in the Los Angeles basin and two in the Ventura basin. These included six primary wells, 52 steamflood wells, 31 waterflood wells, and 20 unconventional wells. We also drilled and completed five net exploration wells in the San Joaquin basin. In 2017, we increased our workover rig count from 43 at the beginning of 2017 to 59 at the end of the year to focus on projects that meet our investment criteria. In total, we performed approximately 460 capital workover projects during 2017.</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summarizes certain information concerning our acreage, wells and drilling locations as of December 31,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00" w:type="dxa"/>
            <w:vAlign w:val="bottom"/>
          </w:tcPr>
          <w:p>
            <w:pPr>
              <w:spacing w:after="0"/>
              <w:rPr>
                <w:sz w:val="10"/>
                <w:szCs w:val="10"/>
                <w:color w:val="auto"/>
              </w:rPr>
            </w:pPr>
          </w:p>
        </w:tc>
        <w:tc>
          <w:tcPr>
            <w:tcW w:w="162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5"/>
              </w:rPr>
              <w:t>Mineral Acreage</w:t>
            </w:r>
            <w:r>
              <w:rPr>
                <w:rFonts w:ascii="Arial" w:cs="Arial" w:eastAsia="Arial" w:hAnsi="Arial"/>
                <w:sz w:val="11"/>
                <w:szCs w:val="11"/>
                <w:b w:val="1"/>
                <w:bCs w:val="1"/>
                <w:color w:val="auto"/>
                <w:w w:val="95"/>
                <w:vertAlign w:val="superscript"/>
              </w:rPr>
              <w:t>(a)</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5"/>
              </w:rPr>
              <w:t>Average Net</w:t>
            </w:r>
          </w:p>
        </w:tc>
        <w:tc>
          <w:tcPr>
            <w:tcW w:w="1700" w:type="dxa"/>
            <w:vAlign w:val="bottom"/>
            <w:gridSpan w:val="3"/>
            <w:vMerge w:val="restart"/>
          </w:tcPr>
          <w:p>
            <w:pPr>
              <w:jc w:val="right"/>
              <w:ind w:right="127"/>
              <w:spacing w:after="0"/>
              <w:rPr>
                <w:sz w:val="20"/>
                <w:szCs w:val="20"/>
                <w:color w:val="auto"/>
              </w:rPr>
            </w:pPr>
            <w:r>
              <w:rPr>
                <w:rFonts w:ascii="Arial" w:cs="Arial" w:eastAsia="Arial" w:hAnsi="Arial"/>
                <w:sz w:val="10"/>
                <w:szCs w:val="10"/>
                <w:b w:val="1"/>
                <w:bCs w:val="1"/>
                <w:color w:val="auto"/>
              </w:rPr>
              <w:t>Identified Drilling Locations</w:t>
            </w:r>
            <w:r>
              <w:rPr>
                <w:rFonts w:ascii="Arial" w:cs="Arial" w:eastAsia="Arial" w:hAnsi="Arial"/>
                <w:sz w:val="11"/>
                <w:szCs w:val="11"/>
                <w:b w:val="1"/>
                <w:bCs w:val="1"/>
                <w:color w:val="auto"/>
                <w:vertAlign w:val="superscript"/>
              </w:rPr>
              <w:t>(b)</w:t>
            </w:r>
          </w:p>
        </w:tc>
        <w:tc>
          <w:tcPr>
            <w:tcW w:w="0" w:type="dxa"/>
            <w:vAlign w:val="bottom"/>
          </w:tcPr>
          <w:p>
            <w:pPr>
              <w:spacing w:after="0"/>
              <w:rPr>
                <w:sz w:val="1"/>
                <w:szCs w:val="1"/>
                <w:color w:val="auto"/>
              </w:rPr>
            </w:pPr>
          </w:p>
        </w:tc>
      </w:tr>
      <w:tr>
        <w:trPr>
          <w:trHeight w:val="86"/>
        </w:trPr>
        <w:tc>
          <w:tcPr>
            <w:tcW w:w="4700" w:type="dxa"/>
            <w:vAlign w:val="bottom"/>
          </w:tcPr>
          <w:p>
            <w:pPr>
              <w:spacing w:after="0"/>
              <w:rPr>
                <w:sz w:val="7"/>
                <w:szCs w:val="7"/>
                <w:color w:val="auto"/>
              </w:rPr>
            </w:pPr>
          </w:p>
        </w:tc>
        <w:tc>
          <w:tcPr>
            <w:tcW w:w="1040" w:type="dxa"/>
            <w:vAlign w:val="bottom"/>
            <w:gridSpan w:val="3"/>
          </w:tcPr>
          <w:p>
            <w:pPr>
              <w:jc w:val="center"/>
              <w:ind w:left="429"/>
              <w:spacing w:after="0" w:line="86" w:lineRule="exact"/>
              <w:rPr>
                <w:sz w:val="20"/>
                <w:szCs w:val="20"/>
                <w:color w:val="auto"/>
              </w:rPr>
            </w:pPr>
            <w:r>
              <w:rPr>
                <w:rFonts w:ascii="Arial" w:cs="Arial" w:eastAsia="Arial" w:hAnsi="Arial"/>
                <w:sz w:val="8"/>
                <w:szCs w:val="8"/>
                <w:b w:val="1"/>
                <w:bCs w:val="1"/>
                <w:color w:val="auto"/>
              </w:rPr>
              <w:t>(in millions)</w:t>
            </w: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47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restart"/>
          </w:tcPr>
          <w:p>
            <w:pPr>
              <w:ind w:left="120"/>
              <w:spacing w:after="0" w:line="91" w:lineRule="exact"/>
              <w:rPr>
                <w:sz w:val="20"/>
                <w:szCs w:val="20"/>
                <w:color w:val="auto"/>
              </w:rPr>
            </w:pPr>
            <w:r>
              <w:rPr>
                <w:rFonts w:ascii="Arial" w:cs="Arial" w:eastAsia="Arial" w:hAnsi="Arial"/>
                <w:sz w:val="10"/>
                <w:szCs w:val="10"/>
                <w:b w:val="1"/>
                <w:bCs w:val="1"/>
                <w:color w:val="auto"/>
              </w:rPr>
              <w:t>Average Net Mineral</w:t>
            </w:r>
          </w:p>
        </w:tc>
        <w:tc>
          <w:tcPr>
            <w:tcW w:w="1160" w:type="dxa"/>
            <w:vAlign w:val="bottom"/>
            <w:gridSpan w:val="2"/>
            <w:vMerge w:val="restart"/>
          </w:tcPr>
          <w:p>
            <w:pPr>
              <w:jc w:val="center"/>
              <w:ind w:right="100"/>
              <w:spacing w:after="0" w:line="91" w:lineRule="exact"/>
              <w:rPr>
                <w:sz w:val="20"/>
                <w:szCs w:val="20"/>
                <w:color w:val="auto"/>
              </w:rPr>
            </w:pPr>
            <w:r>
              <w:rPr>
                <w:rFonts w:ascii="Arial" w:cs="Arial" w:eastAsia="Arial" w:hAnsi="Arial"/>
                <w:sz w:val="10"/>
                <w:szCs w:val="10"/>
                <w:b w:val="1"/>
                <w:bCs w:val="1"/>
                <w:color w:val="auto"/>
                <w:w w:val="96"/>
              </w:rPr>
              <w:t>Producing Wells,</w:t>
            </w:r>
          </w:p>
        </w:tc>
        <w:tc>
          <w:tcPr>
            <w:tcW w:w="1020" w:type="dxa"/>
            <w:vAlign w:val="bottom"/>
            <w:gridSpan w:val="2"/>
            <w:vMerge w:val="restart"/>
          </w:tcPr>
          <w:p>
            <w:pPr>
              <w:jc w:val="center"/>
              <w:ind w:right="120"/>
              <w:spacing w:after="0" w:line="91" w:lineRule="exact"/>
              <w:rPr>
                <w:sz w:val="20"/>
                <w:szCs w:val="20"/>
                <w:color w:val="auto"/>
              </w:rPr>
            </w:pPr>
            <w:r>
              <w:rPr>
                <w:rFonts w:ascii="Arial" w:cs="Arial" w:eastAsia="Arial" w:hAnsi="Arial"/>
                <w:sz w:val="10"/>
                <w:szCs w:val="10"/>
                <w:b w:val="1"/>
                <w:bCs w:val="1"/>
                <w:color w:val="auto"/>
                <w:w w:val="96"/>
              </w:rPr>
              <w:t>Revenue Interest</w:t>
            </w: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gridSpan w:val="3"/>
          </w:tcPr>
          <w:p>
            <w:pPr>
              <w:ind w:left="220"/>
              <w:spacing w:after="0"/>
              <w:rPr>
                <w:sz w:val="20"/>
                <w:szCs w:val="20"/>
                <w:color w:val="auto"/>
              </w:rPr>
            </w:pPr>
            <w:r>
              <w:rPr>
                <w:rFonts w:ascii="Arial" w:cs="Arial" w:eastAsia="Arial" w:hAnsi="Arial"/>
                <w:sz w:val="10"/>
                <w:szCs w:val="10"/>
                <w:b w:val="1"/>
                <w:bCs w:val="1"/>
                <w:color w:val="auto"/>
              </w:rPr>
              <w:t>Gross</w:t>
            </w:r>
          </w:p>
        </w:tc>
        <w:tc>
          <w:tcPr>
            <w:tcW w:w="580" w:type="dxa"/>
            <w:vAlign w:val="bottom"/>
            <w:gridSpan w:val="2"/>
          </w:tcPr>
          <w:p>
            <w:pPr>
              <w:ind w:left="40"/>
              <w:spacing w:after="0"/>
              <w:rPr>
                <w:sz w:val="20"/>
                <w:szCs w:val="20"/>
                <w:color w:val="auto"/>
              </w:rPr>
            </w:pPr>
            <w:r>
              <w:rPr>
                <w:rFonts w:ascii="Arial" w:cs="Arial" w:eastAsia="Arial" w:hAnsi="Arial"/>
                <w:sz w:val="10"/>
                <w:szCs w:val="10"/>
                <w:b w:val="1"/>
                <w:bCs w:val="1"/>
                <w:color w:val="auto"/>
              </w:rPr>
              <w:t>Net</w:t>
            </w:r>
          </w:p>
        </w:tc>
        <w:tc>
          <w:tcPr>
            <w:tcW w:w="12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8"/>
              </w:rPr>
              <w:t>Acreage Held in Fee (%)</w:t>
            </w:r>
          </w:p>
        </w:tc>
        <w:tc>
          <w:tcPr>
            <w:tcW w:w="11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gross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89"/>
              </w:rPr>
              <w:t>(%)</w:t>
            </w:r>
          </w:p>
        </w:tc>
        <w:tc>
          <w:tcPr>
            <w:tcW w:w="100" w:type="dxa"/>
            <w:vAlign w:val="bottom"/>
          </w:tcPr>
          <w:p>
            <w:pPr>
              <w:spacing w:after="0"/>
              <w:rPr>
                <w:sz w:val="11"/>
                <w:szCs w:val="11"/>
                <w:color w:val="auto"/>
              </w:rPr>
            </w:pPr>
          </w:p>
        </w:tc>
        <w:tc>
          <w:tcPr>
            <w:tcW w:w="900" w:type="dxa"/>
            <w:vAlign w:val="bottom"/>
            <w:gridSpan w:val="2"/>
          </w:tcPr>
          <w:p>
            <w:pPr>
              <w:ind w:left="260"/>
              <w:spacing w:after="0"/>
              <w:rPr>
                <w:sz w:val="20"/>
                <w:szCs w:val="20"/>
                <w:color w:val="auto"/>
              </w:rPr>
            </w:pPr>
            <w:r>
              <w:rPr>
                <w:rFonts w:ascii="Arial" w:cs="Arial" w:eastAsia="Arial" w:hAnsi="Arial"/>
                <w:sz w:val="10"/>
                <w:szCs w:val="10"/>
                <w:b w:val="1"/>
                <w:bCs w:val="1"/>
                <w:color w:val="auto"/>
              </w:rPr>
              <w:t>Gross</w:t>
            </w:r>
          </w:p>
        </w:tc>
        <w:tc>
          <w:tcPr>
            <w:tcW w:w="800" w:type="dxa"/>
            <w:vAlign w:val="bottom"/>
          </w:tcPr>
          <w:p>
            <w:pPr>
              <w:jc w:val="right"/>
              <w:ind w:right="267"/>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6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San Joaquin Basin</w:t>
            </w:r>
          </w:p>
        </w:tc>
        <w:tc>
          <w:tcPr>
            <w:tcW w:w="7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1"/>
                <w:szCs w:val="11"/>
                <w:color w:val="auto"/>
              </w:rPr>
              <w:t>1.7</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1.5</w:t>
            </w: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6,192</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25,190</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17,530</w:t>
            </w:r>
          </w:p>
        </w:tc>
        <w:tc>
          <w:tcPr>
            <w:tcW w:w="0" w:type="dxa"/>
            <w:vAlign w:val="bottom"/>
          </w:tcPr>
          <w:p>
            <w:pPr>
              <w:spacing w:after="0"/>
              <w:rPr>
                <w:sz w:val="1"/>
                <w:szCs w:val="1"/>
                <w:color w:val="auto"/>
              </w:rPr>
            </w:pPr>
          </w:p>
        </w:tc>
      </w:tr>
      <w:tr>
        <w:trPr>
          <w:trHeight w:val="174"/>
        </w:trPr>
        <w:tc>
          <w:tcPr>
            <w:tcW w:w="4700" w:type="dxa"/>
            <w:vAlign w:val="bottom"/>
          </w:tcPr>
          <w:p>
            <w:pPr>
              <w:ind w:left="20"/>
              <w:spacing w:after="0"/>
              <w:rPr>
                <w:sz w:val="20"/>
                <w:szCs w:val="20"/>
                <w:color w:val="auto"/>
              </w:rPr>
            </w:pPr>
            <w:r>
              <w:rPr>
                <w:rFonts w:ascii="Arial" w:cs="Arial" w:eastAsia="Arial" w:hAnsi="Arial"/>
                <w:sz w:val="11"/>
                <w:szCs w:val="11"/>
                <w:color w:val="auto"/>
              </w:rPr>
              <w:t>Los Angeles Basin</w:t>
            </w:r>
          </w:p>
        </w:tc>
        <w:tc>
          <w:tcPr>
            <w:tcW w:w="700" w:type="dxa"/>
            <w:vAlign w:val="bottom"/>
          </w:tcPr>
          <w:p>
            <w:pPr>
              <w:jc w:val="right"/>
              <w:ind w:right="69"/>
              <w:spacing w:after="0"/>
              <w:rPr>
                <w:sz w:val="20"/>
                <w:szCs w:val="20"/>
                <w:color w:val="auto"/>
              </w:rPr>
            </w:pPr>
            <w:r>
              <w:rPr>
                <w:rFonts w:ascii="Arial" w:cs="Arial" w:eastAsia="Arial" w:hAnsi="Arial"/>
                <w:sz w:val="11"/>
                <w:szCs w:val="11"/>
                <w:color w:val="auto"/>
              </w:rPr>
              <w:t>&lt;0.1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ind w:right="67"/>
              <w:spacing w:after="0"/>
              <w:rPr>
                <w:sz w:val="20"/>
                <w:szCs w:val="20"/>
                <w:color w:val="auto"/>
              </w:rPr>
            </w:pPr>
            <w:r>
              <w:rPr>
                <w:rFonts w:ascii="Arial" w:cs="Arial" w:eastAsia="Arial" w:hAnsi="Arial"/>
                <w:sz w:val="11"/>
                <w:szCs w:val="11"/>
                <w:color w:val="auto"/>
              </w:rPr>
              <w:t>&lt;0.1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1"/>
                <w:szCs w:val="11"/>
                <w:color w:val="auto"/>
              </w:rPr>
              <w:t>1,300</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1"/>
                <w:szCs w:val="11"/>
                <w:color w:val="auto"/>
              </w:rPr>
              <w:t>1,950</w:t>
            </w:r>
          </w:p>
        </w:tc>
        <w:tc>
          <w:tcPr>
            <w:tcW w:w="100" w:type="dxa"/>
            <w:vAlign w:val="bottom"/>
          </w:tcPr>
          <w:p>
            <w:pPr>
              <w:spacing w:after="0"/>
              <w:rPr>
                <w:sz w:val="15"/>
                <w:szCs w:val="15"/>
                <w:color w:val="auto"/>
              </w:rPr>
            </w:pP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1,930</w:t>
            </w:r>
          </w:p>
        </w:tc>
        <w:tc>
          <w:tcPr>
            <w:tcW w:w="0" w:type="dxa"/>
            <w:vAlign w:val="bottom"/>
          </w:tcPr>
          <w:p>
            <w:pPr>
              <w:spacing w:after="0"/>
              <w:rPr>
                <w:sz w:val="1"/>
                <w:szCs w:val="1"/>
                <w:color w:val="auto"/>
              </w:rPr>
            </w:pPr>
          </w:p>
        </w:tc>
      </w:tr>
      <w:tr>
        <w:trPr>
          <w:trHeight w:val="187"/>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Ventura Basin</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1"/>
                <w:szCs w:val="11"/>
                <w:color w:val="auto"/>
              </w:rPr>
              <w:t>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467</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4,310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3,900</w:t>
            </w:r>
          </w:p>
        </w:tc>
        <w:tc>
          <w:tcPr>
            <w:tcW w:w="0" w:type="dxa"/>
            <w:vAlign w:val="bottom"/>
          </w:tcPr>
          <w:p>
            <w:pPr>
              <w:spacing w:after="0"/>
              <w:rPr>
                <w:sz w:val="1"/>
                <w:szCs w:val="1"/>
                <w:color w:val="auto"/>
              </w:rPr>
            </w:pPr>
          </w:p>
        </w:tc>
      </w:tr>
      <w:tr>
        <w:trPr>
          <w:trHeight w:val="17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Sacramento Basin</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color w:val="auto"/>
              </w:rPr>
              <w:t>0.6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0.5</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color w:val="auto"/>
              </w:rPr>
              <w:t>677</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color w:val="auto"/>
              </w:rPr>
              <w:t>2,420</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1,720</w:t>
            </w:r>
          </w:p>
        </w:tc>
        <w:tc>
          <w:tcPr>
            <w:tcW w:w="0" w:type="dxa"/>
            <w:vAlign w:val="bottom"/>
          </w:tcPr>
          <w:p>
            <w:pPr>
              <w:spacing w:after="0"/>
              <w:rPr>
                <w:sz w:val="1"/>
                <w:szCs w:val="1"/>
                <w:color w:val="auto"/>
              </w:rPr>
            </w:pPr>
          </w:p>
        </w:tc>
      </w:tr>
      <w:tr>
        <w:trPr>
          <w:trHeight w:val="165"/>
        </w:trPr>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b w:val="1"/>
                <w:bCs w:val="1"/>
                <w:color w:val="auto"/>
              </w:rPr>
              <w:t>Total</w:t>
            </w: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8,636</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33,870</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25,080</w:t>
            </w:r>
          </w:p>
        </w:tc>
        <w:tc>
          <w:tcPr>
            <w:tcW w:w="0" w:type="dxa"/>
            <w:vAlign w:val="bottom"/>
          </w:tcPr>
          <w:p>
            <w:pPr>
              <w:spacing w:after="0"/>
              <w:rPr>
                <w:sz w:val="1"/>
                <w:szCs w:val="1"/>
                <w:color w:val="auto"/>
              </w:rPr>
            </w:pPr>
          </w:p>
        </w:tc>
      </w:tr>
    </w:tbl>
    <w:p>
      <w:pPr>
        <w:ind w:left="420" w:hanging="212"/>
        <w:spacing w:after="0" w:line="232" w:lineRule="auto"/>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We currently hold approximately 38,500 gross (30,300 net) acres in the Los Angeles basin. Our Los Angeles basin operations primarily rely on dense multi-well pad drilling.</w:t>
      </w:r>
    </w:p>
    <w:p>
      <w:pPr>
        <w:ind w:left="420" w:hanging="212"/>
        <w:spacing w:after="0" w:line="232" w:lineRule="auto"/>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Our total identified drilling locations exclude approximately 6,400 gross (5,300 net) exploration drilling locations related to unconventional reservoirs. They include approximately 2,090 gross (1,870 net) locations associated with proved undeveloped reserves and approximately 2,520 gross (2,350 net) injection well locations. Please see </w:t>
      </w:r>
      <w:r>
        <w:rPr>
          <w:rFonts w:ascii="Arial" w:cs="Arial" w:eastAsia="Arial" w:hAnsi="Arial"/>
          <w:sz w:val="10"/>
          <w:szCs w:val="10"/>
          <w:i w:val="1"/>
          <w:iCs w:val="1"/>
          <w:color w:val="auto"/>
        </w:rPr>
        <w:t>Item 2 – Properties – Drilling Locations</w:t>
      </w:r>
      <w:r>
        <w:rPr>
          <w:rFonts w:ascii="Arial" w:cs="Arial" w:eastAsia="Arial" w:hAnsi="Arial"/>
          <w:sz w:val="10"/>
          <w:szCs w:val="10"/>
          <w:color w:val="auto"/>
        </w:rPr>
        <w:t xml:space="preserve"> for more information regarding the processes and criteria through which we identified our drilling locations.</w:t>
      </w:r>
    </w:p>
    <w:p>
      <w:pPr>
        <w:spacing w:after="0" w:line="98"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Compared to 2016, our 2017 production declined 8%, with only $266 million of drilling and workover capital invested for the year. This performance reflects the resilience of our asset base and the further flattening of our base production decline. In 2017, our production profile comprised roughly 64% oil, 24% natural gas and 12% natural gas liquids. Recognizing the relative value of crude oil, we are devoting the majority of our 2018 capital program to grow our oil production.</w:t>
      </w:r>
    </w:p>
    <w:p>
      <w:pPr>
        <w:spacing w:after="0" w:line="108" w:lineRule="exact"/>
        <w:rPr>
          <w:sz w:val="20"/>
          <w:szCs w:val="20"/>
          <w:color w:val="auto"/>
        </w:rPr>
      </w:pPr>
    </w:p>
    <w:p>
      <w:pPr>
        <w:jc w:val="both"/>
        <w:ind w:right="180" w:firstLine="216"/>
        <w:spacing w:after="0" w:line="256" w:lineRule="auto"/>
        <w:rPr>
          <w:sz w:val="20"/>
          <w:szCs w:val="20"/>
          <w:color w:val="auto"/>
        </w:rPr>
      </w:pPr>
      <w:r>
        <w:rPr>
          <w:rFonts w:ascii="Arial" w:cs="Arial" w:eastAsia="Arial" w:hAnsi="Arial"/>
          <w:sz w:val="12"/>
          <w:szCs w:val="12"/>
          <w:color w:val="auto"/>
        </w:rPr>
        <w:t>We have created a dynamic capital program for 2018 that can be adjusted to align investments with projected cash flows and joint venture (JV) funding. We believe our expanded 2018 capital program focusing primarily on low-decline crude oil assets will provide meaningful deleveraging over time while we continue to pursue additional opportunities to strengthen our balance sheet. Our capital program will also allow us to continue to delineate our high-potential conventional and unconventional areas like Buena Vista Nose and Kettleman,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301" w:right="199" w:bottom="1440" w:gutter="0" w:footer="0" w:header="0"/>
        </w:sectPr>
      </w:pPr>
    </w:p>
    <w:bookmarkStart w:id="5" w:name="page6"/>
    <w:bookmarkEnd w:id="5"/>
    <w:p>
      <w:pPr>
        <w:ind w:right="20" w:firstLine="216"/>
        <w:spacing w:after="0" w:line="279" w:lineRule="auto"/>
        <w:rPr>
          <w:sz w:val="20"/>
          <w:szCs w:val="20"/>
          <w:color w:val="auto"/>
        </w:rPr>
      </w:pPr>
      <w:r>
        <w:rPr>
          <w:rFonts w:ascii="Arial" w:cs="Arial" w:eastAsia="Arial" w:hAnsi="Arial"/>
          <w:sz w:val="11"/>
          <w:szCs w:val="11"/>
          <w:color w:val="auto"/>
        </w:rPr>
        <w:t>We currently sell all of our crude oil into the California refining markets, which offer favorable pricing for comparable grades relative to other U.S. regions. Although California state policies actively promote and subsidize renewable energy, including solar, wind, biomass and geothermal resources, demand for oil and natural gas in California remains strong. California is heavily reliant on imported sources of energy, with approximately 72% of oil and 90% of natural gas consumed in 2017 imported from outside the state. A vast majority of the imported oil arrives via supertanker, mostly from foreign locations. As a result, California refiners have typically purchased crude oil at international waterborne-based Brent prices. We believe that the limited crude transportation infrastructure from other parts of the U.S. and California refiners' preference to run on heavy grades of oil found in California will continue contributing to favorable prices and realizations compared to other U.S. markets. During the second half of 2017, Brent crude prices began to recover, rising above $65 per barrel and reaching the highest level since 2015 as the premium of Brent over West Texas Intermediate (WTI) widened with the Organization of the Petroleum Exporting Countries (OPEC) production cuts. Additionally, our differentials improved against Brent during 2017 as a result of an increase in the official selling price to North America from the Middle East and higher-than-expected demand in Asia.</w:t>
      </w:r>
    </w:p>
    <w:p>
      <w:pPr>
        <w:spacing w:after="0" w:line="97"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During 2017, as oil prices and activity increased, the energy industry in certain parts of the country started experiencing increases in service costs. However, the California energy industry experienced only limited cost inflation due to excess capacity in the service and supply sector. At current commodity price levels, we expect this trend to continue in 2018.</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Developments</w:t>
      </w:r>
    </w:p>
    <w:p>
      <w:pPr>
        <w:spacing w:after="0" w:line="137"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 xml:space="preserve">In February 2018, we entered into a midstream JV with ECR Corporate Holdings L.P. (ECR), a portfolio company of Ares Management L.P. (Ares). This JV (Ares JV) holds the Elk Hills’ power plant, a 550 MW natural gas fired power plant, and a 200 million cubic foot per day cryogenic gas processing plant. For more on the Ares JV, see </w:t>
      </w:r>
      <w:r>
        <w:rPr>
          <w:rFonts w:ascii="Arial" w:cs="Arial" w:eastAsia="Arial" w:hAnsi="Arial"/>
          <w:sz w:val="12"/>
          <w:szCs w:val="12"/>
          <w:i w:val="1"/>
          <w:iCs w:val="1"/>
          <w:color w:val="auto"/>
        </w:rPr>
        <w:t>Item 7 – Management's Discussion and Analysis of Financial Condition and Results of</w:t>
      </w:r>
      <w:r>
        <w:rPr>
          <w:rFonts w:ascii="Arial" w:cs="Arial" w:eastAsia="Arial" w:hAnsi="Arial"/>
          <w:sz w:val="12"/>
          <w:szCs w:val="12"/>
          <w:color w:val="auto"/>
        </w:rPr>
        <w:t xml:space="preserve"> </w:t>
      </w:r>
      <w:r>
        <w:rPr>
          <w:rFonts w:ascii="Arial" w:cs="Arial" w:eastAsia="Arial" w:hAnsi="Arial"/>
          <w:sz w:val="12"/>
          <w:szCs w:val="12"/>
          <w:i w:val="1"/>
          <w:iCs w:val="1"/>
          <w:color w:val="auto"/>
        </w:rPr>
        <w:t>Operations – Joint Ventures</w:t>
      </w:r>
      <w:r>
        <w:rPr>
          <w:rFonts w:ascii="Arial" w:cs="Arial" w:eastAsia="Arial" w:hAnsi="Arial"/>
          <w:sz w:val="12"/>
          <w:szCs w:val="12"/>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 Strategy</w:t>
      </w:r>
    </w:p>
    <w:p>
      <w:pPr>
        <w:spacing w:after="0" w:line="164" w:lineRule="exact"/>
        <w:rPr>
          <w:sz w:val="20"/>
          <w:szCs w:val="20"/>
          <w:color w:val="auto"/>
        </w:rPr>
      </w:pPr>
    </w:p>
    <w:p>
      <w:pPr>
        <w:ind w:right="60" w:firstLine="216"/>
        <w:spacing w:after="0" w:line="262" w:lineRule="auto"/>
        <w:rPr>
          <w:sz w:val="20"/>
          <w:szCs w:val="20"/>
          <w:color w:val="auto"/>
        </w:rPr>
      </w:pPr>
      <w:r>
        <w:rPr>
          <w:rFonts w:ascii="Arial" w:cs="Arial" w:eastAsia="Arial" w:hAnsi="Arial"/>
          <w:sz w:val="12"/>
          <w:szCs w:val="12"/>
          <w:color w:val="auto"/>
        </w:rPr>
        <w:t>We plan to drive long-term stockholder value by applying modern technologies to develop our resource base and increase production. We have significant conventional opportunities to pursue, which we develop through their life cycles to increase recovery factors by transitioning them from primary production to waterfloods, steamfloods and other enhanced recovery mechanisms.</w:t>
      </w:r>
    </w:p>
    <w:p>
      <w:pPr>
        <w:spacing w:after="0" w:line="131" w:lineRule="exact"/>
        <w:rPr>
          <w:sz w:val="20"/>
          <w:szCs w:val="20"/>
          <w:color w:val="auto"/>
        </w:rPr>
      </w:pPr>
    </w:p>
    <w:p>
      <w:pPr>
        <w:ind w:right="220" w:firstLine="216"/>
        <w:spacing w:after="0" w:line="262" w:lineRule="auto"/>
        <w:rPr>
          <w:sz w:val="20"/>
          <w:szCs w:val="20"/>
          <w:color w:val="auto"/>
        </w:rPr>
      </w:pPr>
      <w:r>
        <w:rPr>
          <w:rFonts w:ascii="Arial" w:cs="Arial" w:eastAsia="Arial" w:hAnsi="Arial"/>
          <w:sz w:val="12"/>
          <w:szCs w:val="12"/>
          <w:color w:val="auto"/>
        </w:rPr>
        <w:t>In a sustained higher price environment, we intend to direct additional available capital to projects that provide high-value returns. A higher sustained price environment also gives us the opportunity to acquire assets that would be complementary to our existing operations. The principal elements of our business strategy include the following:</w:t>
      </w:r>
    </w:p>
    <w:p>
      <w:pPr>
        <w:spacing w:after="0" w:line="117"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Focus on high-value projects.</w:t>
      </w:r>
    </w:p>
    <w:p>
      <w:pPr>
        <w:spacing w:after="0" w:line="20" w:lineRule="exact"/>
        <w:rPr>
          <w:rFonts w:ascii="Arial" w:cs="Arial" w:eastAsia="Arial" w:hAnsi="Arial"/>
          <w:sz w:val="12"/>
          <w:szCs w:val="12"/>
          <w:color w:val="auto"/>
        </w:rPr>
      </w:pPr>
    </w:p>
    <w:p>
      <w:pPr>
        <w:ind w:left="420" w:right="260"/>
        <w:spacing w:after="0" w:line="256" w:lineRule="auto"/>
        <w:rPr>
          <w:rFonts w:ascii="Arial" w:cs="Arial" w:eastAsia="Arial" w:hAnsi="Arial"/>
          <w:sz w:val="12"/>
          <w:szCs w:val="12"/>
          <w:color w:val="auto"/>
        </w:rPr>
      </w:pPr>
      <w:r>
        <w:rPr>
          <w:rFonts w:ascii="Arial" w:cs="Arial" w:eastAsia="Arial" w:hAnsi="Arial"/>
          <w:sz w:val="12"/>
          <w:szCs w:val="12"/>
          <w:color w:val="auto"/>
        </w:rPr>
        <w:t>In the near term, we anticipate directing the majority of our capital investments toward oil-weighted opportunities to the extent the oil-to-gas price relationship remains favorable. As a result, we expect the percentage of our oil production to continue to increase over time and favorably impact our overall margins. In 2018, approximately 95% of our identified drilling inventory is associated with oil projects. Currently, 64% of our production is oil compared to 72% of our proved reserves. Over time, we expect our share of oil production to approach the share of oil reserves.</w:t>
      </w:r>
    </w:p>
    <w:p>
      <w:pPr>
        <w:spacing w:after="0" w:line="134" w:lineRule="exact"/>
        <w:rPr>
          <w:rFonts w:ascii="Arial" w:cs="Arial" w:eastAsia="Arial" w:hAnsi="Arial"/>
          <w:sz w:val="12"/>
          <w:szCs w:val="12"/>
          <w:color w:val="auto"/>
        </w:rPr>
      </w:pPr>
    </w:p>
    <w:p>
      <w:pPr>
        <w:ind w:left="420" w:right="40"/>
        <w:spacing w:after="0" w:line="253" w:lineRule="auto"/>
        <w:rPr>
          <w:rFonts w:ascii="Arial" w:cs="Arial" w:eastAsia="Arial" w:hAnsi="Arial"/>
          <w:sz w:val="12"/>
          <w:szCs w:val="12"/>
          <w:color w:val="auto"/>
        </w:rPr>
      </w:pPr>
      <w:r>
        <w:rPr>
          <w:rFonts w:ascii="Arial" w:cs="Arial" w:eastAsia="Arial" w:hAnsi="Arial"/>
          <w:sz w:val="12"/>
          <w:szCs w:val="12"/>
          <w:color w:val="auto"/>
        </w:rPr>
        <w:t>Over the longer term, we believe we can generate significant production growth from unconventional reservoirs such as tight sandstones and shales. We hold mineral interests in approximately 1.3 million net mineral acres with unconventional potential and have identified approximately 4,930 gross (4,530 net) drilling locations on this acreage. A meaningful portion of our production already comes from unconventional assets. While we have not yet developed sufficient information to reliably predict success rates across our entire portfolio, our continued technical reviews of these projects are allowing us to better understand performance of these reservoirs in addition to improving our overall cycle time from project identification to development. As a result, we believe we will be able to direct future available capital more precisely to higher value projects, allowing us to strategically increase our investment levels in unconventional drilling over time.</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20"/>
          </w:cols>
          <w:pgMar w:left="220" w:top="301" w:right="259" w:bottom="1440" w:gutter="0" w:footer="0" w:header="0"/>
        </w:sectPr>
      </w:pPr>
    </w:p>
    <w:bookmarkStart w:id="6" w:name="page7"/>
    <w:bookmarkEnd w:id="6"/>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Maintain an appropriate share of conventional projects in our production mix to manage production declines and base maintenance capital requirements.</w:t>
      </w:r>
    </w:p>
    <w:p>
      <w:pPr>
        <w:spacing w:after="0" w:line="20" w:lineRule="exact"/>
        <w:rPr>
          <w:rFonts w:ascii="Arial" w:cs="Arial" w:eastAsia="Arial" w:hAnsi="Arial"/>
          <w:sz w:val="12"/>
          <w:szCs w:val="12"/>
          <w:color w:val="auto"/>
        </w:rPr>
      </w:pPr>
    </w:p>
    <w:p>
      <w:pPr>
        <w:ind w:left="220" w:right="80"/>
        <w:spacing w:after="0" w:line="254" w:lineRule="auto"/>
        <w:rPr>
          <w:rFonts w:ascii="Arial" w:cs="Arial" w:eastAsia="Arial" w:hAnsi="Arial"/>
          <w:sz w:val="12"/>
          <w:szCs w:val="12"/>
          <w:color w:val="auto"/>
        </w:rPr>
      </w:pPr>
      <w:r>
        <w:rPr>
          <w:rFonts w:ascii="Arial" w:cs="Arial" w:eastAsia="Arial" w:hAnsi="Arial"/>
          <w:sz w:val="12"/>
          <w:szCs w:val="12"/>
          <w:color w:val="auto"/>
        </w:rPr>
        <w:t>Our portfolio of assets includes a large number of steamflood and waterflood projects that have much lower decline rates than many unconventional projects. We intend to focus a significant portion of our capital investments on such projects, which we expect will maintain our low production decline rates. We have approximately 28,940 gross (20,550 net) identified drilling locations associated with lower-risk conventional opportunities, 56% of which are Improved Oil Recovery (IOR) and Enhanced Oil Recovery (EOR) projects. The remaining 44% are associated with primary recovery methods, many of which we expect will develop into IOR and EOR projects in the future.</w:t>
      </w:r>
    </w:p>
    <w:p>
      <w:pPr>
        <w:spacing w:after="0" w:line="122" w:lineRule="exact"/>
        <w:rPr>
          <w:rFonts w:ascii="Arial" w:cs="Arial" w:eastAsia="Arial" w:hAnsi="Arial"/>
          <w:sz w:val="12"/>
          <w:szCs w:val="12"/>
          <w:color w:val="auto"/>
        </w:rPr>
      </w:pPr>
    </w:p>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Enhance stockholder value by pursuing upstream and midstream joint venture opportunities including exploration ventures.</w:t>
      </w:r>
    </w:p>
    <w:p>
      <w:pPr>
        <w:spacing w:after="0" w:line="20" w:lineRule="exact"/>
        <w:rPr>
          <w:rFonts w:ascii="Arial" w:cs="Arial" w:eastAsia="Arial" w:hAnsi="Arial"/>
          <w:sz w:val="12"/>
          <w:szCs w:val="12"/>
          <w:color w:val="auto"/>
        </w:rPr>
      </w:pPr>
    </w:p>
    <w:p>
      <w:pPr>
        <w:ind w:left="220" w:right="40"/>
        <w:spacing w:after="0" w:line="256" w:lineRule="auto"/>
        <w:rPr>
          <w:rFonts w:ascii="Arial" w:cs="Arial" w:eastAsia="Arial" w:hAnsi="Arial"/>
          <w:sz w:val="12"/>
          <w:szCs w:val="12"/>
          <w:color w:val="auto"/>
        </w:rPr>
      </w:pPr>
      <w:r>
        <w:rPr>
          <w:rFonts w:ascii="Arial" w:cs="Arial" w:eastAsia="Arial" w:hAnsi="Arial"/>
          <w:sz w:val="12"/>
          <w:szCs w:val="12"/>
          <w:color w:val="auto"/>
        </w:rPr>
        <w:t>We believe both upstream and midstream joint ventures will enhance value by giving us the ability to significantly accelerate the development of our high-value portfolio of assets. We have already announced a number of joint ventures that have given us substantial development resources and will continue to evaluate similar opportunities in the future. We have entered into a number of exploration joint ventures, which, if successful, could result in significant long-term production growth.</w:t>
      </w:r>
    </w:p>
    <w:p>
      <w:pPr>
        <w:spacing w:after="0" w:line="120" w:lineRule="exact"/>
        <w:rPr>
          <w:rFonts w:ascii="Arial" w:cs="Arial" w:eastAsia="Arial" w:hAnsi="Arial"/>
          <w:sz w:val="12"/>
          <w:szCs w:val="12"/>
          <w:color w:val="auto"/>
        </w:rPr>
      </w:pPr>
    </w:p>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Increase natural gas production over time to provide clean energy to California.</w:t>
      </w:r>
    </w:p>
    <w:p>
      <w:pPr>
        <w:spacing w:after="0" w:line="20" w:lineRule="exact"/>
        <w:rPr>
          <w:rFonts w:ascii="Arial" w:cs="Arial" w:eastAsia="Arial" w:hAnsi="Arial"/>
          <w:sz w:val="12"/>
          <w:szCs w:val="12"/>
          <w:color w:val="auto"/>
        </w:rPr>
      </w:pPr>
    </w:p>
    <w:p>
      <w:pPr>
        <w:ind w:left="220"/>
        <w:spacing w:after="0" w:line="254" w:lineRule="auto"/>
        <w:rPr>
          <w:rFonts w:ascii="Arial" w:cs="Arial" w:eastAsia="Arial" w:hAnsi="Arial"/>
          <w:sz w:val="12"/>
          <w:szCs w:val="12"/>
          <w:color w:val="auto"/>
        </w:rPr>
      </w:pPr>
      <w:r>
        <w:rPr>
          <w:rFonts w:ascii="Arial" w:cs="Arial" w:eastAsia="Arial" w:hAnsi="Arial"/>
          <w:sz w:val="12"/>
          <w:szCs w:val="12"/>
          <w:color w:val="auto"/>
        </w:rPr>
        <w:t>We are the largest producer of natural gas in California through our operations in the Sacramento basin. Our portfolio has a large number of mature gas fields that can be targeted for further development, with growth opportunities in under-developed areas of our asset base, including significant growth potential in the Sacramento basin. We are focused on developing technologies and execution approaches that will generate commercial projects at current price levels while maintaining a targeted exploration program for new resources. In addition, we expect to pursue strategic joint ventures to unlock the value of our asset portfolio.</w:t>
      </w:r>
    </w:p>
    <w:p>
      <w:pPr>
        <w:spacing w:after="0" w:line="122" w:lineRule="exact"/>
        <w:rPr>
          <w:rFonts w:ascii="Arial" w:cs="Arial" w:eastAsia="Arial" w:hAnsi="Arial"/>
          <w:sz w:val="12"/>
          <w:szCs w:val="12"/>
          <w:color w:val="auto"/>
        </w:rPr>
      </w:pPr>
    </w:p>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Maintain a proactive and collaborative approach to safety, environmental protection and community outreach, while helping the state address its energy and water needs.</w:t>
      </w:r>
    </w:p>
    <w:p>
      <w:pPr>
        <w:spacing w:after="0" w:line="20" w:lineRule="exact"/>
        <w:rPr>
          <w:rFonts w:ascii="Arial" w:cs="Arial" w:eastAsia="Arial" w:hAnsi="Arial"/>
          <w:sz w:val="12"/>
          <w:szCs w:val="12"/>
          <w:color w:val="auto"/>
        </w:rPr>
      </w:pPr>
    </w:p>
    <w:p>
      <w:pPr>
        <w:ind w:left="220" w:right="120"/>
        <w:spacing w:after="0" w:line="253" w:lineRule="auto"/>
        <w:rPr>
          <w:rFonts w:ascii="Arial" w:cs="Arial" w:eastAsia="Arial" w:hAnsi="Arial"/>
          <w:sz w:val="12"/>
          <w:szCs w:val="12"/>
          <w:color w:val="auto"/>
        </w:rPr>
      </w:pPr>
      <w:r>
        <w:rPr>
          <w:rFonts w:ascii="Arial" w:cs="Arial" w:eastAsia="Arial" w:hAnsi="Arial"/>
          <w:sz w:val="12"/>
          <w:szCs w:val="12"/>
          <w:color w:val="auto"/>
        </w:rPr>
        <w:t>We are committed to managing our assets in a manner that safeguards people and protects the environment, and to reducing California's dependence on imported energy. We proactively engage with regulatory agencies, communities, organized labor and other stakeholders to pursue mutually beneficial outcomes that supply affordable and reliable energy from local sources and that expand opportunities for the communities in which we live and work. As a California company, helping our state meet its water needs is a key priority. We are a net water supplier to agriculture due to our dedicated team and investments in water conservation and the recycling of produced water from oil and gas reservoirs. In 2017, our operations supplied 4.9 billion gallons of reclaimed water for agricultural use, a new company record that far exceeds the volume of fresh water we purchased for our operations statewide.</w:t>
      </w:r>
    </w:p>
    <w:p>
      <w:pPr>
        <w:spacing w:after="0" w:line="123" w:lineRule="exact"/>
        <w:rPr>
          <w:rFonts w:ascii="Arial" w:cs="Arial" w:eastAsia="Arial" w:hAnsi="Arial"/>
          <w:sz w:val="12"/>
          <w:szCs w:val="12"/>
          <w:color w:val="auto"/>
        </w:rPr>
      </w:pPr>
    </w:p>
    <w:p>
      <w:pPr>
        <w:ind w:left="220" w:hanging="212"/>
        <w:spacing w:after="0"/>
        <w:tabs>
          <w:tab w:leader="none" w:pos="220" w:val="left"/>
        </w:tabs>
        <w:numPr>
          <w:ilvl w:val="0"/>
          <w:numId w:val="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Apply proven modern development and production methods to enhance production growth and cost efficiency.</w:t>
      </w:r>
    </w:p>
    <w:p>
      <w:pPr>
        <w:spacing w:after="0" w:line="20" w:lineRule="exact"/>
        <w:rPr>
          <w:rFonts w:ascii="Arial" w:cs="Arial" w:eastAsia="Arial" w:hAnsi="Arial"/>
          <w:sz w:val="12"/>
          <w:szCs w:val="12"/>
          <w:b w:val="1"/>
          <w:bCs w:val="1"/>
          <w:i w:val="1"/>
          <w:iCs w:val="1"/>
          <w:color w:val="auto"/>
        </w:rPr>
      </w:pPr>
    </w:p>
    <w:p>
      <w:pPr>
        <w:ind w:left="220"/>
        <w:spacing w:after="0" w:line="253" w:lineRule="auto"/>
        <w:rPr>
          <w:rFonts w:ascii="Arial" w:cs="Arial" w:eastAsia="Arial" w:hAnsi="Arial"/>
          <w:sz w:val="12"/>
          <w:szCs w:val="12"/>
          <w:b w:val="1"/>
          <w:bCs w:val="1"/>
          <w:i w:val="1"/>
          <w:iCs w:val="1"/>
          <w:color w:val="auto"/>
        </w:rPr>
      </w:pPr>
      <w:r>
        <w:rPr>
          <w:rFonts w:ascii="Arial" w:cs="Arial" w:eastAsia="Arial" w:hAnsi="Arial"/>
          <w:sz w:val="12"/>
          <w:szCs w:val="12"/>
          <w:color w:val="auto"/>
        </w:rPr>
        <w:t>Over the last several decades, the oil and gas industry has focused significantly less effort on utilizing modern development and exploration processes and technologies in California relative to other prolific U.S. basins. We believe this is largely due to other oil companies’ limited capital investments in California, concentration on shallow-zone thermal projects and investments in other assets within their global portfolios. As an independent company focused on California, we use proven modern technologies in drilling and completing wells, as well as production methods that we expect will substantially increase both our production and cost efficiency over time. We have developed an extensive 3D seismic library covering almost 4,820 square miles in all four of our basins, representing over 90% of the 3D seismic data available for California, and have tested and successfully implemented various exploration, drilling, completion, IOR and EOR technologies in the state.</w:t>
      </w:r>
    </w:p>
    <w:p>
      <w:pPr>
        <w:spacing w:after="0" w:line="123" w:lineRule="exact"/>
        <w:rPr>
          <w:rFonts w:ascii="Arial" w:cs="Arial" w:eastAsia="Arial" w:hAnsi="Arial"/>
          <w:sz w:val="12"/>
          <w:szCs w:val="12"/>
          <w:b w:val="1"/>
          <w:bCs w:val="1"/>
          <w:i w:val="1"/>
          <w:iCs w:val="1"/>
          <w:color w:val="auto"/>
        </w:rPr>
      </w:pPr>
    </w:p>
    <w:p>
      <w:pPr>
        <w:ind w:left="220" w:hanging="212"/>
        <w:spacing w:after="0"/>
        <w:tabs>
          <w:tab w:leader="none" w:pos="22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Utilize advanced technologies to improve our operations</w:t>
      </w:r>
      <w:r>
        <w:rPr>
          <w:rFonts w:ascii="Arial" w:cs="Arial" w:eastAsia="Arial" w:hAnsi="Arial"/>
          <w:sz w:val="12"/>
          <w:szCs w:val="12"/>
          <w:i w:val="1"/>
          <w:iCs w:val="1"/>
          <w:color w:val="auto"/>
        </w:rPr>
        <w:t>.</w:t>
      </w:r>
    </w:p>
    <w:p>
      <w:pPr>
        <w:spacing w:after="0" w:line="20" w:lineRule="exact"/>
        <w:rPr>
          <w:rFonts w:ascii="Arial" w:cs="Arial" w:eastAsia="Arial" w:hAnsi="Arial"/>
          <w:sz w:val="12"/>
          <w:szCs w:val="12"/>
          <w:color w:val="auto"/>
        </w:rPr>
      </w:pPr>
    </w:p>
    <w:p>
      <w:pPr>
        <w:ind w:left="220" w:right="40"/>
        <w:spacing w:after="0" w:line="256" w:lineRule="auto"/>
        <w:rPr>
          <w:rFonts w:ascii="Arial" w:cs="Arial" w:eastAsia="Arial" w:hAnsi="Arial"/>
          <w:sz w:val="12"/>
          <w:szCs w:val="12"/>
          <w:color w:val="auto"/>
        </w:rPr>
      </w:pPr>
      <w:r>
        <w:rPr>
          <w:rFonts w:ascii="Arial" w:cs="Arial" w:eastAsia="Arial" w:hAnsi="Arial"/>
          <w:sz w:val="12"/>
          <w:szCs w:val="12"/>
          <w:color w:val="auto"/>
        </w:rPr>
        <w:t>We have a dedicated Big Data Analytics team focused on analyzing data to help us make better operating and development decisions that enhance the value of our assets. We are evaluating advanced technologies such as artificial intelligence, machine learning, algorithms, complex math analysis and other digital solutions to predictively optimize our business processes, development criteria and our drilling and production techniques.</w:t>
      </w:r>
    </w:p>
    <w:p>
      <w:pPr>
        <w:spacing w:after="0" w:line="297"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40"/>
          </w:cols>
          <w:pgMar w:left="420" w:top="287" w:right="23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Key Characteristics of our Operations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are among the key characteristics of our operations:</w:t>
      </w:r>
    </w:p>
    <w:p>
      <w:pPr>
        <w:spacing w:after="0" w:line="109"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Operational control of our diverse asset base provides flexibility during commodity price cycles and preserves future value and growth potential.</w:t>
      </w:r>
    </w:p>
    <w:p>
      <w:pPr>
        <w:spacing w:after="0" w:line="20" w:lineRule="exact"/>
        <w:rPr>
          <w:rFonts w:ascii="Arial" w:cs="Arial" w:eastAsia="Arial" w:hAnsi="Arial"/>
          <w:sz w:val="12"/>
          <w:szCs w:val="12"/>
          <w:color w:val="auto"/>
        </w:rPr>
      </w:pPr>
    </w:p>
    <w:p>
      <w:pPr>
        <w:ind w:left="420" w:right="40"/>
        <w:spacing w:after="0" w:line="252" w:lineRule="auto"/>
        <w:rPr>
          <w:rFonts w:ascii="Arial" w:cs="Arial" w:eastAsia="Arial" w:hAnsi="Arial"/>
          <w:sz w:val="12"/>
          <w:szCs w:val="12"/>
          <w:color w:val="auto"/>
        </w:rPr>
      </w:pPr>
      <w:r>
        <w:rPr>
          <w:rFonts w:ascii="Arial" w:cs="Arial" w:eastAsia="Arial" w:hAnsi="Arial"/>
          <w:sz w:val="12"/>
          <w:szCs w:val="12"/>
          <w:color w:val="auto"/>
        </w:rPr>
        <w:t>Our near 100% operational control of 135 fields in California provides us flexibility to adapt our investments to various market environments through our ability to select drilling locations, the timing of our development and the drilling and completion techniques we use. Our large and diverse mineral acreage position allows us to choose to develop conventional or unconventional reservoirs of either oil or natural gas using multiple recovery mechanisms, such as primary, steamflood and waterflood. In addition, approximately 60% of our acreage position is held in fee and 15% is held by production, which gives us flexibility to choose the timing of our development projects. A majority of our interests are in producing properties located in reservoirs characterized by what we believe have long-lived production profiles with repeatable development opportunities. Approximately 95% of our identified drilling inventory is associated with oil-rich projects, primarily located in the San Joaquin, Los Angeles and Ventura basins, and the remaining inventory is associated with natural gas properties in the Sacramento, San Joaquin and Ventura basins. The variety of recovery mechanisms and product types available to us, together with our operating control, allows us to allocate capital in a manner designed to optimize cash flow over a wide range of commodity prices. The low base decline of our conventional assets allows us to limit production declines with minimal investment, positioning us to achieve oil-production growth in the current price environment while living within our means.</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Largest acreage position in a world-class oil and natural gas province.</w:t>
      </w:r>
    </w:p>
    <w:p>
      <w:pPr>
        <w:spacing w:after="0" w:line="20" w:lineRule="exact"/>
        <w:rPr>
          <w:rFonts w:ascii="Arial" w:cs="Arial" w:eastAsia="Arial" w:hAnsi="Arial"/>
          <w:sz w:val="12"/>
          <w:szCs w:val="12"/>
          <w:color w:val="auto"/>
        </w:rPr>
      </w:pPr>
    </w:p>
    <w:p>
      <w:pPr>
        <w:ind w:left="420"/>
        <w:spacing w:after="0" w:line="253" w:lineRule="auto"/>
        <w:rPr>
          <w:rFonts w:ascii="Arial" w:cs="Arial" w:eastAsia="Arial" w:hAnsi="Arial"/>
          <w:sz w:val="12"/>
          <w:szCs w:val="12"/>
          <w:color w:val="auto"/>
        </w:rPr>
      </w:pPr>
      <w:r>
        <w:rPr>
          <w:rFonts w:ascii="Arial" w:cs="Arial" w:eastAsia="Arial" w:hAnsi="Arial"/>
          <w:sz w:val="12"/>
          <w:szCs w:val="12"/>
          <w:color w:val="auto"/>
        </w:rPr>
        <w:t>We believe we are the largest private oil and natural gas mineral acreage holder in California, with interests in approximately 2.3 million net mineral acres. California is one of the most prolific oil and natural gas producing regions in the world. California is also the nation’s largest state economy, and the world's sixth largest, with significant energy demands that exceed local supply. Our large acreage position with a diverse development portfolio enables us to pursue the appropriate production strategy for the relevant commodity price environment without the need to acquire new acreage. For example, in a high natural gas price environment we can rapidly increase our investments in the Sacramento basin to generate significant production growth. Our large acreage position also allows us to quickly deploy the knowledge we gain in our existing operations, together with our seismic data, in other areas within our portfolio.</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Opportunity rich drilling and workover portfolio.</w:t>
      </w:r>
    </w:p>
    <w:p>
      <w:pPr>
        <w:spacing w:after="0" w:line="20" w:lineRule="exact"/>
        <w:rPr>
          <w:rFonts w:ascii="Arial" w:cs="Arial" w:eastAsia="Arial" w:hAnsi="Arial"/>
          <w:sz w:val="12"/>
          <w:szCs w:val="12"/>
          <w:color w:val="auto"/>
        </w:rPr>
      </w:pPr>
    </w:p>
    <w:p>
      <w:pPr>
        <w:ind w:left="420" w:right="60"/>
        <w:spacing w:after="0" w:line="252" w:lineRule="auto"/>
        <w:rPr>
          <w:rFonts w:ascii="Arial" w:cs="Arial" w:eastAsia="Arial" w:hAnsi="Arial"/>
          <w:sz w:val="12"/>
          <w:szCs w:val="12"/>
          <w:color w:val="auto"/>
        </w:rPr>
      </w:pPr>
      <w:r>
        <w:rPr>
          <w:rFonts w:ascii="Arial" w:cs="Arial" w:eastAsia="Arial" w:hAnsi="Arial"/>
          <w:sz w:val="12"/>
          <w:szCs w:val="12"/>
          <w:color w:val="auto"/>
        </w:rPr>
        <w:t>Our drilling inventory at December 31, 2017 consisted of approximately 33,870 gross (25,080 net) identified well locations, including approximately 28,940 gross (20,550 net) conventional drilling locations and approximately 4,930 gross (4,530 net) unconventional drilling locations. Our drilling inventory count increased by about 10% from the prior year as a result of our technical teams' continued efforts. We also have approximately 1,200 workover projects that can deliver high returns. At about $65 Brent, we estimate we have increased the investment opportunities for drilling and workover capital that meet our 1.3 VCI threshold by 20%. In the process, our inventory of lower-risk conventional development opportunities with attractive returns has increased even more than our unconventional opportunities. In a sustained favorable oil and gas price environment, we believe we can also achieve further long-term production growth through the development of unconventional reservoirs. In addition, our rich conventional and unconventional portfolio can provide attractive JV opportunities.</w:t>
      </w:r>
    </w:p>
    <w:p>
      <w:pPr>
        <w:spacing w:after="0" w:line="125"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Proven operational management and technical teams with extensive experience operating in California.</w:t>
      </w:r>
    </w:p>
    <w:p>
      <w:pPr>
        <w:spacing w:after="0" w:line="20" w:lineRule="exact"/>
        <w:rPr>
          <w:rFonts w:ascii="Arial" w:cs="Arial" w:eastAsia="Arial" w:hAnsi="Arial"/>
          <w:sz w:val="12"/>
          <w:szCs w:val="12"/>
          <w:color w:val="auto"/>
        </w:rPr>
      </w:pPr>
    </w:p>
    <w:p>
      <w:pPr>
        <w:jc w:val="both"/>
        <w:ind w:left="420" w:right="520"/>
        <w:spacing w:after="0" w:line="256" w:lineRule="auto"/>
        <w:rPr>
          <w:rFonts w:ascii="Arial" w:cs="Arial" w:eastAsia="Arial" w:hAnsi="Arial"/>
          <w:sz w:val="12"/>
          <w:szCs w:val="12"/>
          <w:color w:val="auto"/>
        </w:rPr>
      </w:pPr>
      <w:r>
        <w:rPr>
          <w:rFonts w:ascii="Arial" w:cs="Arial" w:eastAsia="Arial" w:hAnsi="Arial"/>
          <w:sz w:val="12"/>
          <w:szCs w:val="12"/>
          <w:color w:val="auto"/>
        </w:rPr>
        <w:t>The members of our operational management and technical teams have an average of over 25 years of experience in the oil and natural gas industry, with an average of over 15 years focused on our California oil and gas operations through different price cycles. Our teams have a proven track record of applying modern technologies and operating methods to develop our assets and improve their operating efficiencies. For example, we have successfully reduced field operating costs by approximately 27% since 2014.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287" w:right="1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Portfolio Management and Capital Program</w:t>
      </w:r>
    </w:p>
    <w:p>
      <w:pPr>
        <w:spacing w:after="0" w:line="110" w:lineRule="exact"/>
        <w:rPr>
          <w:sz w:val="20"/>
          <w:szCs w:val="20"/>
          <w:color w:val="auto"/>
        </w:rPr>
      </w:pPr>
    </w:p>
    <w:p>
      <w:pPr>
        <w:ind w:right="80" w:firstLine="216"/>
        <w:spacing w:after="0" w:line="256" w:lineRule="auto"/>
        <w:rPr>
          <w:sz w:val="20"/>
          <w:szCs w:val="20"/>
          <w:color w:val="auto"/>
        </w:rPr>
      </w:pPr>
      <w:r>
        <w:rPr>
          <w:rFonts w:ascii="Arial" w:cs="Arial" w:eastAsia="Arial" w:hAnsi="Arial"/>
          <w:sz w:val="12"/>
          <w:szCs w:val="12"/>
          <w:color w:val="auto"/>
        </w:rPr>
        <w:t>We develop our capital program by prioritizing projects that have returns that will grow our net asset value over the long term, while balancing the short- and long-term growth potential of each of our assets. We use the VCI metric for project selection and capital allocation across our asset portfolio. Typically, we create the highest value by reinvesting our cash flow back into our business, including attractive acquisitions. Our low decline rates compared to our industry peers together with our high level of operational control give us the flexibility to adjust the level of such capital investments as circumstances warrant.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Capital Program</w:t>
      </w:r>
    </w:p>
    <w:p>
      <w:pPr>
        <w:spacing w:after="0" w:line="164" w:lineRule="exact"/>
        <w:rPr>
          <w:sz w:val="20"/>
          <w:szCs w:val="20"/>
          <w:color w:val="auto"/>
        </w:rPr>
      </w:pPr>
    </w:p>
    <w:p>
      <w:pPr>
        <w:ind w:right="80" w:firstLine="216"/>
        <w:spacing w:after="0" w:line="253" w:lineRule="auto"/>
        <w:rPr>
          <w:sz w:val="20"/>
          <w:szCs w:val="20"/>
          <w:color w:val="auto"/>
        </w:rPr>
      </w:pPr>
      <w:r>
        <w:rPr>
          <w:rFonts w:ascii="Arial" w:cs="Arial" w:eastAsia="Arial" w:hAnsi="Arial"/>
          <w:sz w:val="12"/>
          <w:szCs w:val="12"/>
          <w:color w:val="auto"/>
        </w:rPr>
        <w:t>Our 2017 capital program predominantly targeted projects in the San Joaquin and Los Angeles basins, and virtually all of our capital was directed towards oil-weighted production, consistent with 2016 and 2015. The program was initially set at approximately $300 million but increased to $371 million when we entered into JVs with Benefit Street Partners (BSP) and Macquarie Infrastructure and Real Assets Inc. (MIRA). Our $371 million capital program included $96 million of funding from BSP and excluded $58 million of funding from MIRA, which is not reported in our consolidated results. Excluding MIRA capital, we invested approximately $ 177 million for drilling wells, $89 million for capital workovers, $71 million for facilities and compression expansion, $25 million for maintenance and occupational health, safety and environmental projects and $9 million for exploration and other items. We ended 2017 with nine rigs running and anticipate our activity levels to remain at an average nine-rig pace for the first quarter of 2018.</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2018 Capital Program</w:t>
      </w:r>
    </w:p>
    <w:p>
      <w:pPr>
        <w:spacing w:after="0" w:line="164" w:lineRule="exact"/>
        <w:rPr>
          <w:sz w:val="20"/>
          <w:szCs w:val="20"/>
          <w:color w:val="auto"/>
        </w:rPr>
      </w:pPr>
    </w:p>
    <w:p>
      <w:pPr>
        <w:ind w:right="120" w:firstLine="216"/>
        <w:spacing w:after="0" w:line="253" w:lineRule="auto"/>
        <w:rPr>
          <w:sz w:val="20"/>
          <w:szCs w:val="20"/>
          <w:color w:val="auto"/>
        </w:rPr>
      </w:pPr>
      <w:r>
        <w:rPr>
          <w:rFonts w:ascii="Arial" w:cs="Arial" w:eastAsia="Arial" w:hAnsi="Arial"/>
          <w:sz w:val="12"/>
          <w:szCs w:val="12"/>
          <w:color w:val="auto"/>
        </w:rPr>
        <w:t>We are focusing our 2018 capital on oil projects, which provide higher margins and low decline rates that we believe will generate cash flow to fund increasing capital budgets that will grow production. Our approach to our 2018 drilling program is consistent with our stated strategy to remain financially disciplined and fund projects through either internally generated cash flow or JV capital to maintain our liquidity and further strengthen our balance sheet. We continue to deploy our partners' capital as part of our BSP and MIRA joint ventures and opportunistically pursue additional strategic relationships. We will deploy capital to projects that help continue to stabilize our production, develop our long-term resources and return our production to a growth profile. We will continue to focus on our core fields: Elk Hills, Wilmington, Kern Front and the delineation and appraisal of Kettleman North Dome and Buena Vista. We will also restart our development activities in the Huntington Beach field.</w:t>
      </w:r>
    </w:p>
    <w:p>
      <w:pPr>
        <w:spacing w:after="0" w:line="137"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With stronger expected cash flow, we estimate our 2018 capital program will range from $425 million to $450 million, which includes approximately $100 to $150 million in JV capital. Our 2018 capital program may grow further through additional tranches from existing JVs as well as potential new JVs.</w:t>
      </w:r>
    </w:p>
    <w:p>
      <w:pPr>
        <w:spacing w:after="0" w:line="131" w:lineRule="exact"/>
        <w:rPr>
          <w:sz w:val="20"/>
          <w:szCs w:val="20"/>
          <w:color w:val="auto"/>
        </w:rPr>
      </w:pPr>
    </w:p>
    <w:p>
      <w:pPr>
        <w:ind w:right="100" w:firstLine="216"/>
        <w:spacing w:after="0" w:line="253" w:lineRule="auto"/>
        <w:rPr>
          <w:sz w:val="20"/>
          <w:szCs w:val="20"/>
          <w:color w:val="auto"/>
        </w:rPr>
      </w:pPr>
      <w:r>
        <w:rPr>
          <w:rFonts w:ascii="Arial" w:cs="Arial" w:eastAsia="Arial" w:hAnsi="Arial"/>
          <w:sz w:val="12"/>
          <w:szCs w:val="12"/>
          <w:color w:val="auto"/>
        </w:rPr>
        <w:t>Our current drilling inventory comprises a diversified portfolio of oil and natural gas locations that are economically viable in a variety of operating and commodity price conditions. Our 2018 drilling program includes development of conventional and unconventional resources. The depth of our primary conventional wells is expected to range from 2,000 to 15,000 feet. With a significant reduction in our drilling costs since 2014, many of our deep conventional and unconventional wells have become more competitive, and we expect to use approximately 60% of our capital on drilling. We expect to focus our conventional program of approximately 130 wells primarily in Wilmington, Huntington Beach, Kern Front, Pleito Ranch and Mount Poso, which will largely consist of waterfloods and steamfloods along with some primary drilling. We intend to drill approximately 20 unconventional wells in the Buena Vista and Kettleman areas.</w:t>
      </w:r>
    </w:p>
    <w:p>
      <w:pPr>
        <w:spacing w:after="0" w:line="137" w:lineRule="exact"/>
        <w:rPr>
          <w:sz w:val="20"/>
          <w:szCs w:val="20"/>
          <w:color w:val="auto"/>
        </w:rPr>
      </w:pPr>
    </w:p>
    <w:p>
      <w:pPr>
        <w:ind w:right="620" w:firstLine="216"/>
        <w:spacing w:after="0" w:line="262" w:lineRule="auto"/>
        <w:rPr>
          <w:sz w:val="20"/>
          <w:szCs w:val="20"/>
          <w:color w:val="auto"/>
        </w:rPr>
      </w:pPr>
      <w:r>
        <w:rPr>
          <w:rFonts w:ascii="Arial" w:cs="Arial" w:eastAsia="Arial" w:hAnsi="Arial"/>
          <w:sz w:val="12"/>
          <w:szCs w:val="12"/>
          <w:color w:val="auto"/>
        </w:rPr>
        <w:t>We also plan to use over 20% of our 2018 capital program for capital workovers on existing well bores. Capital workovers are some of the highest VCI projects in our portfolio and generally include well deepenings, recompletions, changes of lift methods and other activities designed to add incremental productive intervals and reserves.</w:t>
      </w:r>
    </w:p>
    <w:p>
      <w:pPr>
        <w:spacing w:after="0" w:line="131" w:lineRule="exact"/>
        <w:rPr>
          <w:sz w:val="20"/>
          <w:szCs w:val="20"/>
          <w:color w:val="auto"/>
        </w:rPr>
      </w:pPr>
    </w:p>
    <w:p>
      <w:pPr>
        <w:ind w:right="80" w:firstLine="216"/>
        <w:spacing w:after="0" w:line="262" w:lineRule="auto"/>
        <w:rPr>
          <w:sz w:val="20"/>
          <w:szCs w:val="20"/>
          <w:color w:val="auto"/>
        </w:rPr>
      </w:pPr>
      <w:r>
        <w:rPr>
          <w:rFonts w:ascii="Arial" w:cs="Arial" w:eastAsia="Arial" w:hAnsi="Arial"/>
          <w:sz w:val="12"/>
          <w:szCs w:val="12"/>
          <w:color w:val="auto"/>
        </w:rPr>
        <w:t>Further, over 15% of our 2018 capital program is intended for development facilities for our projects, including pipeline and gathering line interconnections, gas compression and water management systems, and about 5% is intended to be used for exploration and to maintain the mechanical integrity, safety and environmental performance of our operations.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40"/>
          </w:cols>
          <w:pgMar w:left="220" w:top="377" w:right="23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Reserves and Production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table below summarizes our proved reserves and average net daily production as of and for the year ended December 31, 2017 in each of California's four major oil and gas basins: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4"/>
          </w:tcPr>
          <w:p>
            <w:pPr>
              <w:ind w:left="20"/>
              <w:spacing w:after="0"/>
              <w:rPr>
                <w:sz w:val="20"/>
                <w:szCs w:val="20"/>
                <w:color w:val="auto"/>
              </w:rPr>
            </w:pPr>
            <w:r>
              <w:rPr>
                <w:rFonts w:ascii="Arial" w:cs="Arial" w:eastAsia="Arial" w:hAnsi="Arial"/>
                <w:sz w:val="11"/>
                <w:szCs w:val="11"/>
                <w:b w:val="1"/>
                <w:bCs w:val="1"/>
                <w:color w:val="auto"/>
              </w:rPr>
              <w:t>Average Net Daily Production for the</w:t>
            </w:r>
          </w:p>
        </w:tc>
        <w:tc>
          <w:tcPr>
            <w:tcW w:w="1040" w:type="dxa"/>
            <w:vAlign w:val="bottom"/>
          </w:tcPr>
          <w:p>
            <w:pPr>
              <w:spacing w:after="0"/>
              <w:rPr>
                <w:sz w:val="10"/>
                <w:szCs w:val="10"/>
                <w:color w:val="auto"/>
              </w:rPr>
            </w:pPr>
          </w:p>
        </w:tc>
      </w:tr>
      <w:tr>
        <w:trPr>
          <w:trHeight w:val="148"/>
        </w:trPr>
        <w:tc>
          <w:tcPr>
            <w:tcW w:w="1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Proved Reserves as of December 31, 2017</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1"/>
                <w:szCs w:val="11"/>
                <w:b w:val="1"/>
                <w:bCs w:val="1"/>
                <w:color w:val="auto"/>
              </w:rPr>
              <w:t>Year Ended December 31, 2017</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6"/>
        </w:trPr>
        <w:tc>
          <w:tcPr>
            <w:tcW w:w="184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Oil (MMBbl)</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NGLs (MMBbl)</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Natural Gas (Bcf)</w:t>
            </w:r>
          </w:p>
        </w:tc>
        <w:tc>
          <w:tcPr>
            <w:tcW w:w="1280" w:type="dxa"/>
            <w:vAlign w:val="bottom"/>
            <w:gridSpan w:val="3"/>
          </w:tcPr>
          <w:p>
            <w:pPr>
              <w:ind w:left="140"/>
              <w:spacing w:after="0"/>
              <w:rPr>
                <w:sz w:val="20"/>
                <w:szCs w:val="20"/>
                <w:color w:val="auto"/>
              </w:rPr>
            </w:pPr>
            <w:r>
              <w:rPr>
                <w:rFonts w:ascii="Arial" w:cs="Arial" w:eastAsia="Arial" w:hAnsi="Arial"/>
                <w:sz w:val="11"/>
                <w:szCs w:val="11"/>
                <w:b w:val="1"/>
                <w:bCs w:val="1"/>
                <w:color w:val="auto"/>
              </w:rPr>
              <w:t>Total (MMBoe)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Oil (%)</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Proved Developed (%)</w:t>
            </w: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(MBoe/d)</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Oil (%)</w:t>
            </w: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w w:val="97"/>
              </w:rPr>
              <w:t>R/P Ratio (Years)</w:t>
            </w:r>
            <w:r>
              <w:rPr>
                <w:rFonts w:ascii="Arial" w:cs="Arial" w:eastAsia="Arial" w:hAnsi="Arial"/>
                <w:sz w:val="14"/>
                <w:szCs w:val="14"/>
                <w:b w:val="1"/>
                <w:bCs w:val="1"/>
                <w:color w:val="auto"/>
                <w:w w:val="97"/>
                <w:vertAlign w:val="superscript"/>
              </w:rPr>
              <w:t>(a)</w:t>
            </w:r>
          </w:p>
        </w:tc>
      </w:tr>
      <w:tr>
        <w:trPr>
          <w:trHeight w:val="160"/>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San Joaquin Basin</w:t>
            </w:r>
          </w:p>
        </w:tc>
        <w:tc>
          <w:tcPr>
            <w:tcW w:w="9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265</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585</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419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w:t>
            </w:r>
          </w:p>
        </w:tc>
      </w:tr>
      <w:tr>
        <w:trPr>
          <w:trHeight w:val="174"/>
        </w:trPr>
        <w:tc>
          <w:tcPr>
            <w:tcW w:w="1840" w:type="dxa"/>
            <w:vAlign w:val="bottom"/>
          </w:tcPr>
          <w:p>
            <w:pPr>
              <w:ind w:left="20"/>
              <w:spacing w:after="0"/>
              <w:rPr>
                <w:sz w:val="20"/>
                <w:szCs w:val="20"/>
                <w:color w:val="auto"/>
              </w:rPr>
            </w:pPr>
            <w:r>
              <w:rPr>
                <w:rFonts w:ascii="Arial" w:cs="Arial" w:eastAsia="Arial" w:hAnsi="Arial"/>
                <w:sz w:val="11"/>
                <w:szCs w:val="11"/>
                <w:color w:val="auto"/>
              </w:rPr>
              <w:t>Los Angeles Basin</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5"/>
                <w:szCs w:val="15"/>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15"/>
                <w:szCs w:val="15"/>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14.7</w:t>
            </w:r>
          </w:p>
        </w:tc>
      </w:tr>
      <w:tr>
        <w:trPr>
          <w:trHeight w:val="187"/>
        </w:trPr>
        <w:tc>
          <w:tcPr>
            <w:tcW w:w="1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Ventura Basin</w:t>
            </w: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r>
      <w:tr>
        <w:trPr>
          <w:trHeight w:val="174"/>
        </w:trPr>
        <w:tc>
          <w:tcPr>
            <w:tcW w:w="1840" w:type="dxa"/>
            <w:vAlign w:val="bottom"/>
          </w:tcPr>
          <w:p>
            <w:pPr>
              <w:ind w:left="20"/>
              <w:spacing w:after="0"/>
              <w:rPr>
                <w:sz w:val="20"/>
                <w:szCs w:val="20"/>
                <w:color w:val="auto"/>
              </w:rPr>
            </w:pPr>
            <w:r>
              <w:rPr>
                <w:rFonts w:ascii="Arial" w:cs="Arial" w:eastAsia="Arial" w:hAnsi="Arial"/>
                <w:sz w:val="11"/>
                <w:szCs w:val="11"/>
                <w:color w:val="auto"/>
              </w:rPr>
              <w:t>Sacramento Basin</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5"/>
                <w:szCs w:val="15"/>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15"/>
                <w:szCs w:val="15"/>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6.4</w:t>
            </w:r>
          </w:p>
        </w:tc>
      </w:tr>
      <w:tr>
        <w:trPr>
          <w:trHeight w:val="165"/>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operations</w:t>
            </w:r>
          </w:p>
        </w:tc>
        <w:tc>
          <w:tcPr>
            <w:tcW w:w="9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442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706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618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129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w:t>
            </w:r>
          </w:p>
        </w:tc>
      </w:tr>
    </w:tbl>
    <w:p>
      <w:pPr>
        <w:spacing w:after="0" w:line="3" w:lineRule="exact"/>
        <w:rPr>
          <w:sz w:val="20"/>
          <w:szCs w:val="20"/>
          <w:color w:val="auto"/>
        </w:rPr>
      </w:pPr>
    </w:p>
    <w:p>
      <w:pPr>
        <w:ind w:left="420" w:right="40" w:hanging="269"/>
        <w:spacing w:after="0" w:line="225" w:lineRule="auto"/>
        <w:rPr>
          <w:sz w:val="20"/>
          <w:szCs w:val="20"/>
          <w:color w:val="auto"/>
        </w:rPr>
      </w:pPr>
      <w:r>
        <w:rPr>
          <w:rFonts w:ascii="Arial" w:cs="Arial" w:eastAsia="Arial" w:hAnsi="Arial"/>
          <w:sz w:val="10"/>
          <w:szCs w:val="10"/>
          <w:color w:val="auto"/>
        </w:rPr>
        <w:t>Note: MMBbl refers to millions of barrels; Bcf refers to billion cubic feet of natural gas; MMBoe refers to million barrels of oil equivalent; and MBoe/d refers to thousands of barrels of oil equivalent per day. Natural gas volumes have been converted to Boe based on the equivalence of energy content between six Mcf of natural gas and one Bbl of oil.</w:t>
      </w:r>
    </w:p>
    <w:p>
      <w:pPr>
        <w:ind w:left="420" w:hanging="212"/>
        <w:spacing w:after="0"/>
        <w:tabs>
          <w:tab w:leader="none" w:pos="420" w:val="left"/>
        </w:tabs>
        <w:numPr>
          <w:ilvl w:val="0"/>
          <w:numId w:val="7"/>
        </w:numPr>
        <w:rPr>
          <w:rFonts w:ascii="Arial" w:cs="Arial" w:eastAsia="Arial" w:hAnsi="Arial"/>
          <w:sz w:val="10"/>
          <w:szCs w:val="10"/>
          <w:color w:val="auto"/>
        </w:rPr>
      </w:pPr>
      <w:r>
        <w:rPr>
          <w:rFonts w:ascii="Arial" w:cs="Arial" w:eastAsia="Arial" w:hAnsi="Arial"/>
          <w:sz w:val="10"/>
          <w:szCs w:val="10"/>
          <w:color w:val="auto"/>
        </w:rPr>
        <w:t>Calculated as total proved reserves as of December 31, 2017 divided by annualized Average Net Daily Production for the year ended December 31, 2017.</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Marketing Arrangements</w:t>
      </w:r>
    </w:p>
    <w:p>
      <w:pPr>
        <w:spacing w:after="0" w:line="15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b w:val="1"/>
          <w:bCs w:val="1"/>
          <w:i w:val="1"/>
          <w:iCs w:val="1"/>
          <w:color w:val="auto"/>
        </w:rPr>
        <w:t xml:space="preserve">Crude Oil </w:t>
      </w:r>
      <w:r>
        <w:rPr>
          <w:rFonts w:ascii="Arial" w:cs="Arial" w:eastAsia="Arial" w:hAnsi="Arial"/>
          <w:sz w:val="12"/>
          <w:szCs w:val="12"/>
          <w:color w:val="auto"/>
        </w:rPr>
        <w:t>– Substantially all of our crude oil production is connected to California markets via our crude oil gathering pipelines, which are used almost entirely for our production. We generally do not transport,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refine or process the crude oil we produce and do not have any significant long-term crude oil transportation arrangements. We currently sell all of our crude oil into the California refining markets, which we believe have offered relatively favorable pricing compared to other U.S. regions for similar grades. In addition, we evaluate opportunities to export our crude oil production. The majority of the oil imported into California arrives via supertanker, with a minor amount arriving by rail. As a result, California refiners have typically purchased crude oil at international waterborne-based prices. Currently, our index-based crude oil sales contracts have 30- to 90-day terms with no such contracts extending past one year.</w:t>
      </w:r>
    </w:p>
    <w:p>
      <w:pPr>
        <w:spacing w:after="0" w:line="120" w:lineRule="exact"/>
        <w:rPr>
          <w:sz w:val="20"/>
          <w:szCs w:val="20"/>
          <w:color w:val="auto"/>
        </w:rPr>
      </w:pPr>
    </w:p>
    <w:p>
      <w:pPr>
        <w:ind w:right="200" w:firstLine="216"/>
        <w:spacing w:after="0" w:line="286" w:lineRule="auto"/>
        <w:rPr>
          <w:sz w:val="20"/>
          <w:szCs w:val="20"/>
          <w:color w:val="auto"/>
        </w:rPr>
      </w:pPr>
      <w:r>
        <w:rPr>
          <w:rFonts w:ascii="Arial" w:cs="Arial" w:eastAsia="Arial" w:hAnsi="Arial"/>
          <w:sz w:val="12"/>
          <w:szCs w:val="12"/>
          <w:b w:val="1"/>
          <w:bCs w:val="1"/>
          <w:i w:val="1"/>
          <w:iCs w:val="1"/>
          <w:color w:val="auto"/>
        </w:rPr>
        <w:t xml:space="preserve">Natural Gas </w:t>
      </w:r>
      <w:r>
        <w:rPr>
          <w:rFonts w:ascii="Arial" w:cs="Arial" w:eastAsia="Arial" w:hAnsi="Arial"/>
          <w:sz w:val="12"/>
          <w:szCs w:val="12"/>
          <w:color w:val="auto"/>
        </w:rPr>
        <w:t>– California imports approximately 90% of the natural gas consumed in the state. We have firm transportation capacity contracts to access markets and to facilitate deliveries. We sell virtually all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natural gas production under individually negotiated contracts using market-based pricing on a monthly or shorter basis.</w:t>
      </w:r>
    </w:p>
    <w:p>
      <w:pPr>
        <w:spacing w:after="0" w:line="103" w:lineRule="exact"/>
        <w:rPr>
          <w:sz w:val="20"/>
          <w:szCs w:val="20"/>
          <w:color w:val="auto"/>
        </w:rPr>
      </w:pPr>
    </w:p>
    <w:p>
      <w:pPr>
        <w:ind w:right="160" w:firstLine="216"/>
        <w:spacing w:after="0" w:line="268" w:lineRule="auto"/>
        <w:rPr>
          <w:sz w:val="20"/>
          <w:szCs w:val="20"/>
          <w:color w:val="auto"/>
        </w:rPr>
      </w:pPr>
      <w:r>
        <w:rPr>
          <w:rFonts w:ascii="Arial" w:cs="Arial" w:eastAsia="Arial" w:hAnsi="Arial"/>
          <w:sz w:val="12"/>
          <w:szCs w:val="12"/>
          <w:b w:val="1"/>
          <w:bCs w:val="1"/>
          <w:i w:val="1"/>
          <w:iCs w:val="1"/>
          <w:color w:val="auto"/>
        </w:rPr>
        <w:t xml:space="preserve">NGLs </w:t>
      </w:r>
      <w:r>
        <w:rPr>
          <w:rFonts w:ascii="Arial" w:cs="Arial" w:eastAsia="Arial" w:hAnsi="Arial"/>
          <w:sz w:val="12"/>
          <w:szCs w:val="12"/>
          <w:color w:val="auto"/>
        </w:rPr>
        <w:t>– We extract substantially all of our NGLs through our gas processing plants, which facilitate access to third-party delivery points near the Elk Hills field. We currently have pipeline capacity contracts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transport 20,000 barrels per day of NGLs to market. We sell virtually all of our NGLs using index-based pricing. Our NGLs are generally sold pursuant to one-year contracts that are renewed annually. Approximately 36% of our NGLs are sold to export markets.</w:t>
      </w:r>
    </w:p>
    <w:p>
      <w:pPr>
        <w:spacing w:after="0" w:line="114" w:lineRule="exact"/>
        <w:rPr>
          <w:sz w:val="20"/>
          <w:szCs w:val="20"/>
          <w:color w:val="auto"/>
        </w:rPr>
      </w:pPr>
    </w:p>
    <w:p>
      <w:pPr>
        <w:ind w:right="140" w:firstLine="216"/>
        <w:spacing w:after="0" w:line="286" w:lineRule="auto"/>
        <w:rPr>
          <w:sz w:val="20"/>
          <w:szCs w:val="20"/>
          <w:color w:val="auto"/>
        </w:rPr>
      </w:pPr>
      <w:r>
        <w:rPr>
          <w:rFonts w:ascii="Arial" w:cs="Arial" w:eastAsia="Arial" w:hAnsi="Arial"/>
          <w:sz w:val="12"/>
          <w:szCs w:val="12"/>
          <w:b w:val="1"/>
          <w:bCs w:val="1"/>
          <w:i w:val="1"/>
          <w:iCs w:val="1"/>
          <w:color w:val="auto"/>
        </w:rPr>
        <w:t xml:space="preserve">Electricity </w:t>
      </w:r>
      <w:r>
        <w:rPr>
          <w:rFonts w:ascii="Arial" w:cs="Arial" w:eastAsia="Arial" w:hAnsi="Arial"/>
          <w:sz w:val="12"/>
          <w:szCs w:val="12"/>
          <w:color w:val="auto"/>
        </w:rPr>
        <w:t>– Part of the electrical output of the Elk Hills power plant operated by one of our subsidiaries is used by the Elk Hills field, which reduces operating costs and increases reliability. We sell the excess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grid and to utilities.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Hedging</w:t>
      </w:r>
    </w:p>
    <w:p>
      <w:pPr>
        <w:spacing w:after="0" w:line="200" w:lineRule="exact"/>
        <w:rPr>
          <w:sz w:val="20"/>
          <w:szCs w:val="20"/>
          <w:color w:val="auto"/>
        </w:rPr>
      </w:pPr>
    </w:p>
    <w:p>
      <w:pPr>
        <w:ind w:right="140" w:firstLine="216"/>
        <w:spacing w:after="0" w:line="254" w:lineRule="auto"/>
        <w:rPr>
          <w:sz w:val="20"/>
          <w:szCs w:val="20"/>
          <w:color w:val="auto"/>
        </w:rPr>
      </w:pPr>
      <w:r>
        <w:rPr>
          <w:rFonts w:ascii="Arial" w:cs="Arial" w:eastAsia="Arial" w:hAnsi="Arial"/>
          <w:sz w:val="12"/>
          <w:szCs w:val="12"/>
          <w:color w:val="auto"/>
        </w:rPr>
        <w:t xml:space="preserve">We maintain a commodity hedging program primarily focused on crude oil to help protect our cash flows, margins and capital program from the volatility of commodity prices and to improve our ability to comply with the covenants under our credit facilities. We will continue to be strategic and opportunistic in implementing our hedging program. Unless otherwise indicated, we use the term "hedge" to describe derivative instruments that are designed to achieve our hedging program goals, even though they are not necessarily accounted for as cash-flow or fair-value hedges. For more on our current derivative contracts, see </w:t>
      </w:r>
      <w:r>
        <w:rPr>
          <w:rFonts w:ascii="Arial" w:cs="Arial" w:eastAsia="Arial" w:hAnsi="Arial"/>
          <w:sz w:val="12"/>
          <w:szCs w:val="12"/>
          <w:i w:val="1"/>
          <w:iCs w:val="1"/>
          <w:color w:val="auto"/>
        </w:rPr>
        <w:t>Item 7 –</w:t>
      </w:r>
      <w:r>
        <w:rPr>
          <w:rFonts w:ascii="Arial" w:cs="Arial" w:eastAsia="Arial" w:hAnsi="Arial"/>
          <w:sz w:val="12"/>
          <w:szCs w:val="12"/>
          <w:color w:val="auto"/>
        </w:rPr>
        <w:t xml:space="preserve"> </w:t>
      </w:r>
      <w:r>
        <w:rPr>
          <w:rFonts w:ascii="Arial" w:cs="Arial" w:eastAsia="Arial" w:hAnsi="Arial"/>
          <w:sz w:val="12"/>
          <w:szCs w:val="12"/>
          <w:i w:val="1"/>
          <w:iCs w:val="1"/>
          <w:color w:val="auto"/>
        </w:rPr>
        <w:t>Management's Discussion and Analysis of Financial Condition and Results of Operations – Liquidity and Capital Resources</w:t>
      </w:r>
      <w:r>
        <w:rPr>
          <w:rFonts w:ascii="Arial" w:cs="Arial" w:eastAsia="Arial" w:hAnsi="Arial"/>
          <w:sz w:val="12"/>
          <w:szCs w:val="12"/>
          <w:color w:val="auto"/>
        </w:rPr>
        <w: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377" w:right="1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t>Our Principal Customers</w:t>
      </w:r>
    </w:p>
    <w:p>
      <w:pPr>
        <w:spacing w:after="0" w:line="164"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We sell crude oil, natural gas and NGLs to marketers, California refineries and other purchasers that have access to transportation and storage facilities. Our ability to sell our products can be affected by factors that are beyond our control, and which cannot be accurately predicted.</w:t>
      </w:r>
    </w:p>
    <w:p>
      <w:pPr>
        <w:spacing w:after="0" w:line="131" w:lineRule="exact"/>
        <w:rPr>
          <w:sz w:val="20"/>
          <w:szCs w:val="20"/>
          <w:color w:val="auto"/>
        </w:rPr>
      </w:pPr>
    </w:p>
    <w:p>
      <w:pPr>
        <w:ind w:right="180" w:firstLine="216"/>
        <w:spacing w:after="0" w:line="256" w:lineRule="auto"/>
        <w:rPr>
          <w:sz w:val="20"/>
          <w:szCs w:val="20"/>
          <w:color w:val="auto"/>
        </w:rPr>
      </w:pPr>
      <w:r>
        <w:rPr>
          <w:rFonts w:ascii="Arial" w:cs="Arial" w:eastAsia="Arial" w:hAnsi="Arial"/>
          <w:sz w:val="12"/>
          <w:szCs w:val="12"/>
          <w:color w:val="auto"/>
        </w:rPr>
        <w:t>For the years ended December 31, 2017 and 2016, our principal customers included Phillips 66 Company, Andeavor (formerly Tesoro Refining &amp; Marketing Company LLC), Valero Marketing &amp; Supply Company and Shell Trading (US) Company, each accounted for at least 10%, and, collectively, 67% of our revenue. For the year ended December 31, 2015, our principal customers included Phillips 66 Company, Tesoro Refining &amp; Marketing Company LLC and Valero Marketing &amp; Supply Company, each accounted for more than 10%, and collectively, 64% of our revenue.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Title to Properties</w:t>
      </w:r>
    </w:p>
    <w:p>
      <w:pPr>
        <w:spacing w:after="0" w:line="164"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interests, liens incident to operating agreements and for current taxes, obligations or duties under applicable laws, development obligations, or net profits interests, among others. Prior to the commencement of drilling operations on those properties, we conduct a more thorough title examination and perform curative work with respect to significant defects. We generally will not commence drilling operations on a property until we have cured known title defects that are material to the project. In addition, substantially all of our properties have been pledged as collateral for our secured debt.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Competition</w:t>
      </w:r>
    </w:p>
    <w:p>
      <w:pPr>
        <w:spacing w:after="0" w:line="164"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We encounter strong competition from numerous parties in the oil and gas industry, ranging from small independent producers to major international oil companies. The oil market in California is a captive market with no interstate crude pipeline and rail lines that only run north to south. As a result, 72% of the oil the state consumes is imported, virtually all from waterborne sources. Our proximity to the California refineries gives us a competitive edge through lower transportation costs. The California natural gas market is serviced from a network of pipelines, including interstate and intrastate pipelines. We deliver our natural gas to customers using capacity on our firm transportation commitments.</w:t>
      </w:r>
    </w:p>
    <w:p>
      <w:pPr>
        <w:spacing w:after="0" w:line="136" w:lineRule="exact"/>
        <w:rPr>
          <w:sz w:val="20"/>
          <w:szCs w:val="20"/>
          <w:color w:val="auto"/>
        </w:rPr>
      </w:pPr>
    </w:p>
    <w:p>
      <w:pPr>
        <w:jc w:val="both"/>
        <w:ind w:right="260" w:firstLine="216"/>
        <w:spacing w:after="0" w:line="256" w:lineRule="auto"/>
        <w:rPr>
          <w:sz w:val="20"/>
          <w:szCs w:val="20"/>
          <w:color w:val="auto"/>
        </w:rPr>
      </w:pPr>
      <w:r>
        <w:rPr>
          <w:rFonts w:ascii="Arial" w:cs="Arial" w:eastAsia="Arial" w:hAnsi="Arial"/>
          <w:sz w:val="12"/>
          <w:szCs w:val="12"/>
          <w:color w:val="auto"/>
        </w:rPr>
        <w:t>We compete for third-party services to profitably develop our assets, to find or acquire additional reserves, to sell our production and to find and retain qualified personnel. Historically, higher commodity prices intensify competition for drilling and workover rigs, pipe, other oil field equipment and personnel. However, the California energy industry experienced only limited cost inflation in 2017 due to excess capacity in the service and supply sector. Given our relative size compared to other in-state producers, our activity influences the pricing of third-party services in the local market.</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of the Oil and Natural Gas Industry</w:t>
      </w:r>
    </w:p>
    <w:p>
      <w:pPr>
        <w:spacing w:after="0" w:line="200" w:lineRule="exact"/>
        <w:rPr>
          <w:sz w:val="20"/>
          <w:szCs w:val="20"/>
          <w:color w:val="auto"/>
        </w:rPr>
      </w:pPr>
    </w:p>
    <w:p>
      <w:pPr>
        <w:ind w:right="760" w:firstLine="216"/>
        <w:spacing w:after="0" w:line="418" w:lineRule="auto"/>
        <w:rPr>
          <w:sz w:val="20"/>
          <w:szCs w:val="20"/>
          <w:color w:val="auto"/>
        </w:rPr>
      </w:pPr>
      <w:r>
        <w:rPr>
          <w:rFonts w:ascii="Arial" w:cs="Arial" w:eastAsia="Arial" w:hAnsi="Arial"/>
          <w:sz w:val="12"/>
          <w:szCs w:val="12"/>
          <w:color w:val="auto"/>
        </w:rPr>
        <w:t xml:space="preserve">Our operations are subject to a wide range of federal, state and local laws and regulations. Those that specifically relate to oil and natural gas exploration and production are described in this section. </w:t>
      </w:r>
      <w:r>
        <w:rPr>
          <w:rFonts w:ascii="Arial" w:cs="Arial" w:eastAsia="Arial" w:hAnsi="Arial"/>
          <w:sz w:val="12"/>
          <w:szCs w:val="12"/>
          <w:b w:val="1"/>
          <w:bCs w:val="1"/>
          <w:i w:val="1"/>
          <w:iCs w:val="1"/>
          <w:color w:val="auto"/>
        </w:rPr>
        <w:t>Regulation of Exploration and Production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Federal, state and local laws and regulations govern most aspects of exploration and production in California, including:</w:t>
      </w:r>
    </w:p>
    <w:p>
      <w:pPr>
        <w:spacing w:after="0" w:line="123"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oil and natural gas production, including well spacing on federal, state and private lands;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methods of constructing, drilling, completing, stimulating, operating, maintaining and abandoning wells;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design, construction, operation, maintenance and decommissioning of facilities, such as natural gas processing plants, power plants, compressors and liquid and natural gas pipelines or gathering lines;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improved or enhanced recovery techniques such as fluid injection for pressure management, waterflooding or steamflooding;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sourcing and disposal of water used in the drilling, completion, stimulation, maintenance and enhanced recovery processes;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287" w:right="199" w:bottom="1440" w:gutter="0" w:footer="0" w:header="0"/>
        </w:sectPr>
      </w:pPr>
    </w:p>
    <w:bookmarkStart w:id="11" w:name="page12"/>
    <w:bookmarkEnd w:id="11"/>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imposition of taxes and fees with respect to our properties and operations;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conservation of oil and natural gas, including provisions for the unitization or pooling of oil and natural gas properties;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posting of bonds or other financial assurance to drill, operate and abandon or decommission wells and facilities;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occupational health, safety and environmental matters and the transportation, marketing and sale of our products as described below.</w:t>
      </w:r>
    </w:p>
    <w:p>
      <w:pPr>
        <w:spacing w:after="0" w:line="150"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Collectively, the effect of these regulations is to potentially limit the number and location of our wells and the amount of oil and natural gas that we can produce from our wells compared to what we otherwise would be able to do.</w:t>
      </w:r>
    </w:p>
    <w:p>
      <w:pPr>
        <w:spacing w:after="0" w:line="104" w:lineRule="exact"/>
        <w:rPr>
          <w:sz w:val="20"/>
          <w:szCs w:val="20"/>
          <w:color w:val="auto"/>
        </w:rPr>
      </w:pPr>
    </w:p>
    <w:p>
      <w:pPr>
        <w:ind w:right="100" w:firstLine="216"/>
        <w:spacing w:after="0" w:line="252" w:lineRule="auto"/>
        <w:rPr>
          <w:sz w:val="20"/>
          <w:szCs w:val="20"/>
          <w:color w:val="auto"/>
        </w:rPr>
      </w:pPr>
      <w:r>
        <w:rPr>
          <w:rFonts w:ascii="Arial" w:cs="Arial" w:eastAsia="Arial" w:hAnsi="Arial"/>
          <w:sz w:val="12"/>
          <w:szCs w:val="12"/>
          <w:color w:val="auto"/>
        </w:rPr>
        <w:t>The Division of Oil, Gas, and Geothermal Resources (DOGGR) of the Department of Conservation is California's primary regulator of the oil and natural gas industry on private and state lands, with additional oversight from the State Lands Commission’s administration of state surface and mineral interests. The Bureau of Land Management (BLM) of the U.S. Department of the Interior exercises similar jurisdiction on federal lands in California, on which DOGGR also asserts jurisdiction over certain activities. Government actions, including the issuance of certain permits or approvals, by state and local agencies or by federal agencies may be subject to environmental reviews, respectively, under the California Environmental Quality Act or the National Environmental Policy Act (NEPA), which may result in delays, imposition of mitigation measures or litigation. For example, in September 2016, a federal judge issued an order finding that the BLM’s NEPA review of the Resource Management Plan for portions of Ventura, Kern and other counties failed to sufficiently analyze the potential environmental impacts of hydraulic fracturing and directed the BLM to prepare a supplemental environmental impact statement. The result of this NEPA review has the potential to impact future leasing of federal lands in those counties for oil and gas exploration and production activities.</w:t>
      </w:r>
    </w:p>
    <w:p>
      <w:pPr>
        <w:spacing w:after="0" w:line="112"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The jurisdiction and enforcement authority of DOGGR and other state agencies have significantly increased with respect to oil and gas activities in recent years, and these agencies have significantly revised their regulations, regulatory interpretations and data collection requirements. DOGGR has undertaken a comprehensive examination of existing regulations and plans to issue additional regulations with respect to certain oil and gas activities in 2018, such as management of idle wells, pipelines and underground fluid injection. Pursuant to Assembly Bill 2729 (AB 2729), DOGGR requires operators annually starting in 2018 to either submit idle well management plans describing how they will plug and abandon or reactivate long-term idle wells or pay additional annual fees for each such well. AB 2729 also requires that DOGGR update its regulations pertaining to idle well testing and management by June 1, 2018. In September 2017, DOGGR proposed regulations that seek to impose more stringent inspection and integrity management requirements on pipelines that are four inches or less in diameter and located in sensitive areas. DOGGR’s plan to update underground injection regulations in 2018, which may address injection approvals, project data requirements, mechanical integrity testing of injection wells, monitoring and reporting requirements with respect to injection parameters, containment or seismic activity, and incident response.</w:t>
      </w:r>
    </w:p>
    <w:p>
      <w:pPr>
        <w:spacing w:after="0" w:line="112"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In 2013 California adopted Senate Bill 4 (SB 4), which increased regulation of certain well stimulation techniques, including acid matrix stimulation and hydraulic fracturing, which involves the injection of fluid under pressure into underground rock formations to create or enlarge fractures to allow oil and gas to flow more freely. Among other things, SB 4 requires operators to obtain specific well stimulation permits, make disclosures and implement groundwater monitoring and water management plans. The U.S. Environmental Protection Agency (EPA) and the BLM also regulate certain well stimulation activities, though their regulations are currently being challenged in court. The implementation of federal and state well stimulation regulations has delayed, and increased the cost of, certain operations.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301" w:right="219" w:bottom="1440" w:gutter="0" w:footer="0" w:header="0"/>
        </w:sectPr>
      </w:pPr>
    </w:p>
    <w:bookmarkStart w:id="12" w:name="page13"/>
    <w:bookmarkEnd w:id="12"/>
    <w:p>
      <w:pPr>
        <w:ind w:right="20" w:firstLine="216"/>
        <w:spacing w:after="0" w:line="252" w:lineRule="auto"/>
        <w:rPr>
          <w:sz w:val="20"/>
          <w:szCs w:val="20"/>
          <w:color w:val="auto"/>
        </w:rPr>
      </w:pPr>
      <w:r>
        <w:rPr>
          <w:rFonts w:ascii="Arial" w:cs="Arial" w:eastAsia="Arial" w:hAnsi="Arial"/>
          <w:sz w:val="12"/>
          <w:szCs w:val="12"/>
          <w:color w:val="auto"/>
        </w:rPr>
        <w:t>In addition, certain local governments have proposed or adopted ordinances that would restrict certain drilling activities in general and well stimulation, completion or injection activities in particular, or ban such activities outright. The most onerous of these local measures was adopted in 2016 by Monterey County, where we own mineral interests but do not have any production. The measure prohibits drilling of new oil and gas wells, hydraulic fracturing, other well stimulation and phases out the injection of produced water. This measure was challenged in state court, and the Monterey County Superior Court issued a decision in December 2017, finding that the bans on drilling new wells and water injection are preempted and invalid by existing state and federal regulations and, if implemented, would constitute a taking of our property without compensation under the federal and state constitutions. The court did not rule on the ban on hydraulic fracturing because the court found that the issue was not ripe since hydraulic fracturing is not currently being conducted in Monterey County, noting that the ban could be challenged in the event a hydraulic fracturing is proposed. The decision is expected to be appealed.</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 of Health, Safety and Environmental Matters</w:t>
      </w:r>
    </w:p>
    <w:p>
      <w:pPr>
        <w:spacing w:after="0" w:line="110"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National Environmental Policy Act, among others. California imposes additional laws that are analogous to, and often more stringent than, such federal laws. These laws and regulations:</w:t>
      </w:r>
    </w:p>
    <w:p>
      <w:pPr>
        <w:spacing w:after="0" w:line="110" w:lineRule="exact"/>
        <w:rPr>
          <w:sz w:val="20"/>
          <w:szCs w:val="20"/>
          <w:color w:val="auto"/>
        </w:rPr>
      </w:pPr>
    </w:p>
    <w:p>
      <w:pPr>
        <w:ind w:left="420" w:right="14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establish air, soil and water quality standards for a given region, such as the San Joaquin Valley, and require attainment plans to meet those regional standards, which may include significant restrictions on development, economic activity and transportation in such region;</w:t>
      </w:r>
    </w:p>
    <w:p>
      <w:pPr>
        <w:ind w:left="420" w:right="34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require various permits, approvals and mitigation measures before drilling, workover, production, underground fluid injection or waste disposal commences, or before facilities are constructed or put into operation;</w:t>
      </w:r>
    </w:p>
    <w:p>
      <w:pPr>
        <w:ind w:left="420" w:right="4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require the installation of sophisticated safety and pollution control equipment, such as leak detection, monitoring and shutdown systems, to prevent or reduce releases or discharges of regulated materials to air, land, surface water or ground water;</w:t>
      </w:r>
    </w:p>
    <w:p>
      <w:pPr>
        <w:ind w:left="420" w:right="46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restrict the use, types or sources of water, energy, land surface, habitat or other natural resources, require conservation and reclamation measures, and impose energy efficiency or renewable energy standards on us or users of our products and services;</w:t>
      </w:r>
    </w:p>
    <w:p>
      <w:pPr>
        <w:ind w:left="42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ind w:left="420" w:right="6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limit or prohibit operations on lands lying within coastal, wilderness, wetlands, groundwater recharge, endangered species habitat and other protected areas, and require the dedication of surface acreage for habitat conservation;</w:t>
      </w:r>
    </w:p>
    <w:p>
      <w:pPr>
        <w:ind w:left="420" w:right="66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establish standards for the management of solid and hazardous wastes or the closure, abandonment, cleanup or restoration of former operations, such as plugging and abandonment of wells and decommissioning of facilities;</w:t>
      </w:r>
    </w:p>
    <w:p>
      <w:pPr>
        <w:ind w:left="420" w:right="20" w:hanging="212"/>
        <w:spacing w:after="0" w:line="25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require comprehensive environmental analyses, recordkeeping and reports with respect to operations affecting federal, state and private lands or leases;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impose taxes or fees with respect to the foregoing matters;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may expose us to litigation with government authorities, counterparties, special interest groups or others;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may restrict our rate of oil, NGLs, natural gas and electricity production.</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00"/>
          </w:cols>
          <w:pgMar w:left="220" w:top="301" w:right="279" w:bottom="1440" w:gutter="0" w:footer="0" w:header="0"/>
        </w:sectPr>
      </w:pPr>
    </w:p>
    <w:bookmarkStart w:id="13" w:name="page14"/>
    <w:bookmarkEnd w:id="13"/>
    <w:p>
      <w:pPr>
        <w:ind w:right="40" w:firstLine="216"/>
        <w:spacing w:after="0" w:line="254" w:lineRule="auto"/>
        <w:rPr>
          <w:sz w:val="20"/>
          <w:szCs w:val="20"/>
          <w:color w:val="auto"/>
        </w:rPr>
      </w:pPr>
      <w:r>
        <w:rPr>
          <w:rFonts w:ascii="Arial" w:cs="Arial" w:eastAsia="Arial" w:hAnsi="Arial"/>
          <w:sz w:val="12"/>
          <w:szCs w:val="12"/>
          <w:color w:val="auto"/>
        </w:rPr>
        <w:t>Due to the severe drought in California over the last several years, water districts and the state government have implemented regulations and policies that may restrict groundwater extraction and water usage and increase the cost of water. Water management is an essential component of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to support operations like steam injection in certain fields.</w:t>
      </w:r>
    </w:p>
    <w:p>
      <w:pPr>
        <w:spacing w:after="0" w:line="136"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In 2014, at the request of the EPA, DOGGR commenced a detailed review of the multi-decade practice of permitting underground injection wells and associated aquifer exemptions under the Safe Drinking Water Act (SDWA). In 2015, the state set deadlines to obtain the EPA’s confirmation of aquifer exemptions under the SDWA in certain formations in certain fields. Since the state and the EPA did not complete their review before the state's deadlines, the state announced that it will not rescind permits or enforce the deadlines with respect to many of the formations pending completion of the review, but has applied the deadlines to others. During the review, the state has restricted injection in certain formations or wells in several fields, including some operated by us, requested that we change injection zones in certain fields, and held certain pending injection permits in abeyance. Several industry groups and operators challenged DOGGR’s implementation of its aquifer exemption regulations. In March 2017, the Kern County Superior Court issued an injunction barring the blanket enforcement of DOGGR’s aquifer exemption regulations. The court found that DOGGR must find actual harm results from an injection well’s operations and go through a hearing process before the agency can issue fines or shut down operations.</w:t>
      </w:r>
    </w:p>
    <w:p>
      <w:pPr>
        <w:spacing w:after="0" w:line="139" w:lineRule="exact"/>
        <w:rPr>
          <w:sz w:val="20"/>
          <w:szCs w:val="20"/>
          <w:color w:val="auto"/>
        </w:rPr>
      </w:pPr>
    </w:p>
    <w:p>
      <w:pPr>
        <w:ind w:right="240" w:firstLine="216"/>
        <w:spacing w:after="0" w:line="254" w:lineRule="auto"/>
        <w:rPr>
          <w:sz w:val="20"/>
          <w:szCs w:val="20"/>
          <w:color w:val="auto"/>
        </w:rPr>
      </w:pPr>
      <w:r>
        <w:rPr>
          <w:rFonts w:ascii="Arial" w:cs="Arial" w:eastAsia="Arial" w:hAnsi="Arial"/>
          <w:sz w:val="12"/>
          <w:szCs w:val="12"/>
          <w:color w:val="auto"/>
        </w:rPr>
        <w:t>Separately, the state began a review in 2015 of permitted surface discharge of produced water and the use of reclaimed water for agricultural irrigation, which has led to additional permitting and monitoring requirements in 2017 for surface discharge of produced water. To date, the foregoing regulatory actions have not affected our oil and natural gas production in a material way. These reviews are ongoing, and government authorities may ultimately restrict injection of produced water or other fluids in additional formations or certain wells, restrict the surface discharge or use of produced water or take other administrative actions. The foregoing reviews could also give rise to litigation with government authorities and third parties.</w:t>
      </w:r>
    </w:p>
    <w:p>
      <w:pPr>
        <w:spacing w:after="0" w:line="136" w:lineRule="exact"/>
        <w:rPr>
          <w:sz w:val="20"/>
          <w:szCs w:val="20"/>
          <w:color w:val="auto"/>
        </w:rPr>
      </w:pPr>
    </w:p>
    <w:p>
      <w:pPr>
        <w:ind w:right="140" w:firstLine="216"/>
        <w:spacing w:after="0" w:line="262" w:lineRule="auto"/>
        <w:rPr>
          <w:sz w:val="20"/>
          <w:szCs w:val="20"/>
          <w:color w:val="auto"/>
        </w:rPr>
      </w:pPr>
      <w:r>
        <w:rPr>
          <w:rFonts w:ascii="Arial" w:cs="Arial" w:eastAsia="Arial" w:hAnsi="Arial"/>
          <w:sz w:val="12"/>
          <w:szCs w:val="12"/>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 of Climate Change and Greenhouse Gas (GHG) Emissions</w:t>
      </w:r>
    </w:p>
    <w:p>
      <w:pPr>
        <w:spacing w:after="0" w:line="164"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A number of international, federal, state, regional and local efforts seek to prevent or mitigate the effects of climate change or to track and reduce GHG emissions associated with energy use and industrial activity, including operations of the oil and natural gas production sector and those who use our products as a source of energy. The EPA has adopted federal regulations to:</w:t>
      </w:r>
    </w:p>
    <w:p>
      <w:pPr>
        <w:spacing w:after="0" w:line="104"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require reporting of annual GHG emissions from power plants and gas processing plants; gathering and boosting compression and pipeline facilities; and certain completions and workovers;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incorporate measures to reduce GHG emissions in permits for certain facilities;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restrict GHG emissions from certain mobile sources.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California has adopted the most stringent such laws and regulations. These state laws and regulations:</w:t>
      </w:r>
    </w:p>
    <w:p>
      <w:pPr>
        <w:spacing w:after="0" w:line="123" w:lineRule="exact"/>
        <w:rPr>
          <w:sz w:val="20"/>
          <w:szCs w:val="20"/>
          <w:color w:val="auto"/>
        </w:rPr>
      </w:pPr>
    </w:p>
    <w:p>
      <w:pPr>
        <w:ind w:left="420" w:right="120" w:hanging="212"/>
        <w:spacing w:after="0" w:line="250"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established a “cap-and-trade” program for GHG emissions that sets a statewide maximum limit on covered GHG emissions, and this cap declines annually to reach 40% below 1990 levels by 2030, the year that the cap-and-trade program currently expires;</w:t>
      </w: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require allowances or qualifying offsets for GHGs emitted from California operations and for the volume of propane and liquid transportation fuels sold for use in California;</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established a low carbon fuel standard, which requires the use of fuels with lower carbon intensities than traditional gasoline and diesel fuels;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impose state goals to derive 50% of California’s electricity from renewable sources and to double the energy efficiency of buildings in the state by 2030;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impose state goals of reducing emissions of methane and fluorocarbon gases by 40% and black carbon by 50% below 2013 levels by 2030.</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20"/>
          </w:cols>
          <w:pgMar w:left="220" w:top="301" w:right="259" w:bottom="1440" w:gutter="0" w:footer="0" w:header="0"/>
        </w:sectPr>
      </w:pPr>
    </w:p>
    <w:bookmarkStart w:id="14" w:name="page15"/>
    <w:bookmarkEnd w:id="14"/>
    <w:p>
      <w:pPr>
        <w:ind w:firstLine="216"/>
        <w:spacing w:after="0" w:line="253" w:lineRule="auto"/>
        <w:rPr>
          <w:sz w:val="20"/>
          <w:szCs w:val="20"/>
          <w:color w:val="auto"/>
        </w:rPr>
      </w:pPr>
      <w:r>
        <w:rPr>
          <w:rFonts w:ascii="Arial" w:cs="Arial" w:eastAsia="Arial" w:hAnsi="Arial"/>
          <w:sz w:val="12"/>
          <w:szCs w:val="12"/>
          <w:color w:val="auto"/>
        </w:rPr>
        <w:t>The EPA and the California Air Resources Board (CARB) have also expanded direct regulation of methane as a contributor to greenhouse gas emissions. In 2016, the EPA adopted regulations to require additional emission controls for methane, volatile organic compounds and certain other substances for new or modified oil and natural gas facilities. Although the EPA proposed in June 2017 to stay its 2016 methane requirements for two years and revisit their implementation, CARB has adopted more stringent regulations to require monitoring, leak detection, repair and reporting of methane emissions from both existing and new oil and gas production, pipeline gathering and boosting facilities and natural gas processing plants beginning in 2018 and additional controls such as tank vapor recovery to capture methane emissions in subsequent years.</w:t>
      </w:r>
    </w:p>
    <w:p>
      <w:pPr>
        <w:spacing w:after="0" w:line="110"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Legislation and regulation to address climate change could also increase the cost of consuming, and thereby reduce demand for, oil, natural gas and other products produced by us, and potentially lower the value of our reserves and other assets.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 of Transportation, Marketing and Sale of Our Products</w:t>
      </w:r>
    </w:p>
    <w:p>
      <w:pPr>
        <w:spacing w:after="0" w:line="164"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Our sales prices of oil, NGLs and natural gas in the U.S. are set by the market and are not presently regulated. In late 2015, the U.S. federal government lifted restrictions on the export of domestically produced oil that allows for the sale of U.S. oil production, including ours, in additional markets, which may affect the prices we realize.</w:t>
      </w:r>
    </w:p>
    <w:p>
      <w:pPr>
        <w:spacing w:after="0" w:line="104"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104"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interstate and intrastate pipeline transportation rates for oil, natural gas and NGLs in regulated pipeline systems;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prevention of market manipulation in the oil, natural gas, NGL and power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market transparency rules with respect to natural gas and power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physical and futures energy commodities market, including financial derivative and hedging activity;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prevention of discrimination in natural gas gathering operations in favor of producers or sources of supply.</w:t>
      </w:r>
    </w:p>
    <w:p>
      <w:pPr>
        <w:spacing w:after="0" w:line="150" w:lineRule="exact"/>
        <w:rPr>
          <w:sz w:val="20"/>
          <w:szCs w:val="20"/>
          <w:color w:val="auto"/>
        </w:rPr>
      </w:pPr>
    </w:p>
    <w:p>
      <w:pPr>
        <w:ind w:right="420" w:firstLine="216"/>
        <w:spacing w:after="0" w:line="262" w:lineRule="auto"/>
        <w:rPr>
          <w:sz w:val="20"/>
          <w:szCs w:val="20"/>
          <w:color w:val="auto"/>
        </w:rPr>
      </w:pPr>
      <w:r>
        <w:rPr>
          <w:rFonts w:ascii="Arial" w:cs="Arial" w:eastAsia="Arial" w:hAnsi="Arial"/>
          <w:sz w:val="12"/>
          <w:szCs w:val="12"/>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200"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We had approximately 1,450 employees as of December 31, 2017, of whom approximately 1,070 were employed in field operations. Approximately 70 of our employees are represented by labor unions. We have not experienced any strikes or work stoppages by our employees since our formation in 2014. We also utilize the services of independent contractors to perform drilling, well work, operations, construction and other services, including construction contractors whose workforce is often represented by labor unions.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445" w:right="2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Spin-Off and Reverse Stock Split</w:t>
      </w:r>
    </w:p>
    <w:p>
      <w:pPr>
        <w:spacing w:after="0" w:line="137" w:lineRule="exact"/>
        <w:rPr>
          <w:sz w:val="20"/>
          <w:szCs w:val="20"/>
          <w:color w:val="auto"/>
        </w:rPr>
      </w:pPr>
    </w:p>
    <w:p>
      <w:pPr>
        <w:ind w:right="160" w:firstLine="216"/>
        <w:spacing w:after="0" w:line="254" w:lineRule="auto"/>
        <w:rPr>
          <w:sz w:val="20"/>
          <w:szCs w:val="20"/>
          <w:color w:val="auto"/>
        </w:rPr>
      </w:pPr>
      <w:r>
        <w:rPr>
          <w:rFonts w:ascii="Arial" w:cs="Arial" w:eastAsia="Arial" w:hAnsi="Arial"/>
          <w:sz w:val="12"/>
          <w:szCs w:val="12"/>
          <w:color w:val="auto"/>
        </w:rPr>
        <w:t>We were incorporated in Delaware as a wholly owned subsidiary of Occidental on April 23, 2014, and remained a wholly owned subsidiary of Occidental until November 30, 2014 when Occidental distributed shares of our common stock on a pro-rata basis to Occidental stockholders (the Spin-off). On December 1, 2014, we became an independent, publicly traded company. Occidental initially retained approximately 18.5% of our outstanding shares of common stock, which were distributed to its stockholders on March 24, 2016. All references to ‘‘Occidental’’ refer to Occidental Petroleum Corporation, our former parent, and its subsidiaries.</w:t>
      </w:r>
    </w:p>
    <w:p>
      <w:pPr>
        <w:spacing w:after="0" w:line="109" w:lineRule="exact"/>
        <w:rPr>
          <w:sz w:val="20"/>
          <w:szCs w:val="20"/>
          <w:color w:val="auto"/>
        </w:rPr>
      </w:pPr>
    </w:p>
    <w:p>
      <w:pPr>
        <w:ind w:right="60" w:firstLine="216"/>
        <w:spacing w:after="0" w:line="262" w:lineRule="auto"/>
        <w:rPr>
          <w:sz w:val="20"/>
          <w:szCs w:val="20"/>
          <w:color w:val="auto"/>
        </w:rPr>
      </w:pPr>
      <w:r>
        <w:rPr>
          <w:rFonts w:ascii="Arial" w:cs="Arial" w:eastAsia="Arial" w:hAnsi="Arial"/>
          <w:sz w:val="12"/>
          <w:szCs w:val="12"/>
          <w:color w:val="auto"/>
        </w:rPr>
        <w:t>On May 31, 2016 we completed a reverse stock split using a ratio of one share of common stock for every ten shares then outstanding. Share and per share amounts included in this report have been restated to reflect this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make the following information available free of charge on our website at www.crc.com:</w:t>
      </w:r>
    </w:p>
    <w:p>
      <w:pPr>
        <w:spacing w:after="0" w:line="96"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Forms 10-K, 10-Q, 8-K and amendments to these forms as soon as reasonably practicable after they are electronically filed with, or furnished to, the Securities and Exchange Commission (SEC);</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Other SEC filings including Forms 3, 4 and 5;</w:t>
      </w:r>
    </w:p>
    <w:p>
      <w:pPr>
        <w:spacing w:after="0" w:line="6" w:lineRule="exact"/>
        <w:rPr>
          <w:rFonts w:ascii="Arial" w:cs="Arial" w:eastAsia="Arial" w:hAnsi="Arial"/>
          <w:sz w:val="12"/>
          <w:szCs w:val="12"/>
          <w:color w:val="auto"/>
        </w:rPr>
      </w:pPr>
    </w:p>
    <w:p>
      <w:pPr>
        <w:ind w:left="420" w:right="440" w:hanging="212"/>
        <w:spacing w:after="0" w:line="250"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 xml:space="preserve">Corporate governance information, including our corporate governance guidelines, board-committee charters and code of business conduct (see </w:t>
      </w:r>
      <w:r>
        <w:rPr>
          <w:rFonts w:ascii="Arial" w:cs="Arial" w:eastAsia="Arial" w:hAnsi="Arial"/>
          <w:sz w:val="12"/>
          <w:szCs w:val="12"/>
          <w:i w:val="1"/>
          <w:iCs w:val="1"/>
          <w:color w:val="auto"/>
        </w:rPr>
        <w:t>Item 10 – Directors, Executive Officers and Corporate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Governance </w:t>
      </w:r>
      <w:r>
        <w:rPr>
          <w:rFonts w:ascii="Arial" w:cs="Arial" w:eastAsia="Arial" w:hAnsi="Arial"/>
          <w:sz w:val="12"/>
          <w:szCs w:val="12"/>
          <w:color w:val="auto"/>
        </w:rPr>
        <w:t>for further information); and</w:t>
      </w: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Other important additional information, including GAAP to non-GAAP reconciliations.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Information contained on our website is not part of this report.</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64"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We are subject to certain risks and hazards due to the nature of our business activities. The risks discussed below, any of which could materially and adversely affect our business, financial condition, cash flows and results of operations, are not the only risks we face. We may experience additional risks and uncertainties not currently known to us or, as a result of developments occurring in the future, conditions that we currently deem to be immaterial may ultimately materially and adversely affect our business, financial condition, cash flows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Commodity pricing can fluctuate widely and strongly affects our results of operations, financial condition, cash flow and ability to invest in our assets.</w:t>
      </w:r>
    </w:p>
    <w:p>
      <w:pPr>
        <w:spacing w:after="0" w:line="16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Our results of operations, financial condition, cash flow and ability to invest in our assets are highly dependent on commodity prices. Compared to early to mid-2014, global energy commodity prices have declined significantly. We are particularly dependent on Brent crude prices that have declined from over $110 per barrel in June 2014 to below $30 per barrel in January 2016. Brent prices have improved since early 2016 and averaged $54.82 in 2017. However, such improvements may not continue or may be reversed. Continued low prices for our products or further price decreases could have several adverse effects including:</w:t>
      </w:r>
    </w:p>
    <w:p>
      <w:pPr>
        <w:spacing w:after="0" w:line="135"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reduced cash flow and decreased funds available for capital investments, interest payments and operational expenses;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reduced proved oil and gas reserves over time and related cash flows;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impairments of our oil and gas properties;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reduced borrowing base capacity under our 2014 Revolving Credit Facility as proved oil and gas reserves values fall;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potential for a reduction of our liquidity, mandatory loan repayments and default and foreclosure by our banks and bondholders against our secured assets;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forced monetization events and potential issues under our JV arrangements;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inability to attract counterparties to our transactions, including hedging transactions;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inability to access funds through the capital markets and the price we could obtain for, or the ability to conduct, asset sales or other monetization transactions.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20"/>
          </w:cols>
          <w:pgMar w:left="220" w:top="287" w:right="259" w:bottom="1440" w:gutter="0" w:footer="0" w:header="0"/>
        </w:sectPr>
      </w:pPr>
    </w:p>
    <w:bookmarkStart w:id="16" w:name="page17"/>
    <w:bookmarkEnd w:id="16"/>
    <w:p>
      <w:pPr>
        <w:ind w:firstLine="216"/>
        <w:spacing w:after="0" w:line="252" w:lineRule="auto"/>
        <w:rPr>
          <w:sz w:val="20"/>
          <w:szCs w:val="20"/>
          <w:color w:val="auto"/>
        </w:rPr>
      </w:pPr>
      <w:r>
        <w:rPr>
          <w:rFonts w:ascii="Arial" w:cs="Arial" w:eastAsia="Arial" w:hAnsi="Arial"/>
          <w:sz w:val="12"/>
          <w:szCs w:val="12"/>
          <w:color w:val="auto"/>
        </w:rPr>
        <w:t>Commodity pricing can fluctuate widely and is affected by a variety of factors, including changes in consumption patterns; inventory levels; global and local economic conditions; the actions of OPEC and other significant producers and governments; actual or threatened production, refining and processing disruptions; worldwide drilling and exploration activities; the effects of conservation; weather, geophysical and technical limitations; currency exchange rates; technological advances; transportation and storage capacity, bottlenecks and costs in producing areas; alternative energy sources; regional market conditions; other matters affecting the supply and demand dynamics for our products; and the effect of changes in these variables on market perceptions. These and other factors make it impossible to predict realized prices reliably. While our hedging activities provide some downside protection for a significant portion of our 2018 production, they may not adequately protect us from commodity price reductions and we may be unable to enter into acceptable additional hedges.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lenders require us to comply with covenants and can limit our borrowing capabilities, which may materially limit our ability to use or access capital and our business activities.</w:t>
      </w:r>
    </w:p>
    <w:p>
      <w:pPr>
        <w:spacing w:after="0" w:line="164" w:lineRule="exact"/>
        <w:rPr>
          <w:sz w:val="20"/>
          <w:szCs w:val="20"/>
          <w:color w:val="auto"/>
        </w:rPr>
      </w:pPr>
    </w:p>
    <w:p>
      <w:pPr>
        <w:jc w:val="both"/>
        <w:ind w:right="240" w:firstLine="216"/>
        <w:spacing w:after="0" w:line="256" w:lineRule="auto"/>
        <w:rPr>
          <w:sz w:val="20"/>
          <w:szCs w:val="20"/>
          <w:color w:val="auto"/>
        </w:rPr>
      </w:pPr>
      <w:r>
        <w:rPr>
          <w:rFonts w:ascii="Arial" w:cs="Arial" w:eastAsia="Arial" w:hAnsi="Arial"/>
          <w:sz w:val="12"/>
          <w:szCs w:val="12"/>
          <w:color w:val="auto"/>
        </w:rPr>
        <w:t>Our ability to borrow funds under our 2014 Revolving Credit Facility is limited by our borrowing base, the size of our lenders' commitments, our ability to comply with covenants and a minimum monthly liquidity requirement of $150 million. Currently, the lenders' aggregate commitment under our 2014 Revolving Credit Facility is $1 billion, and we had approximately $850 million in availability, before taking into account the minimum liquidity requirement. We may need to draw on our 2014 Revolving Credit Facility for a portion of our future capital or operating needs.</w:t>
      </w:r>
    </w:p>
    <w:p>
      <w:pPr>
        <w:spacing w:after="0" w:line="135" w:lineRule="exact"/>
        <w:rPr>
          <w:sz w:val="20"/>
          <w:szCs w:val="20"/>
          <w:color w:val="auto"/>
        </w:rPr>
      </w:pPr>
    </w:p>
    <w:p>
      <w:pPr>
        <w:ind w:right="80" w:firstLine="216"/>
        <w:spacing w:after="0" w:line="254" w:lineRule="auto"/>
        <w:rPr>
          <w:sz w:val="20"/>
          <w:szCs w:val="20"/>
          <w:color w:val="auto"/>
        </w:rPr>
      </w:pPr>
      <w:r>
        <w:rPr>
          <w:rFonts w:ascii="Arial" w:cs="Arial" w:eastAsia="Arial" w:hAnsi="Arial"/>
          <w:sz w:val="12"/>
          <w:szCs w:val="12"/>
          <w:color w:val="auto"/>
        </w:rPr>
        <w:t xml:space="preserve">The financial covenants that we must satisfy under our 2014 Revolving Credit Facility include a monthly minimum liquidity test and quarterly first-out leverage, interest expense coverage and first-lien asset coverage ratios. The 2014 Revolving Credit Facility also restricts our ability to monetize assets and issue or purchase debt. Our borrowing base under our 2014 Revolving Credit Facility is redetermined each May 1 and November 1. The borrowing base is determined with reference to a number of factors, including commodity prices and reserves. Restrictions under our 2014 Revolving Credit Facility are further described in </w:t>
      </w:r>
      <w:r>
        <w:rPr>
          <w:rFonts w:ascii="Arial" w:cs="Arial" w:eastAsia="Arial" w:hAnsi="Arial"/>
          <w:sz w:val="12"/>
          <w:szCs w:val="12"/>
          <w:i w:val="1"/>
          <w:iCs w:val="1"/>
          <w:color w:val="auto"/>
        </w:rPr>
        <w:t>Item</w:t>
      </w:r>
      <w:r>
        <w:rPr>
          <w:rFonts w:ascii="Arial" w:cs="Arial" w:eastAsia="Arial" w:hAnsi="Arial"/>
          <w:sz w:val="12"/>
          <w:szCs w:val="12"/>
          <w:color w:val="auto"/>
        </w:rPr>
        <w:t xml:space="preserve"> </w:t>
      </w:r>
      <w:r>
        <w:rPr>
          <w:rFonts w:ascii="Arial" w:cs="Arial" w:eastAsia="Arial" w:hAnsi="Arial"/>
          <w:sz w:val="12"/>
          <w:szCs w:val="12"/>
          <w:i w:val="1"/>
          <w:iCs w:val="1"/>
          <w:color w:val="auto"/>
        </w:rPr>
        <w:t>7 – Management's Discussion and Analysis of Financial Condition and Results of Operations – Liquidity and Capital Resources – Credit Agreements</w:t>
      </w:r>
      <w:r>
        <w:rPr>
          <w:rFonts w:ascii="Arial" w:cs="Arial" w:eastAsia="Arial" w:hAnsi="Arial"/>
          <w:sz w:val="12"/>
          <w:szCs w:val="12"/>
          <w:color w:val="auto"/>
        </w:rPr>
        <w:t>.</w:t>
      </w:r>
    </w:p>
    <w:p>
      <w:pPr>
        <w:spacing w:after="0" w:line="136"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If we were to breach any of the covenants under our 2014 Revolving Credit Facility, our lenders would be permitted to accelerate the principal amount due under the 2014 Revolving Credit Facility and foreclose against the assets securing them. If payment were accelerated, or we failed to make certain payments, under our 2014 Revolving Credit Facility, it would result in a default under our 2016 and 2017 Credit Agreements and outstanding notes and permit acceleration and foreclosure against the assets securing the 2016 and 2017 Credit Agreements and the Second Lien Notes.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b w:val="1"/>
          <w:bCs w:val="1"/>
          <w:i w:val="1"/>
          <w:iCs w:val="1"/>
          <w:color w:val="auto"/>
        </w:rPr>
        <w:t>Low commodity prices, coupled with substantial interest payments, could constrain our liquidity. A significant reduction in our liquidity may force us to take actions that could have significant adverse effects.</w:t>
      </w:r>
    </w:p>
    <w:p>
      <w:pPr>
        <w:spacing w:after="0" w:line="11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2"/>
          <w:szCs w:val="12"/>
          <w:color w:val="auto"/>
        </w:rPr>
        <w:t>The primary source of liquidity and resources to fund our capital program and other obligations is cash flow from operations and borrowings under our 2014 Revolving Credit Facility. As noted above, our borrowing capacity is limited.</w:t>
      </w:r>
    </w:p>
    <w:p>
      <w:pPr>
        <w:spacing w:after="0" w:line="131"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2"/>
          <w:szCs w:val="12"/>
          <w:color w:val="auto"/>
        </w:rPr>
        <w:t>Further price declines would reduce our cash flows from operations and may limit our access to borrowing capacity or cause a default under our financing agreements. Under these conditions, if we were unable to achieve improved liquidity through additional financing, asset monetizations, restructuring of our debt obligations, equity issuances or otherwise, cash flow from operations and expected available credit capacity could be insufficient to meet our commitments. Successfully completing these actions could have significant adverse effects such as higher operating and financing costs, loss of certain tax benefits or dilution of equity. Past refinancing activities have resulted in increases in our annual interest expense and future refinancing activities may have the same effect.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445" w:right="2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We have significant indebtedness that could make us more vulnerable in economic downturns.</w:t>
      </w:r>
    </w:p>
    <w:p>
      <w:pPr>
        <w:spacing w:after="0" w:line="164"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As of December 31, 2017, we had long-term consolidated indebtedness of $5.3 billion. Our financing agreements permit us to incur significant additional indebtedness as well as certain other obligations. We may seek amendments or waivers to the extent we need to incur indebtedness above amounts currently permitted by our financing agreements.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Certain of our outstanding indebtedness bears interest at variable rates and a rise in interest rates will increase our interest expense to the extent we do not purchase interest-rate hedges.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level of indebtedness may have several important consequences, including:</w:t>
      </w:r>
    </w:p>
    <w:p>
      <w:pPr>
        <w:spacing w:after="0" w:line="150"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jeopardizing our ability to execute our business plans;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increasing our vulnerability to adverse changes in our business and in economic and industry conditions;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putting us at a disadvantage against competitors that have lower fixed obligations and more cash flow to devote to their businesses;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limiting our ability to obtain favorable financing for working capital, capital investments and general corporate and other purposes;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limiting our flexibility to operate our business, compete for capital, react to competitive pressures, and engage in certain transactions that might otherwise be beneficial to us.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Subject to certain exceptions, our financing agreements limit:</w:t>
      </w:r>
    </w:p>
    <w:p>
      <w:pPr>
        <w:spacing w:after="0" w:line="150"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incurring additional indebtedness;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repaying junior indebtedness, including our Second Lien Notes and Senior Notes;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making investments;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entering into JVs;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paying dividends and other restricted payments;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creating liens on our assets;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selling assets;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using the proceeds of asset sales for certain purposes;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entering into mergers or acquisitions;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releasing collateral.</w:t>
      </w:r>
    </w:p>
    <w:p>
      <w:pPr>
        <w:spacing w:after="0" w:line="138" w:lineRule="exact"/>
        <w:rPr>
          <w:sz w:val="20"/>
          <w:szCs w:val="20"/>
          <w:color w:val="auto"/>
        </w:rPr>
      </w:pPr>
    </w:p>
    <w:p>
      <w:pPr>
        <w:ind w:right="220" w:firstLine="216"/>
        <w:spacing w:after="0" w:line="283" w:lineRule="auto"/>
        <w:rPr>
          <w:sz w:val="20"/>
          <w:szCs w:val="20"/>
          <w:color w:val="auto"/>
        </w:rPr>
      </w:pPr>
      <w:r>
        <w:rPr>
          <w:rFonts w:ascii="Arial" w:cs="Arial" w:eastAsia="Arial" w:hAnsi="Arial"/>
          <w:sz w:val="12"/>
          <w:szCs w:val="12"/>
          <w:color w:val="auto"/>
        </w:rPr>
        <w:t xml:space="preserve">These limitations are further described in </w:t>
      </w:r>
      <w:r>
        <w:rPr>
          <w:rFonts w:ascii="Arial" w:cs="Arial" w:eastAsia="Arial" w:hAnsi="Arial"/>
          <w:sz w:val="12"/>
          <w:szCs w:val="12"/>
          <w:i w:val="1"/>
          <w:iCs w:val="1"/>
          <w:color w:val="auto"/>
        </w:rPr>
        <w:t>Item 7 – Management's Discussion and Analysis of Financial Condition and Results of Operations – Liquidity and Capital Resources – Credit Agreement; Second Lien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Senior Notes </w:t>
      </w:r>
      <w:r>
        <w:rPr>
          <w:rFonts w:ascii="Arial" w:cs="Arial" w:eastAsia="Arial" w:hAnsi="Arial"/>
          <w:sz w:val="12"/>
          <w:szCs w:val="12"/>
          <w:color w:val="auto"/>
        </w:rPr>
        <w:t>and the documents governing our indebtedness that are filed with the Securities and Exchange Commission (SEC).</w:t>
      </w:r>
    </w:p>
    <w:p>
      <w:pPr>
        <w:spacing w:after="0" w:line="119"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Our ability to meet our debt obligations and other financial needs will depend on our future performance, which is influenced by market, financial, business, economic, regulatory and other factors. If our cash flow is not sufficient to service our debt, we may be required to refinance debt, sell assets or issue additional equity on terms that may be unattractive, if it can be done at all. Further, our failure to comply with the financial and other restrictive covenants relating to our indebtedness could result in a default. Any of these factors could result in a material adverse effect on our business, financial condition, cash flows or results of operations and a default on our indebtedness could result in acceleration of all of our debt and foreclosure against assets constituting collateral for our secured credit facilities and secured notes.</w:t>
      </w:r>
    </w:p>
    <w:p>
      <w:pPr>
        <w:spacing w:after="0" w:line="122"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b w:val="1"/>
          <w:bCs w:val="1"/>
          <w:i w:val="1"/>
          <w:iCs w:val="1"/>
          <w:color w:val="auto"/>
        </w:rPr>
        <w:t>Our business requires substantial capital investments, which may include acquisitions. We may be unable to fund these investments through operating cash flow or obtain any needed additional capital on satisfactory terms or at all, which could lead to a decline in our oil and gas reserves or production. Our capital investment program is also susceptible to risks that could materially affect its implementation.</w:t>
      </w:r>
    </w:p>
    <w:p>
      <w:pPr>
        <w:spacing w:after="0" w:line="128"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The oil and gas industry is capital intensive. We make and expect to increase capital investments for the development and exploration of oil and gas reserves. Our ability to deploy capital as planned depends on a number of variables, including:</w:t>
      </w:r>
    </w:p>
    <w:p>
      <w:pPr>
        <w:spacing w:after="0" w:line="149" w:lineRule="exact"/>
        <w:rPr>
          <w:sz w:val="20"/>
          <w:szCs w:val="20"/>
          <w:color w:val="auto"/>
        </w:rPr>
      </w:pPr>
    </w:p>
    <w:p>
      <w:pPr>
        <w:ind w:left="460" w:hanging="252"/>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commodity prices;</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regulatory and third-party approvals;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40"/>
          </w:cols>
          <w:pgMar w:left="220" w:top="287" w:right="239" w:bottom="1440" w:gutter="0" w:footer="0" w:header="0"/>
        </w:sectPr>
      </w:pPr>
    </w:p>
    <w:bookmarkStart w:id="18" w:name="page19"/>
    <w:bookmarkEnd w:id="18"/>
    <w:p>
      <w:pPr>
        <w:ind w:left="460" w:hanging="252"/>
        <w:spacing w:after="0"/>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timely drill, complete and stimulate wells;</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availability of, and our ability to compete for, capital, equipment, services and personnel; and</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availability of external sources of financing, including from JVs.</w:t>
      </w:r>
    </w:p>
    <w:p>
      <w:pPr>
        <w:spacing w:after="0" w:line="159" w:lineRule="exact"/>
        <w:rPr>
          <w:sz w:val="20"/>
          <w:szCs w:val="20"/>
          <w:color w:val="auto"/>
        </w:rPr>
      </w:pPr>
    </w:p>
    <w:p>
      <w:pPr>
        <w:ind w:right="320" w:firstLine="216"/>
        <w:spacing w:after="0" w:line="262" w:lineRule="auto"/>
        <w:rPr>
          <w:sz w:val="20"/>
          <w:szCs w:val="20"/>
          <w:color w:val="auto"/>
        </w:rPr>
      </w:pPr>
      <w:r>
        <w:rPr>
          <w:rFonts w:ascii="Arial" w:cs="Arial" w:eastAsia="Arial" w:hAnsi="Arial"/>
          <w:sz w:val="12"/>
          <w:szCs w:val="12"/>
          <w:color w:val="auto"/>
        </w:rPr>
        <w:t>Future capital availability may be reduced by (i) our lenders, (ii) our JV partners, (iii) capital markets constraints, (iv) activist funds or investors or (v) poor stock price performance. Because of these and other potential variables, we may be unable to deploy capital in the manner planned, which may negatively impact our production decline and constrain our development or acquisition activities.</w:t>
      </w:r>
    </w:p>
    <w:p>
      <w:pPr>
        <w:spacing w:after="0" w:line="131"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cash flow from operations or external sources of capital are insufficient. We may not be successful in developing, exploring for or acquiring additional reserves. Over the long term, a continuing decline in our production and reserves would reduce our liquidity and ability to satisfy our debt obligations by reducing our cash flow from operations and the value of our assets.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Estimates of proved reserves and related future net cash flows are not precise. The actual quantities of our proved reserves and future net cash flows may prove to be lower than estimated.</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Many uncertainties exist in estimating quantities of proved reserves and related future net cash flows. Our estimates are based on various assumptions, which may ultimately prove to be inaccurate.</w:t>
      </w:r>
    </w:p>
    <w:p>
      <w:pPr>
        <w:spacing w:after="0" w:line="150" w:lineRule="exact"/>
        <w:rPr>
          <w:sz w:val="20"/>
          <w:szCs w:val="20"/>
          <w:color w:val="auto"/>
        </w:rPr>
      </w:pPr>
    </w:p>
    <w:p>
      <w:pPr>
        <w:ind w:right="160" w:firstLine="216"/>
        <w:spacing w:after="0" w:line="256" w:lineRule="auto"/>
        <w:rPr>
          <w:sz w:val="20"/>
          <w:szCs w:val="20"/>
          <w:color w:val="auto"/>
        </w:rPr>
      </w:pPr>
      <w:r>
        <w:rPr>
          <w:rFonts w:ascii="Arial" w:cs="Arial" w:eastAsia="Arial" w:hAnsi="Arial"/>
          <w:sz w:val="12"/>
          <w:szCs w:val="12"/>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a lower amount of capital available to develop these projects within the SEC-mandated five-year limit.</w:t>
      </w:r>
    </w:p>
    <w:p>
      <w:pPr>
        <w:spacing w:after="0" w:line="135"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In addition, our reserves information represents estimates prepared by internal engineers. Although over 80% of our 2017 proved reserve estimates were audited by our independent petroleum engineers, Ryder Scott Company, L.P., we cannot guarantee that the estimates are accurate. Reserves estimation is a partially subjective process of estimating accumulations of oil and natural gas. Estimates of economically recoverable oil and natural gas reserves and of future net cash flows from those reserves depend upon a number of variables and assumptions, including:</w:t>
      </w:r>
    </w:p>
    <w:p>
      <w:pPr>
        <w:spacing w:after="0" w:line="135"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historical production from the area compared with production from similar areas;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quality, quantity and interpretation of available relevant data;</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commodity prices;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production and operating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ad valorem, excise and income taxes;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development costs;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effects of government regulations;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future workover and asset retirement costs.</w:t>
      </w:r>
    </w:p>
    <w:p>
      <w:pPr>
        <w:spacing w:after="0" w:line="150" w:lineRule="exact"/>
        <w:rPr>
          <w:sz w:val="20"/>
          <w:szCs w:val="20"/>
          <w:color w:val="auto"/>
        </w:rPr>
      </w:pPr>
    </w:p>
    <w:p>
      <w:pPr>
        <w:ind w:right="340" w:firstLine="216"/>
        <w:spacing w:after="0" w:line="256" w:lineRule="auto"/>
        <w:rPr>
          <w:sz w:val="20"/>
          <w:szCs w:val="20"/>
          <w:color w:val="auto"/>
        </w:rPr>
      </w:pPr>
      <w:r>
        <w:rPr>
          <w:rFonts w:ascii="Arial" w:cs="Arial" w:eastAsia="Arial" w:hAnsi="Arial"/>
          <w:sz w:val="12"/>
          <w:szCs w:val="12"/>
          <w:color w:val="auto"/>
        </w:rPr>
        <w:t>Changes in these variables and assumptions could require us to make significant negative reserves revisions, which could affect our liquidity by reducing the borrowing base under our 2014 Revolving Credit Facility. In addition, factors such as the availability of capital, geology, government regulations and permits, the effectiveness of development plans and other factors could affect the source or quantity of future reserves additions.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our acquisition and disposition activities could adversely impact our financial condition and results of operations.</w:t>
      </w:r>
    </w:p>
    <w:p>
      <w:pPr>
        <w:spacing w:after="0" w:line="164" w:lineRule="exact"/>
        <w:rPr>
          <w:sz w:val="20"/>
          <w:szCs w:val="20"/>
          <w:color w:val="auto"/>
        </w:rPr>
      </w:pPr>
    </w:p>
    <w:p>
      <w:pPr>
        <w:ind w:right="180" w:firstLine="216"/>
        <w:spacing w:after="0" w:line="256" w:lineRule="auto"/>
        <w:rPr>
          <w:sz w:val="20"/>
          <w:szCs w:val="20"/>
          <w:color w:val="auto"/>
        </w:rPr>
      </w:pPr>
      <w:r>
        <w:rPr>
          <w:rFonts w:ascii="Arial" w:cs="Arial" w:eastAsia="Arial" w:hAnsi="Arial"/>
          <w:sz w:val="12"/>
          <w:szCs w:val="12"/>
          <w:color w:val="auto"/>
        </w:rPr>
        <w:t>Our acquisition activities carry risks that we may: (i) not fully realize anticipated benefits due to less-than-expected reserves or production or changed circumstances; (ii) bear unexpected integration costs or experience other integration difficulties; (iii) experience share price declines based on the market’s evaluation of the activity and (iv) assume liabilities that are greater than anticipated. Furthermore, any acquisitions made in foreign countries would expose us to currency, political, marketing, labor and other risks associated with investments in foreign assets.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60"/>
          </w:cols>
          <w:pgMar w:left="220" w:top="319" w:right="219" w:bottom="1440" w:gutter="0" w:footer="0" w:header="0"/>
        </w:sectPr>
      </w:pPr>
    </w:p>
    <w:bookmarkStart w:id="19" w:name="page20"/>
    <w:bookmarkEnd w:id="19"/>
    <w:p>
      <w:pPr>
        <w:ind w:right="120" w:firstLine="216"/>
        <w:spacing w:after="0" w:line="256" w:lineRule="auto"/>
        <w:rPr>
          <w:sz w:val="20"/>
          <w:szCs w:val="20"/>
          <w:color w:val="auto"/>
        </w:rPr>
      </w:pPr>
      <w:r>
        <w:rPr>
          <w:rFonts w:ascii="Arial" w:cs="Arial" w:eastAsia="Arial" w:hAnsi="Arial"/>
          <w:sz w:val="12"/>
          <w:szCs w:val="12"/>
          <w:color w:val="auto"/>
        </w:rPr>
        <w:t>In connection with our acquisitions, we are often only able to perform limited due diligence. Successful acquisitions of oil and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w:t>
      </w:r>
    </w:p>
    <w:p>
      <w:pPr>
        <w:spacing w:after="0" w:line="135"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Our disposition activities, including JVs, carry risks that we may (i) not be able to realize reasonable prices or rates of return for assets we sell or contribute to JVs; (ii) be required to retain liabilities that are greater than desired or anticipated; (iii) experience increased operating costs and (iv) burden our cash flows and borrowing base if we cannot replace the revenue lost for less than the proceeds from the disposition, or at all.</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b w:val="1"/>
          <w:bCs w:val="1"/>
          <w:i w:val="1"/>
          <w:iCs w:val="1"/>
          <w:color w:val="auto"/>
        </w:rPr>
        <w:t>Our business is highly regulated and government authorities can delay or deny permits and approvals or change legal requirements governing our operations, including hydraulic fracturing and other well stimulation methods, enhanced production techniques and fluid injection or disposal, that could increase costs, restrict operations and delay our implementation of, or cause us to change, our business strategy.</w:t>
      </w:r>
    </w:p>
    <w:p>
      <w:pPr>
        <w:spacing w:after="0" w:line="12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Our operations are subject to complex and stringent federal, state, local and other laws and regulations relating to the exploration and development of our properties, as well as the production, transportation, marketing and sale of our products. Federal, state and local agencies may assert overlapping authority to regulate in these areas. For example, the jurisdiction and enforcement authority of various state agencies have significantly increased with respect to oil and gas activities in recent years, and these agencies have significantly revised their regulations, regulatory interpretations and data collection and plan to issue additional regulations of certain oil and gas activities in 2018. In addition, certain of these federal, state and local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125"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Item 1 – Business – Regulation of the Oil and Natural Gas Industry</w:t>
      </w:r>
      <w:r>
        <w:rPr>
          <w:rFonts w:ascii="Arial" w:cs="Arial" w:eastAsia="Arial" w:hAnsi="Arial"/>
          <w:sz w:val="12"/>
          <w:szCs w:val="12"/>
          <w:color w:val="auto"/>
        </w:rPr>
        <w:t xml:space="preserve"> for a description of laws and regulations that affect our business. To operate in compliance with these laws and regulations, we must obtain and maintain permits, approvals and certificates from federal, state and local government authorities for a variety of activities including siting, drilling, completion, stimulation, operation, maintenance, transportation, storage, marketing, site remediation, decommissioning, abandonment, fluid injection and disposal and water recycling and reuse. Failure to comply may result in the assessment of administrative, civil and/or criminal fines and penalties and liability for noncompliance, costs of corrective action, cleanup or restoration, compensation for personal injury, property damage or other losses, and the imposition of injunctive or declaratory relief restricting or prohibiting certain operations.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134" w:lineRule="exact"/>
        <w:rPr>
          <w:sz w:val="20"/>
          <w:szCs w:val="20"/>
          <w:color w:val="auto"/>
        </w:rPr>
      </w:pPr>
    </w:p>
    <w:p>
      <w:pPr>
        <w:ind w:right="160" w:firstLine="216"/>
        <w:spacing w:after="0" w:line="256" w:lineRule="auto"/>
        <w:rPr>
          <w:sz w:val="20"/>
          <w:szCs w:val="20"/>
          <w:color w:val="auto"/>
        </w:rPr>
      </w:pPr>
      <w:r>
        <w:rPr>
          <w:rFonts w:ascii="Arial" w:cs="Arial" w:eastAsia="Arial" w:hAnsi="Arial"/>
          <w:sz w:val="12"/>
          <w:szCs w:val="12"/>
          <w:color w:val="auto"/>
        </w:rPr>
        <w:t>Our customers, including refineries and utilities, and the businesses that transport our products to customers are also highly regulated. For example, federal and state pipeline safety agencies have adopted or proposed regulations to expand their jurisdiction to include more gas and liquid gathering lines and pipelines and to impose additional mechanical integrity requirements. The state has adopted additional regulations on the storage of natural gas that could affect the demand for or availability of such storage, increase seasonal volatility, or otherwise affect the prices we receive from customers.</w:t>
      </w:r>
    </w:p>
    <w:p>
      <w:pPr>
        <w:spacing w:after="0" w:line="135" w:lineRule="exact"/>
        <w:rPr>
          <w:sz w:val="20"/>
          <w:szCs w:val="20"/>
          <w:color w:val="auto"/>
        </w:rPr>
      </w:pPr>
    </w:p>
    <w:p>
      <w:pPr>
        <w:ind w:right="560" w:firstLine="216"/>
        <w:spacing w:after="0" w:line="262" w:lineRule="auto"/>
        <w:rPr>
          <w:sz w:val="20"/>
          <w:szCs w:val="20"/>
          <w:color w:val="auto"/>
        </w:rPr>
      </w:pPr>
      <w:r>
        <w:rPr>
          <w:rFonts w:ascii="Arial" w:cs="Arial" w:eastAsia="Arial" w:hAnsi="Arial"/>
          <w:sz w:val="12"/>
          <w:szCs w:val="12"/>
          <w:color w:val="auto"/>
        </w:rPr>
        <w:t>Costs of compliance may increase and operational delays or restrictions may occur as existing laws and regulations are revised or reinterpreted, or as new laws and regulations become applicable to our operations, each of which has occurred in the past.</w:t>
      </w:r>
    </w:p>
    <w:p>
      <w:pPr>
        <w:spacing w:after="0" w:line="131"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Government authorities and other organizations continue to study health, safety and environmental aspects of oil and gas operations, including those related to air, soil and water quality, ground movement or seismicity and natural resources. Government authorities have also adopted or proposed new or more stringent requirements for permitting, well construction and public disclosure or environmental review of, or restrictions on, oil and gas operations. Such requirements or associated litigation could result in potentially significant added costs to comply, delay or curtail our exploration, development, fluid injection and disposal or production activities, preclude us from drilling, completing or stimulating wells, or otherwise restrict our ability to access and develop mineral rights, any of which could have an adverse effect on our expected production, other operations and financial condition.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445" w:right="199" w:bottom="1440" w:gutter="0" w:footer="0" w:header="0"/>
        </w:sectPr>
      </w:pPr>
    </w:p>
    <w:bookmarkStart w:id="20" w:name="page21"/>
    <w:bookmarkEnd w:id="20"/>
    <w:p>
      <w:pPr>
        <w:ind w:left="200"/>
        <w:spacing w:after="0"/>
        <w:rPr>
          <w:sz w:val="20"/>
          <w:szCs w:val="20"/>
          <w:color w:val="auto"/>
        </w:rPr>
      </w:pPr>
      <w:r>
        <w:rPr>
          <w:rFonts w:ascii="Arial" w:cs="Arial" w:eastAsia="Arial" w:hAnsi="Arial"/>
          <w:sz w:val="12"/>
          <w:szCs w:val="12"/>
          <w:color w:val="auto"/>
        </w:rPr>
        <w:t xml:space="preserve">For recent examples relating to well stimulation, water management and fluid injection see </w:t>
      </w:r>
      <w:r>
        <w:rPr>
          <w:rFonts w:ascii="Arial" w:cs="Arial" w:eastAsia="Arial" w:hAnsi="Arial"/>
          <w:sz w:val="12"/>
          <w:szCs w:val="12"/>
          <w:i w:val="1"/>
          <w:iCs w:val="1"/>
          <w:color w:val="auto"/>
        </w:rPr>
        <w:t>Item 1 - Business - Regulation of the Oil and Natural Gas Industry</w:t>
      </w:r>
      <w:r>
        <w:rPr>
          <w:rFonts w:ascii="Arial" w:cs="Arial" w:eastAsia="Arial" w:hAnsi="Arial"/>
          <w:sz w:val="12"/>
          <w:szCs w:val="12"/>
          <w:color w:val="auto"/>
        </w:rPr>
        <w:t>.</w:t>
      </w:r>
    </w:p>
    <w:p>
      <w:pPr>
        <w:spacing w:after="0" w:line="162" w:lineRule="exact"/>
        <w:rPr>
          <w:sz w:val="20"/>
          <w:szCs w:val="20"/>
          <w:color w:val="auto"/>
        </w:rPr>
      </w:pPr>
    </w:p>
    <w:p>
      <w:pPr>
        <w:jc w:val="both"/>
        <w:ind w:right="400" w:firstLine="216"/>
        <w:spacing w:after="0" w:line="256" w:lineRule="auto"/>
        <w:rPr>
          <w:sz w:val="20"/>
          <w:szCs w:val="20"/>
          <w:color w:val="auto"/>
        </w:rPr>
      </w:pPr>
      <w:r>
        <w:rPr>
          <w:rFonts w:ascii="Arial" w:cs="Arial" w:eastAsia="Arial" w:hAnsi="Arial"/>
          <w:sz w:val="12"/>
          <w:szCs w:val="12"/>
          <w:color w:val="auto"/>
        </w:rPr>
        <w:t>Changes in elected officials could result in different approaches to the regulation of the oil and gas industry. In 2018, California will elect a new governor who will take office next year. Representatives in the California legislature will change. We cannot predict the actions the future governor or legislature may take with respect to the regulation of our business, the oil and gas industry or the state's economic fiscal or environmental policies.</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b w:val="1"/>
          <w:bCs w:val="1"/>
          <w:i w:val="1"/>
          <w:iCs w:val="1"/>
          <w:color w:val="auto"/>
        </w:rPr>
        <w:t>Drilling for and producing oil and natural gas carry significant operational and financial risk and uncertainty. We may not drill wells at the times we scheduled, or at all, and wells we do drill may not yield production in economic quantities or generate our expected VCI.</w:t>
      </w:r>
    </w:p>
    <w:p>
      <w:pPr>
        <w:spacing w:after="0" w:line="117" w:lineRule="exact"/>
        <w:rPr>
          <w:sz w:val="20"/>
          <w:szCs w:val="20"/>
          <w:color w:val="auto"/>
        </w:rPr>
      </w:pPr>
    </w:p>
    <w:p>
      <w:pPr>
        <w:ind w:right="40" w:firstLine="216"/>
        <w:spacing w:after="0" w:line="252" w:lineRule="auto"/>
        <w:rPr>
          <w:sz w:val="20"/>
          <w:szCs w:val="20"/>
          <w:color w:val="auto"/>
        </w:rPr>
      </w:pPr>
      <w:r>
        <w:rPr>
          <w:rFonts w:ascii="Arial" w:cs="Arial" w:eastAsia="Arial" w:hAnsi="Arial"/>
          <w:sz w:val="12"/>
          <w:szCs w:val="12"/>
          <w:color w:val="auto"/>
        </w:rPr>
        <w:t>Our decisions to explore, develop, purchase or otherwise exploit prospects or properties depend in part on the evaluation of geophysical, geologic, engineering, production and other technical data and processes. The analysis of these factors is often inconclusive or subject to varying interpretations. Our decisions and ultimate profitability are also affected by commodity prices, the availability of capital, regulatory approvals, available transportation and storage capacity, political resistance and other factors. Our cost of drilling, completing, stimulating, equipping, operating, maintaining and abandoning wells is also often uncertain. As we enter into more JVs, our ability to ramp up and deploy internal capital may be constrained. Our production cost per barrel is higher than that of many of our peers due to the extraction methods we use, the large number of wells we operate and the effects of our PSC contracts. Overruns in budgeted investments are a common risk that can make a particular project uneconomic or less economic than forecast. We bear the risks of equipment failures, accidents, environmental hazards, adverse weather conditions, permitting or construction delays, title disputes, surface access disputes, disappointing drilling results or reservoir performance, including production response to improved recovery or enhanced recovery efforts, and other associated risks. The VCI metric we use to allocate capital is based on estimates of future cash flows and capital investment, and therefore our projects may not generate the expected results.</w:t>
      </w:r>
    </w:p>
    <w:p>
      <w:pPr>
        <w:spacing w:after="0" w:line="13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We have specifically identified locations for drilling over the next several years, which represent a significant part of our long-term growth strategy. Our actual drilling activities may materially differ from those presently identified. If future drilling results in these projects do not establish sufficient reserves to achieve an economic return, we may curtail drilling or development of these projects. We make assumptions about the consistency and accuracy of data when we identify these locations that may prove inaccurate. We cannot guarantee that these exploration drilling locations or any other drilling locations we have identified will ever be drilled or if we will be able to produce crude oil or natural gas from these drilling locations. In addition, some of our leases could expire if we do not establish production in the leased acreage. The combined net acreage covered by leases expiring in the next three years represented approximately 16% of our total net undeveloped acreage at December 31, 2017.</w:t>
      </w:r>
    </w:p>
    <w:p>
      <w:pPr>
        <w:spacing w:after="0" w:line="123"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b w:val="1"/>
          <w:bCs w:val="1"/>
          <w:i w:val="1"/>
          <w:iCs w:val="1"/>
          <w:color w:val="auto"/>
        </w:rPr>
        <w:t>Part of our strategy involves exploratory drilling, including drilling in new or emerging plays. Our drilling results are uncertain, and the value of our undeveloped acreage may decline if drilling is unsuccessful.</w:t>
      </w:r>
    </w:p>
    <w:p>
      <w:pPr>
        <w:spacing w:after="0" w:line="117"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The risk profile for our exploration drilling locations is higher than for other locations because we have less geologic and production data and drilling history, in particular those exploration drilling locations in unconventional reservoirs. We may not find commercial amounts of oil or natural gas, in which case the value of our undeveloped acreage may decline and could be impaired. In 2017, we drilled two exploration wells both of which were dry. We may increase the proportion of our drilling in new or emerging plays over time.</w:t>
      </w:r>
    </w:p>
    <w:p>
      <w:pPr>
        <w:spacing w:after="0" w:line="135"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One of our important assets is our acreage in the Monterey shale play in the San Joaquin, Los Angeles and Ventura basins. The geology of the Monterey shale is highly complex and not uniform due to localized and varied faulting and changes in structure and rock characteristics. As a result, it differs from other shale plays that can be developed in part on the basis of their uniformity. Instead, individual Monterey shale drilling sites may need to be more fully understood and may require a more precise development approach, which could affect the timing, cost and our ability to develop this asset.</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60"/>
          </w:cols>
          <w:pgMar w:left="220" w:top="289" w:right="2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i w:val="1"/>
          <w:iCs w:val="1"/>
          <w:color w:val="auto"/>
        </w:rPr>
        <w:t>Our commodity-price risk-management activities may prevent us from fully benefiting from price increases and may expose us to other risks.</w:t>
      </w:r>
    </w:p>
    <w:p>
      <w:pPr>
        <w:spacing w:after="0" w:line="164"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Our current commodity-price risk-management activities may prevent us from realizing the full benefits of price increases above the levels determined under the derivative instruments we use to manage price risk. In addition, our commodity-price risk-management activities may expose us to the risk of financial loss in certain circumstances, including instances in which the counterparties to our hedging or other price-risk management contracts fail to perform under those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Adverse tax law changes may affect our operations.</w:t>
      </w:r>
    </w:p>
    <w:p>
      <w:pPr>
        <w:spacing w:after="0" w:line="164" w:lineRule="exact"/>
        <w:rPr>
          <w:sz w:val="20"/>
          <w:szCs w:val="20"/>
          <w:color w:val="auto"/>
        </w:rPr>
      </w:pPr>
    </w:p>
    <w:p>
      <w:pPr>
        <w:ind w:right="180" w:firstLine="216"/>
        <w:spacing w:after="0" w:line="254" w:lineRule="auto"/>
        <w:rPr>
          <w:sz w:val="20"/>
          <w:szCs w:val="20"/>
          <w:color w:val="auto"/>
        </w:rPr>
      </w:pPr>
      <w:r>
        <w:rPr>
          <w:rFonts w:ascii="Arial" w:cs="Arial" w:eastAsia="Arial" w:hAnsi="Arial"/>
          <w:sz w:val="12"/>
          <w:szCs w:val="12"/>
          <w:color w:val="auto"/>
        </w:rPr>
        <w:t>In California, there have been proposals for new taxes on oil and gas production. Although the proposals have not become law, campaigns by various interest groups could lead to future additional oil and gas severance or other taxes such as extending the state's retail sales tax to many services used in business. In addition to the existing state corporate tax rate of 8.84%, California state lawmakers recently proposed a 10% surcharge on companies with taxable income of over $1 million. The imposition of such taxes could significantly reduce our profit margins and cash flow and could ultimately reduce our capital investments and growth plans.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producing properties are located in California, making us vulnerable to risks associated with having operations concentrated in this geographic area.</w:t>
      </w:r>
    </w:p>
    <w:p>
      <w:pPr>
        <w:spacing w:after="0" w:line="164"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Our operations are concentrated in California. Because of this geographic concentration, the success and profitability of our operations may be disproportionately exposed to the effect of regional conditions. These include local price fluctuations, changes in state or regional laws and regulations affecting our operations and other regional supply and demand factors, including gathering, pipeline, transportation and storage capacity constraints, limited potential customers, infrastructure capacity and availability of rigs, equipment, oil field services, supplies and labor. The concentration of our operations in California and limited local storage options also increase our exposure to events such as natural disasters, mechanical failures, industrial accidents or labor difficulties. Any one of these events has the potential to cause producing wells to be shut-in, delay operations and growth plans, decrease cash flows, increase operating and capital costs, prevent development of lease inventory before expiration and limit access to markets for our products.</w:t>
      </w:r>
    </w:p>
    <w:p>
      <w:pPr>
        <w:spacing w:after="0" w:line="123" w:lineRule="exact"/>
        <w:rPr>
          <w:sz w:val="20"/>
          <w:szCs w:val="20"/>
          <w:color w:val="auto"/>
        </w:rPr>
      </w:pPr>
    </w:p>
    <w:p>
      <w:pPr>
        <w:ind w:right="300"/>
        <w:spacing w:after="0" w:line="286" w:lineRule="auto"/>
        <w:rPr>
          <w:sz w:val="20"/>
          <w:szCs w:val="20"/>
          <w:color w:val="auto"/>
        </w:rPr>
      </w:pPr>
      <w:r>
        <w:rPr>
          <w:rFonts w:ascii="Arial" w:cs="Arial" w:eastAsia="Arial" w:hAnsi="Arial"/>
          <w:sz w:val="12"/>
          <w:szCs w:val="12"/>
          <w:b w:val="1"/>
          <w:bCs w:val="1"/>
          <w:i w:val="1"/>
          <w:iCs w:val="1"/>
          <w:color w:val="auto"/>
        </w:rPr>
        <w:t>The enactment of derivatives legislation, and the promulgation of regulations pursuant thereto, could have an adverse effect on our ability to use derivative instruments to reduce the effect of risks associated with our business.</w:t>
      </w:r>
    </w:p>
    <w:p>
      <w:pPr>
        <w:spacing w:after="0" w:line="117" w:lineRule="exact"/>
        <w:rPr>
          <w:sz w:val="20"/>
          <w:szCs w:val="20"/>
          <w:color w:val="auto"/>
        </w:rPr>
      </w:pPr>
    </w:p>
    <w:p>
      <w:pPr>
        <w:ind w:right="240" w:firstLine="216"/>
        <w:spacing w:after="0" w:line="254" w:lineRule="auto"/>
        <w:rPr>
          <w:sz w:val="20"/>
          <w:szCs w:val="20"/>
          <w:color w:val="auto"/>
        </w:rPr>
      </w:pPr>
      <w:r>
        <w:rPr>
          <w:rFonts w:ascii="Arial" w:cs="Arial" w:eastAsia="Arial" w:hAnsi="Arial"/>
          <w:sz w:val="12"/>
          <w:szCs w:val="12"/>
          <w:color w:val="auto"/>
        </w:rPr>
        <w:t>The Dodd-Frank Wall Street Reform and Consumer Protection Act (the Dodd-Frank Act), enacted in 2010, establishes federal oversight and regulation of the over-the-counter (OTC) derivatives market and entities, like us, that participate in that market. Among other things, the Dodd-Frank Act required the U.S. Commodity Futures Trading Commission to promulgate a range of rules and regulations applicable to OTC derivatives transactions, and these rules may affect both the size of positions that we may enter and the ability or willingness of counterparties to trade opposite us, potentially increasing costs for transactions. Moreover, such changes could materially reduce our hedging opportunities which could adversely affect our revenues and cash flow during periods of low commodity prices.</w:t>
      </w:r>
    </w:p>
    <w:p>
      <w:pPr>
        <w:spacing w:after="0" w:line="136" w:lineRule="exact"/>
        <w:rPr>
          <w:sz w:val="20"/>
          <w:szCs w:val="20"/>
          <w:color w:val="auto"/>
        </w:rPr>
      </w:pPr>
    </w:p>
    <w:p>
      <w:pPr>
        <w:ind w:right="300" w:firstLine="216"/>
        <w:spacing w:after="0" w:line="256" w:lineRule="auto"/>
        <w:rPr>
          <w:sz w:val="20"/>
          <w:szCs w:val="20"/>
          <w:color w:val="auto"/>
        </w:rPr>
      </w:pPr>
      <w:r>
        <w:rPr>
          <w:rFonts w:ascii="Arial" w:cs="Arial" w:eastAsia="Arial" w:hAnsi="Arial"/>
          <w:sz w:val="12"/>
          <w:szCs w:val="12"/>
          <w:color w:val="auto"/>
        </w:rPr>
        <w:t>In addition, the European Union and other non-U.S. jurisdictions are implementing regulations with respect to the derivatives market. To the extent we transact with counterparties in foreign jurisdictions or counterparties with other businesses that subject them to regulation in foreign jurisdictions, we may become subject to or otherwise impacted by such regulations. At this time, the impact of such regulations is not clear.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287"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i w:val="1"/>
          <w:iCs w:val="1"/>
          <w:color w:val="auto"/>
        </w:rPr>
        <w:t>Concerns about climate change and other air quality issues may affect our operations or results.</w:t>
      </w:r>
    </w:p>
    <w:p>
      <w:pPr>
        <w:spacing w:after="0" w:line="164"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 xml:space="preserve">Concerns about climate change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may increase our operating costs and render certain wells or projects uneconomic, and potentially lower the value of our reserves and other assets. As these requirements become more stringent, we may be unable to implement them in a cost-effective manner. To the extent financial markets view climate change and GHG emissions as a financial risk, this could adversely impact our cost of, and access to, capital. Both the EPA and California have implemented laws, regulations and policies that seek to reduce GHG emissions as discussed in </w:t>
      </w:r>
      <w:r>
        <w:rPr>
          <w:rFonts w:ascii="Arial" w:cs="Arial" w:eastAsia="Arial" w:hAnsi="Arial"/>
          <w:sz w:val="12"/>
          <w:szCs w:val="12"/>
          <w:i w:val="1"/>
          <w:iCs w:val="1"/>
          <w:color w:val="auto"/>
        </w:rPr>
        <w:t>Item 1 – Business – Regulation of the Oil and Natural Gas Industry</w:t>
      </w:r>
      <w:r>
        <w:rPr>
          <w:rFonts w:ascii="Arial" w:cs="Arial" w:eastAsia="Arial" w:hAnsi="Arial"/>
          <w:sz w:val="12"/>
          <w:szCs w:val="12"/>
          <w:color w:val="auto"/>
        </w:rPr>
        <w:t>. In 2017, we incurred costs of approximately $ 27 million for mandatory GHG emissions allowances in California, and costs of such allowances per metric ton of GHG emissions are expected to increase in the future as CARB tightens program requirements or as the minimum state auction price of such allowances is increased.</w:t>
      </w:r>
    </w:p>
    <w:p>
      <w:pPr>
        <w:spacing w:after="0" w:line="139" w:lineRule="exact"/>
        <w:rPr>
          <w:sz w:val="20"/>
          <w:szCs w:val="20"/>
          <w:color w:val="auto"/>
        </w:rPr>
      </w:pPr>
    </w:p>
    <w:p>
      <w:pPr>
        <w:ind w:right="80" w:firstLine="216"/>
        <w:spacing w:after="0" w:line="290" w:lineRule="auto"/>
        <w:rPr>
          <w:sz w:val="20"/>
          <w:szCs w:val="20"/>
          <w:color w:val="auto"/>
        </w:rPr>
      </w:pPr>
      <w:r>
        <w:rPr>
          <w:rFonts w:ascii="Arial" w:cs="Arial" w:eastAsia="Arial" w:hAnsi="Arial"/>
          <w:sz w:val="11"/>
          <w:szCs w:val="11"/>
          <w:color w:val="auto"/>
        </w:rPr>
        <w:t>In addition, other current and proposed international agreements and federal and state laws, regulations and policies seek to restrict or reduce the use of petroleum products in transportation fuels, electricity generation and other applications, prohibit future use of certain vehicles and equipment that require petroleum fuels, impose additional taxes and costs on producers and consumers of petroleum products and require or subsidize the use of renewable energy. Various claimants, including certain municipalities, have also filed litigation alleging that energy producers are liable for conditions the claimants attribute to climate change.</w:t>
      </w:r>
    </w:p>
    <w:p>
      <w:pPr>
        <w:spacing w:after="0" w:line="118"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Governmental authorities can impose administrative, civil and/or criminal penalties for non-compliance with air permits or other requirements of the federal Clean Air Act and associated state laws and regulations. In addition, California air quality laws and regulations, particularly in southern and central California where most of our operations are located, are in most instances more stringent than analogous federal laws and regulations. For example, the San Joaquin Valley will be required to adopt more rigorous attainment plans under the Clean Air Act to comply with federal ozone and particulate matter standards, and these efforts could affect our activities in the region and our ability to permit new or modified operations.</w:t>
      </w:r>
    </w:p>
    <w:p>
      <w:pPr>
        <w:spacing w:after="0" w:line="122"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b w:val="1"/>
          <w:bCs w:val="1"/>
          <w:i w:val="1"/>
          <w:iCs w:val="1"/>
          <w:color w:val="auto"/>
        </w:rPr>
        <w:t>We may incur substantial losses and be subject to substantial liability claims as a result of catastrophic events. We may not be insured for, or our insurance may be inadequate to protect us against, these risks.</w:t>
      </w:r>
    </w:p>
    <w:p>
      <w:pPr>
        <w:spacing w:after="0" w:line="117"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We are not fully insured against all risks. Our oil and gas exploration and production activities are subject to risks such as fires, explosions, releases, discharges, equipment or information technology failures and industrial accidents. In addition, catastrophic events such as earthquakes, floods, mudslides, wildfires or droughts, cyber or terrorist attacks and other events may cause operations to cease or be curtailed and may adversely affect our business, workforce and the communities in which we operate. We may be unable to obtain, or may elect not to obtain, insurance for certain risks if we believe that the cost of available insurance is excessive relative to the risks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Information technology failures and cyber attacks could affect us significantly.</w:t>
      </w:r>
    </w:p>
    <w:p>
      <w:pPr>
        <w:spacing w:after="0" w:line="164" w:lineRule="exact"/>
        <w:rPr>
          <w:sz w:val="20"/>
          <w:szCs w:val="20"/>
          <w:color w:val="auto"/>
        </w:rPr>
      </w:pPr>
    </w:p>
    <w:p>
      <w:pPr>
        <w:ind w:right="180" w:firstLine="216"/>
        <w:spacing w:after="0" w:line="256" w:lineRule="auto"/>
        <w:rPr>
          <w:sz w:val="20"/>
          <w:szCs w:val="20"/>
          <w:color w:val="auto"/>
        </w:rPr>
      </w:pPr>
      <w:r>
        <w:rPr>
          <w:rFonts w:ascii="Arial" w:cs="Arial" w:eastAsia="Arial" w:hAnsi="Arial"/>
          <w:sz w:val="12"/>
          <w:szCs w:val="12"/>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Cyber attacks on businesses have escalated in recent years. If we were to experience an attack and our security measures failed, the potential consequences to our business and the communities in which we operate could be significant.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431"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We are exposed to certain risks related to our separation from Occidental in 2014.</w:t>
      </w:r>
    </w:p>
    <w:p>
      <w:pPr>
        <w:spacing w:after="0" w:line="16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In connection with our separation from Occidental, we entered into contracts that allocate risks and liabilities (including tax liabilities) between Occidental and ourselves. These contracts were not made on an arm’s length basis and include mutual indemnity obligations. Indemnity payments that we may be required to provide Occidental may be significant and could adversely impact our business. Similarly, third parties could also seek to hold us responsible for liabilities that Occidental has agreed to retain and the indemnity from Occidental may not be sufficient or paid timely.</w:t>
      </w:r>
    </w:p>
    <w:p>
      <w:pPr>
        <w:spacing w:after="0" w:line="121"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have no unresolved SEC staff comments at December 31, 2017.</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431" w:right="199" w:bottom="1440" w:gutter="0" w:footer="0" w:header="0"/>
        </w:sectPr>
      </w:pPr>
    </w:p>
    <w:bookmarkStart w:id="24" w:name="page25"/>
    <w:bookmarkEnd w:id="24"/>
    <w:p>
      <w:pPr>
        <w:spacing w:after="0"/>
        <w:tabs>
          <w:tab w:leader="none" w:pos="6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Areas of Operation</w:t>
      </w:r>
    </w:p>
    <w:p>
      <w:pPr>
        <w:spacing w:after="0" w:line="200" w:lineRule="exact"/>
        <w:rPr>
          <w:sz w:val="20"/>
          <w:szCs w:val="20"/>
          <w:color w:val="auto"/>
        </w:rPr>
      </w:pPr>
    </w:p>
    <w:p>
      <w:pPr>
        <w:jc w:val="both"/>
        <w:ind w:right="20" w:firstLine="216"/>
        <w:spacing w:after="0" w:line="273" w:lineRule="auto"/>
        <w:rPr>
          <w:sz w:val="20"/>
          <w:szCs w:val="20"/>
          <w:color w:val="auto"/>
        </w:rPr>
      </w:pPr>
      <w:r>
        <w:rPr>
          <w:rFonts w:ascii="Arial" w:cs="Arial" w:eastAsia="Arial" w:hAnsi="Arial"/>
          <w:sz w:val="11"/>
          <w:szCs w:val="11"/>
          <w:color w:val="auto"/>
        </w:rPr>
        <w:t>California is one of the most prolific oil and natural gas producing regions in the world and is currently the fifth largest oil producing state in the nation. According to DOGGR information through 2016, cumulative California production from all four basins in which we operate is 36 billion barrels of oil equivalent (BBoe), including approximately 20 BBoe in the San Joaquin basin, 11 BBoe in the Los Angeles basin, 3 BBoe in the Ventura basin and 2 BBoe in the Sacramento basin. Additionally, Kern County has been one of the top two largest oil producing counties in the lower 48 states for a number of years. Our operations include 135 fields with 8,636 gross producing wells as of December 31, 2017. We believe we are the largest private oil and natural gas mineral acreage holder in California, with interests in approximately 2.3 million net mineral acres.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Approximately 60% of our total net mineral interest position is held in fee and 15% is held by production. A majority of our interests are in producing properties located in reservoirs characterized by what we believe to be long-lived production profiles with repeatable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106680</wp:posOffset>
            </wp:positionV>
            <wp:extent cx="2750820" cy="3505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082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00"/>
          </w:cols>
          <w:pgMar w:left="220" w:top="287" w:right="279" w:bottom="1440" w:gutter="0" w:footer="0" w:header="0"/>
        </w:sectPr>
      </w:pPr>
    </w:p>
    <w:bookmarkStart w:id="25" w:name="page26"/>
    <w:bookmarkEnd w:id="25"/>
    <w:p>
      <w:pPr>
        <w:ind w:right="60" w:firstLine="216"/>
        <w:spacing w:after="0" w:line="254" w:lineRule="auto"/>
        <w:rPr>
          <w:sz w:val="20"/>
          <w:szCs w:val="20"/>
          <w:color w:val="auto"/>
        </w:rPr>
      </w:pPr>
      <w:r>
        <w:rPr>
          <w:rFonts w:ascii="Arial" w:cs="Arial" w:eastAsia="Arial" w:hAnsi="Arial"/>
          <w:sz w:val="12"/>
          <w:szCs w:val="12"/>
          <w:color w:val="auto"/>
        </w:rPr>
        <w:t xml:space="preserve">In 2017, we produced 47 million barrels of oil equivalent (MMBoe). We added 56 MMBoe in proved reserves in 2017, comprising 22 MMBoe from positive performance revisions and 34 MMBoe from extensions and discoveries, representing a 119% organic reserves replacement ratio. This was accomplished with a $371 million capital program, of which $362 million was directed to development activities. In addition, positive price-related revisions added another 49 MMBoe of reserves. For further information on our reserves replacement ratio, see </w:t>
      </w:r>
      <w:r>
        <w:rPr>
          <w:rFonts w:ascii="Arial" w:cs="Arial" w:eastAsia="Arial" w:hAnsi="Arial"/>
          <w:sz w:val="12"/>
          <w:szCs w:val="12"/>
          <w:i w:val="1"/>
          <w:iCs w:val="1"/>
          <w:color w:val="auto"/>
        </w:rPr>
        <w:t>Our Reserves – PV-10, Standardized Measure and Reserves Replacement Ratio</w:t>
      </w:r>
      <w:r>
        <w:rPr>
          <w:rFonts w:ascii="Arial" w:cs="Arial" w:eastAsia="Arial" w:hAnsi="Arial"/>
          <w:sz w:val="12"/>
          <w:szCs w:val="12"/>
          <w:color w:val="auto"/>
        </w:rPr>
        <w:t xml:space="preserve"> section below.</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San Joaquin Basin</w:t>
      </w:r>
    </w:p>
    <w:p>
      <w:pPr>
        <w:spacing w:after="0" w:line="198" w:lineRule="exact"/>
        <w:rPr>
          <w:sz w:val="20"/>
          <w:szCs w:val="20"/>
          <w:color w:val="auto"/>
        </w:rPr>
      </w:pPr>
    </w:p>
    <w:p>
      <w:pPr>
        <w:ind w:right="140" w:firstLine="216"/>
        <w:spacing w:after="0" w:line="256" w:lineRule="auto"/>
        <w:rPr>
          <w:sz w:val="20"/>
          <w:szCs w:val="20"/>
          <w:color w:val="auto"/>
        </w:rPr>
      </w:pPr>
      <w:r>
        <w:rPr>
          <w:rFonts w:ascii="Arial" w:cs="Arial" w:eastAsia="Arial" w:hAnsi="Arial"/>
          <w:sz w:val="12"/>
          <w:szCs w:val="12"/>
          <w:color w:val="auto"/>
        </w:rPr>
        <w:t>We actively operate and are developing 46 fields in this inland basin in the southern part of California's central valley. Our assets consist of conventional primary, IOR, EOR and unconventional project types with approximately 1.5 million net mineral acres, approximately 66% of which we hold in fee and another 7% is held by production. Approximately 68% of our estimated proved reserves as of December 31, 2017 were located in, and 70% of our average daily net production for the year ended December 31, 2017 came from, the San Joaquin basin.</w:t>
      </w:r>
    </w:p>
    <w:p>
      <w:pPr>
        <w:spacing w:after="0" w:line="171"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According to DOGGR, approximately 75% of California’s daily oil production for 2016 was produced in the San Joaquin basin. Commercial petroleum development began in the basin in the 1800s. Rapid discovery of many of the largest oil accumulations followed during the next several decades, including the Elk Hills field. We have been redeveloping this field and building our expertise to use in other fields across the state. According to the U.S. Geological Survey as of 2012, the San Joaquin basin contained three of the 10 largest oil fields in the United States based on cumulative production and proved reserves. We have been successfully developing steamfloods in our Kern Front operations, which are located next to the giant Kern River field, and in the northwest portion of the Lost Hills field. Beginning in the 1980s, reserves additions occurred in the Monterey formation on the west side of the basin and in our new conventional field discoveries. The basin contains multiple stacked formations throughout its areal extent, and we believe that the San Joaquin basin provides an appealing inventory of existing field re-development opportunities, as well as new play discovery and unconventional play potential. The complex stratigraphy and structure in the San Joaquin basin has allowed continuing discoveries of stratigraphic and structural traps. We believe our extensive 3D seismic library, which covers nearly 3,000 square miles in the San Joaquin basin, including 50% of our acreage, will give us a competitive advantage in further exploring this basin.</w:t>
      </w:r>
    </w:p>
    <w:p>
      <w:pPr>
        <w:spacing w:after="0" w:line="174" w:lineRule="exact"/>
        <w:rPr>
          <w:sz w:val="20"/>
          <w:szCs w:val="20"/>
          <w:color w:val="auto"/>
        </w:rPr>
      </w:pPr>
    </w:p>
    <w:p>
      <w:pPr>
        <w:ind w:right="140" w:firstLine="216"/>
        <w:spacing w:after="0" w:line="262" w:lineRule="auto"/>
        <w:rPr>
          <w:sz w:val="20"/>
          <w:szCs w:val="20"/>
          <w:color w:val="auto"/>
        </w:rPr>
      </w:pPr>
      <w:r>
        <w:rPr>
          <w:rFonts w:ascii="Arial" w:cs="Arial" w:eastAsia="Arial" w:hAnsi="Arial"/>
          <w:sz w:val="12"/>
          <w:szCs w:val="12"/>
          <w:color w:val="auto"/>
        </w:rPr>
        <w:t>We have established a large ownership interest in several of the largest existing oil fields in the San Joaquin basin, including Elk Hills, our largest producing field, as well as the Buena Vista and Kettleman North Dome fields.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Elk Hills</w:t>
      </w:r>
    </w:p>
    <w:p>
      <w:pPr>
        <w:spacing w:after="0" w:line="198"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Elk Hills is one of the largest fields in the continental United States based on proved reserves and has produced approximately 2.0 BBoe to date. During the year ended December 31, 2017, we produced 48 MBoe/d on average from the Elk Hills properties, or approximately 37% of our total average daily production. Of our total Elk Hills production, 67% is liquids. We also operate efficient natural gas processing facilities, including a state-of-the-art cryogenic gas plant, with a combined gas processing capacity of over 520 MMcf/d. Additionally, one of our subsidiaries generates sufficient electricity to operate the field and sells the excess power to the grid and to utilities. A portion of the excess power is subject to a five-year contract with a local utility, which includes a minimum capacity payment, that provides rates that are better than those that could be received from sales to the grid. Our operations at Elk Hills include a state-of-the-art central control facility and remote automation control on over 95% of our wells in this field.</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Los Angeles Basin</w:t>
      </w:r>
    </w:p>
    <w:p>
      <w:pPr>
        <w:spacing w:after="0" w:line="198" w:lineRule="exact"/>
        <w:rPr>
          <w:sz w:val="20"/>
          <w:szCs w:val="20"/>
          <w:color w:val="auto"/>
        </w:rPr>
      </w:pPr>
    </w:p>
    <w:p>
      <w:pPr>
        <w:ind w:right="120" w:firstLine="216"/>
        <w:spacing w:after="0" w:line="262" w:lineRule="auto"/>
        <w:rPr>
          <w:sz w:val="20"/>
          <w:szCs w:val="20"/>
          <w:color w:val="auto"/>
        </w:rPr>
      </w:pPr>
      <w:r>
        <w:rPr>
          <w:rFonts w:ascii="Arial" w:cs="Arial" w:eastAsia="Arial" w:hAnsi="Arial"/>
          <w:sz w:val="12"/>
          <w:szCs w:val="12"/>
          <w:color w:val="auto"/>
        </w:rPr>
        <w:t>We actively operate and are developing 8 fields in this urban, coastal basin which consists of IOR project types, approximately half of which we hold in fee and 52% held by production. Approximately 23% of our estimated proved reserves as of December 31, 2017 were located in, and 20% of our average daily net production for the year ended December 31, 2017 came from, the Los Angeles basin.</w:t>
      </w:r>
    </w:p>
    <w:p>
      <w:pPr>
        <w:spacing w:after="0" w:line="167" w:lineRule="exact"/>
        <w:rPr>
          <w:sz w:val="20"/>
          <w:szCs w:val="20"/>
          <w:color w:val="auto"/>
        </w:rPr>
      </w:pPr>
    </w:p>
    <w:p>
      <w:pPr>
        <w:ind w:right="160" w:firstLine="216"/>
        <w:spacing w:after="0" w:line="254" w:lineRule="auto"/>
        <w:rPr>
          <w:sz w:val="20"/>
          <w:szCs w:val="20"/>
          <w:color w:val="auto"/>
        </w:rPr>
      </w:pPr>
      <w:r>
        <w:rPr>
          <w:rFonts w:ascii="Arial" w:cs="Arial" w:eastAsia="Arial" w:hAnsi="Arial"/>
          <w:sz w:val="12"/>
          <w:szCs w:val="12"/>
          <w:color w:val="auto"/>
        </w:rPr>
        <w:t>The basin is a northwest-trending plain about 50 miles long and 20 miles wide. Most of the significant discoveries in the Los Angeles basin date back to the 1920s. The Los Angeles basin has one of the highest concentrations per acre of crude oil in the world with 68 fields in an area of about 0.3 million acres. The basin contains multiple stacked formations throughout its depths, and we believe that the Los Angeles basin provides a considerable inventory of existing field re-development opportunities as well as new play discovery potential. Large active oil fields include the Wilmington and Huntington Beach fields, where we have significant operations.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60"/>
          </w:cols>
          <w:pgMar w:left="220" w:top="391" w:right="219" w:bottom="1440" w:gutter="0" w:footer="0" w:header="0"/>
        </w:sectPr>
      </w:pPr>
    </w:p>
    <w:bookmarkStart w:id="26" w:name="page27"/>
    <w:bookmarkEnd w:id="26"/>
    <w:p>
      <w:pPr>
        <w:ind w:left="200"/>
        <w:spacing w:after="0"/>
        <w:rPr>
          <w:sz w:val="20"/>
          <w:szCs w:val="20"/>
          <w:color w:val="auto"/>
        </w:rPr>
      </w:pPr>
      <w:r>
        <w:rPr>
          <w:rFonts w:ascii="Arial" w:cs="Arial" w:eastAsia="Arial" w:hAnsi="Arial"/>
          <w:sz w:val="12"/>
          <w:szCs w:val="12"/>
          <w:i w:val="1"/>
          <w:iCs w:val="1"/>
          <w:color w:val="auto"/>
        </w:rPr>
        <w:t>Wilmington Field</w:t>
      </w:r>
    </w:p>
    <w:p>
      <w:pPr>
        <w:spacing w:after="0" w:line="198"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The Wilmington field located in Long Beach is the fourth largest field in the United States and has produced approximately 3.0 BBoe to date. During the year ended December 31, 2017, we produced approximately 30 MBoe/d gross on average, or 98% of the Wilmington field's daily production from all producers for the year. We operate in this field on behalf of the state of California and the city of Long Beach. Our net production in 2017 of approximately 23 MBoe/d equated to approximately 18% of our total average daily production. Most of our Wilmington production is subject to a set of contracts similar to production-sharing contracts under which we recover the capital and operating costs we incur on behalf of the state and the city of Long Beach and receive our share of profits. We use waterflood recovery methods to develop the field. Our waterflood operations have attractive margins and returns in the current price environment and extend the productive life of our reservoirs beyond the economic life expected for primary development.</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Ventura Basin</w:t>
      </w:r>
    </w:p>
    <w:p>
      <w:pPr>
        <w:spacing w:after="0" w:line="198" w:lineRule="exact"/>
        <w:rPr>
          <w:sz w:val="20"/>
          <w:szCs w:val="20"/>
          <w:color w:val="auto"/>
        </w:rPr>
      </w:pPr>
    </w:p>
    <w:p>
      <w:pPr>
        <w:jc w:val="both"/>
        <w:ind w:right="100" w:firstLine="216"/>
        <w:spacing w:after="0" w:line="256" w:lineRule="auto"/>
        <w:rPr>
          <w:sz w:val="20"/>
          <w:szCs w:val="20"/>
          <w:color w:val="auto"/>
        </w:rPr>
      </w:pPr>
      <w:r>
        <w:rPr>
          <w:rFonts w:ascii="Arial" w:cs="Arial" w:eastAsia="Arial" w:hAnsi="Arial"/>
          <w:sz w:val="12"/>
          <w:szCs w:val="12"/>
          <w:color w:val="auto"/>
        </w:rPr>
        <w:t>We actively operate and are developing 28 fields in this central California coastal basin which consists of primary conventional, IOR, EOR and unconventional project types. We currently hold approximately 0.2 million net mineral acres in the Ventura basin, approximately 73% of which we hold in fee and 11% held by production. Approximately 6% of our estimated proved reserves as of December 31, 2017 were located in, and approximately 5% of our average daily net production for the year ended December 31, 2017 came from, the Ventura basin.</w:t>
      </w:r>
    </w:p>
    <w:p>
      <w:pPr>
        <w:spacing w:after="0" w:line="171"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The Ventura basin is the onshore part of a structural feature and its offshore extension is the modern Santa Barbara basin. All of the sedimentary section is productive at various locations, and most reservoirs are sandstones with favorable porosity and permeability. The basin contains multiple stacked formations throughout its depths, and we believe that the Ventura basin provides an appealing inventory of existing field re-development opportunities, as well as new exploration potential.</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Sacramento Basin</w:t>
      </w:r>
    </w:p>
    <w:p>
      <w:pPr>
        <w:spacing w:after="0" w:line="198" w:lineRule="exact"/>
        <w:rPr>
          <w:sz w:val="20"/>
          <w:szCs w:val="20"/>
          <w:color w:val="auto"/>
        </w:rPr>
      </w:pPr>
    </w:p>
    <w:p>
      <w:pPr>
        <w:ind w:right="140" w:firstLine="216"/>
        <w:spacing w:after="0" w:line="254" w:lineRule="auto"/>
        <w:rPr>
          <w:sz w:val="20"/>
          <w:szCs w:val="20"/>
          <w:color w:val="auto"/>
        </w:rPr>
      </w:pPr>
      <w:r>
        <w:rPr>
          <w:rFonts w:ascii="Arial" w:cs="Arial" w:eastAsia="Arial" w:hAnsi="Arial"/>
          <w:sz w:val="12"/>
          <w:szCs w:val="12"/>
          <w:color w:val="auto"/>
        </w:rPr>
        <w:t>We actively operate and are developing 53 fields in this inland basin in the northern part of California's central valley, primarily consisting of dry gas production. We currently hold approximately 0.5 million net mineral acres in the Sacramento basin, approximately 38% of which we hold in fee and 44% held by production. We believe our significant acreage position in the Sacramento basin gives us the option for future development and rapid production growth in an attractive natural gas price environment. As of December 31, 2017, approximately 2% of our estimated proved reserves were located in the Sacramento basin, which accounted for approximately 5% of our average daily net production for the year.</w:t>
      </w:r>
    </w:p>
    <w:p>
      <w:pPr>
        <w:spacing w:after="0" w:line="172" w:lineRule="exact"/>
        <w:rPr>
          <w:sz w:val="20"/>
          <w:szCs w:val="20"/>
          <w:color w:val="auto"/>
        </w:rPr>
      </w:pPr>
    </w:p>
    <w:p>
      <w:pPr>
        <w:ind w:right="300" w:firstLine="216"/>
        <w:spacing w:after="0" w:line="262" w:lineRule="auto"/>
        <w:rPr>
          <w:sz w:val="20"/>
          <w:szCs w:val="20"/>
          <w:color w:val="auto"/>
        </w:rPr>
      </w:pPr>
      <w:r>
        <w:rPr>
          <w:rFonts w:ascii="Arial" w:cs="Arial" w:eastAsia="Arial" w:hAnsi="Arial"/>
          <w:sz w:val="12"/>
          <w:szCs w:val="12"/>
          <w:color w:val="auto"/>
        </w:rPr>
        <w:t>The Sacramento basin is a deep, thick sequence of sedimentary deposits within an elongated northwest-trending structural feature covering about 7.7 million acres. Exploration and development in the basin began in 1918.</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Conventional Reservoir Recovery Methods</w:t>
      </w:r>
    </w:p>
    <w:p>
      <w:pPr>
        <w:spacing w:after="0" w:line="200"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We determine which development method to use based on reservoir characteristics, reserves potential and expected returns. We seek to optimize the potential of our conventional assets by progressively using primary recovery methods, which may include some well stimulation techniques, IOR methods like waterflooding and EOR methods such as steamflooding, using both vertical and horizontal drilling. All of these techniques are proven technologies we have used extensively in California.</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Primary Recovery</w:t>
      </w:r>
    </w:p>
    <w:p>
      <w:pPr>
        <w:spacing w:after="0" w:line="19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Primary recovery is a reservoir drive mechanism that utilizes the natural energy of the reservoir and is the first technique we use to develop a reservoir. Primary recovery is achieved by drilling and producing wells without supplementing the natural energy of the reservoir. Our successful exploration program continues to provide us with primary recovery opportunities in new reservoirs or through extensions of existing fields. Our conventional development programs create future opportunities to convert these reservoirs to waterfloods or steamfloods after their primary production phase.</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20" w:top="379" w:right="259" w:bottom="1440" w:gutter="0" w:footer="0" w:header="0"/>
        </w:sectPr>
      </w:pPr>
    </w:p>
    <w:bookmarkStart w:id="27" w:name="page28"/>
    <w:bookmarkEnd w:id="27"/>
    <w:p>
      <w:pPr>
        <w:spacing w:after="0"/>
        <w:rPr>
          <w:sz w:val="20"/>
          <w:szCs w:val="20"/>
          <w:color w:val="auto"/>
        </w:rPr>
      </w:pPr>
      <w:r>
        <w:rPr>
          <w:rFonts w:ascii="Arial" w:cs="Arial" w:eastAsia="Arial" w:hAnsi="Arial"/>
          <w:sz w:val="12"/>
          <w:szCs w:val="12"/>
          <w:i w:val="1"/>
          <w:iCs w:val="1"/>
          <w:u w:val="single" w:color="auto"/>
          <w:color w:val="auto"/>
        </w:rPr>
        <w:t>Waterfloods</w:t>
      </w:r>
    </w:p>
    <w:p>
      <w:pPr>
        <w:spacing w:after="0" w:line="19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Some of our fields have been partially produced and no longer have sufficient energy to drive oil to our producing wellbores. Waterflooding is a well understood process that has been used in California for over 50 years to re-introduce energy to the reservoir through water injection and to sweep oil to producing wellbores. This process has been known to increase recovery factors from approximately 10% under primary recovery methods to up to approximately 20%. Our waterflood operations have attractive margins and returns in the current price environment. These operations typically have low and predictable production declines and allow us to extend the productive life of a reservoir and significantly increase our incremental recovery after primary recovery. As a result, investments in waterfloods can yield attractive returns even in a low price environment. We use waterfloods extensively in the San Joaquin, Los Angeles and Ventura basins, which has allowed us to reduce production declines or modestly grow our production from mature fields such as Elk Hills and Wilmington.</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Steamfloods</w:t>
      </w:r>
    </w:p>
    <w:p>
      <w:pPr>
        <w:spacing w:after="0" w:line="198"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Some of our fields contain heavy, thick oil. Steamfloods work by injecting steam into the reservoir to heat the oil, decreasing its viscosity, or thinning the oil, allowing it to flow more easily to the producing wellbores. Steamflooding is a well understood process that has been used in California since the early 1960s. This process has been known to increase recovery factors from approximately 10% under primary recovery methods to up to approximately 75%. Thermal operations are most effective in shallow reservoirs containing heavy, viscous oil. The steamflood process is generally characterized by low capital investment with attractive margins and returns even in a low oil price environment as long as the oil-to-gas price ratio is in excess of five. The economics of steamflooding are largely a function of the ratio between oil and natural gas prices. After drilling, these operations typically ramp up production over one to two years as the steam continues to influence the oil production, and then exhibit a plateau for several months, with a subsequent low, predictable production decline rate of 5 to 10% per year. This gradual decline allows us to extend the productive life of a reservoir and significantly increase our incremental recovery after primary depletion. We use steamfloods extensively in the San Joaquin basin, where they have allowed us to grow our production from mature fields such as Kern Front and Lost Hills, among others.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Unconventional Reservoir</w:t>
      </w:r>
    </w:p>
    <w:p>
      <w:pPr>
        <w:spacing w:after="0" w:line="200"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We believe our undeveloped unconventional acreage has the potential to provide significant long-term production growth. In total, we hold mineral interests in approximately 1.3 million net mineral acres with unconventional potential and have identified over 4,930 gross (4,530 net) unconventional drilling locations on this acreage. As a result of our development efforts in previous years, approximately 34% of our 2017 production was from unconventional reservoirs, an increase of approximately 91% since the acquisition of the Elk Hills field properties in 1998. As of December 31, 2017, we had proved reserves of approximately 180 MMBoe associated with our unconventional properties, approximately 26% of which were proved undeveloped reserves.</w:t>
      </w:r>
    </w:p>
    <w:p>
      <w:pPr>
        <w:spacing w:after="0" w:line="172"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We hold significant interests in the Monterey formation, which is divided into upper and lower intervals. We have successfully produced from seven discrete stacked pay horizons within the upper Monterey. During the year ended December 31, 2017, we produced approximately 53 MBoe/d on average from upper Monterey. The lower Monterey is recognized as a world-class source rock but has an extremely limited production history compared to the upper Monterey, and therefore very limited knowledge exists regarding its potential. For example, only about 25 wells have tested the lower Monterey to date. However, we believe we will be able to apply knowledge we gain from the upper Monterey to the lower Monterey.</w:t>
      </w:r>
    </w:p>
    <w:p>
      <w:pPr>
        <w:spacing w:after="0" w:line="172" w:lineRule="exact"/>
        <w:rPr>
          <w:sz w:val="20"/>
          <w:szCs w:val="20"/>
          <w:color w:val="auto"/>
        </w:rPr>
      </w:pPr>
    </w:p>
    <w:p>
      <w:pPr>
        <w:ind w:right="80" w:firstLine="216"/>
        <w:spacing w:after="0" w:line="253" w:lineRule="auto"/>
        <w:rPr>
          <w:sz w:val="20"/>
          <w:szCs w:val="20"/>
          <w:color w:val="auto"/>
        </w:rPr>
      </w:pPr>
      <w:r>
        <w:rPr>
          <w:rFonts w:ascii="Arial" w:cs="Arial" w:eastAsia="Arial" w:hAnsi="Arial"/>
          <w:sz w:val="12"/>
          <w:szCs w:val="12"/>
          <w:color w:val="auto"/>
        </w:rPr>
        <w:t>Prior to the severe price declines that began in late 2014, we were focused on higher-value unconventional production from seven discrete stacked pay horizons within the Monterey formation, primarily within the upper Monterey. As commodity prices and project economics improved in 2017, we continued our development activities in the upper Monterey formation and started to appraise and delineate the Kreyenhagen formation within our Kettleman North Dome field. We expect to continue pursuing unconventional opportunities in 2018 and beyond if prices remain at current levels. Over the longer term, as project economics improve, we will seek to duplicate our successful upper Monterey results to develop opportunities in the unconventional reservoirs of the lower Monterey, Kreyenhagen and Moreno formations, which have similar geological attributes.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60"/>
          </w:cols>
          <w:pgMar w:left="220" w:top="379" w:right="21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Exploration Program</w:t>
      </w:r>
    </w:p>
    <w:p>
      <w:pPr>
        <w:spacing w:after="0" w:line="200"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We have had a successful exploration program in both conventional and unconventional plays, including during the years prior to Spin-off. Our experienced technical staff, proprietary geological models, leading acreage position and extensive 3D seismic library give us a strong competitive advantage. California is one of the most prolific hydrocarbon producing regions as a result of its world-class source rocks and stacked conventional and unconventional reservoirs. California basins have generated billions of barrels of oil and have established production from over 400 identified reservoir intervals in both structural and stratigraphic trap configurations. Historical industry activity has focused on the primary and secondary development of known hydrocarbon accumulations, many of which were discovered over a century ago. We have significant land positions in under-explored hydrocarbon basins.</w:t>
      </w:r>
    </w:p>
    <w:p>
      <w:pPr>
        <w:spacing w:after="0" w:line="173" w:lineRule="exact"/>
        <w:rPr>
          <w:sz w:val="20"/>
          <w:szCs w:val="20"/>
          <w:color w:val="auto"/>
        </w:rPr>
      </w:pPr>
    </w:p>
    <w:p>
      <w:pPr>
        <w:ind w:right="280" w:firstLine="216"/>
        <w:spacing w:after="0" w:line="256" w:lineRule="auto"/>
        <w:rPr>
          <w:sz w:val="20"/>
          <w:szCs w:val="20"/>
          <w:color w:val="auto"/>
        </w:rPr>
      </w:pPr>
      <w:r>
        <w:rPr>
          <w:rFonts w:ascii="Arial" w:cs="Arial" w:eastAsia="Arial" w:hAnsi="Arial"/>
          <w:sz w:val="12"/>
          <w:szCs w:val="12"/>
          <w:color w:val="auto"/>
        </w:rPr>
        <w:t>We continue to focus on growing our exploration drilling locations and resource identification. We have a ranked near-field portfolio of over 150 exploration prospects across the San Joaquin, Sacramento and Ventura basins. As of December 31, 2017, we had approximately 12,610 gross (5,670 net) exploration drilling locations in conventional reservoirs and approximately 6,400 gross (5,300 net) exploration drilling locations in unconventional reservoirs.</w:t>
      </w:r>
    </w:p>
    <w:p>
      <w:pPr>
        <w:spacing w:after="0" w:line="171"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During 2017, we drilled five shallow wells targeting heavy oil accumulations in the San Joaquin basin . All wells encountered hydrocarbons and confirmed potential future development areas. Two of the exploration wells are currently producing, and three of the wells were considered data wells and were plugged and abandoned.</w:t>
      </w:r>
    </w:p>
    <w:p>
      <w:pPr>
        <w:spacing w:after="0" w:line="167" w:lineRule="exact"/>
        <w:rPr>
          <w:sz w:val="20"/>
          <w:szCs w:val="20"/>
          <w:color w:val="auto"/>
        </w:rPr>
      </w:pPr>
    </w:p>
    <w:p>
      <w:pPr>
        <w:jc w:val="both"/>
        <w:ind w:right="80" w:firstLine="216"/>
        <w:spacing w:after="0" w:line="254" w:lineRule="auto"/>
        <w:rPr>
          <w:sz w:val="20"/>
          <w:szCs w:val="20"/>
          <w:color w:val="auto"/>
        </w:rPr>
      </w:pPr>
      <w:r>
        <w:rPr>
          <w:rFonts w:ascii="Arial" w:cs="Arial" w:eastAsia="Arial" w:hAnsi="Arial"/>
          <w:sz w:val="12"/>
          <w:szCs w:val="12"/>
          <w:color w:val="auto"/>
        </w:rPr>
        <w:t>In 2017, we also partnered with third parties in some of our exploration activities, some of which are not included in our consolidated results. These arrangements allow us to defer some of our exploration costs and mitigate technical risks. With a JV partner, we drilled a successful exploration well in a conventional reservoir in the southern San Joaquin basin to a depth of approximately 15,000 feet, which targeted a seismic defined stratigraphic trap in the prolific Stevens Sand reservoir. The initial flow rate of the well was in excess of 300 barrels of oil a day. In connection with this JV, we also acquired 3D seismic data in developed fields that highlighted a number of additional new leads.</w:t>
      </w:r>
    </w:p>
    <w:p>
      <w:pPr>
        <w:spacing w:after="0" w:line="172" w:lineRule="exact"/>
        <w:rPr>
          <w:sz w:val="20"/>
          <w:szCs w:val="20"/>
          <w:color w:val="auto"/>
        </w:rPr>
      </w:pPr>
    </w:p>
    <w:p>
      <w:pPr>
        <w:ind w:right="220" w:firstLine="216"/>
        <w:spacing w:after="0" w:line="262" w:lineRule="auto"/>
        <w:rPr>
          <w:sz w:val="20"/>
          <w:szCs w:val="20"/>
          <w:color w:val="auto"/>
        </w:rPr>
      </w:pPr>
      <w:r>
        <w:rPr>
          <w:rFonts w:ascii="Arial" w:cs="Arial" w:eastAsia="Arial" w:hAnsi="Arial"/>
          <w:sz w:val="12"/>
          <w:szCs w:val="12"/>
          <w:color w:val="auto"/>
        </w:rPr>
        <w:t>At year end, we were in the process of drilling an exploration well in the Sacramento basin. The well encountered multiple stacked gas bearing reservoirs totaling approximately 400 feet in gross thickness. The higher quality reservoirs exhibit porosities ranging from 15% to 20%. An effective well testing program is being planned and will be executed in 2018.</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Reserves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information with respect to our estimated reserves presented below has been prepared in accordance with the rules and regulations of the SEC.</w:t>
      </w:r>
    </w:p>
    <w:p>
      <w:pPr>
        <w:spacing w:after="0" w:line="186"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Proved oil, NGLs and natural gas reserves were estimated using the unweighted arithmetic average of the first-day-of-the-month price for each month within the year (SEC prices), unless prices were defined by contractual arrangements. Oil, NGLs and natural gas prices used for this purpose were based on spot prices, adjusted for price differentials to account for gravity, quality and transportation costs. For the 2017 reserves estimates, the calculated average Brent oil price was $54.42 per barrel and the average NYMEX gas price was $2.98 per Million British Thermal Units (MMBtu). The average realized prices used for the 2017 disclosures were $51.74 per barrel for oil, $35.05 per barrel for NGLs and $2.59 per Mcf for natural gas.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60"/>
          </w:cols>
          <w:pgMar w:left="220" w:top="377" w:right="219" w:bottom="1440" w:gutter="0" w:footer="0" w:header="0"/>
        </w:sectPr>
      </w:pPr>
    </w:p>
    <w:bookmarkStart w:id="29" w:name="page30"/>
    <w:bookmarkEnd w:id="29"/>
    <w:p>
      <w:pPr>
        <w:ind w:right="60" w:firstLine="216"/>
        <w:spacing w:after="0" w:line="262" w:lineRule="auto"/>
        <w:rPr>
          <w:sz w:val="20"/>
          <w:szCs w:val="20"/>
          <w:color w:val="auto"/>
        </w:rPr>
      </w:pPr>
      <w:r>
        <w:rPr>
          <w:rFonts w:ascii="Arial" w:cs="Arial" w:eastAsia="Arial" w:hAnsi="Arial"/>
          <w:sz w:val="12"/>
          <w:szCs w:val="12"/>
          <w:color w:val="auto"/>
        </w:rPr>
        <w:t>The following table sets forth our net operating and non-operating interests in quantities of proved developed and undeveloped reserves of oil (including condensate), natural gas liquids (NGLs) and natural gas as of December 31, 2017. Estimated reserves include our economic interests under arrangements similar to production-sharing contracts at our Wilmington field in Long Beach.</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70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98"/>
              </w:rPr>
              <w:t>As of December 31, 2017</w:t>
            </w: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72"/>
        </w:trPr>
        <w:tc>
          <w:tcPr>
            <w:tcW w:w="47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San Joaquin Basin</w:t>
            </w:r>
          </w:p>
        </w:tc>
        <w:tc>
          <w:tcPr>
            <w:tcW w:w="1280" w:type="dxa"/>
            <w:vAlign w:val="bottom"/>
          </w:tcPr>
          <w:p>
            <w:pPr>
              <w:jc w:val="right"/>
              <w:ind w:right="141"/>
              <w:spacing w:after="0"/>
              <w:rPr>
                <w:sz w:val="20"/>
                <w:szCs w:val="20"/>
                <w:color w:val="auto"/>
              </w:rPr>
            </w:pPr>
            <w:r>
              <w:rPr>
                <w:rFonts w:ascii="Arial" w:cs="Arial" w:eastAsia="Arial" w:hAnsi="Arial"/>
                <w:sz w:val="10"/>
                <w:szCs w:val="10"/>
                <w:b w:val="1"/>
                <w:bCs w:val="1"/>
                <w:color w:val="auto"/>
              </w:rPr>
              <w:t>Los Angeles Basin</w:t>
            </w:r>
          </w:p>
        </w:tc>
        <w:tc>
          <w:tcPr>
            <w:tcW w:w="12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Ventura Basin</w:t>
            </w:r>
          </w:p>
        </w:tc>
        <w:tc>
          <w:tcPr>
            <w:tcW w:w="1360" w:type="dxa"/>
            <w:vAlign w:val="bottom"/>
            <w:gridSpan w:val="2"/>
          </w:tcPr>
          <w:p>
            <w:pPr>
              <w:ind w:left="220"/>
              <w:spacing w:after="0"/>
              <w:rPr>
                <w:sz w:val="20"/>
                <w:szCs w:val="20"/>
                <w:color w:val="auto"/>
              </w:rPr>
            </w:pPr>
            <w:r>
              <w:rPr>
                <w:rFonts w:ascii="Arial" w:cs="Arial" w:eastAsia="Arial" w:hAnsi="Arial"/>
                <w:sz w:val="10"/>
                <w:szCs w:val="10"/>
                <w:b w:val="1"/>
                <w:bCs w:val="1"/>
                <w:color w:val="auto"/>
              </w:rPr>
              <w:t>Sacramento Basin</w:t>
            </w:r>
          </w:p>
        </w:tc>
        <w:tc>
          <w:tcPr>
            <w:tcW w:w="1260" w:type="dxa"/>
            <w:vAlign w:val="bottom"/>
          </w:tcPr>
          <w:p>
            <w:pPr>
              <w:jc w:val="right"/>
              <w:ind w:right="461"/>
              <w:spacing w:after="0"/>
              <w:rPr>
                <w:sz w:val="20"/>
                <w:szCs w:val="20"/>
                <w:color w:val="auto"/>
              </w:rPr>
            </w:pPr>
            <w:r>
              <w:rPr>
                <w:rFonts w:ascii="Arial" w:cs="Arial" w:eastAsia="Arial" w:hAnsi="Arial"/>
                <w:sz w:val="10"/>
                <w:szCs w:val="10"/>
                <w:b w:val="1"/>
                <w:bCs w:val="1"/>
                <w:color w:val="auto"/>
              </w:rPr>
              <w:t>Total</w:t>
            </w:r>
          </w:p>
        </w:tc>
      </w:tr>
      <w:tr>
        <w:trPr>
          <w:trHeight w:val="16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Proved developed reserves:</w:t>
            </w: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Oil (MMBbl)</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104</w:t>
            </w:r>
          </w:p>
        </w:tc>
        <w:tc>
          <w:tcPr>
            <w:tcW w:w="1380" w:type="dxa"/>
            <w:vAlign w:val="bottom"/>
            <w:gridSpan w:val="2"/>
          </w:tcPr>
          <w:p>
            <w:pPr>
              <w:jc w:val="right"/>
              <w:ind w:right="62"/>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304</w:t>
            </w: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NGLs (MMBbl)</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45</w:t>
            </w:r>
          </w:p>
        </w:tc>
      </w:tr>
      <w:tr>
        <w:trPr>
          <w:trHeight w:val="176"/>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Natural Gas (Bcf)</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447</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70</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543</w:t>
            </w:r>
          </w:p>
        </w:tc>
      </w:tr>
      <w:tr>
        <w:trPr>
          <w:trHeight w:val="165"/>
        </w:trPr>
        <w:tc>
          <w:tcPr>
            <w:tcW w:w="4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(MMBoe)</w:t>
            </w:r>
            <w:r>
              <w:rPr>
                <w:rFonts w:ascii="Arial" w:cs="Arial" w:eastAsia="Arial" w:hAnsi="Arial"/>
                <w:sz w:val="14"/>
                <w:szCs w:val="14"/>
                <w:color w:val="auto"/>
                <w:vertAlign w:val="superscript"/>
              </w:rPr>
              <w:t>(a)(b)</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294</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105</w:t>
            </w:r>
          </w:p>
        </w:tc>
        <w:tc>
          <w:tcPr>
            <w:tcW w:w="1380" w:type="dxa"/>
            <w:vAlign w:val="bottom"/>
            <w:gridSpan w:val="2"/>
            <w:shd w:val="clear" w:color="auto" w:fill="CCEEFF"/>
          </w:tcPr>
          <w:p>
            <w:pPr>
              <w:jc w:val="right"/>
              <w:ind w:right="62"/>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440</w:t>
            </w:r>
          </w:p>
        </w:tc>
      </w:tr>
      <w:tr>
        <w:trPr>
          <w:trHeight w:val="178"/>
        </w:trPr>
        <w:tc>
          <w:tcPr>
            <w:tcW w:w="47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Proved undeveloped reserves:</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Oil (MMBbl)</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39</w:t>
            </w:r>
          </w:p>
        </w:tc>
        <w:tc>
          <w:tcPr>
            <w:tcW w:w="1380" w:type="dxa"/>
            <w:vAlign w:val="bottom"/>
            <w:gridSpan w:val="2"/>
          </w:tcPr>
          <w:p>
            <w:pPr>
              <w:jc w:val="right"/>
              <w:ind w:right="62"/>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138</w:t>
            </w: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NGLs (MMBbl)</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w:t>
            </w:r>
          </w:p>
        </w:tc>
      </w:tr>
      <w:tr>
        <w:trPr>
          <w:trHeight w:val="176"/>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Natural Gas (Bcf)</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138</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163</w:t>
            </w:r>
          </w:p>
        </w:tc>
      </w:tr>
      <w:tr>
        <w:trPr>
          <w:trHeight w:val="165"/>
        </w:trPr>
        <w:tc>
          <w:tcPr>
            <w:tcW w:w="4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(MMBoe)</w:t>
            </w:r>
            <w:r>
              <w:rPr>
                <w:rFonts w:ascii="Arial" w:cs="Arial" w:eastAsia="Arial" w:hAnsi="Arial"/>
                <w:sz w:val="14"/>
                <w:szCs w:val="14"/>
                <w:color w:val="auto"/>
                <w:vertAlign w:val="superscript"/>
              </w:rPr>
              <w:t>(b)</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w:t>
            </w:r>
          </w:p>
        </w:tc>
        <w:tc>
          <w:tcPr>
            <w:tcW w:w="1380" w:type="dxa"/>
            <w:vAlign w:val="bottom"/>
            <w:gridSpan w:val="2"/>
            <w:shd w:val="clear" w:color="auto" w:fill="CCEEFF"/>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178</w:t>
            </w:r>
          </w:p>
        </w:tc>
      </w:tr>
      <w:tr>
        <w:trPr>
          <w:trHeight w:val="178"/>
        </w:trPr>
        <w:tc>
          <w:tcPr>
            <w:tcW w:w="47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proved reserves:</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Oil (MMBbl)</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265</w:t>
            </w:r>
          </w:p>
        </w:tc>
        <w:tc>
          <w:tcPr>
            <w:tcW w:w="1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143</w:t>
            </w:r>
          </w:p>
        </w:tc>
        <w:tc>
          <w:tcPr>
            <w:tcW w:w="1380" w:type="dxa"/>
            <w:vAlign w:val="bottom"/>
            <w:gridSpan w:val="2"/>
          </w:tcPr>
          <w:p>
            <w:pPr>
              <w:jc w:val="right"/>
              <w:ind w:right="62"/>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442</w:t>
            </w: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NGLs (MMBbl)</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w:t>
            </w:r>
          </w:p>
        </w:tc>
      </w:tr>
      <w:tr>
        <w:trPr>
          <w:trHeight w:val="176"/>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Natural Gas (Bcf)</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585</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26</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706</w:t>
            </w:r>
          </w:p>
        </w:tc>
      </w:tr>
      <w:tr>
        <w:trPr>
          <w:trHeight w:val="172"/>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 (MMBoe)</w:t>
            </w:r>
            <w:r>
              <w:rPr>
                <w:rFonts w:ascii="Arial" w:cs="Arial" w:eastAsia="Arial" w:hAnsi="Arial"/>
                <w:sz w:val="14"/>
                <w:szCs w:val="14"/>
                <w:color w:val="auto"/>
                <w:vertAlign w:val="superscript"/>
              </w:rPr>
              <w:t>(b)</w:t>
            </w: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419</w:t>
            </w: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145</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40</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618</w:t>
            </w:r>
          </w:p>
        </w:tc>
      </w:tr>
    </w:tbl>
    <w:p>
      <w:pPr>
        <w:spacing w:after="0" w:line="3" w:lineRule="exact"/>
        <w:rPr>
          <w:sz w:val="20"/>
          <w:szCs w:val="20"/>
          <w:color w:val="auto"/>
        </w:rPr>
      </w:pPr>
    </w:p>
    <w:p>
      <w:pPr>
        <w:ind w:left="420" w:right="60" w:hanging="212"/>
        <w:spacing w:after="0" w:line="225" w:lineRule="auto"/>
        <w:tabs>
          <w:tab w:leader="none" w:pos="4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As of December 31, 2017, approximately 21% of proved developed oil reserves, 9% of proved developed NGLs reserves, 15% of proved developed natural gas reserves and, overall, 19% of total proved developed reserves are non-producing. A majority of our non-producing reserves relate to steamfloods and waterfloods where full peak production response has not yet occurred due to the nature of such projects.</w:t>
      </w:r>
    </w:p>
    <w:p>
      <w:pPr>
        <w:ind w:left="420" w:hanging="212"/>
        <w:spacing w:after="0"/>
        <w:tabs>
          <w:tab w:leader="none" w:pos="4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Natural gas volumes have been converted to Boe based on the equivalence of energy content between six Mcf of gas and one Bbl of oil. Barrels of oil equivalence does not necessarily result in price equivalence.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301"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i w:val="1"/>
          <w:iCs w:val="1"/>
          <w:color w:val="auto"/>
        </w:rPr>
        <w:t>Proved Reserves Additions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components of the changes to our proved reserves (in MMBoe) during the years ended December 31, 2017, 2016 and 2015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70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San Joaquin Basin</w:t>
            </w:r>
          </w:p>
        </w:tc>
        <w:tc>
          <w:tcPr>
            <w:tcW w:w="1400" w:type="dxa"/>
            <w:vAlign w:val="bottom"/>
            <w:gridSpan w:val="2"/>
          </w:tcPr>
          <w:p>
            <w:pPr>
              <w:ind w:left="180"/>
              <w:spacing w:after="0"/>
              <w:rPr>
                <w:sz w:val="20"/>
                <w:szCs w:val="20"/>
                <w:color w:val="auto"/>
              </w:rPr>
            </w:pPr>
            <w:r>
              <w:rPr>
                <w:rFonts w:ascii="Arial" w:cs="Arial" w:eastAsia="Arial" w:hAnsi="Arial"/>
                <w:sz w:val="10"/>
                <w:szCs w:val="10"/>
                <w:b w:val="1"/>
                <w:bCs w:val="1"/>
                <w:color w:val="auto"/>
              </w:rPr>
              <w:t>Los Angeles Basin</w:t>
            </w:r>
            <w:r>
              <w:rPr>
                <w:rFonts w:ascii="Arial" w:cs="Arial" w:eastAsia="Arial" w:hAnsi="Arial"/>
                <w:sz w:val="11"/>
                <w:szCs w:val="11"/>
                <w:b w:val="1"/>
                <w:bCs w:val="1"/>
                <w:color w:val="auto"/>
                <w:vertAlign w:val="superscript"/>
              </w:rPr>
              <w:t>(a)</w:t>
            </w:r>
          </w:p>
        </w:tc>
        <w:tc>
          <w:tcPr>
            <w:tcW w:w="980" w:type="dxa"/>
            <w:vAlign w:val="bottom"/>
          </w:tcPr>
          <w:p>
            <w:pPr>
              <w:ind w:left="320"/>
              <w:spacing w:after="0"/>
              <w:rPr>
                <w:sz w:val="20"/>
                <w:szCs w:val="20"/>
                <w:color w:val="auto"/>
              </w:rPr>
            </w:pPr>
            <w:r>
              <w:rPr>
                <w:rFonts w:ascii="Arial" w:cs="Arial" w:eastAsia="Arial" w:hAnsi="Arial"/>
                <w:sz w:val="10"/>
                <w:szCs w:val="10"/>
                <w:b w:val="1"/>
                <w:bCs w:val="1"/>
                <w:color w:val="auto"/>
                <w:w w:val="95"/>
              </w:rPr>
              <w:t>Ventura Basin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20"/>
              <w:spacing w:after="0"/>
              <w:rPr>
                <w:sz w:val="20"/>
                <w:szCs w:val="20"/>
                <w:color w:val="auto"/>
              </w:rPr>
            </w:pPr>
            <w:r>
              <w:rPr>
                <w:rFonts w:ascii="Arial" w:cs="Arial" w:eastAsia="Arial" w:hAnsi="Arial"/>
                <w:sz w:val="10"/>
                <w:szCs w:val="10"/>
                <w:b w:val="1"/>
                <w:bCs w:val="1"/>
                <w:color w:val="auto"/>
              </w:rPr>
              <w:t>Sacramento Basin</w:t>
            </w:r>
          </w:p>
        </w:tc>
        <w:tc>
          <w:tcPr>
            <w:tcW w:w="1260" w:type="dxa"/>
            <w:vAlign w:val="bottom"/>
          </w:tcPr>
          <w:p>
            <w:pPr>
              <w:jc w:val="right"/>
              <w:ind w:right="466"/>
              <w:spacing w:after="0"/>
              <w:rPr>
                <w:sz w:val="20"/>
                <w:szCs w:val="20"/>
                <w:color w:val="auto"/>
              </w:rPr>
            </w:pPr>
            <w:r>
              <w:rPr>
                <w:rFonts w:ascii="Arial" w:cs="Arial" w:eastAsia="Arial" w:hAnsi="Arial"/>
                <w:sz w:val="10"/>
                <w:szCs w:val="10"/>
                <w:b w:val="1"/>
                <w:bCs w:val="1"/>
                <w:color w:val="auto"/>
              </w:rPr>
              <w:t>Total</w:t>
            </w:r>
          </w:p>
        </w:tc>
      </w:tr>
      <w:tr>
        <w:trPr>
          <w:trHeight w:val="16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2014</w:t>
            </w:r>
          </w:p>
        </w:tc>
        <w:tc>
          <w:tcPr>
            <w:tcW w:w="128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525</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166</w:t>
            </w: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768</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Revisions related to price</w:t>
            </w: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5"/>
                <w:szCs w:val="15"/>
                <w:color w:val="auto"/>
              </w:rPr>
            </w:pP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ind w:right="26"/>
              <w:spacing w:after="0"/>
              <w:rPr>
                <w:sz w:val="20"/>
                <w:szCs w:val="20"/>
                <w:color w:val="auto"/>
              </w:rPr>
            </w:pPr>
            <w:r>
              <w:rPr>
                <w:rFonts w:ascii="Arial" w:cs="Arial" w:eastAsia="Arial" w:hAnsi="Arial"/>
                <w:sz w:val="11"/>
                <w:szCs w:val="11"/>
                <w:color w:val="auto"/>
                <w:w w:val="91"/>
              </w:rPr>
              <w:t>(12)</w:t>
            </w:r>
          </w:p>
        </w:tc>
        <w:tc>
          <w:tcPr>
            <w:tcW w:w="120" w:type="dxa"/>
            <w:vAlign w:val="bottom"/>
          </w:tcPr>
          <w:p>
            <w:pPr>
              <w:spacing w:after="0"/>
              <w:rPr>
                <w:sz w:val="15"/>
                <w:szCs w:val="15"/>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5"/>
                <w:szCs w:val="15"/>
                <w:color w:val="auto"/>
              </w:rPr>
            </w:pP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(153)</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Revisions related to performance</w:t>
            </w: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Improved recovery</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Extensions and discoveries</w:t>
            </w: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Purchases</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6</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Production</w:t>
            </w: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(58)</w:t>
            </w:r>
          </w:p>
        </w:tc>
      </w:tr>
      <w:tr>
        <w:trPr>
          <w:trHeight w:val="167"/>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2015</w:t>
            </w: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451</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132</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644</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Revisions related to price</w:t>
            </w: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5"/>
                <w:szCs w:val="15"/>
                <w:color w:val="auto"/>
              </w:rPr>
            </w:pP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ind w:right="26"/>
              <w:spacing w:after="0"/>
              <w:rPr>
                <w:sz w:val="20"/>
                <w:szCs w:val="20"/>
                <w:color w:val="auto"/>
              </w:rPr>
            </w:pPr>
            <w:r>
              <w:rPr>
                <w:rFonts w:ascii="Arial" w:cs="Arial" w:eastAsia="Arial" w:hAnsi="Arial"/>
                <w:sz w:val="11"/>
                <w:szCs w:val="11"/>
                <w:color w:val="auto"/>
                <w:w w:val="91"/>
              </w:rPr>
              <w:t>(20)</w:t>
            </w: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26"/>
              <w:spacing w:after="0"/>
              <w:rPr>
                <w:sz w:val="20"/>
                <w:szCs w:val="20"/>
                <w:color w:val="auto"/>
              </w:rPr>
            </w:pPr>
            <w:r>
              <w:rPr>
                <w:rFonts w:ascii="Arial" w:cs="Arial" w:eastAsia="Arial" w:hAnsi="Arial"/>
                <w:sz w:val="11"/>
                <w:szCs w:val="11"/>
                <w:color w:val="auto"/>
              </w:rPr>
              <w:t>(60)</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Revisions related to performance</w:t>
            </w: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Improved recovery</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Extensions and discoveries</w:t>
            </w: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Purchases</w:t>
            </w:r>
          </w:p>
        </w:tc>
        <w:tc>
          <w:tcPr>
            <w:tcW w:w="1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r>
      <w:tr>
        <w:trPr>
          <w:trHeight w:val="174"/>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Production</w:t>
            </w: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(51)</w:t>
            </w:r>
          </w:p>
        </w:tc>
      </w:tr>
      <w:tr>
        <w:trPr>
          <w:trHeight w:val="167"/>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2016</w:t>
            </w: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429</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568</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Revisions related to price</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5"/>
                <w:szCs w:val="15"/>
                <w:color w:val="auto"/>
              </w:rPr>
            </w:pP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49</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Revisions related to performance</w:t>
            </w: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Improved recovery</w:t>
            </w:r>
          </w:p>
        </w:tc>
        <w:tc>
          <w:tcPr>
            <w:tcW w:w="1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Extensions and discoveries</w:t>
            </w: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r>
      <w:tr>
        <w:trPr>
          <w:trHeight w:val="174"/>
        </w:trPr>
        <w:tc>
          <w:tcPr>
            <w:tcW w:w="4700" w:type="dxa"/>
            <w:vAlign w:val="bottom"/>
          </w:tcPr>
          <w:p>
            <w:pPr>
              <w:ind w:left="100"/>
              <w:spacing w:after="0"/>
              <w:rPr>
                <w:sz w:val="20"/>
                <w:szCs w:val="20"/>
                <w:color w:val="auto"/>
              </w:rPr>
            </w:pPr>
            <w:r>
              <w:rPr>
                <w:rFonts w:ascii="Arial" w:cs="Arial" w:eastAsia="Arial" w:hAnsi="Arial"/>
                <w:sz w:val="11"/>
                <w:szCs w:val="11"/>
                <w:color w:val="auto"/>
              </w:rPr>
              <w:t>Purchases</w:t>
            </w:r>
          </w:p>
        </w:tc>
        <w:tc>
          <w:tcPr>
            <w:tcW w:w="1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7"/>
        </w:trPr>
        <w:tc>
          <w:tcPr>
            <w:tcW w:w="4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Sales</w:t>
            </w: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r>
      <w:tr>
        <w:trPr>
          <w:trHeight w:val="174"/>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Production</w:t>
            </w: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(47)</w:t>
            </w:r>
          </w:p>
        </w:tc>
      </w:tr>
      <w:tr>
        <w:trPr>
          <w:trHeight w:val="1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12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419</w:t>
            </w: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145</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618</w:t>
            </w:r>
          </w:p>
        </w:tc>
      </w:tr>
    </w:tbl>
    <w:p>
      <w:pPr>
        <w:ind w:left="200"/>
        <w:spacing w:after="0" w:line="232" w:lineRule="auto"/>
        <w:rPr>
          <w:sz w:val="20"/>
          <w:szCs w:val="20"/>
          <w:color w:val="auto"/>
        </w:rPr>
      </w:pPr>
      <w:r>
        <w:rPr>
          <w:rFonts w:ascii="Arial" w:cs="Arial" w:eastAsia="Arial" w:hAnsi="Arial"/>
          <w:sz w:val="10"/>
          <w:szCs w:val="10"/>
          <w:color w:val="auto"/>
        </w:rPr>
        <w:t>Note: Natural gas volumes have been converted to Boe based on the equivalence of energy content between six Mcf of natural gas and one Bbl of oil.</w:t>
      </w:r>
    </w:p>
    <w:p>
      <w:pPr>
        <w:ind w:left="420" w:hanging="212"/>
        <w:spacing w:after="0"/>
        <w:tabs>
          <w:tab w:leader="none" w:pos="4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Includes proved reserves related to economic arrangements similar to PSCs of 108 MMBbl, 85 MMBbl, 103 MMBbl and 116 MMBbl at December 31, 2017, 2016, 2015 and 2014, respectively.</w:t>
      </w:r>
    </w:p>
    <w:p>
      <w:pPr>
        <w:spacing w:after="0" w:line="134" w:lineRule="exact"/>
        <w:rPr>
          <w:sz w:val="20"/>
          <w:szCs w:val="20"/>
          <w:color w:val="auto"/>
        </w:rPr>
      </w:pPr>
    </w:p>
    <w:p>
      <w:pPr>
        <w:ind w:right="80" w:firstLine="216"/>
        <w:spacing w:after="0" w:line="256" w:lineRule="auto"/>
        <w:rPr>
          <w:sz w:val="20"/>
          <w:szCs w:val="20"/>
          <w:color w:val="auto"/>
        </w:rPr>
      </w:pPr>
      <w:r>
        <w:rPr>
          <w:rFonts w:ascii="Arial" w:cs="Arial" w:eastAsia="Arial" w:hAnsi="Arial"/>
          <w:sz w:val="12"/>
          <w:szCs w:val="12"/>
          <w:color w:val="auto"/>
        </w:rPr>
        <w:t>Our ability to add reserves, other than through purchases,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Revisions of Previous Estimates</w:t>
      </w:r>
    </w:p>
    <w:p>
      <w:pPr>
        <w:spacing w:after="0" w:line="150" w:lineRule="exact"/>
        <w:rPr>
          <w:sz w:val="20"/>
          <w:szCs w:val="20"/>
          <w:color w:val="auto"/>
        </w:rPr>
      </w:pPr>
    </w:p>
    <w:p>
      <w:pPr>
        <w:ind w:right="80" w:firstLine="234"/>
        <w:spacing w:after="0" w:line="257" w:lineRule="auto"/>
        <w:rPr>
          <w:sz w:val="20"/>
          <w:szCs w:val="20"/>
          <w:color w:val="auto"/>
        </w:rPr>
      </w:pPr>
      <w:r>
        <w:rPr>
          <w:rFonts w:ascii="Arial" w:cs="Arial" w:eastAsia="Arial" w:hAnsi="Arial"/>
          <w:sz w:val="12"/>
          <w:szCs w:val="12"/>
          <w:i w:val="1"/>
          <w:iCs w:val="1"/>
          <w:color w:val="auto"/>
        </w:rPr>
        <w:t xml:space="preserve">Revisions related to price </w:t>
      </w:r>
      <w:r>
        <w:rPr>
          <w:rFonts w:ascii="Arial" w:cs="Arial" w:eastAsia="Arial" w:hAnsi="Arial"/>
          <w:sz w:val="12"/>
          <w:szCs w:val="12"/>
          <w:color w:val="auto"/>
        </w:rPr>
        <w:t>– Product price changes affect the proved reserves we record. For example, higher prices generally increase the economically recoverable reserves in all of our operations, because the</w:t>
      </w:r>
      <w:r>
        <w:rPr>
          <w:rFonts w:ascii="Arial" w:cs="Arial" w:eastAsia="Arial" w:hAnsi="Arial"/>
          <w:sz w:val="12"/>
          <w:szCs w:val="12"/>
          <w:i w:val="1"/>
          <w:iCs w:val="1"/>
          <w:color w:val="auto"/>
        </w:rPr>
        <w:t xml:space="preserve"> </w:t>
      </w:r>
      <w:r>
        <w:rPr>
          <w:rFonts w:ascii="Arial" w:cs="Arial" w:eastAsia="Arial" w:hAnsi="Arial"/>
          <w:sz w:val="12"/>
          <w:szCs w:val="12"/>
          <w:color w:val="auto"/>
        </w:rPr>
        <w:t>extra margin extends their expected lives and renders more projects economic. Partially offsetting this effect, higher prices decrease our share of proved cost recovery reserves under arrangements similar to production-sharing contracts at our Wilmington field in Long Beach because fewer reserves are required to recover costs. Conversely, when prices drop, we experience the opposite effects. In 2017, our total net positive price revision was 49 MMBoe, which was primarily the result of higher prices net of modestly higher operating costs due to the current commodity price environment, partially reinstating reserves that were removed in prior years due to lower prices. In 2016 and 2015, total net negative price revisions were 60 MMBoe and 153 MMBoe, respectively. The 2016 and 2015 price revisions incorporated the negative effect of lower prices, partially offset by the positive effect of lower operating costs also caused by the lower commodity price environment.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287" w:right="199" w:bottom="1440" w:gutter="0" w:footer="0" w:header="0"/>
        </w:sectPr>
      </w:pPr>
    </w:p>
    <w:bookmarkStart w:id="31" w:name="page32"/>
    <w:bookmarkEnd w:id="31"/>
    <w:p>
      <w:pPr>
        <w:ind w:right="80" w:firstLine="216"/>
        <w:spacing w:after="0" w:line="257" w:lineRule="auto"/>
        <w:rPr>
          <w:sz w:val="20"/>
          <w:szCs w:val="20"/>
          <w:color w:val="auto"/>
        </w:rPr>
      </w:pPr>
      <w:r>
        <w:rPr>
          <w:rFonts w:ascii="Arial" w:cs="Arial" w:eastAsia="Arial" w:hAnsi="Arial"/>
          <w:sz w:val="12"/>
          <w:szCs w:val="12"/>
          <w:i w:val="1"/>
          <w:iCs w:val="1"/>
          <w:color w:val="auto"/>
        </w:rPr>
        <w:t xml:space="preserve">Revisions related to performance </w:t>
      </w:r>
      <w:r>
        <w:rPr>
          <w:rFonts w:ascii="Arial" w:cs="Arial" w:eastAsia="Arial" w:hAnsi="Arial"/>
          <w:sz w:val="12"/>
          <w:szCs w:val="12"/>
          <w:color w:val="auto"/>
        </w:rPr>
        <w:t>– Performance-related revisions can include upward or downward changes to previous proved reserves estimates due to the evaluation or interpretation of recent geologic,</w:t>
      </w:r>
      <w:r>
        <w:rPr>
          <w:rFonts w:ascii="Arial" w:cs="Arial" w:eastAsia="Arial" w:hAnsi="Arial"/>
          <w:sz w:val="12"/>
          <w:szCs w:val="12"/>
          <w:i w:val="1"/>
          <w:iCs w:val="1"/>
          <w:color w:val="auto"/>
        </w:rPr>
        <w:t xml:space="preserve"> </w:t>
      </w:r>
      <w:r>
        <w:rPr>
          <w:rFonts w:ascii="Arial" w:cs="Arial" w:eastAsia="Arial" w:hAnsi="Arial"/>
          <w:sz w:val="12"/>
          <w:szCs w:val="12"/>
          <w:color w:val="auto"/>
        </w:rPr>
        <w:t>production decline or operating performance data. In 2017, our net positive performance-related revision of 22 MMBoe resulted primarily from the successful renegotiation of our Huntington Beach royalty agreement and improved performance in the San Joaquin basin, partially offset by negative revisions to remove proved undeveloped reserves due to a downward adjustment of our committed capital in a project area and technical revisions due to updated testing results in one of our project areas. In 2016, our positive performance related revisions of 13 MMBoe resulted primarily from better-than-expected reservoir performance and comprehensive field development planning. These positive revisions primarily came from the San Joaquin and Ventura basins. In 2015, our positive performance related revisions of 45 MMBoe resulted primarily from better-than-expected reservoir performance in our San Joaquin and Los Angeles basins, combined with lower development capital than previously estimated.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Improved Recovery</w:t>
      </w:r>
    </w:p>
    <w:p>
      <w:pPr>
        <w:spacing w:after="0" w:line="162" w:lineRule="exact"/>
        <w:rPr>
          <w:sz w:val="20"/>
          <w:szCs w:val="20"/>
          <w:color w:val="auto"/>
        </w:rPr>
      </w:pPr>
    </w:p>
    <w:p>
      <w:pPr>
        <w:ind w:right="520" w:firstLine="216"/>
        <w:spacing w:after="0" w:line="262" w:lineRule="auto"/>
        <w:rPr>
          <w:sz w:val="20"/>
          <w:szCs w:val="20"/>
          <w:color w:val="auto"/>
        </w:rPr>
      </w:pPr>
      <w:r>
        <w:rPr>
          <w:rFonts w:ascii="Arial" w:cs="Arial" w:eastAsia="Arial" w:hAnsi="Arial"/>
          <w:sz w:val="12"/>
          <w:szCs w:val="12"/>
          <w:color w:val="auto"/>
        </w:rPr>
        <w:t>In 2017, there were no material reserves added from improved recovery. We added proved reserves of 3 MMBoe from improved recovery through proven IOR and EOR methods in 2016 and in 2015. The improved recovery additions in both of those years were associated with the continued development of steamflood and waterflood properties in the San Joaquin basin.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Extensions and Discoveries</w:t>
      </w:r>
    </w:p>
    <w:p>
      <w:pPr>
        <w:spacing w:after="0" w:line="162" w:lineRule="exact"/>
        <w:rPr>
          <w:sz w:val="20"/>
          <w:szCs w:val="20"/>
          <w:color w:val="auto"/>
        </w:rPr>
      </w:pPr>
    </w:p>
    <w:p>
      <w:pPr>
        <w:ind w:right="120" w:firstLine="216"/>
        <w:spacing w:after="0" w:line="253" w:lineRule="auto"/>
        <w:rPr>
          <w:sz w:val="20"/>
          <w:szCs w:val="20"/>
          <w:color w:val="auto"/>
        </w:rPr>
      </w:pPr>
      <w:r>
        <w:rPr>
          <w:rFonts w:ascii="Arial" w:cs="Arial" w:eastAsia="Arial" w:hAnsi="Arial"/>
          <w:sz w:val="12"/>
          <w:szCs w:val="12"/>
          <w:color w:val="auto"/>
        </w:rPr>
        <w:t>In 2017, we added 34 MMBoe of proved reserves primarily from extensions, which were associated with the continued successful drilling program mostly in the San Joaquin and Los Angeles basins. Our drilling program in the San Joaquin basin benefited from the deployment of JV capital at Elk Hills and at waterflood projects in Buena Vista. Our drilling program in the Los Angeles basin resulted in expanded economic inventory due to improvements in performance compared to 2016. We also added new projects in the Sacramento basin as a result of analyzing new data from capital workover projects. In 2016 and 2015, we added 20 MMBoe and 33 MMBoe, respectively, of proved reserves from extensions and discoveries, which generally resulted from exploration and development programs primarily in the San Joaquin, Los Angeles and Ventura basins.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Sales</w:t>
      </w:r>
    </w:p>
    <w:p>
      <w:pPr>
        <w:spacing w:after="0" w:line="162" w:lineRule="exact"/>
        <w:rPr>
          <w:sz w:val="20"/>
          <w:szCs w:val="20"/>
          <w:color w:val="auto"/>
        </w:rPr>
      </w:pPr>
    </w:p>
    <w:p>
      <w:pPr>
        <w:ind w:right="120" w:firstLine="216"/>
        <w:spacing w:after="0" w:line="262" w:lineRule="auto"/>
        <w:rPr>
          <w:sz w:val="20"/>
          <w:szCs w:val="20"/>
          <w:color w:val="auto"/>
        </w:rPr>
      </w:pPr>
      <w:r>
        <w:rPr>
          <w:rFonts w:ascii="Arial" w:cs="Arial" w:eastAsia="Arial" w:hAnsi="Arial"/>
          <w:sz w:val="12"/>
          <w:szCs w:val="12"/>
          <w:color w:val="auto"/>
        </w:rPr>
        <w:t>In 2017, we sold 8 MMBoe of proved reserves based on beginning-of-year reserves balances. Included in this amount was 7 MMBoe of proved undeveloped reserves in the San Joaquin basin conveyed to MIRA as part of our JV with MIRA.</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Proved Undeveloped Reserves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total changes to our proved undeveloped reserves during the year ended December 31, 2017 were as follows (in MMBoe):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7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San Joaquin Basin</w:t>
            </w: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Los Angeles Basin</w:t>
            </w: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Ventura Basin</w:t>
            </w: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Sacramento Basin</w:t>
            </w: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Total</w:t>
            </w:r>
          </w:p>
        </w:tc>
      </w:tr>
      <w:tr>
        <w:trPr>
          <w:trHeight w:val="164"/>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December 31, 2016</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142</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162</w:t>
            </w:r>
          </w:p>
        </w:tc>
      </w:tr>
      <w:tr>
        <w:trPr>
          <w:trHeight w:val="189"/>
        </w:trPr>
        <w:tc>
          <w:tcPr>
            <w:tcW w:w="4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Revisions of previous estimates</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4700" w:type="dxa"/>
            <w:vAlign w:val="bottom"/>
          </w:tcPr>
          <w:p>
            <w:pPr>
              <w:ind w:left="120"/>
              <w:spacing w:after="0"/>
              <w:rPr>
                <w:sz w:val="20"/>
                <w:szCs w:val="20"/>
                <w:color w:val="auto"/>
              </w:rPr>
            </w:pPr>
            <w:r>
              <w:rPr>
                <w:rFonts w:ascii="Arial" w:cs="Arial" w:eastAsia="Arial" w:hAnsi="Arial"/>
                <w:sz w:val="12"/>
                <w:szCs w:val="12"/>
                <w:color w:val="auto"/>
              </w:rPr>
              <w:t>Revisions related to performance</w:t>
            </w:r>
          </w:p>
        </w:tc>
        <w:tc>
          <w:tcPr>
            <w:tcW w:w="1280" w:type="dxa"/>
            <w:vAlign w:val="bottom"/>
          </w:tcPr>
          <w:p>
            <w:pPr>
              <w:jc w:val="right"/>
              <w:ind w:right="21"/>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5"/>
                <w:szCs w:val="15"/>
                <w:color w:val="auto"/>
              </w:rPr>
            </w:pP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(14)</w:t>
            </w:r>
          </w:p>
        </w:tc>
      </w:tr>
      <w:tr>
        <w:trPr>
          <w:trHeight w:val="180"/>
        </w:trPr>
        <w:tc>
          <w:tcPr>
            <w:tcW w:w="4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Revisions related to price changes</w:t>
            </w: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w:t>
            </w:r>
          </w:p>
        </w:tc>
      </w:tr>
      <w:tr>
        <w:trPr>
          <w:trHeight w:val="160"/>
        </w:trPr>
        <w:tc>
          <w:tcPr>
            <w:tcW w:w="4700" w:type="dxa"/>
            <w:vAlign w:val="bottom"/>
          </w:tcPr>
          <w:p>
            <w:pPr>
              <w:ind w:left="20"/>
              <w:spacing w:after="0"/>
              <w:rPr>
                <w:sz w:val="20"/>
                <w:szCs w:val="20"/>
                <w:color w:val="auto"/>
              </w:rPr>
            </w:pPr>
            <w:r>
              <w:rPr>
                <w:rFonts w:ascii="Arial" w:cs="Arial" w:eastAsia="Arial" w:hAnsi="Arial"/>
                <w:sz w:val="12"/>
                <w:szCs w:val="12"/>
                <w:color w:val="auto"/>
              </w:rPr>
              <w:t>Total revisions of previous estimates</w:t>
            </w:r>
          </w:p>
        </w:tc>
        <w:tc>
          <w:tcPr>
            <w:tcW w:w="1280" w:type="dxa"/>
            <w:vAlign w:val="bottom"/>
          </w:tcPr>
          <w:p>
            <w:pPr>
              <w:jc w:val="right"/>
              <w:ind w:right="21"/>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5</w:t>
            </w:r>
          </w:p>
        </w:tc>
      </w:tr>
      <w:tr>
        <w:trPr>
          <w:trHeight w:val="194"/>
        </w:trPr>
        <w:tc>
          <w:tcPr>
            <w:tcW w:w="47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Extensions and discoveries</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28</w:t>
            </w:r>
          </w:p>
        </w:tc>
      </w:tr>
      <w:tr>
        <w:trPr>
          <w:trHeight w:val="194"/>
        </w:trPr>
        <w:tc>
          <w:tcPr>
            <w:tcW w:w="47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Sales</w:t>
            </w:r>
          </w:p>
        </w:tc>
        <w:tc>
          <w:tcPr>
            <w:tcW w:w="1280" w:type="dxa"/>
            <w:vAlign w:val="bottom"/>
          </w:tcPr>
          <w:p>
            <w:pPr>
              <w:jc w:val="right"/>
              <w:ind w:right="2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(7)</w:t>
            </w:r>
          </w:p>
        </w:tc>
      </w:tr>
      <w:tr>
        <w:trPr>
          <w:trHeight w:val="194"/>
        </w:trPr>
        <w:tc>
          <w:tcPr>
            <w:tcW w:w="47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Transfers to proved developed reserves</w:t>
            </w:r>
          </w:p>
        </w:tc>
        <w:tc>
          <w:tcPr>
            <w:tcW w:w="1280" w:type="dxa"/>
            <w:vAlign w:val="bottom"/>
          </w:tcPr>
          <w:p>
            <w:pPr>
              <w:jc w:val="right"/>
              <w:ind w:right="2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1280" w:type="dxa"/>
            <w:vAlign w:val="bottom"/>
          </w:tcPr>
          <w:p>
            <w:pPr>
              <w:jc w:val="right"/>
              <w:ind w:right="2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(10)</w:t>
            </w:r>
          </w:p>
        </w:tc>
      </w:tr>
      <w:tr>
        <w:trPr>
          <w:trHeight w:val="194"/>
        </w:trPr>
        <w:tc>
          <w:tcPr>
            <w:tcW w:w="47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r>
      <w:tr>
        <w:trPr>
          <w:trHeight w:val="167"/>
        </w:trPr>
        <w:tc>
          <w:tcPr>
            <w:tcW w:w="4700" w:type="dxa"/>
            <w:vAlign w:val="bottom"/>
          </w:tcPr>
          <w:p>
            <w:pPr>
              <w:ind w:left="20"/>
              <w:spacing w:after="0"/>
              <w:rPr>
                <w:sz w:val="20"/>
                <w:szCs w:val="20"/>
                <w:color w:val="auto"/>
              </w:rPr>
            </w:pPr>
            <w:r>
              <w:rPr>
                <w:rFonts w:ascii="Arial" w:cs="Arial" w:eastAsia="Arial" w:hAnsi="Arial"/>
                <w:sz w:val="12"/>
                <w:szCs w:val="12"/>
                <w:color w:val="auto"/>
              </w:rPr>
              <w:t>Balance at December 31, 2017</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125</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178</w:t>
            </w:r>
          </w:p>
        </w:tc>
      </w:tr>
      <w:tr>
        <w:trPr>
          <w:trHeight w:val="414"/>
        </w:trPr>
        <w:tc>
          <w:tcPr>
            <w:tcW w:w="4700" w:type="dxa"/>
            <w:vAlign w:val="bottom"/>
          </w:tcPr>
          <w:p>
            <w:pPr>
              <w:spacing w:after="0"/>
              <w:rPr>
                <w:sz w:val="24"/>
                <w:szCs w:val="24"/>
                <w:color w:val="auto"/>
              </w:rPr>
            </w:pPr>
          </w:p>
        </w:tc>
        <w:tc>
          <w:tcPr>
            <w:tcW w:w="1280" w:type="dxa"/>
            <w:vAlign w:val="bottom"/>
          </w:tcPr>
          <w:p>
            <w:pPr>
              <w:jc w:val="right"/>
              <w:ind w:right="121"/>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80"/>
          </w:cols>
          <w:pgMar w:left="220" w:top="289" w:right="199" w:bottom="1440" w:gutter="0" w:footer="0" w:header="0"/>
        </w:sectPr>
      </w:pPr>
    </w:p>
    <w:bookmarkStart w:id="32" w:name="page33"/>
    <w:bookmarkEnd w:id="32"/>
    <w:p>
      <w:pPr>
        <w:ind w:right="100" w:firstLine="216"/>
        <w:spacing w:after="0" w:line="254" w:lineRule="auto"/>
        <w:rPr>
          <w:sz w:val="20"/>
          <w:szCs w:val="20"/>
          <w:color w:val="auto"/>
        </w:rPr>
      </w:pPr>
      <w:r>
        <w:rPr>
          <w:rFonts w:ascii="Arial" w:cs="Arial" w:eastAsia="Arial" w:hAnsi="Arial"/>
          <w:sz w:val="12"/>
          <w:szCs w:val="12"/>
          <w:color w:val="auto"/>
        </w:rPr>
        <w:t>In 2017, we had 19 MMBoe of positive price-related revisions, partially offset by 14 MMBoe negative performance-related revisions. Our positive price revisions were primarily the result of the higher commodity price environment, partially offset by the effect of modestly higher operating costs. We had negative performance-related revisions primarily resulting from a downward adjustment of our committed capital in a project area and technical revisions due to updated testing results in one of our project areas. These negative performance-related revisions were partially offset by positive revisions related to the successful renegotiation of our Huntington Beach royalty agreement in the Los Angeles basin.</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had proved undeveloped reserves additions of 28 MMBoe primarily from extensions, which were associated with the continued successful drilling program primarily in the San Joaquin and Los Angeles basins.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See more discussion of proved reserves additions from the extensions section above.</w:t>
      </w:r>
    </w:p>
    <w:p>
      <w:pPr>
        <w:spacing w:after="0" w:line="150" w:lineRule="exact"/>
        <w:rPr>
          <w:sz w:val="20"/>
          <w:szCs w:val="20"/>
          <w:color w:val="auto"/>
        </w:rPr>
      </w:pPr>
    </w:p>
    <w:p>
      <w:pPr>
        <w:ind w:right="160" w:firstLine="216"/>
        <w:spacing w:after="0" w:line="254" w:lineRule="auto"/>
        <w:rPr>
          <w:sz w:val="20"/>
          <w:szCs w:val="20"/>
          <w:color w:val="auto"/>
        </w:rPr>
      </w:pPr>
      <w:r>
        <w:rPr>
          <w:rFonts w:ascii="Arial" w:cs="Arial" w:eastAsia="Arial" w:hAnsi="Arial"/>
          <w:sz w:val="12"/>
          <w:szCs w:val="12"/>
          <w:color w:val="auto"/>
        </w:rPr>
        <w:t>We transferred 10 MMBoe of proved undeveloped reserves to the proved developed category as a result of the 2017 development program, all of which was in the San Joaquin and Los Angeles basins. As a result, we converted approximately 6% of our beginning-of-year proved undeveloped reserves to proved developed reserves during the year, investing approximately $98 million of capital. The conversion rate reflected the lack of capital in 2016 and only a gradual ramp up of capital during 2017. In addition, 7 MMBoe of our proved undeveloped reserves in the San Joaquin basin were conveyed to the MIRA JV. We expect that, at about $65 to $75 average Brent prices, we will continue to grow our program and have sufficient future capital to develop our proved undeveloped reserves existing at December 31, 2017.</w:t>
      </w:r>
    </w:p>
    <w:p>
      <w:pPr>
        <w:spacing w:after="0" w:line="136"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Our year-end development plans and associated proved undeveloped reserves are consistent with SEC guidelines for development within five years. We believe we will have sufficient capital to develop all proved undeveloped reserves within five years of their original booking date and management commitment to do so. Our conclusion is based on $65 average Brent price for 2018, $70 average Brent price for 2019, and $75 thereafter. Prices that are significantly below these levels for a prolonged period could require us to reduce expected capital investment over the next five years, potentially impacting either the quantity or the development timing of proved undeveloped reserves. For example, if the five-year average price remained at $65 Brent, we would need to remove approximately 8% from our proved undeveloped reserves.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PV-10, Standardized Measure and Reserves Replacement Ratio</w:t>
      </w:r>
    </w:p>
    <w:p>
      <w:pPr>
        <w:spacing w:after="0" w:line="164" w:lineRule="exact"/>
        <w:rPr>
          <w:sz w:val="20"/>
          <w:szCs w:val="20"/>
          <w:color w:val="auto"/>
        </w:rPr>
      </w:pPr>
    </w:p>
    <w:p>
      <w:pPr>
        <w:ind w:right="60" w:firstLine="216"/>
        <w:spacing w:after="0" w:line="262" w:lineRule="auto"/>
        <w:rPr>
          <w:sz w:val="20"/>
          <w:szCs w:val="20"/>
          <w:color w:val="auto"/>
        </w:rPr>
      </w:pPr>
      <w:r>
        <w:rPr>
          <w:rFonts w:ascii="Arial" w:cs="Arial" w:eastAsia="Arial" w:hAnsi="Arial"/>
          <w:sz w:val="12"/>
          <w:szCs w:val="12"/>
          <w:color w:val="auto"/>
        </w:rPr>
        <w:t>As of December 31, 2017, our standardized measure of discounted future net cash flows (Standardized Measure) was $3.8 billion and PV-10 was over $4.5 billion. In addition, we organically replaced 119% of our proved reserves in 2017.</w:t>
      </w:r>
    </w:p>
    <w:p>
      <w:pPr>
        <w:spacing w:after="0" w:line="131" w:lineRule="exact"/>
        <w:rPr>
          <w:sz w:val="20"/>
          <w:szCs w:val="20"/>
          <w:color w:val="auto"/>
        </w:rPr>
      </w:pPr>
    </w:p>
    <w:p>
      <w:pPr>
        <w:ind w:right="40" w:firstLine="216"/>
        <w:spacing w:after="0" w:line="253" w:lineRule="auto"/>
        <w:rPr>
          <w:sz w:val="20"/>
          <w:szCs w:val="20"/>
          <w:color w:val="auto"/>
        </w:rPr>
      </w:pPr>
      <w:r>
        <w:rPr>
          <w:rFonts w:ascii="Arial" w:cs="Arial" w:eastAsia="Arial" w:hAnsi="Arial"/>
          <w:sz w:val="12"/>
          <w:szCs w:val="12"/>
          <w:color w:val="auto"/>
        </w:rPr>
        <w:t>PV-10 is a non-GAAP financial measure and represents the year-end present value of estimated future cash inflows from proved oil and natural gas reserves, less future development and production costs, discounted at 10% per annum to reflect the timing of future cash flows and using SEC-prescribed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96" w:lineRule="exact"/>
        <w:rPr>
          <w:sz w:val="20"/>
          <w:szCs w:val="20"/>
          <w:color w:val="auto"/>
        </w:rPr>
      </w:pPr>
    </w:p>
    <w:p>
      <w:pPr>
        <w:ind w:left="9340"/>
        <w:spacing w:after="0"/>
        <w:rPr>
          <w:sz w:val="20"/>
          <w:szCs w:val="20"/>
          <w:color w:val="auto"/>
        </w:rPr>
      </w:pPr>
      <w:r>
        <w:rPr>
          <w:rFonts w:ascii="Arial" w:cs="Arial" w:eastAsia="Arial" w:hAnsi="Arial"/>
          <w:sz w:val="12"/>
          <w:szCs w:val="12"/>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5462905</wp:posOffset>
            </wp:positionH>
            <wp:positionV relativeFrom="paragraph">
              <wp:posOffset>19050</wp:posOffset>
            </wp:positionV>
            <wp:extent cx="18243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4355" cy="571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w:t>
            </w:r>
          </w:p>
        </w:tc>
        <w:tc>
          <w:tcPr>
            <w:tcW w:w="1620" w:type="dxa"/>
            <w:vAlign w:val="bottom"/>
          </w:tcPr>
          <w:p>
            <w:pPr>
              <w:jc w:val="right"/>
              <w:ind w:right="1102"/>
              <w:spacing w:after="0"/>
              <w:rPr>
                <w:sz w:val="20"/>
                <w:szCs w:val="20"/>
                <w:color w:val="auto"/>
              </w:rPr>
            </w:pPr>
            <w:r>
              <w:rPr>
                <w:rFonts w:ascii="Arial" w:cs="Arial" w:eastAsia="Arial" w:hAnsi="Arial"/>
                <w:sz w:val="10"/>
                <w:szCs w:val="10"/>
                <w:color w:val="auto"/>
                <w:w w:val="93"/>
              </w:rPr>
              <w:t>in millions)</w:t>
            </w:r>
          </w:p>
        </w:tc>
      </w:tr>
      <w:tr>
        <w:trPr>
          <w:trHeight w:val="175"/>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Standardized measure of discounted future net cash flows</w:t>
            </w:r>
          </w:p>
        </w:tc>
        <w:tc>
          <w:tcPr>
            <w:tcW w:w="1260" w:type="dxa"/>
            <w:vAlign w:val="bottom"/>
            <w:shd w:val="clear" w:color="auto" w:fill="CCEEFF"/>
          </w:tcPr>
          <w:p>
            <w:pPr>
              <w:jc w:val="right"/>
              <w:ind w:right="1124"/>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3,765</w:t>
            </w:r>
          </w:p>
        </w:tc>
      </w:tr>
      <w:tr>
        <w:trPr>
          <w:trHeight w:val="16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Present value of future income taxes discounted at 10%</w:t>
            </w:r>
          </w:p>
        </w:tc>
        <w:tc>
          <w:tcPr>
            <w:tcW w:w="1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780</w:t>
            </w:r>
          </w:p>
        </w:tc>
      </w:tr>
      <w:tr>
        <w:trPr>
          <w:trHeight w:val="185"/>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PV-10 of proved reserves</w:t>
            </w:r>
          </w:p>
        </w:tc>
        <w:tc>
          <w:tcPr>
            <w:tcW w:w="1260" w:type="dxa"/>
            <w:vAlign w:val="bottom"/>
            <w:tcBorders>
              <w:bottom w:val="single" w:sz="8" w:color="auto"/>
            </w:tcBorders>
            <w:shd w:val="clear" w:color="auto" w:fill="CCEEFF"/>
          </w:tcPr>
          <w:p>
            <w:pPr>
              <w:jc w:val="right"/>
              <w:ind w:right="1124"/>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4,545</w:t>
            </w:r>
          </w:p>
        </w:tc>
      </w:tr>
      <w:tr>
        <w:trPr>
          <w:trHeight w:val="161"/>
        </w:trPr>
        <w:tc>
          <w:tcPr>
            <w:tcW w:w="8600" w:type="dxa"/>
            <w:vAlign w:val="bottom"/>
          </w:tcPr>
          <w:p>
            <w:pPr>
              <w:ind w:left="20"/>
              <w:spacing w:after="0"/>
              <w:rPr>
                <w:sz w:val="20"/>
                <w:szCs w:val="20"/>
                <w:color w:val="auto"/>
              </w:rPr>
            </w:pPr>
            <w:r>
              <w:rPr>
                <w:rFonts w:ascii="Arial" w:cs="Arial" w:eastAsia="Arial" w:hAnsi="Arial"/>
                <w:sz w:val="12"/>
                <w:szCs w:val="12"/>
                <w:color w:val="auto"/>
              </w:rPr>
              <w:t>Organic reserves replacement ratio</w:t>
            </w:r>
            <w:r>
              <w:rPr>
                <w:rFonts w:ascii="Arial" w:cs="Arial" w:eastAsia="Arial" w:hAnsi="Arial"/>
                <w:sz w:val="14"/>
                <w:szCs w:val="14"/>
                <w:color w:val="auto"/>
                <w:vertAlign w:val="superscript"/>
              </w:rPr>
              <w:t>(a)</w:t>
            </w:r>
          </w:p>
        </w:tc>
        <w:tc>
          <w:tcPr>
            <w:tcW w:w="1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119%</w:t>
            </w:r>
          </w:p>
        </w:tc>
      </w:tr>
    </w:tbl>
    <w:p>
      <w:pPr>
        <w:ind w:left="420" w:right="360" w:hanging="212"/>
        <w:spacing w:after="0" w:line="230" w:lineRule="auto"/>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The organic reserves replacement ratio is calculated for a specified period using the proved oil-equivalent additions from extensions and discoveries, improved recovery and performance-related revisions, divided by oil-equivalent production. There is no guarantee that historical sources of reserves additions will continue as many factors are fully or partially outside management's control, including commodity prices, availability of capital and the underlying geology, all of which affect reserves additions. Management uses this measure to gauge the results of its capital program. Other oil and gas producers may use different methods to calculate replacement ratios, which may affect comparability.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301"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i w:val="1"/>
          <w:iCs w:val="1"/>
          <w:color w:val="auto"/>
        </w:rPr>
        <w:t>Reserves Evaluation and Review Process</w:t>
      </w:r>
    </w:p>
    <w:p>
      <w:pPr>
        <w:spacing w:after="0" w:line="164"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Our estimates of proved reserves and associated discounted future net cash flows as of December 31, 2017 were made by our technical personnel, such as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Production rate forecasts are derived using a number of methods, including estimates from decline-curve analysis, type-curve analysis, material balance calculations, which take into account the volumes of substances replacing the volumes produced and associated reservoir pressure changes, seismic analysis and computer simulations of reservoir performance. These field-tested technologies have demonstrated reasonably certain results with consistency and repeatability in the formations being evaluated or in analogous formations. Operating and capital costs are forecast using the current cost environment (without accounting for possible cost changes) applied to expectations of future operating and development activities related to the proved reserves.</w:t>
      </w:r>
    </w:p>
    <w:p>
      <w:pPr>
        <w:spacing w:after="0" w:line="138" w:lineRule="exact"/>
        <w:rPr>
          <w:sz w:val="20"/>
          <w:szCs w:val="20"/>
          <w:color w:val="auto"/>
        </w:rPr>
      </w:pPr>
    </w:p>
    <w:p>
      <w:pPr>
        <w:ind w:right="320" w:firstLine="216"/>
        <w:spacing w:after="0" w:line="256" w:lineRule="auto"/>
        <w:rPr>
          <w:sz w:val="20"/>
          <w:szCs w:val="20"/>
          <w:color w:val="auto"/>
        </w:rPr>
      </w:pPr>
      <w:r>
        <w:rPr>
          <w:rFonts w:ascii="Arial" w:cs="Arial" w:eastAsia="Arial" w:hAnsi="Arial"/>
          <w:sz w:val="12"/>
          <w:szCs w:val="12"/>
          <w:color w:val="auto"/>
        </w:rPr>
        <w:t>Net proved developed reserves are those volumes that are expected to be recovered through existing wells with existing equipment and operating methods, for which the incremental cost of any additional required investment is relatively minor. Net proved undeveloped reserves are those volumes that are expected to be recovered from new wells on undrilled acreage, or from existing wells where a relatively major expenditure is required.</w:t>
      </w:r>
    </w:p>
    <w:p>
      <w:pPr>
        <w:spacing w:after="0" w:line="135"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Our Vice President, Reserves and Corporate Development has primary responsibility for overseeing the preparation of our reserves estimates. She has over 14 years of experience as an energy sector engineer including as a Senior Reservoir Engineer with Ryder Scott Company, L.P. (Ryder Scott). She is a member of the Society of Petroleum Engineers (SPE) for which she served as past chair of the U.S. Registration Committee. She holds a Master of Business Administration from the Massachusetts Institute of Technology, a Master of Engineering in Petroleum Engineering from the University of Houston and a Bachelor of Science from the University of Florida. She is also a registered Professional Engineer in the state of Texas.</w:t>
      </w:r>
    </w:p>
    <w:p>
      <w:pPr>
        <w:spacing w:after="0" w:line="136" w:lineRule="exact"/>
        <w:rPr>
          <w:sz w:val="20"/>
          <w:szCs w:val="20"/>
          <w:color w:val="auto"/>
        </w:rPr>
      </w:pPr>
    </w:p>
    <w:p>
      <w:pPr>
        <w:ind w:right="420" w:firstLine="216"/>
        <w:spacing w:after="0" w:line="262" w:lineRule="auto"/>
        <w:rPr>
          <w:sz w:val="20"/>
          <w:szCs w:val="20"/>
          <w:color w:val="auto"/>
        </w:rPr>
      </w:pPr>
      <w:r>
        <w:rPr>
          <w:rFonts w:ascii="Arial" w:cs="Arial" w:eastAsia="Arial" w:hAnsi="Arial"/>
          <w:sz w:val="12"/>
          <w:szCs w:val="12"/>
          <w:color w:val="auto"/>
        </w:rPr>
        <w:t>We have an Oil and Gas Reserves Review Committee (Reserves Committee), consisting of senior corporate officers, which reviewed and approved our oil and natural gas reserves for 2017. The Reserves Committee reports to the Audit Committee during the year.</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Audits of Reserves Estimates</w:t>
      </w:r>
    </w:p>
    <w:p>
      <w:pPr>
        <w:spacing w:after="0" w:line="164"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Ryder Scott was engaged to provide an independent audit of our 2017 and 2016 reserves estimates for fields that in each year comprised at least 80% of our total proved reserves. The primary technical engineer responsible for our audit has 38 years of petroleum engineering experience, the majority of which has been in the estimation and evaluation of reserves. He serves on the Ryder Scott Board of Directors and is a registered Professional Engineer in the state of Texas.</w:t>
      </w:r>
    </w:p>
    <w:p>
      <w:pPr>
        <w:spacing w:after="0" w:line="135"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The 2017 reserves audit included a detailed review of 82% of our total proved reserves. For 2017, 2016 and 2015 combined, Ryder Scott audited more than 95% of our total proved reserves. Ryder Scott examined the assumptions underlying our reserves estimates, adequacy and quality of our work product, and estimates of future production rates, net revenues, and the present value of such net revenues. Ryder Scott also examined the appropriateness of the methodologies employed to estimate our reserves as well as their categorization, using the definitions set forth by the SEC, and found them to be appropriate. As part of their process, Ryder Scott developed their own independent estimates of reserves for those fields that they audited. When compared on a field-by-field basis, some of our estimates were greater and some were less than the estimates of Ryder Scott. Given the inherent uncertainties and judgments in estimating proved reserves, differences between our and Ryder Scott's estimates are to be expected. The aggregate difference between our estimates and Ryder Scott's was less than 10%, which was within SPE's acceptable tolerance.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60"/>
          </w:cols>
          <w:pgMar w:left="220" w:top="287" w:right="219" w:bottom="1440" w:gutter="0" w:footer="0" w:header="0"/>
        </w:sectPr>
      </w:pPr>
    </w:p>
    <w:bookmarkStart w:id="34" w:name="page35"/>
    <w:bookmarkEnd w:id="34"/>
    <w:p>
      <w:pPr>
        <w:jc w:val="both"/>
        <w:ind w:left="8" w:firstLine="216"/>
        <w:spacing w:after="0" w:line="254" w:lineRule="auto"/>
        <w:rPr>
          <w:sz w:val="20"/>
          <w:szCs w:val="20"/>
          <w:color w:val="auto"/>
        </w:rPr>
      </w:pPr>
      <w:r>
        <w:rPr>
          <w:rFonts w:ascii="Arial" w:cs="Arial" w:eastAsia="Arial" w:hAnsi="Arial"/>
          <w:sz w:val="12"/>
          <w:szCs w:val="12"/>
          <w:color w:val="auto"/>
        </w:rPr>
        <w:t>In the conduct of the reserves audit, Ryder Scott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Ryder Scott's attention which brought into question the validity or sufficiency of any such information or data, Ryder Scott would not rely on such information or data until it had resolved its questions relating thereto or had independently verified such information or data.</w:t>
      </w:r>
    </w:p>
    <w:p>
      <w:pPr>
        <w:spacing w:after="0" w:line="136" w:lineRule="exact"/>
        <w:rPr>
          <w:sz w:val="20"/>
          <w:szCs w:val="20"/>
          <w:color w:val="auto"/>
        </w:rPr>
      </w:pPr>
    </w:p>
    <w:p>
      <w:pPr>
        <w:jc w:val="both"/>
        <w:ind w:left="8" w:right="80" w:firstLine="216"/>
        <w:spacing w:after="0" w:line="256" w:lineRule="auto"/>
        <w:rPr>
          <w:sz w:val="20"/>
          <w:szCs w:val="20"/>
          <w:color w:val="auto"/>
        </w:rPr>
      </w:pPr>
      <w:r>
        <w:rPr>
          <w:rFonts w:ascii="Arial" w:cs="Arial" w:eastAsia="Arial" w:hAnsi="Arial"/>
          <w:sz w:val="12"/>
          <w:szCs w:val="12"/>
          <w:color w:val="auto"/>
        </w:rPr>
        <w:t>Ryder Scott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Ryder Scott issued an unqualified audit opinion on our proved reserves at December 31, 2017. Ryder Scott's report is attached as an exhibit to this Form 10-K.</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Drilling Locations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Proven Drilling Locations</w:t>
      </w:r>
    </w:p>
    <w:p>
      <w:pPr>
        <w:spacing w:after="0" w:line="164" w:lineRule="exact"/>
        <w:rPr>
          <w:sz w:val="20"/>
          <w:szCs w:val="20"/>
          <w:color w:val="auto"/>
        </w:rPr>
      </w:pPr>
    </w:p>
    <w:p>
      <w:pPr>
        <w:ind w:left="8" w:right="40" w:firstLine="216"/>
        <w:spacing w:after="0" w:line="284" w:lineRule="auto"/>
        <w:rPr>
          <w:sz w:val="20"/>
          <w:szCs w:val="20"/>
          <w:color w:val="auto"/>
        </w:rPr>
      </w:pPr>
      <w:r>
        <w:rPr>
          <w:rFonts w:ascii="Arial" w:cs="Arial" w:eastAsia="Arial" w:hAnsi="Arial"/>
          <w:sz w:val="11"/>
          <w:szCs w:val="11"/>
          <w:color w:val="auto"/>
        </w:rPr>
        <w:t>Based on our reserves report as of December 31, 2017, we have approximately 2,090 gross (1,870 net) drilling locations attributable to our proved undeveloped reserves. We use production data and experience gained from our development programs to identify and prioritize this proven drilling inventory. These drilling locations are included in our inventory only after we have adopted a development plan to drill them within a five-year time frame. As a result of rigorous technical evaluation of geologic and engineering data, we can estimate with reasonable certainty that reserves from these locations will be commercially recoverable in accordance with SEC guidelines. Management considers the availability of local infrastructure, drilling support assets, state and local regulations and other factors it deems relevant in determining such locations.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Unproven Drilling Locations</w:t>
      </w:r>
    </w:p>
    <w:p>
      <w:pPr>
        <w:spacing w:after="0" w:line="164" w:lineRule="exact"/>
        <w:rPr>
          <w:sz w:val="20"/>
          <w:szCs w:val="20"/>
          <w:color w:val="auto"/>
        </w:rPr>
      </w:pPr>
    </w:p>
    <w:p>
      <w:pPr>
        <w:ind w:left="8" w:right="400" w:firstLine="216"/>
        <w:spacing w:after="0" w:line="250" w:lineRule="auto"/>
        <w:rPr>
          <w:sz w:val="20"/>
          <w:szCs w:val="20"/>
          <w:color w:val="auto"/>
        </w:rPr>
      </w:pPr>
      <w:r>
        <w:rPr>
          <w:rFonts w:ascii="Arial" w:cs="Arial" w:eastAsia="Arial" w:hAnsi="Arial"/>
          <w:sz w:val="12"/>
          <w:szCs w:val="12"/>
          <w:color w:val="auto"/>
        </w:rPr>
        <w:t>We have also identified a multi-year inventory of 19,170 gross (17,540 net) drilling locations that are not associated with proved undeveloped reserves but are specifically identified on a field-by-field basis considering the applicable geologic, engineering and production data. We analyze past field development practices and identify analogous drilling opportunities taking into consideration historical production performance, estimated drilling and completion costs, spacing and other performance factors. These drilling locations primarily include (i) infill drilling locations, (ii) additional locations due to field extensions or</w:t>
      </w:r>
    </w:p>
    <w:p>
      <w:pPr>
        <w:spacing w:after="0" w:line="1" w:lineRule="exact"/>
        <w:rPr>
          <w:sz w:val="20"/>
          <w:szCs w:val="20"/>
          <w:color w:val="auto"/>
        </w:rPr>
      </w:pPr>
    </w:p>
    <w:p>
      <w:pPr>
        <w:ind w:left="8" w:right="180" w:hanging="8"/>
        <w:spacing w:after="0" w:line="262" w:lineRule="auto"/>
        <w:tabs>
          <w:tab w:leader="none" w:pos="201" w:val="left"/>
        </w:tabs>
        <w:numPr>
          <w:ilvl w:val="0"/>
          <w:numId w:val="24"/>
        </w:numPr>
        <w:rPr>
          <w:rFonts w:ascii="Arial" w:cs="Arial" w:eastAsia="Arial" w:hAnsi="Arial"/>
          <w:sz w:val="12"/>
          <w:szCs w:val="12"/>
          <w:color w:val="auto"/>
        </w:rPr>
      </w:pPr>
      <w:r>
        <w:rPr>
          <w:rFonts w:ascii="Arial" w:cs="Arial" w:eastAsia="Arial" w:hAnsi="Arial"/>
          <w:sz w:val="12"/>
          <w:szCs w:val="12"/>
          <w:color w:val="auto"/>
        </w:rPr>
        <w:t>potential IOR and EOR project expansions, some of which are currently in the pilot phase across our properties, but have yet to be moved to the proven category. We believe the assumptions and data used to estimate these drilling locations are consistent with established industry practices with well spacing selected based on the type of recovery process we are using.</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Exploration Drilling Locations</w:t>
      </w:r>
    </w:p>
    <w:p>
      <w:pPr>
        <w:spacing w:after="0" w:line="152" w:lineRule="exact"/>
        <w:rPr>
          <w:sz w:val="20"/>
          <w:szCs w:val="20"/>
          <w:color w:val="auto"/>
        </w:rPr>
      </w:pPr>
    </w:p>
    <w:p>
      <w:pPr>
        <w:ind w:left="8" w:firstLine="216"/>
        <w:spacing w:after="0" w:line="258" w:lineRule="auto"/>
        <w:rPr>
          <w:sz w:val="20"/>
          <w:szCs w:val="20"/>
          <w:color w:val="auto"/>
        </w:rPr>
      </w:pPr>
      <w:r>
        <w:rPr>
          <w:rFonts w:ascii="Arial" w:cs="Arial" w:eastAsia="Arial" w:hAnsi="Arial"/>
          <w:sz w:val="12"/>
          <w:szCs w:val="12"/>
          <w:i w:val="1"/>
          <w:iCs w:val="1"/>
          <w:color w:val="auto"/>
        </w:rPr>
        <w:t xml:space="preserve">Conventional </w:t>
      </w:r>
      <w:r>
        <w:rPr>
          <w:rFonts w:ascii="Arial" w:cs="Arial" w:eastAsia="Arial" w:hAnsi="Arial"/>
          <w:sz w:val="12"/>
          <w:szCs w:val="12"/>
          <w:color w:val="auto"/>
        </w:rPr>
        <w:t>– Our exploration portfolio contains approximately 12,610 gross (5,670 net) unrisked prospective drilling locations in conventional reservoirs, the majority of which are located near existing producing</w:t>
      </w:r>
      <w:r>
        <w:rPr>
          <w:rFonts w:ascii="Arial" w:cs="Arial" w:eastAsia="Arial" w:hAnsi="Arial"/>
          <w:sz w:val="12"/>
          <w:szCs w:val="12"/>
          <w:i w:val="1"/>
          <w:iCs w:val="1"/>
          <w:color w:val="auto"/>
        </w:rPr>
        <w:t xml:space="preserve"> </w:t>
      </w:r>
      <w:r>
        <w:rPr>
          <w:rFonts w:ascii="Arial" w:cs="Arial" w:eastAsia="Arial" w:hAnsi="Arial"/>
          <w:sz w:val="12"/>
          <w:szCs w:val="12"/>
          <w:color w:val="auto"/>
        </w:rPr>
        <w:t>fields. We use internally generated information and proprietary geologic models consisting of data from analog plays, 3D seismic data, open hole and mud log data, cores and reservoir engineering data to help define the extent of the targeted intervals and the potential ability of such intervals to produce commercial quantities of hydrocarbons. Information used to identify exploration locations includes both our own proprietary data, as well as industry data available in the public domain. After defining the potential areal extent of an exploration prospect, we identify our exploration drilling locations within the prospect by applying the well spacing historically utilized for the applicable type of recovery process used in analogous fields.</w:t>
      </w:r>
    </w:p>
    <w:p>
      <w:pPr>
        <w:spacing w:after="0" w:line="153"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08"/>
          </w:cols>
          <w:pgMar w:left="212" w:top="301" w:right="279" w:bottom="1440" w:gutter="0" w:footer="0" w:header="0"/>
        </w:sectPr>
      </w:pPr>
    </w:p>
    <w:bookmarkStart w:id="35" w:name="page36"/>
    <w:bookmarkEnd w:id="35"/>
    <w:p>
      <w:pPr>
        <w:ind w:firstLine="234"/>
        <w:spacing w:after="0" w:line="261" w:lineRule="auto"/>
        <w:rPr>
          <w:sz w:val="20"/>
          <w:szCs w:val="20"/>
          <w:color w:val="auto"/>
        </w:rPr>
      </w:pPr>
      <w:r>
        <w:rPr>
          <w:rFonts w:ascii="Arial" w:cs="Arial" w:eastAsia="Arial" w:hAnsi="Arial"/>
          <w:sz w:val="12"/>
          <w:szCs w:val="12"/>
          <w:i w:val="1"/>
          <w:iCs w:val="1"/>
          <w:color w:val="auto"/>
        </w:rPr>
        <w:t xml:space="preserve">Unconventional </w:t>
      </w:r>
      <w:r>
        <w:rPr>
          <w:rFonts w:ascii="Arial" w:cs="Arial" w:eastAsia="Arial" w:hAnsi="Arial"/>
          <w:sz w:val="12"/>
          <w:szCs w:val="12"/>
          <w:color w:val="auto"/>
        </w:rPr>
        <w:t>– We have approximately 6,400 gross (5,300 net) unrisked prospective resource drilling locations identified in the lower Monterey, Kreyenhagen and Moreno unconventional reservoirs based on</w:t>
      </w:r>
      <w:r>
        <w:rPr>
          <w:rFonts w:ascii="Arial" w:cs="Arial" w:eastAsia="Arial" w:hAnsi="Arial"/>
          <w:sz w:val="12"/>
          <w:szCs w:val="12"/>
          <w:i w:val="1"/>
          <w:iCs w:val="1"/>
          <w:color w:val="auto"/>
        </w:rPr>
        <w:t xml:space="preserve"> </w:t>
      </w:r>
      <w:r>
        <w:rPr>
          <w:rFonts w:ascii="Arial" w:cs="Arial" w:eastAsia="Arial" w:hAnsi="Arial"/>
          <w:sz w:val="12"/>
          <w:szCs w:val="12"/>
          <w:color w:val="auto"/>
        </w:rPr>
        <w:t>screening criteria that include geologic and economic considerations and limited production information. Prospective play areas are defined by geologic data consisting of well cuttings, hydrocarbon shows, open-hole well logs, geochemical data, available 3D or 2D seismic data and formation pressure data, where available. Information used to identify our prospective locations includes both our own proprietary data, as well as industry data available in the public domain. We identify our prospective resource drilling locations based on an assumption of 80-acre spacing per well throughout the prospective area for each resource play.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Well Spacing Determination</w:t>
      </w:r>
    </w:p>
    <w:p>
      <w:pPr>
        <w:spacing w:after="0" w:line="164"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Our well spacing determinations in the above categories of identified well locations are based on actual operational spacing within our existing producing fields, which we believe are reasonable for the particular recovery process employed (e.g., primary, waterflood or EOR). Due to the significant vertical thickness and multiple stacked reservoirs usually encountered by our drilling wells, typical well spacing is generally less than 20 acres and often 10 acres or less in the majority of our fields unless specified differently above. These parameters also meet the general well spacing restrictions imposed on certain oil and gas fields in California.</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Drilling Schedule</w:t>
      </w:r>
    </w:p>
    <w:p>
      <w:pPr>
        <w:spacing w:after="0" w:line="164" w:lineRule="exact"/>
        <w:rPr>
          <w:sz w:val="20"/>
          <w:szCs w:val="20"/>
          <w:color w:val="auto"/>
        </w:rPr>
      </w:pPr>
    </w:p>
    <w:p>
      <w:pPr>
        <w:ind w:right="120" w:firstLine="216"/>
        <w:spacing w:after="0" w:line="254" w:lineRule="auto"/>
        <w:rPr>
          <w:sz w:val="20"/>
          <w:szCs w:val="20"/>
          <w:color w:val="auto"/>
        </w:rPr>
      </w:pPr>
      <w:r>
        <w:rPr>
          <w:rFonts w:ascii="Arial" w:cs="Arial" w:eastAsia="Arial" w:hAnsi="Arial"/>
          <w:sz w:val="12"/>
          <w:szCs w:val="12"/>
          <w:color w:val="auto"/>
        </w:rPr>
        <w:t>Our identified drilling locations have been scheduled as part of our current multi-year drilling schedule or are expected to be scheduled in the future. However, we may not drill our identified sites at the times scheduled or at all. We view the risk profile for our exploration drilling locations as being higher than for our other drilling locations due to relatively less available geologic and production data and drilling history, in particular with respect to our prospective resource locations in unconventional reservoirs, which are in unproven geologic plays. We make assumptions about the consistency and accuracy of data when we identify these locations that may prove inaccurate.</w:t>
      </w:r>
    </w:p>
    <w:p>
      <w:pPr>
        <w:spacing w:after="0" w:line="136" w:lineRule="exact"/>
        <w:rPr>
          <w:sz w:val="20"/>
          <w:szCs w:val="20"/>
          <w:color w:val="auto"/>
        </w:rPr>
      </w:pPr>
    </w:p>
    <w:p>
      <w:pPr>
        <w:jc w:val="both"/>
        <w:ind w:right="40" w:firstLine="216"/>
        <w:spacing w:after="0" w:line="256" w:lineRule="auto"/>
        <w:rPr>
          <w:sz w:val="20"/>
          <w:szCs w:val="20"/>
          <w:color w:val="auto"/>
        </w:rPr>
      </w:pPr>
      <w:r>
        <w:rPr>
          <w:rFonts w:ascii="Arial" w:cs="Arial" w:eastAsia="Arial" w:hAnsi="Arial"/>
          <w:sz w:val="12"/>
          <w:szCs w:val="12"/>
          <w:color w:val="auto"/>
        </w:rPr>
        <w:t xml:space="preserve">Our ability to profitably drill and develop our identified drilling locations depends on a number of variables, including crude oil and natural gas prices, capital availability, costs, drilling results, regulatory approvals, available transportation capacity and other factors. If future drilling results in these projects do not establish sufficient reserves to achieve an economic return, we may curtail drilling or development of these projects. For a discussion of the risks associated with our drilling program, see </w:t>
      </w:r>
      <w:r>
        <w:rPr>
          <w:rFonts w:ascii="Arial" w:cs="Arial" w:eastAsia="Arial" w:hAnsi="Arial"/>
          <w:sz w:val="12"/>
          <w:szCs w:val="12"/>
          <w:i w:val="1"/>
          <w:iCs w:val="1"/>
          <w:color w:val="auto"/>
        </w:rPr>
        <w:t>Item 1A – Risk Factors – Risks Related to Our Business and Industry</w:t>
      </w:r>
      <w:r>
        <w:rPr>
          <w:rFonts w:ascii="Arial" w:cs="Arial" w:eastAsia="Arial" w:hAnsi="Arial"/>
          <w:sz w:val="12"/>
          <w:szCs w:val="12"/>
          <w:color w:val="auto"/>
        </w:rPr>
        <w:t>.</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80"/>
          </w:cols>
          <w:pgMar w:left="220" w:top="433" w:right="299" w:bottom="1440" w:gutter="0" w:footer="0" w:header="0"/>
        </w:sectPr>
      </w:pPr>
    </w:p>
    <w:bookmarkStart w:id="36" w:name="page37"/>
    <w:bookmarkEnd w:id="36"/>
    <w:p>
      <w:pPr>
        <w:ind w:left="200"/>
        <w:spacing w:after="0"/>
        <w:rPr>
          <w:sz w:val="20"/>
          <w:szCs w:val="20"/>
          <w:color w:val="auto"/>
        </w:rPr>
      </w:pPr>
      <w:r>
        <w:rPr>
          <w:rFonts w:ascii="Arial" w:cs="Arial" w:eastAsia="Arial" w:hAnsi="Arial"/>
          <w:sz w:val="12"/>
          <w:szCs w:val="12"/>
          <w:color w:val="auto"/>
        </w:rPr>
        <w:t>The table below sets forth our total gross identified drilling locations as of December 31, 2017, excluding our exploration drilling locations related to unconventional reservoirs.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820" w:type="dxa"/>
            <w:vAlign w:val="bottom"/>
          </w:tcPr>
          <w:p>
            <w:pPr>
              <w:spacing w:after="0"/>
              <w:rPr>
                <w:sz w:val="11"/>
                <w:szCs w:val="11"/>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Arial" w:cs="Arial" w:eastAsia="Arial" w:hAnsi="Arial"/>
                <w:sz w:val="10"/>
                <w:szCs w:val="10"/>
                <w:b w:val="1"/>
                <w:bCs w:val="1"/>
                <w:color w:val="auto"/>
                <w:w w:val="99"/>
              </w:rPr>
              <w:t>Proven Drilling Locations</w:t>
            </w: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0"/>
                <w:szCs w:val="10"/>
                <w:b w:val="1"/>
                <w:bCs w:val="1"/>
                <w:color w:val="auto"/>
              </w:rPr>
              <w:t>Total Identified Drilling Locations</w:t>
            </w:r>
          </w:p>
        </w:tc>
      </w:tr>
      <w:tr>
        <w:trPr>
          <w:trHeight w:val="110"/>
        </w:trPr>
        <w:tc>
          <w:tcPr>
            <w:tcW w:w="4820" w:type="dxa"/>
            <w:vAlign w:val="bottom"/>
          </w:tcPr>
          <w:p>
            <w:pPr>
              <w:spacing w:after="0"/>
              <w:rPr>
                <w:sz w:val="9"/>
                <w:szCs w:val="9"/>
                <w:color w:val="auto"/>
              </w:rPr>
            </w:pPr>
          </w:p>
        </w:tc>
        <w:tc>
          <w:tcPr>
            <w:tcW w:w="2320" w:type="dxa"/>
            <w:vAlign w:val="bottom"/>
            <w:gridSpan w:val="3"/>
          </w:tcPr>
          <w:p>
            <w:pPr>
              <w:jc w:val="center"/>
              <w:ind w:right="360"/>
              <w:spacing w:after="0" w:line="111" w:lineRule="exact"/>
              <w:rPr>
                <w:sz w:val="20"/>
                <w:szCs w:val="20"/>
                <w:color w:val="auto"/>
              </w:rPr>
            </w:pPr>
            <w:r>
              <w:rPr>
                <w:rFonts w:ascii="Arial" w:cs="Arial" w:eastAsia="Arial" w:hAnsi="Arial"/>
                <w:sz w:val="10"/>
                <w:szCs w:val="10"/>
                <w:b w:val="1"/>
                <w:bCs w:val="1"/>
                <w:color w:val="auto"/>
                <w:w w:val="94"/>
              </w:rPr>
              <w:t>Oil and</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gridSpan w:val="2"/>
          </w:tcPr>
          <w:p>
            <w:pPr>
              <w:jc w:val="center"/>
              <w:ind w:right="100"/>
              <w:spacing w:after="0" w:line="111" w:lineRule="exact"/>
              <w:rPr>
                <w:sz w:val="20"/>
                <w:szCs w:val="20"/>
                <w:color w:val="auto"/>
              </w:rPr>
            </w:pPr>
            <w:r>
              <w:rPr>
                <w:rFonts w:ascii="Arial" w:cs="Arial" w:eastAsia="Arial" w:hAnsi="Arial"/>
                <w:sz w:val="10"/>
                <w:szCs w:val="10"/>
                <w:b w:val="1"/>
                <w:bCs w:val="1"/>
                <w:color w:val="auto"/>
                <w:w w:val="94"/>
              </w:rPr>
              <w:t>Oil and</w:t>
            </w:r>
          </w:p>
        </w:tc>
        <w:tc>
          <w:tcPr>
            <w:tcW w:w="1260" w:type="dxa"/>
            <w:vAlign w:val="bottom"/>
          </w:tcPr>
          <w:p>
            <w:pPr>
              <w:spacing w:after="0"/>
              <w:rPr>
                <w:sz w:val="9"/>
                <w:szCs w:val="9"/>
                <w:color w:val="auto"/>
              </w:rPr>
            </w:pPr>
          </w:p>
        </w:tc>
      </w:tr>
      <w:tr>
        <w:trPr>
          <w:trHeight w:val="131"/>
        </w:trPr>
        <w:tc>
          <w:tcPr>
            <w:tcW w:w="4820" w:type="dxa"/>
            <w:vAlign w:val="bottom"/>
          </w:tcPr>
          <w:p>
            <w:pPr>
              <w:spacing w:after="0"/>
              <w:rPr>
                <w:sz w:val="11"/>
                <w:szCs w:val="11"/>
                <w:color w:val="auto"/>
              </w:rPr>
            </w:pPr>
          </w:p>
        </w:tc>
        <w:tc>
          <w:tcPr>
            <w:tcW w:w="23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94"/>
              </w:rPr>
              <w:t>Natural Gas Wells</w:t>
            </w:r>
          </w:p>
        </w:tc>
        <w:tc>
          <w:tcPr>
            <w:tcW w:w="1140" w:type="dxa"/>
            <w:vAlign w:val="bottom"/>
            <w:gridSpan w:val="2"/>
          </w:tcPr>
          <w:p>
            <w:pPr>
              <w:ind w:left="60"/>
              <w:spacing w:after="0"/>
              <w:rPr>
                <w:sz w:val="20"/>
                <w:szCs w:val="20"/>
                <w:color w:val="auto"/>
              </w:rPr>
            </w:pPr>
            <w:r>
              <w:rPr>
                <w:rFonts w:ascii="Arial" w:cs="Arial" w:eastAsia="Arial" w:hAnsi="Arial"/>
                <w:sz w:val="10"/>
                <w:szCs w:val="10"/>
                <w:b w:val="1"/>
                <w:bCs w:val="1"/>
                <w:color w:val="auto"/>
              </w:rPr>
              <w:t>Injection Wells</w:t>
            </w:r>
          </w:p>
        </w:tc>
        <w:tc>
          <w:tcPr>
            <w:tcW w:w="19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Natural Gas Wells</w:t>
            </w:r>
          </w:p>
        </w:tc>
        <w:tc>
          <w:tcPr>
            <w:tcW w:w="1260" w:type="dxa"/>
            <w:vAlign w:val="bottom"/>
          </w:tcPr>
          <w:p>
            <w:pPr>
              <w:jc w:val="right"/>
              <w:ind w:right="241"/>
              <w:spacing w:after="0"/>
              <w:rPr>
                <w:sz w:val="20"/>
                <w:szCs w:val="20"/>
                <w:color w:val="auto"/>
              </w:rPr>
            </w:pPr>
            <w:r>
              <w:rPr>
                <w:rFonts w:ascii="Arial" w:cs="Arial" w:eastAsia="Arial" w:hAnsi="Arial"/>
                <w:sz w:val="10"/>
                <w:szCs w:val="10"/>
                <w:b w:val="1"/>
                <w:bCs w:val="1"/>
                <w:color w:val="auto"/>
              </w:rPr>
              <w:t>Injection Wells</w:t>
            </w:r>
          </w:p>
        </w:tc>
      </w:tr>
      <w:tr>
        <w:trPr>
          <w:trHeight w:val="16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San Joaquin Basin</w:t>
            </w:r>
          </w:p>
        </w:tc>
        <w:tc>
          <w:tcPr>
            <w:tcW w:w="1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Primary Conventional</w:t>
            </w:r>
          </w:p>
        </w:tc>
        <w:tc>
          <w:tcPr>
            <w:tcW w:w="1960" w:type="dxa"/>
            <w:vAlign w:val="bottom"/>
          </w:tcPr>
          <w:p>
            <w:pPr>
              <w:jc w:val="right"/>
              <w:ind w:right="62"/>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40" w:type="dxa"/>
            <w:vAlign w:val="bottom"/>
          </w:tcPr>
          <w:p>
            <w:pPr>
              <w:jc w:val="right"/>
              <w:ind w:right="62"/>
              <w:spacing w:after="0"/>
              <w:rPr>
                <w:sz w:val="20"/>
                <w:szCs w:val="20"/>
                <w:color w:val="auto"/>
              </w:rPr>
            </w:pPr>
            <w:r>
              <w:rPr>
                <w:rFonts w:ascii="Arial" w:cs="Arial" w:eastAsia="Arial" w:hAnsi="Arial"/>
                <w:sz w:val="12"/>
                <w:szCs w:val="12"/>
                <w:color w:val="auto"/>
              </w:rPr>
              <w:t>8,490</w:t>
            </w:r>
          </w:p>
        </w:tc>
        <w:tc>
          <w:tcPr>
            <w:tcW w:w="10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Steamflood</w:t>
            </w:r>
          </w:p>
        </w:tc>
        <w:tc>
          <w:tcPr>
            <w:tcW w:w="1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160</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8,420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460</w:t>
            </w: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Waterflood</w:t>
            </w:r>
          </w:p>
        </w:tc>
        <w:tc>
          <w:tcPr>
            <w:tcW w:w="1960" w:type="dxa"/>
            <w:vAlign w:val="bottom"/>
          </w:tcPr>
          <w:p>
            <w:pPr>
              <w:jc w:val="right"/>
              <w:ind w:right="62"/>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5"/>
                <w:szCs w:val="15"/>
                <w:color w:val="auto"/>
              </w:rPr>
            </w:pPr>
          </w:p>
        </w:tc>
        <w:tc>
          <w:tcPr>
            <w:tcW w:w="1840" w:type="dxa"/>
            <w:vAlign w:val="bottom"/>
          </w:tcPr>
          <w:p>
            <w:pPr>
              <w:jc w:val="right"/>
              <w:ind w:right="62"/>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990</w:t>
            </w:r>
          </w:p>
        </w:tc>
      </w:tr>
      <w:tr>
        <w:trPr>
          <w:trHeight w:val="180"/>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Unconventional</w:t>
            </w:r>
          </w:p>
        </w:tc>
        <w:tc>
          <w:tcPr>
            <w:tcW w:w="1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270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4,830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60"/>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San Joaquin Basin subtotal</w:t>
            </w:r>
          </w:p>
        </w:tc>
        <w:tc>
          <w:tcPr>
            <w:tcW w:w="19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1,190</w:t>
            </w:r>
          </w:p>
        </w:tc>
        <w:tc>
          <w:tcPr>
            <w:tcW w:w="1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220</w:t>
            </w:r>
          </w:p>
        </w:tc>
        <w:tc>
          <w:tcPr>
            <w:tcW w:w="100" w:type="dxa"/>
            <w:vAlign w:val="bottom"/>
            <w:tcBorders>
              <w:bottom w:val="single" w:sz="8" w:color="CCEEFF"/>
            </w:tcBorders>
          </w:tcPr>
          <w:p>
            <w:pPr>
              <w:spacing w:after="0"/>
              <w:rPr>
                <w:sz w:val="13"/>
                <w:szCs w:val="13"/>
                <w:color w:val="auto"/>
              </w:rPr>
            </w:pPr>
          </w:p>
        </w:tc>
        <w:tc>
          <w:tcPr>
            <w:tcW w:w="1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23,740</w:t>
            </w:r>
          </w:p>
        </w:tc>
        <w:tc>
          <w:tcPr>
            <w:tcW w:w="10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1,450</w:t>
            </w:r>
          </w:p>
        </w:tc>
      </w:tr>
      <w:tr>
        <w:trPr>
          <w:trHeight w:val="183"/>
        </w:trPr>
        <w:tc>
          <w:tcPr>
            <w:tcW w:w="48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Los Angeles Basin</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5"/>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Primary Conventional</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Steamflood</w:t>
            </w:r>
          </w:p>
        </w:tc>
        <w:tc>
          <w:tcPr>
            <w:tcW w:w="2320" w:type="dxa"/>
            <w:vAlign w:val="bottom"/>
            <w:gridSpan w:val="3"/>
          </w:tcPr>
          <w:p>
            <w:pPr>
              <w:jc w:val="right"/>
              <w:ind w:right="4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Waterflood</w:t>
            </w:r>
          </w:p>
        </w:tc>
        <w:tc>
          <w:tcPr>
            <w:tcW w:w="1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140</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1,460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490</w:t>
            </w: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Unconventional</w:t>
            </w:r>
          </w:p>
        </w:tc>
        <w:tc>
          <w:tcPr>
            <w:tcW w:w="2320" w:type="dxa"/>
            <w:vAlign w:val="bottom"/>
            <w:gridSpan w:val="3"/>
          </w:tcPr>
          <w:p>
            <w:pPr>
              <w:jc w:val="right"/>
              <w:ind w:right="4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60"/>
        </w:trPr>
        <w:tc>
          <w:tcPr>
            <w:tcW w:w="48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Los Angeles Basin subtotal</w:t>
            </w:r>
          </w:p>
        </w:tc>
        <w:tc>
          <w:tcPr>
            <w:tcW w:w="19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410</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140</w:t>
            </w:r>
          </w:p>
        </w:tc>
        <w:tc>
          <w:tcPr>
            <w:tcW w:w="10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1,460</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490</w:t>
            </w:r>
          </w:p>
        </w:tc>
      </w:tr>
      <w:tr>
        <w:trPr>
          <w:trHeight w:val="183"/>
        </w:trPr>
        <w:tc>
          <w:tcPr>
            <w:tcW w:w="4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Ventura Basin</w:t>
            </w: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Primary Conventional</w:t>
            </w:r>
          </w:p>
        </w:tc>
        <w:tc>
          <w:tcPr>
            <w:tcW w:w="1960" w:type="dxa"/>
            <w:vAlign w:val="bottom"/>
          </w:tcPr>
          <w:p>
            <w:pPr>
              <w:jc w:val="right"/>
              <w:ind w:right="62"/>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40" w:type="dxa"/>
            <w:vAlign w:val="bottom"/>
          </w:tcPr>
          <w:p>
            <w:pPr>
              <w:jc w:val="right"/>
              <w:ind w:right="62"/>
              <w:spacing w:after="0"/>
              <w:rPr>
                <w:sz w:val="20"/>
                <w:szCs w:val="20"/>
                <w:color w:val="auto"/>
              </w:rPr>
            </w:pPr>
            <w:r>
              <w:rPr>
                <w:rFonts w:ascii="Arial" w:cs="Arial" w:eastAsia="Arial" w:hAnsi="Arial"/>
                <w:sz w:val="12"/>
                <w:szCs w:val="12"/>
                <w:color w:val="auto"/>
              </w:rPr>
              <w:t>1,850</w:t>
            </w:r>
          </w:p>
        </w:tc>
        <w:tc>
          <w:tcPr>
            <w:tcW w:w="10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Steamflood</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Waterflood</w:t>
            </w:r>
          </w:p>
        </w:tc>
        <w:tc>
          <w:tcPr>
            <w:tcW w:w="1960" w:type="dxa"/>
            <w:vAlign w:val="bottom"/>
          </w:tcPr>
          <w:p>
            <w:pPr>
              <w:jc w:val="right"/>
              <w:ind w:right="62"/>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5"/>
                <w:szCs w:val="15"/>
                <w:color w:val="auto"/>
              </w:rPr>
            </w:pPr>
          </w:p>
        </w:tc>
        <w:tc>
          <w:tcPr>
            <w:tcW w:w="1840" w:type="dxa"/>
            <w:vAlign w:val="bottom"/>
          </w:tcPr>
          <w:p>
            <w:pPr>
              <w:jc w:val="right"/>
              <w:ind w:right="62"/>
              <w:spacing w:after="0"/>
              <w:rPr>
                <w:sz w:val="20"/>
                <w:szCs w:val="20"/>
                <w:color w:val="auto"/>
              </w:rPr>
            </w:pPr>
            <w:r>
              <w:rPr>
                <w:rFonts w:ascii="Arial" w:cs="Arial" w:eastAsia="Arial" w:hAnsi="Arial"/>
                <w:sz w:val="12"/>
                <w:szCs w:val="12"/>
                <w:color w:val="auto"/>
              </w:rPr>
              <w:t>1,660</w:t>
            </w:r>
          </w:p>
        </w:tc>
        <w:tc>
          <w:tcPr>
            <w:tcW w:w="100" w:type="dxa"/>
            <w:vAlign w:val="bottom"/>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580</w:t>
            </w:r>
          </w:p>
        </w:tc>
      </w:tr>
      <w:tr>
        <w:trPr>
          <w:trHeight w:val="180"/>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Unconventional</w:t>
            </w:r>
          </w:p>
        </w:tc>
        <w:tc>
          <w:tcPr>
            <w:tcW w:w="232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60"/>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Ventura Basin subtotal</w:t>
            </w:r>
          </w:p>
        </w:tc>
        <w:tc>
          <w:tcPr>
            <w:tcW w:w="19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CEEFF"/>
            </w:tcBorders>
          </w:tcPr>
          <w:p>
            <w:pPr>
              <w:spacing w:after="0"/>
              <w:rPr>
                <w:sz w:val="13"/>
                <w:szCs w:val="13"/>
                <w:color w:val="auto"/>
              </w:rPr>
            </w:pPr>
          </w:p>
        </w:tc>
        <w:tc>
          <w:tcPr>
            <w:tcW w:w="1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3,730</w:t>
            </w:r>
          </w:p>
        </w:tc>
        <w:tc>
          <w:tcPr>
            <w:tcW w:w="10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580</w:t>
            </w:r>
          </w:p>
        </w:tc>
      </w:tr>
      <w:tr>
        <w:trPr>
          <w:trHeight w:val="183"/>
        </w:trPr>
        <w:tc>
          <w:tcPr>
            <w:tcW w:w="48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Sacramento Basin</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Primary Conventional</w:t>
            </w:r>
          </w:p>
        </w:tc>
        <w:tc>
          <w:tcPr>
            <w:tcW w:w="1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2,420</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60"/>
        </w:trPr>
        <w:tc>
          <w:tcPr>
            <w:tcW w:w="4820" w:type="dxa"/>
            <w:vAlign w:val="bottom"/>
          </w:tcPr>
          <w:p>
            <w:pPr>
              <w:ind w:left="240"/>
              <w:spacing w:after="0"/>
              <w:rPr>
                <w:sz w:val="20"/>
                <w:szCs w:val="20"/>
                <w:color w:val="auto"/>
              </w:rPr>
            </w:pPr>
            <w:r>
              <w:rPr>
                <w:rFonts w:ascii="Arial" w:cs="Arial" w:eastAsia="Arial" w:hAnsi="Arial"/>
                <w:sz w:val="12"/>
                <w:szCs w:val="12"/>
                <w:color w:val="auto"/>
              </w:rPr>
              <w:t>Sacramento Basin subtotal</w:t>
            </w:r>
          </w:p>
        </w:tc>
        <w:tc>
          <w:tcPr>
            <w:tcW w:w="1960" w:type="dxa"/>
            <w:vAlign w:val="bottom"/>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40" w:type="dxa"/>
            <w:vAlign w:val="bottom"/>
          </w:tcPr>
          <w:p>
            <w:pPr>
              <w:jc w:val="right"/>
              <w:ind w:right="62"/>
              <w:spacing w:after="0"/>
              <w:rPr>
                <w:sz w:val="20"/>
                <w:szCs w:val="20"/>
                <w:color w:val="auto"/>
              </w:rPr>
            </w:pPr>
            <w:r>
              <w:rPr>
                <w:rFonts w:ascii="Arial" w:cs="Arial" w:eastAsia="Arial" w:hAnsi="Arial"/>
                <w:sz w:val="12"/>
                <w:szCs w:val="12"/>
                <w:color w:val="auto"/>
              </w:rPr>
              <w:t>2,420</w:t>
            </w:r>
          </w:p>
        </w:tc>
        <w:tc>
          <w:tcPr>
            <w:tcW w:w="100" w:type="dxa"/>
            <w:vAlign w:val="bottom"/>
          </w:tcPr>
          <w:p>
            <w:pPr>
              <w:spacing w:after="0"/>
              <w:rPr>
                <w:sz w:val="13"/>
                <w:szCs w:val="13"/>
                <w:color w:val="auto"/>
              </w:rPr>
            </w:pP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3"/>
        </w:trPr>
        <w:tc>
          <w:tcPr>
            <w:tcW w:w="48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spacing w:after="0"/>
              <w:rPr>
                <w:sz w:val="15"/>
                <w:szCs w:val="15"/>
                <w:color w:val="auto"/>
              </w:rPr>
            </w:pPr>
          </w:p>
        </w:tc>
      </w:tr>
      <w:tr>
        <w:trPr>
          <w:trHeight w:val="167"/>
        </w:trPr>
        <w:tc>
          <w:tcPr>
            <w:tcW w:w="4820" w:type="dxa"/>
            <w:vAlign w:val="bottom"/>
          </w:tcPr>
          <w:p>
            <w:pPr>
              <w:ind w:left="100"/>
              <w:spacing w:after="0"/>
              <w:rPr>
                <w:sz w:val="20"/>
                <w:szCs w:val="20"/>
                <w:color w:val="auto"/>
              </w:rPr>
            </w:pPr>
            <w:r>
              <w:rPr>
                <w:rFonts w:ascii="Arial" w:cs="Arial" w:eastAsia="Arial" w:hAnsi="Arial"/>
                <w:sz w:val="12"/>
                <w:szCs w:val="12"/>
                <w:b w:val="1"/>
                <w:bCs w:val="1"/>
                <w:color w:val="auto"/>
              </w:rPr>
              <w:t>Total Identified Drilling Locations</w:t>
            </w:r>
          </w:p>
        </w:tc>
        <w:tc>
          <w:tcPr>
            <w:tcW w:w="19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1,690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4"/>
                <w:szCs w:val="14"/>
                <w:color w:val="auto"/>
              </w:rPr>
            </w:pPr>
          </w:p>
        </w:tc>
        <w:tc>
          <w:tcPr>
            <w:tcW w:w="1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31,350</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2,520</w:t>
            </w:r>
          </w:p>
        </w:tc>
      </w:tr>
      <w:tr>
        <w:trPr>
          <w:trHeight w:val="450"/>
        </w:trPr>
        <w:tc>
          <w:tcPr>
            <w:tcW w:w="4820" w:type="dxa"/>
            <w:vAlign w:val="bottom"/>
          </w:tcPr>
          <w:p>
            <w:pPr>
              <w:spacing w:after="0"/>
              <w:rPr>
                <w:sz w:val="24"/>
                <w:szCs w:val="24"/>
                <w:color w:val="auto"/>
              </w:rPr>
            </w:pPr>
          </w:p>
        </w:tc>
        <w:tc>
          <w:tcPr>
            <w:tcW w:w="1960" w:type="dxa"/>
            <w:vAlign w:val="bottom"/>
          </w:tcPr>
          <w:p>
            <w:pPr>
              <w:jc w:val="right"/>
              <w:ind w:right="922"/>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80"/>
          </w:cols>
          <w:pgMar w:left="220" w:top="391" w:right="1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Production, Price and Cost History</w:t>
      </w:r>
    </w:p>
    <w:p>
      <w:pPr>
        <w:spacing w:after="0" w:line="200"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Oil, NGLs and natural gas are commodities, and the price that we receive for our production is largely a function of market supply and demand. Product prices are affected by a variety of factors, including changes in consumption patterns; inventory levels; global and local economic conditions; the actions of OPEC and other significant producers and governments; actual or threatened production; refining and processing disruptions; currency exchange rates; worldwide drilling and exploration activities; the effects of conservation, weather, geophysical and technical limitations; technological advances; transportation and storage capacity, bottlenecks and costs in producing areas; alternative energy sources; regional market conditions; other matters affecting the supply and demand dynamics for our products; and the effect of changes in these variables on market perceptions. Given the volatile oil price environment, as well as our leverage, we have a hedging program to help protect our cash flow and capital investment program.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Fixed and Variable Costs</w:t>
      </w:r>
    </w:p>
    <w:p>
      <w:pPr>
        <w:spacing w:after="0" w:line="74"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Our total production costs consist of variable costs that tend to vary depending on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While a certain amount of costs for facilities, surface support, surveillance and related maintenance can be regarded as fixed in the early phases of a program,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60"/>
          </w:cols>
          <w:pgMar w:left="220" w:top="377" w:right="219" w:bottom="1440" w:gutter="0" w:footer="0" w:header="0"/>
        </w:sectPr>
      </w:pPr>
    </w:p>
    <w:bookmarkStart w:id="38" w:name="page39"/>
    <w:bookmarkEnd w:id="38"/>
    <w:p>
      <w:pPr>
        <w:ind w:left="200"/>
        <w:spacing w:after="0"/>
        <w:rPr>
          <w:sz w:val="20"/>
          <w:szCs w:val="20"/>
          <w:color w:val="auto"/>
        </w:rPr>
      </w:pPr>
      <w:r>
        <w:rPr>
          <w:rFonts w:ascii="Arial" w:cs="Arial" w:eastAsia="Arial" w:hAnsi="Arial"/>
          <w:sz w:val="12"/>
          <w:szCs w:val="12"/>
          <w:color w:val="auto"/>
        </w:rPr>
        <w:t>The following table sets forth information regarding our production, average realized and benchmark prices, and costs for oil and gas producing activities for the years ended December 31, 2017, 2016 and 2015.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additional information on price calculations, see information set forth in </w:t>
      </w:r>
      <w:r>
        <w:rPr>
          <w:rFonts w:ascii="Arial" w:cs="Arial" w:eastAsia="Arial" w:hAnsi="Arial"/>
          <w:sz w:val="12"/>
          <w:szCs w:val="12"/>
          <w:i w:val="1"/>
          <w:iCs w:val="1"/>
          <w:color w:val="auto"/>
        </w:rPr>
        <w:t>Item 7 – Management's Discussion and Analysis of Financial Condition and Results of Operations – Production and Prices</w:t>
      </w:r>
      <w:r>
        <w:rPr>
          <w:rFonts w:ascii="Arial" w:cs="Arial" w:eastAsia="Arial" w:hAnsi="Arial"/>
          <w:sz w:val="12"/>
          <w:szCs w:val="12"/>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7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2015</w:t>
            </w:r>
          </w:p>
        </w:tc>
      </w:tr>
      <w:tr>
        <w:trPr>
          <w:trHeight w:val="16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Production Data:</w:t>
            </w: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Oil (MBbl/d)</w:t>
            </w:r>
          </w:p>
        </w:tc>
        <w:tc>
          <w:tcPr>
            <w:tcW w:w="800" w:type="dxa"/>
            <w:vAlign w:val="bottom"/>
          </w:tcPr>
          <w:p>
            <w:pPr>
              <w:spacing w:after="0"/>
              <w:rPr>
                <w:sz w:val="15"/>
                <w:szCs w:val="15"/>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83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104</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NGLs (MBbl/d)</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Natural gas (MMcf/d)</w:t>
            </w:r>
          </w:p>
        </w:tc>
        <w:tc>
          <w:tcPr>
            <w:tcW w:w="800" w:type="dxa"/>
            <w:vAlign w:val="bottom"/>
          </w:tcPr>
          <w:p>
            <w:pPr>
              <w:spacing w:after="0"/>
              <w:rPr>
                <w:sz w:val="15"/>
                <w:szCs w:val="15"/>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182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229</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Average daily combined production (MBoe/d)</w:t>
            </w:r>
            <w:r>
              <w:rPr>
                <w:rFonts w:ascii="Arial" w:cs="Arial" w:eastAsia="Arial" w:hAnsi="Arial"/>
                <w:sz w:val="14"/>
                <w:szCs w:val="14"/>
                <w:color w:val="auto"/>
                <w:vertAlign w:val="superscript"/>
              </w:rPr>
              <w:t>(a)</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w:t>
            </w:r>
          </w:p>
        </w:tc>
      </w:tr>
      <w:tr>
        <w:trPr>
          <w:trHeight w:val="180"/>
        </w:trPr>
        <w:tc>
          <w:tcPr>
            <w:tcW w:w="7460" w:type="dxa"/>
            <w:vAlign w:val="bottom"/>
          </w:tcPr>
          <w:p>
            <w:pPr>
              <w:ind w:left="20"/>
              <w:spacing w:after="0"/>
              <w:rPr>
                <w:sz w:val="20"/>
                <w:szCs w:val="20"/>
                <w:color w:val="auto"/>
              </w:rPr>
            </w:pPr>
            <w:r>
              <w:rPr>
                <w:rFonts w:ascii="Arial" w:cs="Arial" w:eastAsia="Arial" w:hAnsi="Arial"/>
                <w:sz w:val="12"/>
                <w:szCs w:val="12"/>
                <w:color w:val="auto"/>
              </w:rPr>
              <w:t>Total combined production (MMBoe)</w:t>
            </w:r>
            <w:r>
              <w:rPr>
                <w:rFonts w:ascii="Arial" w:cs="Arial" w:eastAsia="Arial" w:hAnsi="Arial"/>
                <w:sz w:val="14"/>
                <w:szCs w:val="14"/>
                <w:color w:val="auto"/>
                <w:vertAlign w:val="superscript"/>
              </w:rPr>
              <w:t>(a)</w:t>
            </w:r>
          </w:p>
        </w:tc>
        <w:tc>
          <w:tcPr>
            <w:tcW w:w="800" w:type="dxa"/>
            <w:vAlign w:val="bottom"/>
          </w:tcPr>
          <w:p>
            <w:pPr>
              <w:spacing w:after="0"/>
              <w:rPr>
                <w:sz w:val="15"/>
                <w:szCs w:val="15"/>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58</w:t>
            </w:r>
          </w:p>
        </w:tc>
      </w:tr>
      <w:tr>
        <w:trPr>
          <w:trHeight w:val="189"/>
        </w:trPr>
        <w:tc>
          <w:tcPr>
            <w:tcW w:w="7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b w:val="1"/>
                <w:bCs w:val="1"/>
                <w:color w:val="auto"/>
              </w:rPr>
              <w:t>Average realized prices:</w:t>
            </w: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Oil prices with hedge ($/Bbl)</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51.24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49.19</w:t>
            </w: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Oil prices without hedge ($/Bbl)</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51.47</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39.72</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47.15</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NGLs prices ($/Bbl)</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35.76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22.39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19.62</w:t>
            </w:r>
          </w:p>
        </w:tc>
      </w:tr>
      <w:tr>
        <w:trPr>
          <w:trHeight w:val="180"/>
        </w:trPr>
        <w:tc>
          <w:tcPr>
            <w:tcW w:w="7460" w:type="dxa"/>
            <w:vAlign w:val="bottom"/>
          </w:tcPr>
          <w:p>
            <w:pPr>
              <w:ind w:left="20"/>
              <w:spacing w:after="0"/>
              <w:rPr>
                <w:sz w:val="20"/>
                <w:szCs w:val="20"/>
                <w:color w:val="auto"/>
              </w:rPr>
            </w:pPr>
            <w:r>
              <w:rPr>
                <w:rFonts w:ascii="Arial" w:cs="Arial" w:eastAsia="Arial" w:hAnsi="Arial"/>
                <w:sz w:val="12"/>
                <w:szCs w:val="12"/>
                <w:color w:val="auto"/>
              </w:rPr>
              <w:t>Natural gas prices ($/Mcf)</w:t>
            </w:r>
            <w:r>
              <w:rPr>
                <w:rFonts w:ascii="Arial" w:cs="Arial" w:eastAsia="Arial" w:hAnsi="Arial"/>
                <w:sz w:val="14"/>
                <w:szCs w:val="14"/>
                <w:color w:val="auto"/>
                <w:vertAlign w:val="superscript"/>
              </w:rPr>
              <w:t>(b)</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2.67</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2.28</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2.66</w:t>
            </w:r>
          </w:p>
        </w:tc>
      </w:tr>
      <w:tr>
        <w:trPr>
          <w:trHeight w:val="189"/>
        </w:trPr>
        <w:tc>
          <w:tcPr>
            <w:tcW w:w="7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b w:val="1"/>
                <w:bCs w:val="1"/>
                <w:color w:val="auto"/>
              </w:rPr>
              <w:t>Average benchmark prices:</w:t>
            </w: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Brent oil ($/Bbl)</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54.82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53.64</w:t>
            </w: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WTI oil ($/Bbl)</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50.95</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43.32</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48.80</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NYMEX gas ($/MMBtu)</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2.75</w:t>
            </w:r>
          </w:p>
        </w:tc>
      </w:tr>
      <w:tr>
        <w:trPr>
          <w:trHeight w:val="189"/>
        </w:trPr>
        <w:tc>
          <w:tcPr>
            <w:tcW w:w="7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Average costs per Boe:</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Production costs</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18.64</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15.61</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16.30</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Production costs, excluding effects of PSC contracts</w:t>
            </w:r>
            <w:r>
              <w:rPr>
                <w:rFonts w:ascii="Arial" w:cs="Arial" w:eastAsia="Arial" w:hAnsi="Arial"/>
                <w:sz w:val="14"/>
                <w:szCs w:val="14"/>
                <w:color w:val="auto"/>
                <w:vertAlign w:val="superscript"/>
              </w:rPr>
              <w:t>(c)</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14.69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15.58</w:t>
            </w:r>
          </w:p>
        </w:tc>
      </w:tr>
      <w:tr>
        <w:trPr>
          <w:trHeight w:val="180"/>
        </w:trPr>
        <w:tc>
          <w:tcPr>
            <w:tcW w:w="7460" w:type="dxa"/>
            <w:vAlign w:val="bottom"/>
          </w:tcPr>
          <w:p>
            <w:pPr>
              <w:ind w:left="20"/>
              <w:spacing w:after="0"/>
              <w:rPr>
                <w:sz w:val="20"/>
                <w:szCs w:val="20"/>
                <w:color w:val="auto"/>
              </w:rPr>
            </w:pPr>
            <w:r>
              <w:rPr>
                <w:rFonts w:ascii="Arial" w:cs="Arial" w:eastAsia="Arial" w:hAnsi="Arial"/>
                <w:sz w:val="12"/>
                <w:szCs w:val="12"/>
                <w:color w:val="auto"/>
              </w:rPr>
              <w:t>Field general and administrative expenses</w:t>
            </w:r>
            <w:r>
              <w:rPr>
                <w:rFonts w:ascii="Arial" w:cs="Arial" w:eastAsia="Arial" w:hAnsi="Arial"/>
                <w:sz w:val="14"/>
                <w:szCs w:val="14"/>
                <w:color w:val="auto"/>
                <w:vertAlign w:val="superscript"/>
              </w:rPr>
              <w:t>(d)</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0.82</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0.84</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1.31</w:t>
            </w: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Field general and administrative expenses, adjusted</w:t>
            </w:r>
            <w:r>
              <w:rPr>
                <w:rFonts w:ascii="Arial" w:cs="Arial" w:eastAsia="Arial" w:hAnsi="Arial"/>
                <w:sz w:val="14"/>
                <w:szCs w:val="14"/>
                <w:color w:val="auto"/>
                <w:vertAlign w:val="superscript"/>
              </w:rPr>
              <w:t>(e)</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0.72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0.72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r>
      <w:tr>
        <w:trPr>
          <w:trHeight w:val="180"/>
        </w:trPr>
        <w:tc>
          <w:tcPr>
            <w:tcW w:w="7460" w:type="dxa"/>
            <w:vAlign w:val="bottom"/>
          </w:tcPr>
          <w:p>
            <w:pPr>
              <w:ind w:left="20"/>
              <w:spacing w:after="0"/>
              <w:rPr>
                <w:sz w:val="20"/>
                <w:szCs w:val="20"/>
                <w:color w:val="auto"/>
              </w:rPr>
            </w:pPr>
            <w:r>
              <w:rPr>
                <w:rFonts w:ascii="Arial" w:cs="Arial" w:eastAsia="Arial" w:hAnsi="Arial"/>
                <w:sz w:val="12"/>
                <w:szCs w:val="12"/>
                <w:color w:val="auto"/>
              </w:rPr>
              <w:t>Field other operating expenses</w:t>
            </w:r>
            <w:r>
              <w:rPr>
                <w:rFonts w:ascii="Arial" w:cs="Arial" w:eastAsia="Arial" w:hAnsi="Arial"/>
                <w:sz w:val="14"/>
                <w:szCs w:val="14"/>
                <w:color w:val="auto"/>
                <w:vertAlign w:val="superscript"/>
              </w:rPr>
              <w:t>(d)</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0.66</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1.78</w:t>
            </w: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Field other operating expenses, adjusted</w:t>
            </w:r>
            <w:r>
              <w:rPr>
                <w:rFonts w:ascii="Arial" w:cs="Arial" w:eastAsia="Arial" w:hAnsi="Arial"/>
                <w:sz w:val="14"/>
                <w:szCs w:val="14"/>
                <w:color w:val="auto"/>
                <w:vertAlign w:val="superscript"/>
              </w:rPr>
              <w:t>(f)</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0.56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0.67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0.36</w:t>
            </w:r>
          </w:p>
        </w:tc>
      </w:tr>
      <w:tr>
        <w:trPr>
          <w:trHeight w:val="180"/>
        </w:trPr>
        <w:tc>
          <w:tcPr>
            <w:tcW w:w="7460" w:type="dxa"/>
            <w:vAlign w:val="bottom"/>
          </w:tcPr>
          <w:p>
            <w:pPr>
              <w:ind w:left="20"/>
              <w:spacing w:after="0"/>
              <w:rPr>
                <w:sz w:val="20"/>
                <w:szCs w:val="20"/>
                <w:color w:val="auto"/>
              </w:rPr>
            </w:pPr>
            <w:r>
              <w:rPr>
                <w:rFonts w:ascii="Arial" w:cs="Arial" w:eastAsia="Arial" w:hAnsi="Arial"/>
                <w:sz w:val="12"/>
                <w:szCs w:val="12"/>
                <w:color w:val="auto"/>
              </w:rPr>
              <w:t>Field depreciation, depletion and amortization</w:t>
            </w:r>
            <w:r>
              <w:rPr>
                <w:rFonts w:ascii="Arial" w:cs="Arial" w:eastAsia="Arial" w:hAnsi="Arial"/>
                <w:sz w:val="14"/>
                <w:szCs w:val="14"/>
                <w:color w:val="auto"/>
                <w:vertAlign w:val="superscript"/>
              </w:rPr>
              <w:t>(d)</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10.85</w:t>
            </w: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10.28</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16.72</w:t>
            </w: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Field taxes other than on income</w:t>
            </w:r>
            <w:r>
              <w:rPr>
                <w:rFonts w:ascii="Arial" w:cs="Arial" w:eastAsia="Arial" w:hAnsi="Arial"/>
                <w:sz w:val="14"/>
                <w:szCs w:val="14"/>
                <w:color w:val="auto"/>
                <w:vertAlign w:val="superscript"/>
              </w:rPr>
              <w:t>(d)</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2.67</w:t>
            </w:r>
          </w:p>
        </w:tc>
      </w:tr>
    </w:tbl>
    <w:p>
      <w:pPr>
        <w:ind w:left="420" w:hanging="212"/>
        <w:spacing w:after="0" w:line="232"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Natural gas volumes have been converted to Boe based on the equivalence of energy content between six Mcf of natural gas to one Bbl of oil.</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For 2015, the average realized price of gas includes the effect of hedges.</w:t>
      </w:r>
    </w:p>
    <w:p>
      <w:pPr>
        <w:ind w:left="420" w:right="4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reporting of our PSC-like contracts creates a difference between reported production costs, which are for the full field, and reported volumes, which are only our net share, inflating the per barrel production costs. The amounts represent the production costs for the company after adjusting for this difference.</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Amounts exclude corporate charges.</w:t>
      </w:r>
    </w:p>
    <w:p>
      <w:pPr>
        <w:ind w:left="420" w:right="26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Amounts exclude corporate charges. Amounts also exclude unusual and infrequent charges related to severance and early retirement costs associated with field personnel totaling $0.10 per Boe, $0.12 per Boe and $0.31 per Boe for 2017, 2016 and 2015, respectively.</w:t>
      </w:r>
    </w:p>
    <w:p>
      <w:pPr>
        <w:jc w:val="both"/>
        <w:ind w:left="420" w:right="60" w:hanging="212"/>
        <w:spacing w:after="0" w:line="230"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Amounts exclude corporate charges. For 2017, the amounts also exclude net unusual and infrequent charges of $0.10 primarily related to rig termination expenses partially offset by property tax refunds, recovery of amounts due from joint interest partners and other items. For 2016, the amount also excludes net unusual and infrequent gains of $0.35 that include refunds partially offset by plant turnaround charges and other items. For 2015, the amount also excludes charges related to the write-down of certain assets and rig termination charges of $1.42 per Boe.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391" w:right="199" w:bottom="1440" w:gutter="0" w:footer="0" w:header="0"/>
        </w:sectPr>
      </w:pPr>
    </w:p>
    <w:bookmarkStart w:id="39" w:name="page40"/>
    <w:bookmarkEnd w:id="39"/>
    <w:p>
      <w:pPr>
        <w:ind w:left="200"/>
        <w:spacing w:after="0"/>
        <w:rPr>
          <w:sz w:val="20"/>
          <w:szCs w:val="20"/>
          <w:color w:val="auto"/>
        </w:rPr>
      </w:pPr>
      <w:r>
        <w:rPr>
          <w:rFonts w:ascii="Arial" w:cs="Arial" w:eastAsia="Arial" w:hAnsi="Arial"/>
          <w:sz w:val="12"/>
          <w:szCs w:val="12"/>
          <w:color w:val="auto"/>
        </w:rPr>
        <w:t>The following table sets forth information regarding production, realized prices and production costs for our largest two fields, Elk Hills and Wilmington, for the years ended December 31, 2017, 2016 and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8"/>
              </w:rPr>
              <w:t>Elk Hills</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Wilmington</w:t>
            </w: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69"/>
        </w:trPr>
        <w:tc>
          <w:tcPr>
            <w:tcW w:w="5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97"/>
              </w:rPr>
              <w:t>2016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2016</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2015</w:t>
            </w:r>
          </w:p>
        </w:tc>
      </w:tr>
      <w:tr>
        <w:trPr>
          <w:trHeight w:val="176"/>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Production data:</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4"/>
        </w:trPr>
        <w:tc>
          <w:tcPr>
            <w:tcW w:w="5400" w:type="dxa"/>
            <w:vAlign w:val="bottom"/>
          </w:tcPr>
          <w:p>
            <w:pPr>
              <w:ind w:left="100"/>
              <w:spacing w:after="0"/>
              <w:rPr>
                <w:sz w:val="20"/>
                <w:szCs w:val="20"/>
                <w:color w:val="auto"/>
              </w:rPr>
            </w:pPr>
            <w:r>
              <w:rPr>
                <w:rFonts w:ascii="Arial" w:cs="Arial" w:eastAsia="Arial" w:hAnsi="Arial"/>
                <w:sz w:val="11"/>
                <w:szCs w:val="11"/>
                <w:color w:val="auto"/>
              </w:rPr>
              <w:t>Oil (MBbl/d)</w:t>
            </w:r>
          </w:p>
        </w:tc>
        <w:tc>
          <w:tcPr>
            <w:tcW w:w="20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300" w:type="dxa"/>
            <w:vAlign w:val="bottom"/>
          </w:tcPr>
          <w:p>
            <w:pPr>
              <w:spacing w:after="0"/>
              <w:rPr>
                <w:sz w:val="15"/>
                <w:szCs w:val="15"/>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w:t>
            </w:r>
          </w:p>
        </w:tc>
      </w:tr>
      <w:tr>
        <w:trPr>
          <w:trHeight w:val="187"/>
        </w:trPr>
        <w:tc>
          <w:tcPr>
            <w:tcW w:w="5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NGLs (MBbl/d)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5400" w:type="dxa"/>
            <w:vAlign w:val="bottom"/>
          </w:tcPr>
          <w:p>
            <w:pPr>
              <w:ind w:left="100"/>
              <w:spacing w:after="0"/>
              <w:rPr>
                <w:sz w:val="20"/>
                <w:szCs w:val="20"/>
                <w:color w:val="auto"/>
              </w:rPr>
            </w:pPr>
            <w:r>
              <w:rPr>
                <w:rFonts w:ascii="Arial" w:cs="Arial" w:eastAsia="Arial" w:hAnsi="Arial"/>
                <w:sz w:val="11"/>
                <w:szCs w:val="11"/>
                <w:color w:val="auto"/>
              </w:rPr>
              <w:t>Natural gas (MMcf/d)</w:t>
            </w:r>
          </w:p>
        </w:tc>
        <w:tc>
          <w:tcPr>
            <w:tcW w:w="20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r>
      <w:tr>
        <w:trPr>
          <w:trHeight w:val="187"/>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Average realized prices:</w:t>
            </w:r>
            <w:r>
              <w:rPr>
                <w:rFonts w:ascii="Arial" w:cs="Arial" w:eastAsia="Arial" w:hAnsi="Arial"/>
                <w:sz w:val="14"/>
                <w:szCs w:val="14"/>
                <w:b w:val="1"/>
                <w:bCs w:val="1"/>
                <w:color w:val="auto"/>
                <w:vertAlign w:val="superscript"/>
              </w:rPr>
              <w:t>(a)</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74"/>
        </w:trPr>
        <w:tc>
          <w:tcPr>
            <w:tcW w:w="5400" w:type="dxa"/>
            <w:vAlign w:val="bottom"/>
          </w:tcPr>
          <w:p>
            <w:pPr>
              <w:ind w:left="100"/>
              <w:spacing w:after="0"/>
              <w:rPr>
                <w:sz w:val="20"/>
                <w:szCs w:val="20"/>
                <w:color w:val="auto"/>
              </w:rPr>
            </w:pPr>
            <w:r>
              <w:rPr>
                <w:rFonts w:ascii="Arial" w:cs="Arial" w:eastAsia="Arial" w:hAnsi="Arial"/>
                <w:sz w:val="11"/>
                <w:szCs w:val="11"/>
                <w:color w:val="auto"/>
              </w:rPr>
              <w:t>Oil (MBbl/d)</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55.58</w:t>
            </w:r>
          </w:p>
        </w:tc>
        <w:tc>
          <w:tcPr>
            <w:tcW w:w="120" w:type="dxa"/>
            <w:vAlign w:val="bottom"/>
          </w:tcPr>
          <w:p>
            <w:pPr>
              <w:spacing w:after="0"/>
              <w:rPr>
                <w:sz w:val="15"/>
                <w:szCs w:val="15"/>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44.50</w:t>
            </w:r>
          </w:p>
        </w:tc>
        <w:tc>
          <w:tcPr>
            <w:tcW w:w="120" w:type="dxa"/>
            <w:vAlign w:val="bottom"/>
          </w:tcPr>
          <w:p>
            <w:pPr>
              <w:spacing w:after="0"/>
              <w:rPr>
                <w:sz w:val="15"/>
                <w:szCs w:val="15"/>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52.78</w:t>
            </w:r>
          </w:p>
        </w:tc>
        <w:tc>
          <w:tcPr>
            <w:tcW w:w="12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49.87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37.98</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45.50</w:t>
            </w:r>
          </w:p>
        </w:tc>
      </w:tr>
      <w:tr>
        <w:trPr>
          <w:trHeight w:val="187"/>
        </w:trPr>
        <w:tc>
          <w:tcPr>
            <w:tcW w:w="5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NGLs (MBbl/d)</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5400" w:type="dxa"/>
            <w:vAlign w:val="bottom"/>
          </w:tcPr>
          <w:p>
            <w:pPr>
              <w:ind w:left="100"/>
              <w:spacing w:after="0"/>
              <w:rPr>
                <w:sz w:val="20"/>
                <w:szCs w:val="20"/>
                <w:color w:val="auto"/>
              </w:rPr>
            </w:pPr>
            <w:r>
              <w:rPr>
                <w:rFonts w:ascii="Arial" w:cs="Arial" w:eastAsia="Arial" w:hAnsi="Arial"/>
                <w:sz w:val="11"/>
                <w:szCs w:val="11"/>
                <w:color w:val="auto"/>
              </w:rPr>
              <w:t>Natural gas (MMcf/d)</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5"/>
                <w:szCs w:val="15"/>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2.27</w:t>
            </w:r>
          </w:p>
        </w:tc>
        <w:tc>
          <w:tcPr>
            <w:tcW w:w="120" w:type="dxa"/>
            <w:vAlign w:val="bottom"/>
          </w:tcPr>
          <w:p>
            <w:pPr>
              <w:spacing w:after="0"/>
              <w:rPr>
                <w:sz w:val="15"/>
                <w:szCs w:val="15"/>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2.67</w:t>
            </w:r>
          </w:p>
        </w:tc>
        <w:tc>
          <w:tcPr>
            <w:tcW w:w="12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1.83</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2.05</w:t>
            </w:r>
          </w:p>
        </w:tc>
      </w:tr>
      <w:tr>
        <w:trPr>
          <w:trHeight w:val="187"/>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Production costs per Boe</w:t>
            </w:r>
            <w:r>
              <w:rPr>
                <w:rFonts w:ascii="Arial" w:cs="Arial" w:eastAsia="Arial" w:hAnsi="Arial"/>
                <w:sz w:val="14"/>
                <w:szCs w:val="14"/>
                <w:b w:val="1"/>
                <w:bCs w:val="1"/>
                <w:color w:val="auto"/>
                <w:vertAlign w:val="superscript"/>
              </w:rPr>
              <w:t>(b)</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11.76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10.48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27.91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22.27</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21.87</w:t>
            </w:r>
          </w:p>
        </w:tc>
      </w:tr>
      <w:tr>
        <w:trPr>
          <w:trHeight w:val="183"/>
        </w:trPr>
        <w:tc>
          <w:tcPr>
            <w:tcW w:w="5400" w:type="dxa"/>
            <w:vAlign w:val="bottom"/>
          </w:tcPr>
          <w:p>
            <w:pPr>
              <w:ind w:left="20"/>
              <w:spacing w:after="0"/>
              <w:rPr>
                <w:sz w:val="20"/>
                <w:szCs w:val="20"/>
                <w:color w:val="auto"/>
              </w:rPr>
            </w:pPr>
            <w:r>
              <w:rPr>
                <w:rFonts w:ascii="Arial" w:cs="Arial" w:eastAsia="Arial" w:hAnsi="Arial"/>
                <w:sz w:val="11"/>
                <w:szCs w:val="11"/>
                <w:b w:val="1"/>
                <w:bCs w:val="1"/>
                <w:color w:val="auto"/>
              </w:rPr>
              <w:t>Production costs, excluding effects of PSC contracts</w:t>
            </w:r>
            <w:r>
              <w:rPr>
                <w:rFonts w:ascii="Arial" w:cs="Arial" w:eastAsia="Arial" w:hAnsi="Arial"/>
                <w:sz w:val="14"/>
                <w:szCs w:val="14"/>
                <w:b w:val="1"/>
                <w:bCs w:val="1"/>
                <w:color w:val="auto"/>
                <w:vertAlign w:val="superscript"/>
              </w:rPr>
              <w:t>(c)</w:t>
            </w:r>
          </w:p>
        </w:tc>
        <w:tc>
          <w:tcPr>
            <w:tcW w:w="20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color w:val="auto"/>
              </w:rPr>
              <w:t>N/A</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1"/>
                <w:szCs w:val="11"/>
                <w:color w:val="auto"/>
                <w:w w:val="97"/>
              </w:rPr>
              <w:t>N/A</w:t>
            </w:r>
          </w:p>
        </w:tc>
        <w:tc>
          <w:tcPr>
            <w:tcW w:w="22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Arial" w:cs="Arial" w:eastAsia="Arial" w:hAnsi="Arial"/>
                <w:sz w:val="11"/>
                <w:szCs w:val="11"/>
                <w:color w:val="auto"/>
              </w:rPr>
              <w:t>N/A</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21.59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17.21</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17.74</w:t>
            </w:r>
          </w:p>
        </w:tc>
      </w:tr>
    </w:tbl>
    <w:p>
      <w:pPr>
        <w:ind w:left="420" w:hanging="212"/>
        <w:spacing w:after="0" w:line="225" w:lineRule="auto"/>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Excludes the effect of hedges.</w:t>
      </w:r>
    </w:p>
    <w:p>
      <w:pPr>
        <w:ind w:left="420" w:hanging="212"/>
        <w:spacing w:after="0" w:line="225" w:lineRule="auto"/>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Natural gas volumes have been converted to Boe based on the equivalence of energy content between six Mcf of natural gas to one Bbl of oil.</w:t>
      </w:r>
    </w:p>
    <w:p>
      <w:pPr>
        <w:ind w:left="420" w:right="40" w:hanging="212"/>
        <w:spacing w:after="0" w:line="232" w:lineRule="auto"/>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reporting of our PSC-like contracts creates a difference between reported production costs, which are for the full field, and reported volumes, which are only our net share, inflating the per barrel production costs. The amounts represent the production costs for the Company after adjusting for this difference.</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our reserves and production by basin and recovery mechanism: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jc w:val="center"/>
              <w:spacing w:after="0"/>
              <w:rPr>
                <w:sz w:val="20"/>
                <w:szCs w:val="20"/>
                <w:color w:val="auto"/>
              </w:rPr>
            </w:pPr>
            <w:r>
              <w:rPr>
                <w:rFonts w:ascii="Arial" w:cs="Arial" w:eastAsia="Arial" w:hAnsi="Arial"/>
                <w:sz w:val="10"/>
                <w:szCs w:val="10"/>
                <w:b w:val="1"/>
                <w:bCs w:val="1"/>
                <w:color w:val="auto"/>
                <w:w w:val="96"/>
              </w:rPr>
              <w:t>Average Net Daily</w:t>
            </w:r>
          </w:p>
        </w:tc>
      </w:tr>
      <w:tr>
        <w:trPr>
          <w:trHeight w:val="131"/>
        </w:trPr>
        <w:tc>
          <w:tcPr>
            <w:tcW w:w="6660" w:type="dxa"/>
            <w:vAlign w:val="bottom"/>
          </w:tcPr>
          <w:p>
            <w:pPr>
              <w:spacing w:after="0"/>
              <w:rPr>
                <w:sz w:val="11"/>
                <w:szCs w:val="11"/>
                <w:color w:val="auto"/>
              </w:rPr>
            </w:pPr>
          </w:p>
        </w:tc>
        <w:tc>
          <w:tcPr>
            <w:tcW w:w="1980" w:type="dxa"/>
            <w:vAlign w:val="bottom"/>
            <w:tcBorders>
              <w:bottom w:val="single" w:sz="8" w:color="auto"/>
            </w:tcBorders>
            <w:gridSpan w:val="3"/>
          </w:tcPr>
          <w:p>
            <w:pPr>
              <w:ind w:left="820"/>
              <w:spacing w:after="0"/>
              <w:rPr>
                <w:sz w:val="20"/>
                <w:szCs w:val="20"/>
                <w:color w:val="auto"/>
              </w:rPr>
            </w:pPr>
            <w:r>
              <w:rPr>
                <w:rFonts w:ascii="Arial" w:cs="Arial" w:eastAsia="Arial" w:hAnsi="Arial"/>
                <w:sz w:val="10"/>
                <w:szCs w:val="10"/>
                <w:b w:val="1"/>
                <w:bCs w:val="1"/>
                <w:color w:val="auto"/>
              </w:rPr>
              <w:t>Total Proved Reserves</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Production(MBoe/d)</w:t>
            </w:r>
          </w:p>
        </w:tc>
      </w:tr>
      <w:tr>
        <w:trPr>
          <w:trHeight w:val="110"/>
        </w:trPr>
        <w:tc>
          <w:tcPr>
            <w:tcW w:w="66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w w:val="92"/>
              </w:rPr>
              <w:t>Year ended</w:t>
            </w:r>
          </w:p>
        </w:tc>
      </w:tr>
      <w:tr>
        <w:trPr>
          <w:trHeight w:val="131"/>
        </w:trPr>
        <w:tc>
          <w:tcPr>
            <w:tcW w:w="6660" w:type="dxa"/>
            <w:vAlign w:val="bottom"/>
          </w:tcPr>
          <w:p>
            <w:pPr>
              <w:spacing w:after="0"/>
              <w:rPr>
                <w:sz w:val="11"/>
                <w:szCs w:val="11"/>
                <w:color w:val="auto"/>
              </w:rPr>
            </w:pPr>
          </w:p>
        </w:tc>
        <w:tc>
          <w:tcPr>
            <w:tcW w:w="1980" w:type="dxa"/>
            <w:vAlign w:val="bottom"/>
            <w:gridSpan w:val="3"/>
          </w:tcPr>
          <w:p>
            <w:pPr>
              <w:ind w:left="500"/>
              <w:spacing w:after="0"/>
              <w:rPr>
                <w:sz w:val="20"/>
                <w:szCs w:val="20"/>
                <w:color w:val="auto"/>
              </w:rPr>
            </w:pPr>
            <w:r>
              <w:rPr>
                <w:rFonts w:ascii="Arial" w:cs="Arial" w:eastAsia="Arial" w:hAnsi="Arial"/>
                <w:sz w:val="10"/>
                <w:szCs w:val="10"/>
                <w:b w:val="1"/>
                <w:bCs w:val="1"/>
                <w:color w:val="auto"/>
              </w:rPr>
              <w:t>% of Total Basin</w:t>
            </w: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Oil (%)</w:t>
            </w:r>
          </w:p>
        </w:tc>
        <w:tc>
          <w:tcPr>
            <w:tcW w:w="2060" w:type="dxa"/>
            <w:vAlign w:val="bottom"/>
          </w:tcPr>
          <w:p>
            <w:pPr>
              <w:jc w:val="center"/>
              <w:spacing w:after="0"/>
              <w:rPr>
                <w:sz w:val="20"/>
                <w:szCs w:val="20"/>
                <w:color w:val="auto"/>
              </w:rPr>
            </w:pPr>
            <w:r>
              <w:rPr>
                <w:rFonts w:ascii="Arial" w:cs="Arial" w:eastAsia="Arial" w:hAnsi="Arial"/>
                <w:sz w:val="10"/>
                <w:szCs w:val="10"/>
                <w:b w:val="1"/>
                <w:bCs w:val="1"/>
                <w:color w:val="auto"/>
                <w:w w:val="95"/>
              </w:rPr>
              <w:t>December 31, 2017</w:t>
            </w:r>
          </w:p>
        </w:tc>
      </w:tr>
      <w:tr>
        <w:trPr>
          <w:trHeight w:val="164"/>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San Joaquin Basin</w:t>
            </w: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rPr>
                <w:sz w:val="14"/>
                <w:szCs w:val="14"/>
                <w:color w:val="auto"/>
              </w:rPr>
            </w:pPr>
          </w:p>
        </w:tc>
      </w:tr>
      <w:tr>
        <w:trPr>
          <w:trHeight w:val="176"/>
        </w:trPr>
        <w:tc>
          <w:tcPr>
            <w:tcW w:w="6660" w:type="dxa"/>
            <w:vAlign w:val="bottom"/>
          </w:tcPr>
          <w:p>
            <w:pPr>
              <w:ind w:left="100"/>
              <w:spacing w:after="0"/>
              <w:rPr>
                <w:sz w:val="20"/>
                <w:szCs w:val="20"/>
                <w:color w:val="auto"/>
              </w:rPr>
            </w:pPr>
            <w:r>
              <w:rPr>
                <w:rFonts w:ascii="Arial" w:cs="Arial" w:eastAsia="Arial" w:hAnsi="Arial"/>
                <w:sz w:val="12"/>
                <w:szCs w:val="12"/>
                <w:color w:val="auto"/>
              </w:rPr>
              <w:t>Primary Conventional</w:t>
            </w:r>
          </w:p>
        </w:tc>
        <w:tc>
          <w:tcPr>
            <w:tcW w:w="174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5"/>
                <w:szCs w:val="15"/>
                <w:color w:val="auto"/>
              </w:rPr>
            </w:pPr>
          </w:p>
        </w:tc>
        <w:tc>
          <w:tcPr>
            <w:tcW w:w="2060" w:type="dxa"/>
            <w:vAlign w:val="bottom"/>
          </w:tcPr>
          <w:p>
            <w:pPr>
              <w:jc w:val="right"/>
              <w:ind w:right="62"/>
              <w:spacing w:after="0"/>
              <w:rPr>
                <w:sz w:val="20"/>
                <w:szCs w:val="20"/>
                <w:color w:val="auto"/>
              </w:rPr>
            </w:pPr>
            <w:r>
              <w:rPr>
                <w:rFonts w:ascii="Arial" w:cs="Arial" w:eastAsia="Arial" w:hAnsi="Arial"/>
                <w:sz w:val="12"/>
                <w:szCs w:val="12"/>
                <w:color w:val="auto"/>
              </w:rPr>
              <w:t>13</w:t>
            </w:r>
          </w:p>
        </w:tc>
      </w:tr>
      <w:tr>
        <w:trPr>
          <w:trHeight w:val="185"/>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Waterfloods</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r>
      <w:tr>
        <w:trPr>
          <w:trHeight w:val="180"/>
        </w:trPr>
        <w:tc>
          <w:tcPr>
            <w:tcW w:w="6660" w:type="dxa"/>
            <w:vAlign w:val="bottom"/>
          </w:tcPr>
          <w:p>
            <w:pPr>
              <w:ind w:left="100"/>
              <w:spacing w:after="0"/>
              <w:rPr>
                <w:sz w:val="20"/>
                <w:szCs w:val="20"/>
                <w:color w:val="auto"/>
              </w:rPr>
            </w:pPr>
            <w:r>
              <w:rPr>
                <w:rFonts w:ascii="Arial" w:cs="Arial" w:eastAsia="Arial" w:hAnsi="Arial"/>
                <w:sz w:val="12"/>
                <w:szCs w:val="12"/>
                <w:color w:val="auto"/>
              </w:rPr>
              <w:t>Steamfloods</w:t>
            </w:r>
            <w:r>
              <w:rPr>
                <w:rFonts w:ascii="Arial" w:cs="Arial" w:eastAsia="Arial" w:hAnsi="Arial"/>
                <w:sz w:val="14"/>
                <w:szCs w:val="14"/>
                <w:color w:val="auto"/>
                <w:vertAlign w:val="superscript"/>
              </w:rPr>
              <w:t>(a)</w:t>
            </w:r>
          </w:p>
        </w:tc>
        <w:tc>
          <w:tcPr>
            <w:tcW w:w="174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5"/>
                <w:szCs w:val="15"/>
                <w:color w:val="auto"/>
              </w:rPr>
            </w:pPr>
          </w:p>
        </w:tc>
        <w:tc>
          <w:tcPr>
            <w:tcW w:w="2060" w:type="dxa"/>
            <w:vAlign w:val="bottom"/>
          </w:tcPr>
          <w:p>
            <w:pPr>
              <w:jc w:val="right"/>
              <w:ind w:right="62"/>
              <w:spacing w:after="0"/>
              <w:rPr>
                <w:sz w:val="20"/>
                <w:szCs w:val="20"/>
                <w:color w:val="auto"/>
              </w:rPr>
            </w:pPr>
            <w:r>
              <w:rPr>
                <w:rFonts w:ascii="Arial" w:cs="Arial" w:eastAsia="Arial" w:hAnsi="Arial"/>
                <w:sz w:val="12"/>
                <w:szCs w:val="12"/>
                <w:color w:val="auto"/>
              </w:rPr>
              <w:t>25</w:t>
            </w:r>
          </w:p>
        </w:tc>
      </w:tr>
      <w:tr>
        <w:trPr>
          <w:trHeight w:val="180"/>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Unconventional</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r>
      <w:tr>
        <w:trPr>
          <w:trHeight w:val="160"/>
        </w:trPr>
        <w:tc>
          <w:tcPr>
            <w:tcW w:w="66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San Joaquin Basin subtotal</w:t>
            </w:r>
            <w:r>
              <w:rPr>
                <w:rFonts w:ascii="Arial" w:cs="Arial" w:eastAsia="Arial" w:hAnsi="Arial"/>
                <w:sz w:val="14"/>
                <w:szCs w:val="14"/>
                <w:color w:val="auto"/>
                <w:vertAlign w:val="superscript"/>
              </w:rPr>
              <w:t>(b)</w:t>
            </w:r>
          </w:p>
        </w:tc>
        <w:tc>
          <w:tcPr>
            <w:tcW w:w="17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419</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1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90</w:t>
            </w:r>
          </w:p>
        </w:tc>
      </w:tr>
      <w:tr>
        <w:trPr>
          <w:trHeight w:val="178"/>
        </w:trPr>
        <w:tc>
          <w:tcPr>
            <w:tcW w:w="66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76"/>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Los Angeles Basin</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5"/>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Primary Conventional</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2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6"/>
        </w:trPr>
        <w:tc>
          <w:tcPr>
            <w:tcW w:w="6660" w:type="dxa"/>
            <w:vAlign w:val="bottom"/>
          </w:tcPr>
          <w:p>
            <w:pPr>
              <w:ind w:left="100"/>
              <w:spacing w:after="0"/>
              <w:rPr>
                <w:sz w:val="20"/>
                <w:szCs w:val="20"/>
                <w:color w:val="auto"/>
              </w:rPr>
            </w:pPr>
            <w:r>
              <w:rPr>
                <w:rFonts w:ascii="Arial" w:cs="Arial" w:eastAsia="Arial" w:hAnsi="Arial"/>
                <w:sz w:val="12"/>
                <w:szCs w:val="12"/>
                <w:color w:val="auto"/>
              </w:rPr>
              <w:t>Waterfloods</w:t>
            </w:r>
          </w:p>
        </w:tc>
        <w:tc>
          <w:tcPr>
            <w:tcW w:w="174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5"/>
                <w:szCs w:val="15"/>
                <w:color w:val="auto"/>
              </w:rPr>
            </w:pPr>
          </w:p>
        </w:tc>
        <w:tc>
          <w:tcPr>
            <w:tcW w:w="2060" w:type="dxa"/>
            <w:vAlign w:val="bottom"/>
          </w:tcPr>
          <w:p>
            <w:pPr>
              <w:jc w:val="right"/>
              <w:ind w:right="62"/>
              <w:spacing w:after="0"/>
              <w:rPr>
                <w:sz w:val="20"/>
                <w:szCs w:val="20"/>
                <w:color w:val="auto"/>
              </w:rPr>
            </w:pPr>
            <w:r>
              <w:rPr>
                <w:rFonts w:ascii="Arial" w:cs="Arial" w:eastAsia="Arial" w:hAnsi="Arial"/>
                <w:sz w:val="12"/>
                <w:szCs w:val="12"/>
                <w:color w:val="auto"/>
              </w:rPr>
              <w:t>27</w:t>
            </w:r>
          </w:p>
        </w:tc>
      </w:tr>
      <w:tr>
        <w:trPr>
          <w:trHeight w:val="185"/>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Steamfloods</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6"/>
        </w:trPr>
        <w:tc>
          <w:tcPr>
            <w:tcW w:w="6660" w:type="dxa"/>
            <w:vAlign w:val="bottom"/>
          </w:tcPr>
          <w:p>
            <w:pPr>
              <w:ind w:left="100"/>
              <w:spacing w:after="0"/>
              <w:rPr>
                <w:sz w:val="20"/>
                <w:szCs w:val="20"/>
                <w:color w:val="auto"/>
              </w:rPr>
            </w:pPr>
            <w:r>
              <w:rPr>
                <w:rFonts w:ascii="Arial" w:cs="Arial" w:eastAsia="Arial" w:hAnsi="Arial"/>
                <w:sz w:val="12"/>
                <w:szCs w:val="12"/>
                <w:color w:val="auto"/>
              </w:rPr>
              <w:t>Unconventional</w:t>
            </w:r>
          </w:p>
        </w:tc>
        <w:tc>
          <w:tcPr>
            <w:tcW w:w="1980" w:type="dxa"/>
            <w:vAlign w:val="bottom"/>
            <w:gridSpan w:val="3"/>
          </w:tcPr>
          <w:p>
            <w:pPr>
              <w:jc w:val="right"/>
              <w:ind w:right="3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6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65"/>
        </w:trPr>
        <w:tc>
          <w:tcPr>
            <w:tcW w:w="66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Los Angeles Basin subtotal</w:t>
            </w:r>
            <w:r>
              <w:rPr>
                <w:rFonts w:ascii="Arial" w:cs="Arial" w:eastAsia="Arial" w:hAnsi="Arial"/>
                <w:sz w:val="14"/>
                <w:szCs w:val="14"/>
                <w:color w:val="auto"/>
                <w:vertAlign w:val="superscript"/>
              </w:rPr>
              <w:t>(b)</w:t>
            </w:r>
          </w:p>
        </w:tc>
        <w:tc>
          <w:tcPr>
            <w:tcW w:w="17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145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27</w:t>
            </w:r>
          </w:p>
        </w:tc>
      </w:tr>
      <w:tr>
        <w:trPr>
          <w:trHeight w:val="178"/>
        </w:trPr>
        <w:tc>
          <w:tcPr>
            <w:tcW w:w="6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Ventura Basin</w:t>
            </w: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76"/>
        </w:trPr>
        <w:tc>
          <w:tcPr>
            <w:tcW w:w="6660" w:type="dxa"/>
            <w:vAlign w:val="bottom"/>
          </w:tcPr>
          <w:p>
            <w:pPr>
              <w:ind w:left="100"/>
              <w:spacing w:after="0"/>
              <w:rPr>
                <w:sz w:val="20"/>
                <w:szCs w:val="20"/>
                <w:color w:val="auto"/>
              </w:rPr>
            </w:pPr>
            <w:r>
              <w:rPr>
                <w:rFonts w:ascii="Arial" w:cs="Arial" w:eastAsia="Arial" w:hAnsi="Arial"/>
                <w:sz w:val="12"/>
                <w:szCs w:val="12"/>
                <w:color w:val="auto"/>
              </w:rPr>
              <w:t>Primary Conventional</w:t>
            </w:r>
          </w:p>
        </w:tc>
        <w:tc>
          <w:tcPr>
            <w:tcW w:w="174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5"/>
                <w:szCs w:val="15"/>
                <w:color w:val="auto"/>
              </w:rPr>
            </w:pPr>
          </w:p>
        </w:tc>
        <w:tc>
          <w:tcPr>
            <w:tcW w:w="2060" w:type="dxa"/>
            <w:vAlign w:val="bottom"/>
          </w:tcPr>
          <w:p>
            <w:pPr>
              <w:jc w:val="right"/>
              <w:ind w:right="62"/>
              <w:spacing w:after="0"/>
              <w:rPr>
                <w:sz w:val="20"/>
                <w:szCs w:val="20"/>
                <w:color w:val="auto"/>
              </w:rPr>
            </w:pPr>
            <w:r>
              <w:rPr>
                <w:rFonts w:ascii="Arial" w:cs="Arial" w:eastAsia="Arial" w:hAnsi="Arial"/>
                <w:sz w:val="12"/>
                <w:szCs w:val="12"/>
                <w:color w:val="auto"/>
              </w:rPr>
              <w:t>3</w:t>
            </w:r>
          </w:p>
        </w:tc>
      </w:tr>
      <w:tr>
        <w:trPr>
          <w:trHeight w:val="185"/>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Waterfloods</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r>
      <w:tr>
        <w:trPr>
          <w:trHeight w:val="176"/>
        </w:trPr>
        <w:tc>
          <w:tcPr>
            <w:tcW w:w="6660" w:type="dxa"/>
            <w:vAlign w:val="bottom"/>
          </w:tcPr>
          <w:p>
            <w:pPr>
              <w:ind w:left="100"/>
              <w:spacing w:after="0"/>
              <w:rPr>
                <w:sz w:val="20"/>
                <w:szCs w:val="20"/>
                <w:color w:val="auto"/>
              </w:rPr>
            </w:pPr>
            <w:r>
              <w:rPr>
                <w:rFonts w:ascii="Arial" w:cs="Arial" w:eastAsia="Arial" w:hAnsi="Arial"/>
                <w:sz w:val="12"/>
                <w:szCs w:val="12"/>
                <w:color w:val="auto"/>
              </w:rPr>
              <w:t>Steamfloods</w:t>
            </w:r>
          </w:p>
        </w:tc>
        <w:tc>
          <w:tcPr>
            <w:tcW w:w="1980" w:type="dxa"/>
            <w:vAlign w:val="bottom"/>
            <w:gridSpan w:val="3"/>
          </w:tcPr>
          <w:p>
            <w:pPr>
              <w:jc w:val="right"/>
              <w:ind w:right="3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6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5"/>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Unconventional</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60"/>
        </w:trPr>
        <w:tc>
          <w:tcPr>
            <w:tcW w:w="66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Ventura Basin subtotal</w:t>
            </w:r>
            <w:r>
              <w:rPr>
                <w:rFonts w:ascii="Arial" w:cs="Arial" w:eastAsia="Arial" w:hAnsi="Arial"/>
                <w:sz w:val="14"/>
                <w:szCs w:val="14"/>
                <w:color w:val="auto"/>
                <w:vertAlign w:val="superscript"/>
              </w:rPr>
              <w:t>(b)</w:t>
            </w:r>
          </w:p>
        </w:tc>
        <w:tc>
          <w:tcPr>
            <w:tcW w:w="17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w:t>
            </w:r>
          </w:p>
        </w:tc>
      </w:tr>
      <w:tr>
        <w:trPr>
          <w:trHeight w:val="178"/>
        </w:trPr>
        <w:tc>
          <w:tcPr>
            <w:tcW w:w="66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176"/>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Sacramento Basin</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5"/>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Primary Conventional</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r>
      <w:tr>
        <w:trPr>
          <w:trHeight w:val="160"/>
        </w:trPr>
        <w:tc>
          <w:tcPr>
            <w:tcW w:w="6660" w:type="dxa"/>
            <w:vAlign w:val="bottom"/>
          </w:tcPr>
          <w:p>
            <w:pPr>
              <w:ind w:left="240"/>
              <w:spacing w:after="0"/>
              <w:rPr>
                <w:sz w:val="20"/>
                <w:szCs w:val="20"/>
                <w:color w:val="auto"/>
              </w:rPr>
            </w:pPr>
            <w:r>
              <w:rPr>
                <w:rFonts w:ascii="Arial" w:cs="Arial" w:eastAsia="Arial" w:hAnsi="Arial"/>
                <w:sz w:val="12"/>
                <w:szCs w:val="12"/>
                <w:color w:val="auto"/>
              </w:rPr>
              <w:t>Sacramento Basin subtotal</w:t>
            </w:r>
            <w:r>
              <w:rPr>
                <w:rFonts w:ascii="Arial" w:cs="Arial" w:eastAsia="Arial" w:hAnsi="Arial"/>
                <w:sz w:val="14"/>
                <w:szCs w:val="14"/>
                <w:color w:val="auto"/>
                <w:vertAlign w:val="superscript"/>
              </w:rPr>
              <w:t>(b)</w:t>
            </w:r>
          </w:p>
        </w:tc>
        <w:tc>
          <w:tcPr>
            <w:tcW w:w="1740" w:type="dxa"/>
            <w:vAlign w:val="bottom"/>
          </w:tcPr>
          <w:p>
            <w:pPr>
              <w:jc w:val="right"/>
              <w:ind w:right="8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60" w:type="dxa"/>
            <w:vAlign w:val="bottom"/>
          </w:tcPr>
          <w:p>
            <w:pPr>
              <w:jc w:val="right"/>
              <w:ind w:right="62"/>
              <w:spacing w:after="0"/>
              <w:rPr>
                <w:sz w:val="20"/>
                <w:szCs w:val="20"/>
                <w:color w:val="auto"/>
              </w:rPr>
            </w:pPr>
            <w:r>
              <w:rPr>
                <w:rFonts w:ascii="Arial" w:cs="Arial" w:eastAsia="Arial" w:hAnsi="Arial"/>
                <w:sz w:val="12"/>
                <w:szCs w:val="12"/>
                <w:color w:val="auto"/>
              </w:rPr>
              <w:t>6</w:t>
            </w:r>
          </w:p>
        </w:tc>
      </w:tr>
      <w:tr>
        <w:trPr>
          <w:trHeight w:val="178"/>
        </w:trPr>
        <w:tc>
          <w:tcPr>
            <w:tcW w:w="666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bottom w:val="single" w:sz="8" w:color="auto"/>
            </w:tcBorders>
            <w:shd w:val="clear" w:color="auto" w:fill="CCEEFF"/>
          </w:tcPr>
          <w:p>
            <w:pPr>
              <w:spacing w:after="0"/>
              <w:rPr>
                <w:sz w:val="15"/>
                <w:szCs w:val="15"/>
                <w:color w:val="auto"/>
              </w:rPr>
            </w:pPr>
          </w:p>
        </w:tc>
      </w:tr>
      <w:tr>
        <w:trPr>
          <w:trHeight w:val="160"/>
        </w:trPr>
        <w:tc>
          <w:tcPr>
            <w:tcW w:w="6660" w:type="dxa"/>
            <w:vAlign w:val="bottom"/>
          </w:tcPr>
          <w:p>
            <w:pPr>
              <w:ind w:left="100"/>
              <w:spacing w:after="0"/>
              <w:rPr>
                <w:sz w:val="20"/>
                <w:szCs w:val="20"/>
                <w:color w:val="auto"/>
              </w:rPr>
            </w:pPr>
            <w:r>
              <w:rPr>
                <w:rFonts w:ascii="Arial" w:cs="Arial" w:eastAsia="Arial" w:hAnsi="Arial"/>
                <w:sz w:val="12"/>
                <w:szCs w:val="12"/>
                <w:b w:val="1"/>
                <w:bCs w:val="1"/>
                <w:color w:val="auto"/>
              </w:rPr>
              <w:t>Total</w:t>
            </w:r>
          </w:p>
        </w:tc>
        <w:tc>
          <w:tcPr>
            <w:tcW w:w="1740" w:type="dxa"/>
            <w:vAlign w:val="bottom"/>
          </w:tcPr>
          <w:p>
            <w:pPr>
              <w:jc w:val="right"/>
              <w:ind w:right="81"/>
              <w:spacing w:after="0"/>
              <w:rPr>
                <w:sz w:val="20"/>
                <w:szCs w:val="20"/>
                <w:color w:val="auto"/>
              </w:rPr>
            </w:pPr>
            <w:r>
              <w:rPr>
                <w:rFonts w:ascii="Arial" w:cs="Arial" w:eastAsia="Arial" w:hAnsi="Arial"/>
                <w:sz w:val="12"/>
                <w:szCs w:val="12"/>
                <w:color w:val="auto"/>
              </w:rPr>
              <w:t>618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3"/>
                <w:szCs w:val="13"/>
                <w:color w:val="auto"/>
              </w:rPr>
            </w:pPr>
          </w:p>
        </w:tc>
        <w:tc>
          <w:tcPr>
            <w:tcW w:w="2060" w:type="dxa"/>
            <w:vAlign w:val="bottom"/>
          </w:tcPr>
          <w:p>
            <w:pPr>
              <w:jc w:val="right"/>
              <w:ind w:right="62"/>
              <w:spacing w:after="0"/>
              <w:rPr>
                <w:sz w:val="20"/>
                <w:szCs w:val="20"/>
                <w:color w:val="auto"/>
              </w:rPr>
            </w:pPr>
            <w:r>
              <w:rPr>
                <w:rFonts w:ascii="Arial" w:cs="Arial" w:eastAsia="Arial" w:hAnsi="Arial"/>
                <w:sz w:val="12"/>
                <w:szCs w:val="12"/>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0</wp:posOffset>
            </wp:positionV>
            <wp:extent cx="30600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Includes reserves and production from gas injection of 12% and 10%, respectively.</w:t>
      </w:r>
    </w:p>
    <w:p>
      <w:pPr>
        <w:ind w:left="420" w:hanging="212"/>
        <w:spacing w:after="0"/>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Subtotal basin reserves in MMBoe.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301" w:right="1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Productive Wells</w:t>
      </w:r>
    </w:p>
    <w:p>
      <w:pPr>
        <w:spacing w:after="0" w:line="110" w:lineRule="exact"/>
        <w:rPr>
          <w:sz w:val="20"/>
          <w:szCs w:val="20"/>
          <w:color w:val="auto"/>
        </w:rPr>
      </w:pPr>
    </w:p>
    <w:p>
      <w:pPr>
        <w:ind w:right="440" w:firstLine="216"/>
        <w:spacing w:after="0" w:line="262" w:lineRule="auto"/>
        <w:rPr>
          <w:sz w:val="20"/>
          <w:szCs w:val="20"/>
          <w:color w:val="auto"/>
        </w:rPr>
      </w:pPr>
      <w:r>
        <w:rPr>
          <w:rFonts w:ascii="Arial" w:cs="Arial" w:eastAsia="Arial" w:hAnsi="Arial"/>
          <w:sz w:val="12"/>
          <w:szCs w:val="12"/>
          <w:color w:val="auto"/>
        </w:rPr>
        <w:t>Productive wells are those that produce, or are capable of producing, commercial quantities of hydrocarbons, regardless of whether they produce a reasonable rate of return. Net wells represent the sum of fractional interests in wells in which we own an interest. Our average working interest in our producing wells is approximately 87%. Wells are categorized based on the primary product they produce.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our productive oil and natural gas wells (both producing and capable of production) as of December 31, 2017, excluding wells that have been idle for more than five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620"/>
              <w:spacing w:after="0"/>
              <w:rPr>
                <w:sz w:val="20"/>
                <w:szCs w:val="20"/>
                <w:color w:val="auto"/>
              </w:rPr>
            </w:pPr>
            <w:r>
              <w:rPr>
                <w:rFonts w:ascii="Arial" w:cs="Arial" w:eastAsia="Arial" w:hAnsi="Arial"/>
                <w:sz w:val="12"/>
                <w:szCs w:val="12"/>
                <w:b w:val="1"/>
                <w:bCs w:val="1"/>
                <w:color w:val="auto"/>
              </w:rPr>
              <w:t>As of December 31, 2017</w:t>
            </w:r>
          </w:p>
        </w:tc>
        <w:tc>
          <w:tcPr>
            <w:tcW w:w="1260" w:type="dxa"/>
            <w:vAlign w:val="bottom"/>
            <w:tcBorders>
              <w:bottom w:val="single" w:sz="8" w:color="auto"/>
            </w:tcBorders>
          </w:tcPr>
          <w:p>
            <w:pPr>
              <w:spacing w:after="0"/>
              <w:rPr>
                <w:sz w:val="14"/>
                <w:szCs w:val="14"/>
                <w:color w:val="auto"/>
              </w:rPr>
            </w:pPr>
          </w:p>
        </w:tc>
      </w:tr>
      <w:tr>
        <w:trPr>
          <w:trHeight w:val="169"/>
        </w:trPr>
        <w:tc>
          <w:tcPr>
            <w:tcW w:w="608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2"/>
                <w:szCs w:val="12"/>
                <w:b w:val="1"/>
                <w:bCs w:val="1"/>
                <w:color w:val="auto"/>
              </w:rPr>
              <w:t>Productive Oil Wells</w:t>
            </w:r>
          </w:p>
        </w:tc>
        <w:tc>
          <w:tcPr>
            <w:tcW w:w="12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644"/>
              <w:spacing w:after="0"/>
              <w:rPr>
                <w:sz w:val="20"/>
                <w:szCs w:val="20"/>
                <w:color w:val="auto"/>
              </w:rPr>
            </w:pPr>
            <w:r>
              <w:rPr>
                <w:rFonts w:ascii="Arial" w:cs="Arial" w:eastAsia="Arial" w:hAnsi="Arial"/>
                <w:sz w:val="12"/>
                <w:szCs w:val="12"/>
                <w:b w:val="1"/>
                <w:bCs w:val="1"/>
                <w:color w:val="auto"/>
              </w:rPr>
              <w:t>Productive Gas Wells</w:t>
            </w:r>
          </w:p>
        </w:tc>
      </w:tr>
      <w:tr>
        <w:trPr>
          <w:trHeight w:val="174"/>
        </w:trPr>
        <w:tc>
          <w:tcPr>
            <w:tcW w:w="6080" w:type="dxa"/>
            <w:vAlign w:val="bottom"/>
          </w:tcPr>
          <w:p>
            <w:pPr>
              <w:spacing w:after="0"/>
              <w:rPr>
                <w:sz w:val="15"/>
                <w:szCs w:val="15"/>
                <w:color w:val="auto"/>
              </w:rPr>
            </w:pPr>
          </w:p>
        </w:tc>
        <w:tc>
          <w:tcPr>
            <w:tcW w:w="1380" w:type="dxa"/>
            <w:vAlign w:val="bottom"/>
            <w:gridSpan w:val="2"/>
          </w:tcPr>
          <w:p>
            <w:pPr>
              <w:ind w:left="420"/>
              <w:spacing w:after="0"/>
              <w:rPr>
                <w:sz w:val="20"/>
                <w:szCs w:val="20"/>
                <w:color w:val="auto"/>
              </w:rPr>
            </w:pPr>
            <w:r>
              <w:rPr>
                <w:rFonts w:ascii="Arial" w:cs="Arial" w:eastAsia="Arial" w:hAnsi="Arial"/>
                <w:sz w:val="12"/>
                <w:szCs w:val="12"/>
                <w:b w:val="1"/>
                <w:bCs w:val="1"/>
                <w:color w:val="auto"/>
              </w:rPr>
              <w:t>Gross</w:t>
            </w:r>
            <w:r>
              <w:rPr>
                <w:rFonts w:ascii="Arial" w:cs="Arial" w:eastAsia="Arial" w:hAnsi="Arial"/>
                <w:sz w:val="14"/>
                <w:szCs w:val="14"/>
                <w:b w:val="1"/>
                <w:bCs w:val="1"/>
                <w:color w:val="auto"/>
                <w:vertAlign w:val="superscript"/>
              </w:rPr>
              <w:t>(a)</w:t>
            </w:r>
          </w:p>
        </w:tc>
        <w:tc>
          <w:tcPr>
            <w:tcW w:w="1400" w:type="dxa"/>
            <w:vAlign w:val="bottom"/>
            <w:gridSpan w:val="2"/>
          </w:tcPr>
          <w:p>
            <w:pPr>
              <w:ind w:left="500"/>
              <w:spacing w:after="0" w:line="174" w:lineRule="exact"/>
              <w:rPr>
                <w:sz w:val="20"/>
                <w:szCs w:val="20"/>
                <w:color w:val="auto"/>
              </w:rPr>
            </w:pPr>
            <w:r>
              <w:rPr>
                <w:rFonts w:ascii="Arial" w:cs="Arial" w:eastAsia="Arial" w:hAnsi="Arial"/>
                <w:sz w:val="20"/>
                <w:szCs w:val="20"/>
                <w:b w:val="1"/>
                <w:bCs w:val="1"/>
                <w:color w:val="auto"/>
                <w:vertAlign w:val="subscript"/>
              </w:rPr>
              <w:t>Net</w:t>
            </w:r>
            <w:r>
              <w:rPr>
                <w:rFonts w:ascii="Arial" w:cs="Arial" w:eastAsia="Arial" w:hAnsi="Arial"/>
                <w:sz w:val="7"/>
                <w:szCs w:val="7"/>
                <w:b w:val="1"/>
                <w:bCs w:val="1"/>
                <w:color w:val="auto"/>
              </w:rPr>
              <w:t>(b)</w:t>
            </w:r>
          </w:p>
        </w:tc>
        <w:tc>
          <w:tcPr>
            <w:tcW w:w="1360" w:type="dxa"/>
            <w:vAlign w:val="bottom"/>
            <w:gridSpan w:val="2"/>
          </w:tcPr>
          <w:p>
            <w:pPr>
              <w:ind w:left="400"/>
              <w:spacing w:after="0"/>
              <w:rPr>
                <w:sz w:val="20"/>
                <w:szCs w:val="20"/>
                <w:color w:val="auto"/>
              </w:rPr>
            </w:pPr>
            <w:r>
              <w:rPr>
                <w:rFonts w:ascii="Arial" w:cs="Arial" w:eastAsia="Arial" w:hAnsi="Arial"/>
                <w:sz w:val="12"/>
                <w:szCs w:val="12"/>
                <w:b w:val="1"/>
                <w:bCs w:val="1"/>
                <w:color w:val="auto"/>
              </w:rPr>
              <w:t>Gross</w:t>
            </w:r>
            <w:r>
              <w:rPr>
                <w:rFonts w:ascii="Arial" w:cs="Arial" w:eastAsia="Arial" w:hAnsi="Arial"/>
                <w:sz w:val="14"/>
                <w:szCs w:val="14"/>
                <w:b w:val="1"/>
                <w:bCs w:val="1"/>
                <w:color w:val="auto"/>
                <w:vertAlign w:val="superscript"/>
              </w:rPr>
              <w:t>(a)</w:t>
            </w:r>
          </w:p>
        </w:tc>
        <w:tc>
          <w:tcPr>
            <w:tcW w:w="1260" w:type="dxa"/>
            <w:vAlign w:val="bottom"/>
          </w:tcPr>
          <w:p>
            <w:pPr>
              <w:jc w:val="right"/>
              <w:ind w:right="424"/>
              <w:spacing w:after="0" w:line="174" w:lineRule="exact"/>
              <w:rPr>
                <w:sz w:val="20"/>
                <w:szCs w:val="20"/>
                <w:color w:val="auto"/>
              </w:rPr>
            </w:pPr>
            <w:r>
              <w:rPr>
                <w:rFonts w:ascii="Arial" w:cs="Arial" w:eastAsia="Arial" w:hAnsi="Arial"/>
                <w:sz w:val="20"/>
                <w:szCs w:val="20"/>
                <w:b w:val="1"/>
                <w:bCs w:val="1"/>
                <w:color w:val="auto"/>
                <w:vertAlign w:val="subscript"/>
              </w:rPr>
              <w:t>Net</w:t>
            </w:r>
            <w:r>
              <w:rPr>
                <w:rFonts w:ascii="Arial" w:cs="Arial" w:eastAsia="Arial" w:hAnsi="Arial"/>
                <w:sz w:val="7"/>
                <w:szCs w:val="7"/>
                <w:b w:val="1"/>
                <w:bCs w:val="1"/>
                <w:color w:val="auto"/>
              </w:rPr>
              <w:t>(b)</w:t>
            </w:r>
          </w:p>
        </w:tc>
      </w:tr>
      <w:tr>
        <w:trPr>
          <w:trHeight w:val="160"/>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San Joaquin Basin</w:t>
            </w:r>
          </w:p>
        </w:tc>
        <w:tc>
          <w:tcPr>
            <w:tcW w:w="12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8,058</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6,826</w:t>
            </w: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162</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135</w:t>
            </w:r>
          </w:p>
        </w:tc>
      </w:tr>
      <w:tr>
        <w:trPr>
          <w:trHeight w:val="176"/>
        </w:trPr>
        <w:tc>
          <w:tcPr>
            <w:tcW w:w="6080" w:type="dxa"/>
            <w:vAlign w:val="bottom"/>
          </w:tcPr>
          <w:p>
            <w:pPr>
              <w:ind w:left="20"/>
              <w:spacing w:after="0"/>
              <w:rPr>
                <w:sz w:val="20"/>
                <w:szCs w:val="20"/>
                <w:color w:val="auto"/>
              </w:rPr>
            </w:pPr>
            <w:r>
              <w:rPr>
                <w:rFonts w:ascii="Arial" w:cs="Arial" w:eastAsia="Arial" w:hAnsi="Arial"/>
                <w:sz w:val="12"/>
                <w:szCs w:val="12"/>
                <w:color w:val="auto"/>
              </w:rPr>
              <w:t>Los Angeles Basin</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1,629</w:t>
            </w:r>
          </w:p>
        </w:tc>
        <w:tc>
          <w:tcPr>
            <w:tcW w:w="100" w:type="dxa"/>
            <w:vAlign w:val="bottom"/>
          </w:tcPr>
          <w:p>
            <w:pPr>
              <w:spacing w:after="0"/>
              <w:rPr>
                <w:sz w:val="15"/>
                <w:szCs w:val="15"/>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1,579</w:t>
            </w:r>
          </w:p>
        </w:tc>
        <w:tc>
          <w:tcPr>
            <w:tcW w:w="12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1</w:t>
            </w:r>
          </w:p>
        </w:tc>
      </w:tr>
      <w:tr>
        <w:trPr>
          <w:trHeight w:val="185"/>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Ventura Basin</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819</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812</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w:t>
            </w:r>
          </w:p>
        </w:tc>
      </w:tr>
      <w:tr>
        <w:trPr>
          <w:trHeight w:val="176"/>
        </w:trPr>
        <w:tc>
          <w:tcPr>
            <w:tcW w:w="6080" w:type="dxa"/>
            <w:vAlign w:val="bottom"/>
          </w:tcPr>
          <w:p>
            <w:pPr>
              <w:ind w:left="20"/>
              <w:spacing w:after="0"/>
              <w:rPr>
                <w:sz w:val="20"/>
                <w:szCs w:val="20"/>
                <w:color w:val="auto"/>
              </w:rPr>
            </w:pPr>
            <w:r>
              <w:rPr>
                <w:rFonts w:ascii="Arial" w:cs="Arial" w:eastAsia="Arial" w:hAnsi="Arial"/>
                <w:sz w:val="12"/>
                <w:szCs w:val="12"/>
                <w:color w:val="auto"/>
              </w:rPr>
              <w:t>Sacramento Basin</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965</w:t>
            </w:r>
          </w:p>
        </w:tc>
        <w:tc>
          <w:tcPr>
            <w:tcW w:w="10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886</w:t>
            </w:r>
          </w:p>
        </w:tc>
      </w:tr>
      <w:tr>
        <w:trPr>
          <w:trHeight w:val="172"/>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r>
              <w:rPr>
                <w:rFonts w:ascii="Arial" w:cs="Arial" w:eastAsia="Arial" w:hAnsi="Arial"/>
                <w:sz w:val="14"/>
                <w:szCs w:val="14"/>
                <w:color w:val="auto"/>
                <w:vertAlign w:val="superscript"/>
              </w:rPr>
              <w:t>(c)</w:t>
            </w:r>
          </w:p>
        </w:tc>
        <w:tc>
          <w:tcPr>
            <w:tcW w:w="1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10,506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9,217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1,128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1,022</w:t>
            </w:r>
          </w:p>
        </w:tc>
      </w:tr>
      <w:tr>
        <w:trPr>
          <w:trHeight w:val="162"/>
        </w:trPr>
        <w:tc>
          <w:tcPr>
            <w:tcW w:w="6080" w:type="dxa"/>
            <w:vAlign w:val="bottom"/>
          </w:tcPr>
          <w:p>
            <w:pPr>
              <w:ind w:left="20"/>
              <w:spacing w:after="0"/>
              <w:rPr>
                <w:sz w:val="20"/>
                <w:szCs w:val="20"/>
                <w:color w:val="auto"/>
              </w:rPr>
            </w:pPr>
            <w:r>
              <w:rPr>
                <w:rFonts w:ascii="Arial" w:cs="Arial" w:eastAsia="Arial" w:hAnsi="Arial"/>
                <w:sz w:val="12"/>
                <w:szCs w:val="12"/>
                <w:color w:val="auto"/>
              </w:rPr>
              <w:t>Multiple completion wells included above</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4"/>
                <w:szCs w:val="14"/>
                <w:color w:val="auto"/>
              </w:rPr>
            </w:pP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44</w:t>
            </w:r>
          </w:p>
        </w:tc>
      </w:tr>
    </w:tbl>
    <w:p>
      <w:pPr>
        <w:spacing w:after="0" w:line="41"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The total number of wells in which interests are owned.</w:t>
      </w:r>
    </w:p>
    <w:p>
      <w:pPr>
        <w:ind w:left="420" w:hanging="212"/>
        <w:spacing w:after="0" w:line="225" w:lineRule="auto"/>
        <w:tabs>
          <w:tab w:leader="none" w:pos="4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Sum of our fractional interests.</w:t>
      </w:r>
    </w:p>
    <w:p>
      <w:pPr>
        <w:ind w:left="420" w:right="240" w:hanging="212"/>
        <w:spacing w:after="0" w:line="232" w:lineRule="auto"/>
        <w:tabs>
          <w:tab w:leader="none" w:pos="4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This total represents both producing and capable of producing wells. As of December 31, 2017, we had 2,690 gross (2,455 net) oil wells and 308 gross (283 net) gas wells that are capable of production but currently not producing, and a total of 8,636 gross (7,501 net) producing wells, approximately 91% of which were oil wells.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Acreage</w:t>
      </w:r>
    </w:p>
    <w:p>
      <w:pPr>
        <w:spacing w:after="0" w:line="200"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The following table sets forth certain information regarding the total developed and undeveloped acreage in which we owned an interest as of December 31, 2017, of which approximately 60% is held in fee, 15% is held by production and 25% are term leases.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700" w:type="dxa"/>
            <w:vAlign w:val="bottom"/>
          </w:tcPr>
          <w:p>
            <w:pPr>
              <w:spacing w:after="0"/>
              <w:rPr>
                <w:sz w:val="11"/>
                <w:szCs w:val="11"/>
                <w:color w:val="auto"/>
              </w:rPr>
            </w:pPr>
          </w:p>
        </w:tc>
        <w:tc>
          <w:tcPr>
            <w:tcW w:w="138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San Joaquin Basin</w:t>
            </w: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Los Angeles Basin</w:t>
            </w: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Ventura Basin</w:t>
            </w:r>
          </w:p>
        </w:tc>
        <w:tc>
          <w:tcPr>
            <w:tcW w:w="152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Sacramento Basin</w:t>
            </w: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Total</w:t>
            </w:r>
          </w:p>
        </w:tc>
      </w:tr>
      <w:tr>
        <w:trPr>
          <w:trHeight w:val="133"/>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40" w:type="dxa"/>
            <w:vAlign w:val="bottom"/>
          </w:tcPr>
          <w:p>
            <w:pPr>
              <w:ind w:left="280"/>
              <w:spacing w:after="0"/>
              <w:rPr>
                <w:sz w:val="20"/>
                <w:szCs w:val="20"/>
                <w:color w:val="auto"/>
              </w:rPr>
            </w:pPr>
            <w:r>
              <w:rPr>
                <w:rFonts w:ascii="Arial" w:cs="Arial" w:eastAsia="Arial" w:hAnsi="Arial"/>
                <w:sz w:val="10"/>
                <w:szCs w:val="10"/>
                <w:color w:val="auto"/>
              </w:rPr>
              <w:t>(in thousands)</w:t>
            </w:r>
          </w:p>
        </w:tc>
        <w:tc>
          <w:tcPr>
            <w:tcW w:w="15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Developed</w:t>
            </w:r>
            <w:r>
              <w:rPr>
                <w:rFonts w:ascii="Arial" w:cs="Arial" w:eastAsia="Arial" w:hAnsi="Arial"/>
                <w:sz w:val="14"/>
                <w:szCs w:val="14"/>
                <w:color w:val="auto"/>
                <w:vertAlign w:val="superscript"/>
              </w:rPr>
              <w:t>(a)</w:t>
            </w:r>
          </w:p>
        </w:tc>
        <w:tc>
          <w:tcPr>
            <w:tcW w:w="1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0"/>
        </w:trPr>
        <w:tc>
          <w:tcPr>
            <w:tcW w:w="4700" w:type="dxa"/>
            <w:vAlign w:val="bottom"/>
          </w:tcPr>
          <w:p>
            <w:pPr>
              <w:ind w:left="100"/>
              <w:spacing w:after="0"/>
              <w:rPr>
                <w:sz w:val="20"/>
                <w:szCs w:val="20"/>
                <w:color w:val="auto"/>
              </w:rPr>
            </w:pPr>
            <w:r>
              <w:rPr>
                <w:rFonts w:ascii="Arial" w:cs="Arial" w:eastAsia="Arial" w:hAnsi="Arial"/>
                <w:sz w:val="12"/>
                <w:szCs w:val="12"/>
                <w:color w:val="auto"/>
              </w:rPr>
              <w:t>Gross</w:t>
            </w:r>
            <w:r>
              <w:rPr>
                <w:rFonts w:ascii="Arial" w:cs="Arial" w:eastAsia="Arial" w:hAnsi="Arial"/>
                <w:sz w:val="14"/>
                <w:szCs w:val="14"/>
                <w:color w:val="auto"/>
                <w:vertAlign w:val="superscript"/>
              </w:rPr>
              <w:t>(b)</w:t>
            </w:r>
          </w:p>
        </w:tc>
        <w:tc>
          <w:tcPr>
            <w:tcW w:w="1380" w:type="dxa"/>
            <w:vAlign w:val="bottom"/>
          </w:tcPr>
          <w:p>
            <w:pPr>
              <w:jc w:val="right"/>
              <w:ind w:right="162"/>
              <w:spacing w:after="0"/>
              <w:rPr>
                <w:sz w:val="20"/>
                <w:szCs w:val="20"/>
                <w:color w:val="auto"/>
              </w:rPr>
            </w:pPr>
            <w:r>
              <w:rPr>
                <w:rFonts w:ascii="Arial" w:cs="Arial" w:eastAsia="Arial" w:hAnsi="Arial"/>
                <w:sz w:val="12"/>
                <w:szCs w:val="12"/>
                <w:color w:val="auto"/>
              </w:rPr>
              <w:t>417</w:t>
            </w:r>
          </w:p>
        </w:tc>
        <w:tc>
          <w:tcPr>
            <w:tcW w:w="1440" w:type="dxa"/>
            <w:vAlign w:val="bottom"/>
          </w:tcPr>
          <w:p>
            <w:pPr>
              <w:jc w:val="right"/>
              <w:ind w:right="222"/>
              <w:spacing w:after="0"/>
              <w:rPr>
                <w:sz w:val="20"/>
                <w:szCs w:val="20"/>
                <w:color w:val="auto"/>
              </w:rPr>
            </w:pPr>
            <w:r>
              <w:rPr>
                <w:rFonts w:ascii="Arial" w:cs="Arial" w:eastAsia="Arial" w:hAnsi="Arial"/>
                <w:sz w:val="12"/>
                <w:szCs w:val="12"/>
                <w:color w:val="auto"/>
              </w:rPr>
              <w:t>21</w:t>
            </w:r>
          </w:p>
        </w:tc>
        <w:tc>
          <w:tcPr>
            <w:tcW w:w="1340" w:type="dxa"/>
            <w:vAlign w:val="bottom"/>
          </w:tcPr>
          <w:p>
            <w:pPr>
              <w:jc w:val="right"/>
              <w:ind w:right="184"/>
              <w:spacing w:after="0"/>
              <w:rPr>
                <w:sz w:val="20"/>
                <w:szCs w:val="20"/>
                <w:color w:val="auto"/>
              </w:rPr>
            </w:pPr>
            <w:r>
              <w:rPr>
                <w:rFonts w:ascii="Arial" w:cs="Arial" w:eastAsia="Arial" w:hAnsi="Arial"/>
                <w:sz w:val="12"/>
                <w:szCs w:val="12"/>
                <w:color w:val="auto"/>
              </w:rPr>
              <w:t>63</w:t>
            </w:r>
          </w:p>
        </w:tc>
        <w:tc>
          <w:tcPr>
            <w:tcW w:w="1520" w:type="dxa"/>
            <w:vAlign w:val="bottom"/>
          </w:tcPr>
          <w:p>
            <w:pPr>
              <w:jc w:val="right"/>
              <w:ind w:right="322"/>
              <w:spacing w:after="0"/>
              <w:rPr>
                <w:sz w:val="20"/>
                <w:szCs w:val="20"/>
                <w:color w:val="auto"/>
              </w:rPr>
            </w:pPr>
            <w:r>
              <w:rPr>
                <w:rFonts w:ascii="Arial" w:cs="Arial" w:eastAsia="Arial" w:hAnsi="Arial"/>
                <w:sz w:val="12"/>
                <w:szCs w:val="12"/>
                <w:color w:val="auto"/>
              </w:rPr>
              <w:t>267</w:t>
            </w: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768</w:t>
            </w:r>
          </w:p>
        </w:tc>
      </w:tr>
      <w:tr>
        <w:trPr>
          <w:trHeight w:val="180"/>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w:t>
            </w:r>
            <w:r>
              <w:rPr>
                <w:rFonts w:ascii="Arial" w:cs="Arial" w:eastAsia="Arial" w:hAnsi="Arial"/>
                <w:sz w:val="14"/>
                <w:szCs w:val="14"/>
                <w:color w:val="auto"/>
                <w:vertAlign w:val="superscript"/>
              </w:rPr>
              <w:t>(c)</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379</w:t>
            </w:r>
          </w:p>
        </w:tc>
        <w:tc>
          <w:tcPr>
            <w:tcW w:w="14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16</w:t>
            </w:r>
          </w:p>
        </w:tc>
        <w:tc>
          <w:tcPr>
            <w:tcW w:w="134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61</w:t>
            </w:r>
          </w:p>
        </w:tc>
        <w:tc>
          <w:tcPr>
            <w:tcW w:w="152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247</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703</w:t>
            </w:r>
          </w:p>
        </w:tc>
      </w:tr>
      <w:tr>
        <w:trPr>
          <w:trHeight w:val="180"/>
        </w:trPr>
        <w:tc>
          <w:tcPr>
            <w:tcW w:w="4700" w:type="dxa"/>
            <w:vAlign w:val="bottom"/>
          </w:tcPr>
          <w:p>
            <w:pPr>
              <w:ind w:left="20"/>
              <w:spacing w:after="0"/>
              <w:rPr>
                <w:sz w:val="20"/>
                <w:szCs w:val="20"/>
                <w:color w:val="auto"/>
              </w:rPr>
            </w:pPr>
            <w:r>
              <w:rPr>
                <w:rFonts w:ascii="Arial" w:cs="Arial" w:eastAsia="Arial" w:hAnsi="Arial"/>
                <w:sz w:val="12"/>
                <w:szCs w:val="12"/>
                <w:color w:val="auto"/>
              </w:rPr>
              <w:t>Undeveloped</w:t>
            </w:r>
            <w:r>
              <w:rPr>
                <w:rFonts w:ascii="Arial" w:cs="Arial" w:eastAsia="Arial" w:hAnsi="Arial"/>
                <w:sz w:val="14"/>
                <w:szCs w:val="14"/>
                <w:color w:val="auto"/>
                <w:vertAlign w:val="superscript"/>
              </w:rPr>
              <w:t>(d)</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Gross</w:t>
            </w:r>
            <w:r>
              <w:rPr>
                <w:rFonts w:ascii="Arial" w:cs="Arial" w:eastAsia="Arial" w:hAnsi="Arial"/>
                <w:sz w:val="14"/>
                <w:szCs w:val="14"/>
                <w:color w:val="auto"/>
                <w:vertAlign w:val="superscript"/>
              </w:rPr>
              <w:t>(b)</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1,317</w:t>
            </w:r>
          </w:p>
        </w:tc>
        <w:tc>
          <w:tcPr>
            <w:tcW w:w="14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17</w:t>
            </w:r>
          </w:p>
        </w:tc>
        <w:tc>
          <w:tcPr>
            <w:tcW w:w="134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224</w:t>
            </w:r>
          </w:p>
        </w:tc>
        <w:tc>
          <w:tcPr>
            <w:tcW w:w="152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341</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1,899</w:t>
            </w:r>
          </w:p>
        </w:tc>
      </w:tr>
      <w:tr>
        <w:trPr>
          <w:trHeight w:val="183"/>
        </w:trPr>
        <w:tc>
          <w:tcPr>
            <w:tcW w:w="4700" w:type="dxa"/>
            <w:vAlign w:val="bottom"/>
          </w:tcPr>
          <w:p>
            <w:pPr>
              <w:ind w:left="100"/>
              <w:spacing w:after="0"/>
              <w:rPr>
                <w:sz w:val="20"/>
                <w:szCs w:val="20"/>
                <w:color w:val="auto"/>
              </w:rPr>
            </w:pPr>
            <w:r>
              <w:rPr>
                <w:rFonts w:ascii="Arial" w:cs="Arial" w:eastAsia="Arial" w:hAnsi="Arial"/>
                <w:sz w:val="12"/>
                <w:szCs w:val="12"/>
                <w:color w:val="auto"/>
              </w:rPr>
              <w:t>Net</w:t>
            </w:r>
            <w:r>
              <w:rPr>
                <w:rFonts w:ascii="Arial" w:cs="Arial" w:eastAsia="Arial" w:hAnsi="Arial"/>
                <w:sz w:val="14"/>
                <w:szCs w:val="14"/>
                <w:color w:val="auto"/>
                <w:vertAlign w:val="superscript"/>
              </w:rPr>
              <w:t>(c)</w:t>
            </w:r>
          </w:p>
        </w:tc>
        <w:tc>
          <w:tcPr>
            <w:tcW w:w="1380" w:type="dxa"/>
            <w:vAlign w:val="bottom"/>
          </w:tcPr>
          <w:p>
            <w:pPr>
              <w:jc w:val="right"/>
              <w:ind w:right="162"/>
              <w:spacing w:after="0"/>
              <w:rPr>
                <w:sz w:val="20"/>
                <w:szCs w:val="20"/>
                <w:color w:val="auto"/>
              </w:rPr>
            </w:pPr>
            <w:r>
              <w:rPr>
                <w:rFonts w:ascii="Arial" w:cs="Arial" w:eastAsia="Arial" w:hAnsi="Arial"/>
                <w:sz w:val="12"/>
                <w:szCs w:val="12"/>
                <w:color w:val="auto"/>
              </w:rPr>
              <w:t>1,087</w:t>
            </w:r>
          </w:p>
        </w:tc>
        <w:tc>
          <w:tcPr>
            <w:tcW w:w="1440" w:type="dxa"/>
            <w:vAlign w:val="bottom"/>
          </w:tcPr>
          <w:p>
            <w:pPr>
              <w:jc w:val="right"/>
              <w:ind w:right="222"/>
              <w:spacing w:after="0"/>
              <w:rPr>
                <w:sz w:val="20"/>
                <w:szCs w:val="20"/>
                <w:color w:val="auto"/>
              </w:rPr>
            </w:pPr>
            <w:r>
              <w:rPr>
                <w:rFonts w:ascii="Arial" w:cs="Arial" w:eastAsia="Arial" w:hAnsi="Arial"/>
                <w:sz w:val="12"/>
                <w:szCs w:val="12"/>
                <w:color w:val="auto"/>
              </w:rPr>
              <w:t>14</w:t>
            </w:r>
          </w:p>
        </w:tc>
        <w:tc>
          <w:tcPr>
            <w:tcW w:w="1340" w:type="dxa"/>
            <w:vAlign w:val="bottom"/>
          </w:tcPr>
          <w:p>
            <w:pPr>
              <w:jc w:val="right"/>
              <w:ind w:right="184"/>
              <w:spacing w:after="0"/>
              <w:rPr>
                <w:sz w:val="20"/>
                <w:szCs w:val="20"/>
                <w:color w:val="auto"/>
              </w:rPr>
            </w:pPr>
            <w:r>
              <w:rPr>
                <w:rFonts w:ascii="Arial" w:cs="Arial" w:eastAsia="Arial" w:hAnsi="Arial"/>
                <w:sz w:val="12"/>
                <w:szCs w:val="12"/>
                <w:color w:val="auto"/>
              </w:rPr>
              <w:t>187</w:t>
            </w:r>
          </w:p>
        </w:tc>
        <w:tc>
          <w:tcPr>
            <w:tcW w:w="1520" w:type="dxa"/>
            <w:vAlign w:val="bottom"/>
          </w:tcPr>
          <w:p>
            <w:pPr>
              <w:jc w:val="right"/>
              <w:ind w:right="322"/>
              <w:spacing w:after="0"/>
              <w:rPr>
                <w:sz w:val="20"/>
                <w:szCs w:val="20"/>
                <w:color w:val="auto"/>
              </w:rPr>
            </w:pPr>
            <w:r>
              <w:rPr>
                <w:rFonts w:ascii="Arial" w:cs="Arial" w:eastAsia="Arial" w:hAnsi="Arial"/>
                <w:sz w:val="12"/>
                <w:szCs w:val="12"/>
                <w:color w:val="auto"/>
              </w:rPr>
              <w:t>261</w:t>
            </w: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1,549</w:t>
            </w:r>
          </w:p>
        </w:tc>
      </w:tr>
    </w:tbl>
    <w:p>
      <w:pPr>
        <w:ind w:left="420" w:hanging="212"/>
        <w:spacing w:after="0" w:line="225" w:lineRule="auto"/>
        <w:tabs>
          <w:tab w:leader="none" w:pos="4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Acres spaced or assigned to productive wells.</w:t>
      </w:r>
    </w:p>
    <w:p>
      <w:pPr>
        <w:ind w:left="420" w:hanging="212"/>
        <w:spacing w:after="0" w:line="225" w:lineRule="auto"/>
        <w:tabs>
          <w:tab w:leader="none" w:pos="4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Total number of acres in which interests are owned.</w:t>
      </w:r>
    </w:p>
    <w:p>
      <w:pPr>
        <w:ind w:left="420" w:hanging="212"/>
        <w:spacing w:after="0" w:line="225" w:lineRule="auto"/>
        <w:tabs>
          <w:tab w:leader="none" w:pos="4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Sum of our fractional interests based on working interests or interests under arrangements similar to production-sharing contracts.</w:t>
      </w:r>
    </w:p>
    <w:p>
      <w:pPr>
        <w:ind w:left="420" w:hanging="212"/>
        <w:spacing w:after="0"/>
        <w:tabs>
          <w:tab w:leader="none" w:pos="4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Acres on which wells have not been drilled or completed to a point that would permit the production of commercial quantities of oil and natural gas, regardless of whether the acreage contains proved reserves.</w:t>
      </w:r>
    </w:p>
    <w:p>
      <w:pPr>
        <w:spacing w:after="0" w:line="7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Work programs are designed to ensure that the exploration potential of any leased property is fully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acreage, we have generally been successful in obtaining extensions. The combined net acreage covered by leases expiring in the next three years represents approximately 16% of our total net undeveloped acreage at December 31, 2017 and these expirations would not have a material adverse impact on us. Historically, we have not dedicated any significant portion of our capital program to prevent lease expirations and do not expect we will need to do so in the future.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377" w:right="1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Drilling Activities</w:t>
      </w:r>
    </w:p>
    <w:p>
      <w:pPr>
        <w:spacing w:after="0" w:line="200"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The following table sets forth information with respect to our net exploration and development wells completed during the periods indicated. Net wells represent the sum of fractional interests in wells in which we own an interest. The information should not be considered indicative of future performance, nor should it be assumed that there is necessarily any correlation among the number of productive wells drilled, quantities of reserves found or economic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70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San Joaquin Basin</w:t>
            </w:r>
          </w:p>
        </w:tc>
        <w:tc>
          <w:tcPr>
            <w:tcW w:w="1400" w:type="dxa"/>
            <w:vAlign w:val="bottom"/>
            <w:gridSpan w:val="2"/>
          </w:tcPr>
          <w:p>
            <w:pPr>
              <w:ind w:left="220"/>
              <w:spacing w:after="0"/>
              <w:rPr>
                <w:sz w:val="20"/>
                <w:szCs w:val="20"/>
                <w:color w:val="auto"/>
              </w:rPr>
            </w:pPr>
            <w:r>
              <w:rPr>
                <w:rFonts w:ascii="Arial" w:cs="Arial" w:eastAsia="Arial" w:hAnsi="Arial"/>
                <w:sz w:val="10"/>
                <w:szCs w:val="10"/>
                <w:b w:val="1"/>
                <w:bCs w:val="1"/>
                <w:color w:val="auto"/>
              </w:rPr>
              <w:t>Los Angeles Basin</w:t>
            </w:r>
          </w:p>
        </w:tc>
        <w:tc>
          <w:tcPr>
            <w:tcW w:w="1380" w:type="dxa"/>
            <w:vAlign w:val="bottom"/>
            <w:gridSpan w:val="2"/>
          </w:tcPr>
          <w:p>
            <w:pPr>
              <w:ind w:left="320"/>
              <w:spacing w:after="0"/>
              <w:rPr>
                <w:sz w:val="20"/>
                <w:szCs w:val="20"/>
                <w:color w:val="auto"/>
              </w:rPr>
            </w:pPr>
            <w:r>
              <w:rPr>
                <w:rFonts w:ascii="Arial" w:cs="Arial" w:eastAsia="Arial" w:hAnsi="Arial"/>
                <w:sz w:val="10"/>
                <w:szCs w:val="10"/>
                <w:b w:val="1"/>
                <w:bCs w:val="1"/>
                <w:color w:val="auto"/>
              </w:rPr>
              <w:t>Ventura Basin</w:t>
            </w:r>
          </w:p>
        </w:tc>
        <w:tc>
          <w:tcPr>
            <w:tcW w:w="1360" w:type="dxa"/>
            <w:vAlign w:val="bottom"/>
            <w:gridSpan w:val="2"/>
          </w:tcPr>
          <w:p>
            <w:pPr>
              <w:ind w:left="220"/>
              <w:spacing w:after="0"/>
              <w:rPr>
                <w:sz w:val="20"/>
                <w:szCs w:val="20"/>
                <w:color w:val="auto"/>
              </w:rPr>
            </w:pPr>
            <w:r>
              <w:rPr>
                <w:rFonts w:ascii="Arial" w:cs="Arial" w:eastAsia="Arial" w:hAnsi="Arial"/>
                <w:sz w:val="10"/>
                <w:szCs w:val="10"/>
                <w:b w:val="1"/>
                <w:bCs w:val="1"/>
                <w:color w:val="auto"/>
              </w:rPr>
              <w:t>Sacramento Basin</w:t>
            </w:r>
          </w:p>
        </w:tc>
        <w:tc>
          <w:tcPr>
            <w:tcW w:w="1260" w:type="dxa"/>
            <w:vAlign w:val="bottom"/>
          </w:tcPr>
          <w:p>
            <w:pPr>
              <w:jc w:val="right"/>
              <w:ind w:right="461"/>
              <w:spacing w:after="0"/>
              <w:rPr>
                <w:sz w:val="20"/>
                <w:szCs w:val="20"/>
                <w:color w:val="auto"/>
              </w:rPr>
            </w:pPr>
            <w:r>
              <w:rPr>
                <w:rFonts w:ascii="Arial" w:cs="Arial" w:eastAsia="Arial" w:hAnsi="Arial"/>
                <w:sz w:val="10"/>
                <w:szCs w:val="10"/>
                <w:b w:val="1"/>
                <w:bCs w:val="1"/>
                <w:color w:val="auto"/>
              </w:rPr>
              <w:t>Total</w:t>
            </w:r>
          </w:p>
        </w:tc>
      </w:tr>
      <w:tr>
        <w:trPr>
          <w:trHeight w:val="164"/>
        </w:trPr>
        <w:tc>
          <w:tcPr>
            <w:tcW w:w="4700" w:type="dxa"/>
            <w:vAlign w:val="bottom"/>
          </w:tcPr>
          <w:p>
            <w:pPr>
              <w:ind w:left="20"/>
              <w:spacing w:after="0"/>
              <w:rPr>
                <w:sz w:val="20"/>
                <w:szCs w:val="20"/>
                <w:color w:val="auto"/>
              </w:rPr>
            </w:pPr>
            <w:r>
              <w:rPr>
                <w:rFonts w:ascii="Arial" w:cs="Arial" w:eastAsia="Arial" w:hAnsi="Arial"/>
                <w:sz w:val="12"/>
                <w:szCs w:val="12"/>
                <w:b w:val="1"/>
                <w:bCs w:val="1"/>
                <w:color w:val="auto"/>
              </w:rPr>
              <w:t>2017</w:t>
            </w: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185"/>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Oil</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Exploratory</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2</w:t>
            </w: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Development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109</w:t>
            </w: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Dry</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Exploratory</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Development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94"/>
        </w:trPr>
        <w:tc>
          <w:tcPr>
            <w:tcW w:w="47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b w:val="1"/>
                <w:bCs w:val="1"/>
                <w:color w:val="auto"/>
              </w:rPr>
              <w:t>2016</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5"/>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Oil</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Exploratory</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Development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w:t>
            </w:r>
          </w:p>
        </w:tc>
      </w:tr>
      <w:tr>
        <w:trPr>
          <w:trHeight w:val="189"/>
        </w:trPr>
        <w:tc>
          <w:tcPr>
            <w:tcW w:w="4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2015</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Oil</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Exploratory</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71"/>
        </w:trPr>
        <w:tc>
          <w:tcPr>
            <w:tcW w:w="4700" w:type="dxa"/>
            <w:vAlign w:val="bottom"/>
          </w:tcPr>
          <w:p>
            <w:pPr>
              <w:ind w:left="100"/>
              <w:spacing w:after="0"/>
              <w:rPr>
                <w:sz w:val="20"/>
                <w:szCs w:val="20"/>
                <w:color w:val="auto"/>
              </w:rPr>
            </w:pPr>
            <w:r>
              <w:rPr>
                <w:rFonts w:ascii="Arial" w:cs="Arial" w:eastAsia="Arial" w:hAnsi="Arial"/>
                <w:sz w:val="12"/>
                <w:szCs w:val="12"/>
                <w:color w:val="auto"/>
              </w:rPr>
              <w:t>Development</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1"/>
              <w:spacing w:after="0"/>
              <w:rPr>
                <w:sz w:val="20"/>
                <w:szCs w:val="20"/>
                <w:color w:val="auto"/>
              </w:rPr>
            </w:pPr>
            <w:r>
              <w:rPr>
                <w:rFonts w:ascii="Arial" w:cs="Arial" w:eastAsia="Arial" w:hAnsi="Arial"/>
                <w:sz w:val="12"/>
                <w:szCs w:val="12"/>
                <w:color w:val="auto"/>
              </w:rPr>
              <w:t>283</w:t>
            </w:r>
          </w:p>
        </w:tc>
      </w:tr>
    </w:tbl>
    <w:p>
      <w:pPr>
        <w:spacing w:after="0" w:line="153" w:lineRule="exact"/>
        <w:rPr>
          <w:sz w:val="20"/>
          <w:szCs w:val="20"/>
          <w:color w:val="auto"/>
        </w:rPr>
      </w:pPr>
    </w:p>
    <w:p>
      <w:pPr>
        <w:ind w:right="280" w:firstLine="216"/>
        <w:spacing w:after="0" w:line="262" w:lineRule="auto"/>
        <w:rPr>
          <w:sz w:val="20"/>
          <w:szCs w:val="20"/>
          <w:color w:val="auto"/>
        </w:rPr>
      </w:pPr>
      <w:r>
        <w:rPr>
          <w:rFonts w:ascii="Arial" w:cs="Arial" w:eastAsia="Arial" w:hAnsi="Arial"/>
          <w:sz w:val="12"/>
          <w:szCs w:val="12"/>
          <w:color w:val="auto"/>
        </w:rPr>
        <w:t>The following table sets forth information with respect to our exploration and development wells for which drilling was in progress or pending completion as of December 31, 2017, which are not included in the above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70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San Joaquin Basin</w:t>
            </w:r>
          </w:p>
        </w:tc>
        <w:tc>
          <w:tcPr>
            <w:tcW w:w="1400" w:type="dxa"/>
            <w:vAlign w:val="bottom"/>
            <w:gridSpan w:val="2"/>
          </w:tcPr>
          <w:p>
            <w:pPr>
              <w:ind w:left="220"/>
              <w:spacing w:after="0"/>
              <w:rPr>
                <w:sz w:val="20"/>
                <w:szCs w:val="20"/>
                <w:color w:val="auto"/>
              </w:rPr>
            </w:pPr>
            <w:r>
              <w:rPr>
                <w:rFonts w:ascii="Arial" w:cs="Arial" w:eastAsia="Arial" w:hAnsi="Arial"/>
                <w:sz w:val="10"/>
                <w:szCs w:val="10"/>
                <w:b w:val="1"/>
                <w:bCs w:val="1"/>
                <w:color w:val="auto"/>
              </w:rPr>
              <w:t>Los Angeles Basin</w:t>
            </w:r>
          </w:p>
        </w:tc>
        <w:tc>
          <w:tcPr>
            <w:tcW w:w="1380" w:type="dxa"/>
            <w:vAlign w:val="bottom"/>
            <w:gridSpan w:val="2"/>
          </w:tcPr>
          <w:p>
            <w:pPr>
              <w:ind w:left="320"/>
              <w:spacing w:after="0"/>
              <w:rPr>
                <w:sz w:val="20"/>
                <w:szCs w:val="20"/>
                <w:color w:val="auto"/>
              </w:rPr>
            </w:pPr>
            <w:r>
              <w:rPr>
                <w:rFonts w:ascii="Arial" w:cs="Arial" w:eastAsia="Arial" w:hAnsi="Arial"/>
                <w:sz w:val="10"/>
                <w:szCs w:val="10"/>
                <w:b w:val="1"/>
                <w:bCs w:val="1"/>
                <w:color w:val="auto"/>
              </w:rPr>
              <w:t>Ventura Basin</w:t>
            </w:r>
          </w:p>
        </w:tc>
        <w:tc>
          <w:tcPr>
            <w:tcW w:w="1360" w:type="dxa"/>
            <w:vAlign w:val="bottom"/>
            <w:gridSpan w:val="2"/>
          </w:tcPr>
          <w:p>
            <w:pPr>
              <w:ind w:left="220"/>
              <w:spacing w:after="0"/>
              <w:rPr>
                <w:sz w:val="20"/>
                <w:szCs w:val="20"/>
                <w:color w:val="auto"/>
              </w:rPr>
            </w:pPr>
            <w:r>
              <w:rPr>
                <w:rFonts w:ascii="Arial" w:cs="Arial" w:eastAsia="Arial" w:hAnsi="Arial"/>
                <w:sz w:val="10"/>
                <w:szCs w:val="10"/>
                <w:b w:val="1"/>
                <w:bCs w:val="1"/>
                <w:color w:val="auto"/>
              </w:rPr>
              <w:t>Sacramento Basin</w:t>
            </w:r>
          </w:p>
        </w:tc>
        <w:tc>
          <w:tcPr>
            <w:tcW w:w="1260" w:type="dxa"/>
            <w:vAlign w:val="bottom"/>
          </w:tcPr>
          <w:p>
            <w:pPr>
              <w:jc w:val="right"/>
              <w:ind w:right="464"/>
              <w:spacing w:after="0"/>
              <w:rPr>
                <w:sz w:val="20"/>
                <w:szCs w:val="20"/>
                <w:color w:val="auto"/>
              </w:rPr>
            </w:pPr>
            <w:r>
              <w:rPr>
                <w:rFonts w:ascii="Arial" w:cs="Arial" w:eastAsia="Arial" w:hAnsi="Arial"/>
                <w:sz w:val="10"/>
                <w:szCs w:val="10"/>
                <w:b w:val="1"/>
                <w:bCs w:val="1"/>
                <w:color w:val="auto"/>
              </w:rPr>
              <w:t>Total</w:t>
            </w:r>
          </w:p>
        </w:tc>
      </w:tr>
      <w:tr>
        <w:trPr>
          <w:trHeight w:val="16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Exploratory and development wells</w:t>
            </w: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0"/>
        </w:trPr>
        <w:tc>
          <w:tcPr>
            <w:tcW w:w="4700" w:type="dxa"/>
            <w:vAlign w:val="bottom"/>
          </w:tcPr>
          <w:p>
            <w:pPr>
              <w:ind w:left="100"/>
              <w:spacing w:after="0"/>
              <w:rPr>
                <w:sz w:val="20"/>
                <w:szCs w:val="20"/>
                <w:color w:val="auto"/>
              </w:rPr>
            </w:pPr>
            <w:r>
              <w:rPr>
                <w:rFonts w:ascii="Arial" w:cs="Arial" w:eastAsia="Arial" w:hAnsi="Arial"/>
                <w:sz w:val="12"/>
                <w:szCs w:val="12"/>
                <w:color w:val="auto"/>
              </w:rPr>
              <w:t>Gross</w:t>
            </w:r>
            <w:r>
              <w:rPr>
                <w:rFonts w:ascii="Arial" w:cs="Arial" w:eastAsia="Arial" w:hAnsi="Arial"/>
                <w:sz w:val="14"/>
                <w:szCs w:val="14"/>
                <w:color w:val="auto"/>
                <w:vertAlign w:val="superscript"/>
              </w:rPr>
              <w:t>(a)</w:t>
            </w:r>
          </w:p>
        </w:tc>
        <w:tc>
          <w:tcPr>
            <w:tcW w:w="1280" w:type="dxa"/>
            <w:vAlign w:val="bottom"/>
          </w:tcPr>
          <w:p>
            <w:pPr>
              <w:jc w:val="right"/>
              <w:ind w:right="64"/>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1400" w:type="dxa"/>
            <w:vAlign w:val="bottom"/>
            <w:gridSpan w:val="2"/>
          </w:tcPr>
          <w:p>
            <w:pPr>
              <w:ind w:left="104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15</w:t>
            </w:r>
          </w:p>
        </w:tc>
      </w:tr>
      <w:tr>
        <w:trPr>
          <w:trHeight w:val="180"/>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w:t>
            </w:r>
            <w:r>
              <w:rPr>
                <w:rFonts w:ascii="Arial" w:cs="Arial" w:eastAsia="Arial" w:hAnsi="Arial"/>
                <w:sz w:val="14"/>
                <w:szCs w:val="14"/>
                <w:color w:val="auto"/>
                <w:vertAlign w:val="superscript"/>
              </w:rPr>
              <w:t>(b)</w:t>
            </w:r>
          </w:p>
        </w:tc>
        <w:tc>
          <w:tcPr>
            <w:tcW w:w="12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13</w:t>
            </w:r>
          </w:p>
        </w:tc>
      </w:tr>
    </w:tbl>
    <w:p>
      <w:pPr>
        <w:spacing w:after="0" w:line="32"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The total number of wells in which interests are owned.</w:t>
      </w:r>
    </w:p>
    <w:p>
      <w:pPr>
        <w:ind w:left="420" w:hanging="212"/>
        <w:spacing w:after="0"/>
        <w:tabs>
          <w:tab w:leader="none" w:pos="4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Sum of our fractional interests.</w:t>
      </w:r>
    </w:p>
    <w:p>
      <w:pPr>
        <w:spacing w:after="0" w:line="79"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On a gross basis, these projects included four primary, six steamfloods, one waterflood and two unconventional wells in the San Joaquin basin, as well as one primary project in each of the Ventura and Sacramento basins.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Delivery Commitments</w:t>
      </w:r>
    </w:p>
    <w:p>
      <w:pPr>
        <w:spacing w:after="0" w:line="200" w:lineRule="exact"/>
        <w:rPr>
          <w:sz w:val="20"/>
          <w:szCs w:val="20"/>
          <w:color w:val="auto"/>
        </w:rPr>
      </w:pPr>
    </w:p>
    <w:p>
      <w:pPr>
        <w:ind w:right="100" w:firstLine="216"/>
        <w:spacing w:after="0" w:line="254" w:lineRule="auto"/>
        <w:rPr>
          <w:sz w:val="20"/>
          <w:szCs w:val="20"/>
          <w:color w:val="auto"/>
        </w:rPr>
      </w:pPr>
      <w:r>
        <w:rPr>
          <w:rFonts w:ascii="Arial" w:cs="Arial" w:eastAsia="Arial" w:hAnsi="Arial"/>
          <w:sz w:val="12"/>
          <w:szCs w:val="12"/>
          <w:color w:val="auto"/>
        </w:rPr>
        <w:t>We have made short-term commitments to certain refineries and other buyers to deliver oil, natural gas and NGLs. As of December 31, 2017, we had oil, natural gas and NGL delivery commitments of 47 MBbl/d, 56 MMcf/d and 18 MBbl/d, respectively, through May 2018. These are index-based contracts with prices set at the time of delivery. We have significantly more production capacity than the amounts committed for oil and natural gas. We have agreements to purchase third-party NGLs for any shortfall between the committed quantities and our production. Further, we have the ability to secure additional volumes for all products if necessary. None of the commitments are expected to have a material impact on our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377" w:right="19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Our Infrastructure</w:t>
      </w:r>
    </w:p>
    <w:p>
      <w:pPr>
        <w:spacing w:after="0" w:line="110" w:lineRule="exact"/>
        <w:rPr>
          <w:sz w:val="20"/>
          <w:szCs w:val="20"/>
          <w:color w:val="auto"/>
        </w:rPr>
      </w:pPr>
    </w:p>
    <w:p>
      <w:pPr>
        <w:ind w:right="160" w:firstLine="216"/>
        <w:spacing w:after="0" w:line="256" w:lineRule="auto"/>
        <w:rPr>
          <w:sz w:val="20"/>
          <w:szCs w:val="20"/>
          <w:color w:val="auto"/>
        </w:rPr>
      </w:pPr>
      <w:r>
        <w:rPr>
          <w:rFonts w:ascii="Arial" w:cs="Arial" w:eastAsia="Arial" w:hAnsi="Arial"/>
          <w:sz w:val="12"/>
          <w:szCs w:val="12"/>
          <w:color w:val="auto"/>
        </w:rPr>
        <w:t xml:space="preserve">We own a network of infrastructure that is integral to and significantly complements our operations. Our significant footprint in California and wide network of infrastructure helps us connect to third-party transportation pipelines, providing us with a competitive advantage by reducing our operating costs. In February 2018, we entered into a midstream JV in which the Ares JV holds the Elk Hills natural gas processing plant and power plant described below. For further information regarding the Ares JV, see </w:t>
      </w:r>
      <w:r>
        <w:rPr>
          <w:rFonts w:ascii="Arial" w:cs="Arial" w:eastAsia="Arial" w:hAnsi="Arial"/>
          <w:sz w:val="12"/>
          <w:szCs w:val="12"/>
          <w:i w:val="1"/>
          <w:iCs w:val="1"/>
          <w:color w:val="auto"/>
        </w:rPr>
        <w:t>Item 7 – Management’s Discussion and Analysis of Financial Condition and Results of Operations – Joint Ventures</w:t>
      </w:r>
      <w:r>
        <w:rPr>
          <w:rFonts w:ascii="Arial" w:cs="Arial" w:eastAsia="Arial" w:hAnsi="Arial"/>
          <w:sz w:val="12"/>
          <w:szCs w:val="12"/>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560" w:type="dxa"/>
            <w:vAlign w:val="bottom"/>
            <w:gridSpan w:val="2"/>
          </w:tcPr>
          <w:p>
            <w:pPr>
              <w:ind w:left="200"/>
              <w:spacing w:after="0"/>
              <w:rPr>
                <w:sz w:val="20"/>
                <w:szCs w:val="20"/>
                <w:color w:val="auto"/>
              </w:rPr>
            </w:pPr>
            <w:r>
              <w:rPr>
                <w:rFonts w:ascii="Arial" w:cs="Arial" w:eastAsia="Arial" w:hAnsi="Arial"/>
                <w:sz w:val="12"/>
                <w:szCs w:val="12"/>
                <w:color w:val="auto"/>
              </w:rPr>
              <w:t>Our infrastructure includes the following:</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70"/>
        </w:trPr>
        <w:tc>
          <w:tcPr>
            <w:tcW w:w="3560" w:type="dxa"/>
            <w:vAlign w:val="bottom"/>
            <w:gridSpan w:val="2"/>
          </w:tcPr>
          <w:p>
            <w:pPr>
              <w:ind w:left="1380"/>
              <w:spacing w:after="0"/>
              <w:rPr>
                <w:sz w:val="20"/>
                <w:szCs w:val="20"/>
                <w:color w:val="auto"/>
              </w:rPr>
            </w:pPr>
            <w:r>
              <w:rPr>
                <w:rFonts w:ascii="Arial" w:cs="Arial" w:eastAsia="Arial" w:hAnsi="Arial"/>
                <w:sz w:val="12"/>
                <w:szCs w:val="12"/>
                <w:b w:val="1"/>
                <w:bCs w:val="1"/>
                <w:color w:val="auto"/>
              </w:rPr>
              <w:t>Description</w:t>
            </w: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Quantity</w:t>
            </w: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Unit</w:t>
            </w:r>
            <w:r>
              <w:rPr>
                <w:rFonts w:ascii="Arial" w:cs="Arial" w:eastAsia="Arial" w:hAnsi="Arial"/>
                <w:sz w:val="14"/>
                <w:szCs w:val="14"/>
                <w:b w:val="1"/>
                <w:bCs w:val="1"/>
                <w:color w:val="auto"/>
                <w:w w:val="91"/>
                <w:vertAlign w:val="superscript"/>
              </w:rPr>
              <w:t>(a)</w:t>
            </w:r>
          </w:p>
        </w:tc>
        <w:tc>
          <w:tcPr>
            <w:tcW w:w="2040" w:type="dxa"/>
            <w:vAlign w:val="bottom"/>
          </w:tcPr>
          <w:p>
            <w:pPr>
              <w:spacing w:after="0"/>
              <w:rPr>
                <w:sz w:val="23"/>
                <w:szCs w:val="23"/>
                <w:color w:val="auto"/>
              </w:rPr>
            </w:pPr>
          </w:p>
        </w:tc>
        <w:tc>
          <w:tcPr>
            <w:tcW w:w="1880" w:type="dxa"/>
            <w:vAlign w:val="bottom"/>
          </w:tcPr>
          <w:p>
            <w:pPr>
              <w:ind w:left="400"/>
              <w:spacing w:after="0"/>
              <w:rPr>
                <w:sz w:val="20"/>
                <w:szCs w:val="20"/>
                <w:color w:val="auto"/>
              </w:rPr>
            </w:pPr>
            <w:r>
              <w:rPr>
                <w:rFonts w:ascii="Arial" w:cs="Arial" w:eastAsia="Arial" w:hAnsi="Arial"/>
                <w:sz w:val="12"/>
                <w:szCs w:val="12"/>
                <w:b w:val="1"/>
                <w:bCs w:val="1"/>
                <w:color w:val="auto"/>
              </w:rPr>
              <w:t>Capacity</w:t>
            </w:r>
          </w:p>
        </w:tc>
        <w:tc>
          <w:tcPr>
            <w:tcW w:w="1460" w:type="dxa"/>
            <w:vAlign w:val="bottom"/>
          </w:tcPr>
          <w:p>
            <w:pPr>
              <w:spacing w:after="0"/>
              <w:rPr>
                <w:sz w:val="23"/>
                <w:szCs w:val="23"/>
                <w:color w:val="auto"/>
              </w:rPr>
            </w:pPr>
          </w:p>
        </w:tc>
      </w:tr>
      <w:tr>
        <w:trPr>
          <w:trHeight w:val="246"/>
        </w:trPr>
        <w:tc>
          <w:tcPr>
            <w:tcW w:w="3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Borders>
              <w:top w:val="single" w:sz="8" w:color="auto"/>
            </w:tcBorders>
          </w:tcPr>
          <w:p>
            <w:pPr>
              <w:ind w:left="560"/>
              <w:spacing w:after="0"/>
              <w:rPr>
                <w:sz w:val="20"/>
                <w:szCs w:val="20"/>
                <w:color w:val="auto"/>
              </w:rPr>
            </w:pPr>
            <w:r>
              <w:rPr>
                <w:rFonts w:ascii="Arial" w:cs="Arial" w:eastAsia="Arial" w:hAnsi="Arial"/>
                <w:sz w:val="12"/>
                <w:szCs w:val="12"/>
                <w:b w:val="1"/>
                <w:bCs w:val="1"/>
                <w:color w:val="auto"/>
              </w:rPr>
              <w:t>San Joaquin Basin</w:t>
            </w:r>
          </w:p>
        </w:tc>
        <w:tc>
          <w:tcPr>
            <w:tcW w:w="1880" w:type="dxa"/>
            <w:vAlign w:val="bottom"/>
            <w:tcBorders>
              <w:top w:val="single" w:sz="8" w:color="auto"/>
            </w:tcBorders>
          </w:tcPr>
          <w:p>
            <w:pPr>
              <w:ind w:left="620"/>
              <w:spacing w:after="0"/>
              <w:rPr>
                <w:sz w:val="20"/>
                <w:szCs w:val="20"/>
                <w:color w:val="auto"/>
              </w:rPr>
            </w:pPr>
            <w:r>
              <w:rPr>
                <w:rFonts w:ascii="Arial" w:cs="Arial" w:eastAsia="Arial" w:hAnsi="Arial"/>
                <w:sz w:val="12"/>
                <w:szCs w:val="12"/>
                <w:b w:val="1"/>
                <w:bCs w:val="1"/>
                <w:color w:val="auto"/>
              </w:rPr>
              <w:t>Other Basins</w:t>
            </w:r>
          </w:p>
        </w:tc>
        <w:tc>
          <w:tcPr>
            <w:tcW w:w="1460" w:type="dxa"/>
            <w:vAlign w:val="bottom"/>
            <w:tcBorders>
              <w:top w:val="single" w:sz="8" w:color="auto"/>
            </w:tcBorders>
          </w:tcPr>
          <w:p>
            <w:pPr>
              <w:ind w:left="580"/>
              <w:spacing w:after="0"/>
              <w:rPr>
                <w:sz w:val="20"/>
                <w:szCs w:val="20"/>
                <w:color w:val="auto"/>
              </w:rPr>
            </w:pPr>
            <w:r>
              <w:rPr>
                <w:rFonts w:ascii="Arial" w:cs="Arial" w:eastAsia="Arial" w:hAnsi="Arial"/>
                <w:sz w:val="12"/>
                <w:szCs w:val="12"/>
                <w:b w:val="1"/>
                <w:bCs w:val="1"/>
                <w:color w:val="auto"/>
              </w:rPr>
              <w:t>Total</w:t>
            </w:r>
          </w:p>
        </w:tc>
      </w:tr>
      <w:tr>
        <w:trPr>
          <w:trHeight w:val="185"/>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Gas Plants</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MMcf/d</w:t>
            </w:r>
          </w:p>
        </w:tc>
        <w:tc>
          <w:tcPr>
            <w:tcW w:w="2040" w:type="dxa"/>
            <w:vAlign w:val="bottom"/>
            <w:shd w:val="clear" w:color="auto" w:fill="CCEEFF"/>
          </w:tcPr>
          <w:p>
            <w:pPr>
              <w:jc w:val="center"/>
              <w:ind w:left="100"/>
              <w:spacing w:after="0"/>
              <w:rPr>
                <w:sz w:val="20"/>
                <w:szCs w:val="20"/>
                <w:color w:val="auto"/>
              </w:rPr>
            </w:pPr>
            <w:r>
              <w:rPr>
                <w:rFonts w:ascii="Arial" w:cs="Arial" w:eastAsia="Arial" w:hAnsi="Arial"/>
                <w:sz w:val="12"/>
                <w:szCs w:val="12"/>
                <w:color w:val="auto"/>
                <w:w w:val="99"/>
              </w:rPr>
              <w:t>610</w:t>
            </w:r>
          </w:p>
        </w:tc>
        <w:tc>
          <w:tcPr>
            <w:tcW w:w="188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89"/>
              </w:rPr>
              <w:t>50</w:t>
            </w:r>
          </w:p>
        </w:tc>
        <w:tc>
          <w:tcPr>
            <w:tcW w:w="1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660</w:t>
            </w:r>
          </w:p>
        </w:tc>
      </w:tr>
      <w:tr>
        <w:trPr>
          <w:trHeight w:val="176"/>
        </w:trPr>
        <w:tc>
          <w:tcPr>
            <w:tcW w:w="3560" w:type="dxa"/>
            <w:vAlign w:val="bottom"/>
            <w:gridSpan w:val="2"/>
          </w:tcPr>
          <w:p>
            <w:pPr>
              <w:ind w:left="20"/>
              <w:spacing w:after="0"/>
              <w:rPr>
                <w:sz w:val="20"/>
                <w:szCs w:val="20"/>
                <w:color w:val="auto"/>
              </w:rPr>
            </w:pPr>
            <w:r>
              <w:rPr>
                <w:rFonts w:ascii="Arial" w:cs="Arial" w:eastAsia="Arial" w:hAnsi="Arial"/>
                <w:sz w:val="12"/>
                <w:szCs w:val="12"/>
                <w:color w:val="auto"/>
              </w:rPr>
              <w:t>Power Plants/Co-generation</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color w:val="auto"/>
              </w:rPr>
              <w:t>MW</w:t>
            </w:r>
          </w:p>
        </w:tc>
        <w:tc>
          <w:tcPr>
            <w:tcW w:w="2040" w:type="dxa"/>
            <w:vAlign w:val="bottom"/>
          </w:tcPr>
          <w:p>
            <w:pPr>
              <w:jc w:val="center"/>
              <w:ind w:left="100"/>
              <w:spacing w:after="0"/>
              <w:rPr>
                <w:sz w:val="20"/>
                <w:szCs w:val="20"/>
                <w:color w:val="auto"/>
              </w:rPr>
            </w:pPr>
            <w:r>
              <w:rPr>
                <w:rFonts w:ascii="Arial" w:cs="Arial" w:eastAsia="Arial" w:hAnsi="Arial"/>
                <w:sz w:val="12"/>
                <w:szCs w:val="12"/>
                <w:color w:val="auto"/>
                <w:w w:val="99"/>
              </w:rPr>
              <w:t>600</w:t>
            </w:r>
          </w:p>
        </w:tc>
        <w:tc>
          <w:tcPr>
            <w:tcW w:w="1880" w:type="dxa"/>
            <w:vAlign w:val="bottom"/>
          </w:tcPr>
          <w:p>
            <w:pPr>
              <w:jc w:val="center"/>
              <w:ind w:left="60"/>
              <w:spacing w:after="0"/>
              <w:rPr>
                <w:sz w:val="20"/>
                <w:szCs w:val="20"/>
                <w:color w:val="auto"/>
              </w:rPr>
            </w:pPr>
            <w:r>
              <w:rPr>
                <w:rFonts w:ascii="Arial" w:cs="Arial" w:eastAsia="Arial" w:hAnsi="Arial"/>
                <w:sz w:val="12"/>
                <w:szCs w:val="12"/>
                <w:color w:val="auto"/>
                <w:w w:val="89"/>
              </w:rPr>
              <w:t>50</w:t>
            </w:r>
          </w:p>
        </w:tc>
        <w:tc>
          <w:tcPr>
            <w:tcW w:w="1460" w:type="dxa"/>
            <w:vAlign w:val="bottom"/>
          </w:tcPr>
          <w:p>
            <w:pPr>
              <w:jc w:val="center"/>
              <w:spacing w:after="0"/>
              <w:rPr>
                <w:sz w:val="20"/>
                <w:szCs w:val="20"/>
                <w:color w:val="auto"/>
              </w:rPr>
            </w:pPr>
            <w:r>
              <w:rPr>
                <w:rFonts w:ascii="Arial" w:cs="Arial" w:eastAsia="Arial" w:hAnsi="Arial"/>
                <w:sz w:val="12"/>
                <w:szCs w:val="12"/>
                <w:color w:val="auto"/>
                <w:w w:val="99"/>
              </w:rPr>
              <w:t>650</w:t>
            </w:r>
          </w:p>
        </w:tc>
      </w:tr>
      <w:tr>
        <w:trPr>
          <w:trHeight w:val="185"/>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Steam Generators/Plants</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&gt;50</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MBbl/d</w:t>
            </w:r>
          </w:p>
        </w:tc>
        <w:tc>
          <w:tcPr>
            <w:tcW w:w="2040" w:type="dxa"/>
            <w:vAlign w:val="bottom"/>
            <w:shd w:val="clear" w:color="auto" w:fill="CCEEFF"/>
          </w:tcPr>
          <w:p>
            <w:pPr>
              <w:jc w:val="center"/>
              <w:ind w:left="100"/>
              <w:spacing w:after="0"/>
              <w:rPr>
                <w:sz w:val="20"/>
                <w:szCs w:val="20"/>
                <w:color w:val="auto"/>
              </w:rPr>
            </w:pPr>
            <w:r>
              <w:rPr>
                <w:rFonts w:ascii="Arial" w:cs="Arial" w:eastAsia="Arial" w:hAnsi="Arial"/>
                <w:sz w:val="12"/>
                <w:szCs w:val="12"/>
                <w:color w:val="auto"/>
                <w:w w:val="99"/>
              </w:rPr>
              <w:t>220</w:t>
            </w:r>
          </w:p>
        </w:tc>
        <w:tc>
          <w:tcPr>
            <w:tcW w:w="188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220</w:t>
            </w:r>
          </w:p>
        </w:tc>
      </w:tr>
      <w:tr>
        <w:trPr>
          <w:trHeight w:val="176"/>
        </w:trPr>
        <w:tc>
          <w:tcPr>
            <w:tcW w:w="3560" w:type="dxa"/>
            <w:vAlign w:val="bottom"/>
            <w:gridSpan w:val="2"/>
          </w:tcPr>
          <w:p>
            <w:pPr>
              <w:ind w:left="20"/>
              <w:spacing w:after="0"/>
              <w:rPr>
                <w:sz w:val="20"/>
                <w:szCs w:val="20"/>
                <w:color w:val="auto"/>
              </w:rPr>
            </w:pPr>
            <w:r>
              <w:rPr>
                <w:rFonts w:ascii="Arial" w:cs="Arial" w:eastAsia="Arial" w:hAnsi="Arial"/>
                <w:sz w:val="12"/>
                <w:szCs w:val="12"/>
                <w:color w:val="auto"/>
              </w:rPr>
              <w:t>Compressors</w:t>
            </w:r>
          </w:p>
        </w:tc>
        <w:tc>
          <w:tcPr>
            <w:tcW w:w="1160" w:type="dxa"/>
            <w:vAlign w:val="bottom"/>
          </w:tcPr>
          <w:p>
            <w:pPr>
              <w:jc w:val="center"/>
              <w:spacing w:after="0"/>
              <w:rPr>
                <w:sz w:val="20"/>
                <w:szCs w:val="20"/>
                <w:color w:val="auto"/>
              </w:rPr>
            </w:pPr>
            <w:r>
              <w:rPr>
                <w:rFonts w:ascii="Arial" w:cs="Arial" w:eastAsia="Arial" w:hAnsi="Arial"/>
                <w:sz w:val="12"/>
                <w:szCs w:val="12"/>
                <w:color w:val="auto"/>
                <w:w w:val="99"/>
              </w:rPr>
              <w:t>400</w:t>
            </w: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color w:val="auto"/>
              </w:rPr>
              <w:t>MHp</w:t>
            </w:r>
          </w:p>
        </w:tc>
        <w:tc>
          <w:tcPr>
            <w:tcW w:w="2040" w:type="dxa"/>
            <w:vAlign w:val="bottom"/>
          </w:tcPr>
          <w:p>
            <w:pPr>
              <w:jc w:val="center"/>
              <w:ind w:left="100"/>
              <w:spacing w:after="0"/>
              <w:rPr>
                <w:sz w:val="20"/>
                <w:szCs w:val="20"/>
                <w:color w:val="auto"/>
              </w:rPr>
            </w:pPr>
            <w:r>
              <w:rPr>
                <w:rFonts w:ascii="Arial" w:cs="Arial" w:eastAsia="Arial" w:hAnsi="Arial"/>
                <w:sz w:val="12"/>
                <w:szCs w:val="12"/>
                <w:color w:val="auto"/>
                <w:w w:val="99"/>
              </w:rPr>
              <w:t>300</w:t>
            </w:r>
          </w:p>
        </w:tc>
        <w:tc>
          <w:tcPr>
            <w:tcW w:w="1880" w:type="dxa"/>
            <w:vAlign w:val="bottom"/>
          </w:tcPr>
          <w:p>
            <w:pPr>
              <w:jc w:val="center"/>
              <w:ind w:left="60"/>
              <w:spacing w:after="0"/>
              <w:rPr>
                <w:sz w:val="20"/>
                <w:szCs w:val="20"/>
                <w:color w:val="auto"/>
              </w:rPr>
            </w:pPr>
            <w:r>
              <w:rPr>
                <w:rFonts w:ascii="Arial" w:cs="Arial" w:eastAsia="Arial" w:hAnsi="Arial"/>
                <w:sz w:val="12"/>
                <w:szCs w:val="12"/>
                <w:color w:val="auto"/>
                <w:w w:val="89"/>
              </w:rPr>
              <w:t>20</w:t>
            </w:r>
          </w:p>
        </w:tc>
        <w:tc>
          <w:tcPr>
            <w:tcW w:w="1460" w:type="dxa"/>
            <w:vAlign w:val="bottom"/>
          </w:tcPr>
          <w:p>
            <w:pPr>
              <w:jc w:val="center"/>
              <w:spacing w:after="0"/>
              <w:rPr>
                <w:sz w:val="20"/>
                <w:szCs w:val="20"/>
                <w:color w:val="auto"/>
              </w:rPr>
            </w:pPr>
            <w:r>
              <w:rPr>
                <w:rFonts w:ascii="Arial" w:cs="Arial" w:eastAsia="Arial" w:hAnsi="Arial"/>
                <w:sz w:val="12"/>
                <w:szCs w:val="12"/>
                <w:color w:val="auto"/>
                <w:w w:val="99"/>
              </w:rPr>
              <w:t>320</w:t>
            </w:r>
          </w:p>
        </w:tc>
      </w:tr>
      <w:tr>
        <w:trPr>
          <w:trHeight w:val="185"/>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Water Management Systems</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8"/>
              </w:rPr>
              <w:t>MBw/d</w:t>
            </w:r>
          </w:p>
        </w:tc>
        <w:tc>
          <w:tcPr>
            <w:tcW w:w="204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9"/>
              </w:rPr>
              <w:t>2,400</w:t>
            </w:r>
          </w:p>
        </w:tc>
        <w:tc>
          <w:tcPr>
            <w:tcW w:w="1880" w:type="dxa"/>
            <w:vAlign w:val="bottom"/>
            <w:shd w:val="clear" w:color="auto" w:fill="CCEEFF"/>
          </w:tcPr>
          <w:p>
            <w:pPr>
              <w:jc w:val="center"/>
              <w:ind w:left="40"/>
              <w:spacing w:after="0"/>
              <w:rPr>
                <w:sz w:val="20"/>
                <w:szCs w:val="20"/>
                <w:color w:val="auto"/>
              </w:rPr>
            </w:pPr>
            <w:r>
              <w:rPr>
                <w:rFonts w:ascii="Arial" w:cs="Arial" w:eastAsia="Arial" w:hAnsi="Arial"/>
                <w:sz w:val="12"/>
                <w:szCs w:val="12"/>
                <w:color w:val="auto"/>
                <w:w w:val="99"/>
              </w:rPr>
              <w:t>2,100</w:t>
            </w:r>
          </w:p>
        </w:tc>
        <w:tc>
          <w:tcPr>
            <w:tcW w:w="1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4,500</w:t>
            </w:r>
          </w:p>
        </w:tc>
      </w:tr>
      <w:tr>
        <w:trPr>
          <w:trHeight w:val="176"/>
        </w:trPr>
        <w:tc>
          <w:tcPr>
            <w:tcW w:w="3560" w:type="dxa"/>
            <w:vAlign w:val="bottom"/>
            <w:gridSpan w:val="2"/>
          </w:tcPr>
          <w:p>
            <w:pPr>
              <w:ind w:left="20"/>
              <w:spacing w:after="0"/>
              <w:rPr>
                <w:sz w:val="20"/>
                <w:szCs w:val="20"/>
                <w:color w:val="auto"/>
              </w:rPr>
            </w:pPr>
            <w:r>
              <w:rPr>
                <w:rFonts w:ascii="Arial" w:cs="Arial" w:eastAsia="Arial" w:hAnsi="Arial"/>
                <w:sz w:val="12"/>
                <w:szCs w:val="12"/>
                <w:color w:val="auto"/>
              </w:rPr>
              <w:t>Water Softeners</w:t>
            </w:r>
          </w:p>
        </w:tc>
        <w:tc>
          <w:tcPr>
            <w:tcW w:w="1160" w:type="dxa"/>
            <w:vAlign w:val="bottom"/>
          </w:tcPr>
          <w:p>
            <w:pPr>
              <w:jc w:val="center"/>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color w:val="auto"/>
                <w:w w:val="98"/>
              </w:rPr>
              <w:t>MBw/d</w:t>
            </w:r>
          </w:p>
        </w:tc>
        <w:tc>
          <w:tcPr>
            <w:tcW w:w="2040" w:type="dxa"/>
            <w:vAlign w:val="bottom"/>
          </w:tcPr>
          <w:p>
            <w:pPr>
              <w:jc w:val="center"/>
              <w:ind w:left="100"/>
              <w:spacing w:after="0"/>
              <w:rPr>
                <w:sz w:val="20"/>
                <w:szCs w:val="20"/>
                <w:color w:val="auto"/>
              </w:rPr>
            </w:pPr>
            <w:r>
              <w:rPr>
                <w:rFonts w:ascii="Arial" w:cs="Arial" w:eastAsia="Arial" w:hAnsi="Arial"/>
                <w:sz w:val="12"/>
                <w:szCs w:val="12"/>
                <w:color w:val="auto"/>
                <w:w w:val="99"/>
              </w:rPr>
              <w:t>265</w:t>
            </w:r>
          </w:p>
        </w:tc>
        <w:tc>
          <w:tcPr>
            <w:tcW w:w="1880" w:type="dxa"/>
            <w:vAlign w:val="bottom"/>
          </w:tcPr>
          <w:p>
            <w:pPr>
              <w:jc w:val="center"/>
              <w:ind w:left="60"/>
              <w:spacing w:after="0"/>
              <w:rPr>
                <w:sz w:val="20"/>
                <w:szCs w:val="20"/>
                <w:color w:val="auto"/>
              </w:rPr>
            </w:pPr>
            <w:r>
              <w:rPr>
                <w:rFonts w:ascii="Arial" w:cs="Arial" w:eastAsia="Arial" w:hAnsi="Arial"/>
                <w:sz w:val="12"/>
                <w:szCs w:val="12"/>
                <w:color w:val="auto"/>
                <w:w w:val="99"/>
              </w:rPr>
              <w:t>—</w:t>
            </w:r>
          </w:p>
        </w:tc>
        <w:tc>
          <w:tcPr>
            <w:tcW w:w="1460" w:type="dxa"/>
            <w:vAlign w:val="bottom"/>
          </w:tcPr>
          <w:p>
            <w:pPr>
              <w:jc w:val="center"/>
              <w:spacing w:after="0"/>
              <w:rPr>
                <w:sz w:val="20"/>
                <w:szCs w:val="20"/>
                <w:color w:val="auto"/>
              </w:rPr>
            </w:pPr>
            <w:r>
              <w:rPr>
                <w:rFonts w:ascii="Arial" w:cs="Arial" w:eastAsia="Arial" w:hAnsi="Arial"/>
                <w:sz w:val="12"/>
                <w:szCs w:val="12"/>
                <w:color w:val="auto"/>
                <w:w w:val="99"/>
              </w:rPr>
              <w:t>265</w:t>
            </w:r>
          </w:p>
        </w:tc>
      </w:tr>
      <w:tr>
        <w:trPr>
          <w:trHeight w:val="185"/>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Oil and NGL Storage</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rPr>
              <w:t>MBbls</w:t>
            </w:r>
          </w:p>
        </w:tc>
        <w:tc>
          <w:tcPr>
            <w:tcW w:w="2040" w:type="dxa"/>
            <w:vAlign w:val="bottom"/>
            <w:shd w:val="clear" w:color="auto" w:fill="CCEEFF"/>
          </w:tcPr>
          <w:p>
            <w:pPr>
              <w:jc w:val="center"/>
              <w:ind w:left="100"/>
              <w:spacing w:after="0"/>
              <w:rPr>
                <w:sz w:val="20"/>
                <w:szCs w:val="20"/>
                <w:color w:val="auto"/>
              </w:rPr>
            </w:pPr>
            <w:r>
              <w:rPr>
                <w:rFonts w:ascii="Arial" w:cs="Arial" w:eastAsia="Arial" w:hAnsi="Arial"/>
                <w:sz w:val="12"/>
                <w:szCs w:val="12"/>
                <w:color w:val="auto"/>
                <w:w w:val="99"/>
              </w:rPr>
              <w:t>580</w:t>
            </w:r>
          </w:p>
        </w:tc>
        <w:tc>
          <w:tcPr>
            <w:tcW w:w="188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99"/>
              </w:rPr>
              <w:t>660</w:t>
            </w:r>
          </w:p>
        </w:tc>
        <w:tc>
          <w:tcPr>
            <w:tcW w:w="1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1,240</w:t>
            </w:r>
          </w:p>
        </w:tc>
      </w:tr>
      <w:tr>
        <w:trPr>
          <w:trHeight w:val="171"/>
        </w:trPr>
        <w:tc>
          <w:tcPr>
            <w:tcW w:w="3560" w:type="dxa"/>
            <w:vAlign w:val="bottom"/>
            <w:gridSpan w:val="2"/>
          </w:tcPr>
          <w:p>
            <w:pPr>
              <w:ind w:left="20"/>
              <w:spacing w:after="0"/>
              <w:rPr>
                <w:sz w:val="20"/>
                <w:szCs w:val="20"/>
                <w:color w:val="auto"/>
              </w:rPr>
            </w:pPr>
            <w:r>
              <w:rPr>
                <w:rFonts w:ascii="Arial" w:cs="Arial" w:eastAsia="Arial" w:hAnsi="Arial"/>
                <w:sz w:val="12"/>
                <w:szCs w:val="12"/>
                <w:color w:val="auto"/>
              </w:rPr>
              <w:t>Gathering Systems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Miles</w:t>
            </w:r>
          </w:p>
        </w:tc>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rPr>
              <w:t>&gt;20,000</w:t>
            </w:r>
          </w:p>
        </w:tc>
      </w:tr>
    </w:tbl>
    <w:p>
      <w:pPr>
        <w:spacing w:after="0" w:line="12"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10"/>
          <w:szCs w:val="10"/>
          <w:color w:val="auto"/>
        </w:rPr>
      </w:pPr>
      <w:r>
        <w:rPr>
          <w:rFonts w:ascii="Arial" w:cs="Arial" w:eastAsia="Arial" w:hAnsi="Arial"/>
          <w:sz w:val="10"/>
          <w:szCs w:val="10"/>
          <w:color w:val="auto"/>
        </w:rPr>
        <w:t>MW refers to megawatts of power; MHp refers to thousand horsepower; MBw/d refers to thousand barrels of water per day; MBbls refers to thousands of barrels.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Gas Processing</w:t>
      </w:r>
    </w:p>
    <w:p>
      <w:pPr>
        <w:spacing w:after="0" w:line="164" w:lineRule="exact"/>
        <w:rPr>
          <w:sz w:val="20"/>
          <w:szCs w:val="20"/>
          <w:color w:val="auto"/>
        </w:rPr>
      </w:pPr>
    </w:p>
    <w:p>
      <w:pPr>
        <w:jc w:val="both"/>
        <w:ind w:right="200" w:firstLine="216"/>
        <w:spacing w:after="0" w:line="254" w:lineRule="auto"/>
        <w:rPr>
          <w:sz w:val="20"/>
          <w:szCs w:val="20"/>
          <w:color w:val="auto"/>
        </w:rPr>
      </w:pPr>
      <w:r>
        <w:rPr>
          <w:rFonts w:ascii="Arial" w:cs="Arial" w:eastAsia="Arial" w:hAnsi="Arial"/>
          <w:sz w:val="12"/>
          <w:szCs w:val="12"/>
          <w:color w:val="auto"/>
        </w:rPr>
        <w:t>We believe we own the largest gas processing system in California. In the San Joaquin basin, the Elk Hills cryogenic gas plant has a capacity of 200 MMcf/d of inlet gas, bringing our total processing capacity in the basin to over 610 MMcf/d. We also own and operate a system of natural gas processing facilities in the Ventura basin that are capable of processing equity wellhead gas from the surrounding areas. Our natural gas processing facilities are interconnected via pipelines to nearby third-party rail and trucking facilities, with access to various North American NGL markets. In addition, we have truck rack facilities coupled with a battery of pressurized storage tanks at the Elk Hills natural gas processing facility for NGL sales to third parties.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Electricity</w:t>
      </w:r>
    </w:p>
    <w:p>
      <w:pPr>
        <w:spacing w:after="0" w:line="164" w:lineRule="exact"/>
        <w:rPr>
          <w:sz w:val="20"/>
          <w:szCs w:val="20"/>
          <w:color w:val="auto"/>
        </w:rPr>
      </w:pPr>
    </w:p>
    <w:p>
      <w:pPr>
        <w:ind w:right="140" w:firstLine="216"/>
        <w:spacing w:after="0" w:line="253" w:lineRule="auto"/>
        <w:rPr>
          <w:sz w:val="20"/>
          <w:szCs w:val="20"/>
          <w:color w:val="auto"/>
        </w:rPr>
      </w:pPr>
      <w:r>
        <w:rPr>
          <w:rFonts w:ascii="Arial" w:cs="Arial" w:eastAsia="Arial" w:hAnsi="Arial"/>
          <w:sz w:val="12"/>
          <w:szCs w:val="12"/>
          <w:color w:val="auto"/>
        </w:rPr>
        <w:t>The 550 megawatt combined-cycle Elk Hills power plant, owned by one of our subsidiaries and located adjacent to the Elk Hills gas processing facility, generates all the electricity needs for our Elk Hills and contiguous operations in the San Joaquin basin. We utilize approximately a third of its capacity for our operations and our subsidiary sells the excess to utilities. The Elk Hills power plant also provides primary steam supply to our cryogenic gas plant. We also operate, as needed, a 45 megawatt cogeneration facility at Elk Hills that provides additional flexibility and reliability to support field operations. Within our Long Beach operations in the Los Angeles basin, we operate a 48 megawatt power generating facility that provides over 40% of our Long Beach operation’s electricity requirements. All of these facilities are integrated with our operations to improve their reliability and performance while reducing operating costs.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Steam Infrastructure</w:t>
      </w:r>
    </w:p>
    <w:p>
      <w:pPr>
        <w:spacing w:after="0" w:line="164" w:lineRule="exact"/>
        <w:rPr>
          <w:sz w:val="20"/>
          <w:szCs w:val="20"/>
          <w:color w:val="auto"/>
        </w:rPr>
      </w:pPr>
    </w:p>
    <w:p>
      <w:pPr>
        <w:jc w:val="both"/>
        <w:ind w:right="260" w:firstLine="216"/>
        <w:spacing w:after="0" w:line="256" w:lineRule="auto"/>
        <w:rPr>
          <w:sz w:val="20"/>
          <w:szCs w:val="20"/>
          <w:color w:val="auto"/>
        </w:rPr>
      </w:pPr>
      <w:r>
        <w:rPr>
          <w:rFonts w:ascii="Arial" w:cs="Arial" w:eastAsia="Arial" w:hAnsi="Arial"/>
          <w:sz w:val="12"/>
          <w:szCs w:val="12"/>
          <w:color w:val="auto"/>
        </w:rPr>
        <w:t>We own, control and operate all of our steam generation infrastructure in the San Joaquin basin, including steam generators, steam plants, steam distribution systems, steam injection lines and headers, water softeners and water disposal systems. We soften and self-supply water to generate steam, reducing our operating costs. This infrastructure is integral to our operations in San Joaquin basin and supports our high margin and shallow- to medium-depth oil fields such as Kern Front and Lost Hills.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377"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i w:val="1"/>
          <w:iCs w:val="1"/>
          <w:color w:val="auto"/>
        </w:rPr>
        <w:t>Gathering Systems</w:t>
      </w:r>
    </w:p>
    <w:p>
      <w:pPr>
        <w:spacing w:after="0" w:line="164" w:lineRule="exact"/>
        <w:rPr>
          <w:sz w:val="20"/>
          <w:szCs w:val="20"/>
          <w:color w:val="auto"/>
        </w:rPr>
      </w:pPr>
    </w:p>
    <w:p>
      <w:pPr>
        <w:ind w:right="120" w:firstLine="216"/>
        <w:spacing w:after="0" w:line="253" w:lineRule="auto"/>
        <w:rPr>
          <w:sz w:val="20"/>
          <w:szCs w:val="20"/>
          <w:color w:val="auto"/>
        </w:rPr>
      </w:pPr>
      <w:r>
        <w:rPr>
          <w:rFonts w:ascii="Arial" w:cs="Arial" w:eastAsia="Arial" w:hAnsi="Arial"/>
          <w:sz w:val="12"/>
          <w:szCs w:val="12"/>
          <w:color w:val="auto"/>
        </w:rPr>
        <w:t>We own an extensive network of over 20,000 miles of oil and gas gathering lines. These gathering lines are dedicated almost entirely to collecting our oil and gas production and are in close proximity to field specific facilities such as tank settings or central processing sites. These lines connect our producing wells and facilities to gathering networks, natural gas collection and compression systems, and water and steam processing, injection and distribution systems. Our oil gathering systems connect to multiple third-party transportation pipelines, which increases our flexibility to ship to various parties. In addition, virtually all of our natural gas facilities connect with major third-party natural gas pipeline systems. As a result of these connections, we typically have the ability to access multiple delivery points to improve the prices we obtain for our oil and natural gas production.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Oil and NGL Storage</w:t>
      </w:r>
    </w:p>
    <w:p>
      <w:pPr>
        <w:spacing w:after="0" w:line="164" w:lineRule="exact"/>
        <w:rPr>
          <w:sz w:val="20"/>
          <w:szCs w:val="20"/>
          <w:color w:val="auto"/>
        </w:rPr>
      </w:pPr>
    </w:p>
    <w:p>
      <w:pPr>
        <w:ind w:right="480" w:firstLine="216"/>
        <w:spacing w:after="0" w:line="262" w:lineRule="auto"/>
        <w:rPr>
          <w:sz w:val="20"/>
          <w:szCs w:val="20"/>
          <w:color w:val="auto"/>
        </w:rPr>
      </w:pPr>
      <w:r>
        <w:rPr>
          <w:rFonts w:ascii="Arial" w:cs="Arial" w:eastAsia="Arial" w:hAnsi="Arial"/>
          <w:sz w:val="12"/>
          <w:szCs w:val="12"/>
          <w:color w:val="auto"/>
        </w:rPr>
        <w:t>Our tank storage capacity throughout California gives us flexibility for a period of time to store crude oil and NGLs, allowing us to continue production and avoid or delay any field shutdowns in the event of temporary power, pipeline or other shutdowns.</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164" w:lineRule="exact"/>
        <w:rPr>
          <w:sz w:val="20"/>
          <w:szCs w:val="20"/>
          <w:color w:val="auto"/>
        </w:rPr>
      </w:pPr>
    </w:p>
    <w:p>
      <w:pPr>
        <w:jc w:val="both"/>
        <w:ind w:right="140" w:firstLine="216"/>
        <w:spacing w:after="0" w:line="256" w:lineRule="auto"/>
        <w:rPr>
          <w:sz w:val="20"/>
          <w:szCs w:val="20"/>
          <w:color w:val="auto"/>
        </w:rPr>
      </w:pPr>
      <w:r>
        <w:rPr>
          <w:rFonts w:ascii="Arial" w:cs="Arial" w:eastAsia="Arial" w:hAnsi="Arial"/>
          <w:sz w:val="12"/>
          <w:szCs w:val="12"/>
          <w:color w:val="auto"/>
        </w:rPr>
        <w:t>In the fourth quarter of 2017, one of our subsidiaries settled previously disclosed notices of violation issued by the South Coast Air Quality Management District to our subsidiary and its predecessor alleging that emissions at a facility in Huntington Beach, California exceeded permit conditions over certain periods in the past three years. The subsidiary paid a cash penalty of $500,000 to the District and paid an additional $1 million to fund a supplemental environmental project that is expected to further reduce the facility’s emissions.</w:t>
      </w:r>
    </w:p>
    <w:p>
      <w:pPr>
        <w:spacing w:after="0" w:line="135"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In November 2017, Chevron initiated a contractual dispute resolution process regarding audit claims alleging that it has been underallocated NGLs by approximately $200 million and overcharged for power by $50 million at the Elk Hills field. Under the applicable dispute resolution procedures, the parties are to engage in negotiations, mediation, and, if necessary, binding arbitration. After an extensive review of these claims, including review by third-party accounting experts with respect to the NGL claim, we concluded and continue to believe these claims are without merit. Based on our review, we believe that we have in fact overallocated oil, NGLs and gas to Chevron and intend to take action to seek an adjustment in our favor.</w:t>
      </w:r>
    </w:p>
    <w:p>
      <w:pPr>
        <w:spacing w:after="0" w:line="124" w:lineRule="exact"/>
        <w:rPr>
          <w:sz w:val="20"/>
          <w:szCs w:val="20"/>
          <w:color w:val="auto"/>
        </w:rPr>
      </w:pPr>
    </w:p>
    <w:p>
      <w:pPr>
        <w:ind w:right="40" w:firstLine="216"/>
        <w:spacing w:after="0" w:line="283" w:lineRule="auto"/>
        <w:rPr>
          <w:sz w:val="20"/>
          <w:szCs w:val="20"/>
          <w:color w:val="auto"/>
        </w:rPr>
      </w:pPr>
      <w:r>
        <w:rPr>
          <w:rFonts w:ascii="Arial" w:cs="Arial" w:eastAsia="Arial" w:hAnsi="Arial"/>
          <w:sz w:val="12"/>
          <w:szCs w:val="12"/>
          <w:color w:val="auto"/>
        </w:rPr>
        <w:t xml:space="preserve">For additional information regarding legal proceedings, see </w:t>
      </w:r>
      <w:r>
        <w:rPr>
          <w:rFonts w:ascii="Arial" w:cs="Arial" w:eastAsia="Arial" w:hAnsi="Arial"/>
          <w:sz w:val="12"/>
          <w:szCs w:val="12"/>
          <w:i w:val="1"/>
          <w:iCs w:val="1"/>
          <w:color w:val="auto"/>
        </w:rPr>
        <w:t>Item 7 – Management's Discussion and Analysis of Financial Condition and Results of Operations – Lawsuits, Claims, Commitments and Contingencies</w:t>
      </w:r>
      <w:r>
        <w:rPr>
          <w:rFonts w:ascii="Arial" w:cs="Arial" w:eastAsia="Arial" w:hAnsi="Arial"/>
          <w:sz w:val="12"/>
          <w:szCs w:val="12"/>
          <w:color w:val="auto"/>
        </w:rPr>
        <w:t xml:space="preserve"> and in </w:t>
      </w:r>
      <w:r>
        <w:rPr>
          <w:rFonts w:ascii="Arial" w:cs="Arial" w:eastAsia="Arial" w:hAnsi="Arial"/>
          <w:sz w:val="12"/>
          <w:szCs w:val="12"/>
          <w:i w:val="1"/>
          <w:iCs w:val="1"/>
          <w:color w:val="auto"/>
        </w:rPr>
        <w:t>Item 8 – Financial Statements and Supplementary Data – Note 7 Lawsuits, Claims, Commitments and Contingencies</w:t>
      </w:r>
      <w:r>
        <w:rPr>
          <w:rFonts w:ascii="Arial" w:cs="Arial" w:eastAsia="Arial" w:hAnsi="Arial"/>
          <w:sz w:val="12"/>
          <w:szCs w:val="12"/>
          <w:color w:val="auto"/>
        </w:rPr>
        <w:t>.</w:t>
      </w:r>
    </w:p>
    <w:p>
      <w:pPr>
        <w:spacing w:after="0" w:line="10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0"/>
          </w:cols>
          <w:pgMar w:left="220" w:top="287"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59"/>
        </w:trPr>
        <w:tc>
          <w:tcPr>
            <w:tcW w:w="2300" w:type="dxa"/>
            <w:vAlign w:val="bottom"/>
            <w:gridSpan w:val="2"/>
          </w:tcPr>
          <w:p>
            <w:pPr>
              <w:spacing w:after="0"/>
              <w:rPr>
                <w:sz w:val="20"/>
                <w:szCs w:val="20"/>
                <w:color w:val="auto"/>
              </w:rPr>
            </w:pPr>
            <w:r>
              <w:rPr>
                <w:rFonts w:ascii="Arial" w:cs="Arial" w:eastAsia="Arial" w:hAnsi="Arial"/>
                <w:sz w:val="12"/>
                <w:szCs w:val="12"/>
                <w:b w:val="1"/>
                <w:bCs w:val="1"/>
                <w:color w:val="auto"/>
              </w:rPr>
              <w:t>EXECUTIVE OFFICERS</w:t>
            </w:r>
          </w:p>
        </w:tc>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70"/>
        </w:trPr>
        <w:tc>
          <w:tcPr>
            <w:tcW w:w="9420" w:type="dxa"/>
            <w:vAlign w:val="bottom"/>
            <w:gridSpan w:val="4"/>
          </w:tcPr>
          <w:p>
            <w:pPr>
              <w:ind w:left="200"/>
              <w:spacing w:after="0"/>
              <w:rPr>
                <w:sz w:val="20"/>
                <w:szCs w:val="20"/>
                <w:color w:val="auto"/>
              </w:rPr>
            </w:pPr>
            <w:r>
              <w:rPr>
                <w:rFonts w:ascii="Arial" w:cs="Arial" w:eastAsia="Arial" w:hAnsi="Arial"/>
                <w:sz w:val="12"/>
                <w:szCs w:val="12"/>
                <w:color w:val="auto"/>
              </w:rPr>
              <w:t>Executive officers are appointed annually by the Board of Directors. The following table sets forth our current executive officers:</w:t>
            </w:r>
          </w:p>
        </w:tc>
        <w:tc>
          <w:tcPr>
            <w:tcW w:w="2060" w:type="dxa"/>
            <w:vAlign w:val="bottom"/>
          </w:tcPr>
          <w:p>
            <w:pPr>
              <w:spacing w:after="0"/>
              <w:rPr>
                <w:sz w:val="23"/>
                <w:szCs w:val="23"/>
                <w:color w:val="auto"/>
              </w:rPr>
            </w:pPr>
          </w:p>
        </w:tc>
      </w:tr>
      <w:tr>
        <w:trPr>
          <w:trHeight w:val="266"/>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bottom w:val="single" w:sz="8" w:color="CCEEFF"/>
            </w:tcBorders>
          </w:tcPr>
          <w:p>
            <w:pPr>
              <w:spacing w:after="0"/>
              <w:rPr>
                <w:sz w:val="23"/>
                <w:szCs w:val="23"/>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Positions Held with CRC and Predecessor and Employment History</w:t>
            </w:r>
          </w:p>
        </w:tc>
        <w:tc>
          <w:tcPr>
            <w:tcW w:w="120" w:type="dxa"/>
            <w:vAlign w:val="bottom"/>
            <w:tcBorders>
              <w:bottom w:val="single" w:sz="8" w:color="CCEEFF"/>
            </w:tcBorders>
          </w:tcPr>
          <w:p>
            <w:pPr>
              <w:spacing w:after="0"/>
              <w:rPr>
                <w:sz w:val="23"/>
                <w:szCs w:val="23"/>
                <w:color w:val="auto"/>
              </w:rPr>
            </w:pPr>
          </w:p>
        </w:tc>
        <w:tc>
          <w:tcPr>
            <w:tcW w:w="206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w w:val="98"/>
              </w:rPr>
              <w:t>Age at February 26, 2018</w:t>
            </w:r>
          </w:p>
        </w:tc>
      </w:tr>
      <w:tr>
        <w:trPr>
          <w:trHeight w:val="14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Todd A. Stevens</w:t>
            </w: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President, Chief Executive Officer and Director since 2014; Occidental Petroleum Corporation Vice President - Corporate</w:t>
            </w:r>
          </w:p>
        </w:tc>
        <w:tc>
          <w:tcPr>
            <w:tcW w:w="2060" w:type="dxa"/>
            <w:vAlign w:val="bottom"/>
            <w:shd w:val="clear" w:color="auto" w:fill="CCEEFF"/>
          </w:tcPr>
          <w:p>
            <w:pPr>
              <w:jc w:val="right"/>
              <w:ind w:right="900"/>
              <w:spacing w:after="0"/>
              <w:rPr>
                <w:sz w:val="20"/>
                <w:szCs w:val="20"/>
                <w:color w:val="auto"/>
              </w:rPr>
            </w:pPr>
            <w:r>
              <w:rPr>
                <w:rFonts w:ascii="Arial" w:cs="Arial" w:eastAsia="Arial" w:hAnsi="Arial"/>
                <w:sz w:val="12"/>
                <w:szCs w:val="12"/>
                <w:color w:val="auto"/>
              </w:rPr>
              <w:t>51</w:t>
            </w:r>
          </w:p>
        </w:tc>
      </w:tr>
      <w:tr>
        <w:trPr>
          <w:trHeight w:val="135"/>
        </w:trPr>
        <w:tc>
          <w:tcPr>
            <w:tcW w:w="2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1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Development 2012 to 2014; Oxy Oil &amp; Gas Vice President - California Operations 2008 to 2012; Occidental Petroleum Corporation</w:t>
            </w:r>
          </w:p>
        </w:tc>
        <w:tc>
          <w:tcPr>
            <w:tcW w:w="2060" w:type="dxa"/>
            <w:vAlign w:val="bottom"/>
            <w:shd w:val="clear" w:color="auto" w:fill="CCEEFF"/>
          </w:tcPr>
          <w:p>
            <w:pPr>
              <w:spacing w:after="0"/>
              <w:rPr>
                <w:sz w:val="11"/>
                <w:szCs w:val="11"/>
                <w:color w:val="auto"/>
              </w:rPr>
            </w:pPr>
          </w:p>
        </w:tc>
      </w:tr>
      <w:tr>
        <w:trPr>
          <w:trHeight w:val="154"/>
        </w:trPr>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Vice President - Acquisitions and Corporate Finance 2004 to 2012.</w:t>
            </w:r>
          </w:p>
        </w:tc>
        <w:tc>
          <w:tcPr>
            <w:tcW w:w="2060" w:type="dxa"/>
            <w:vAlign w:val="bottom"/>
            <w:shd w:val="clear" w:color="auto" w:fill="CCEEFF"/>
          </w:tcPr>
          <w:p>
            <w:pPr>
              <w:spacing w:after="0"/>
              <w:rPr>
                <w:sz w:val="13"/>
                <w:szCs w:val="13"/>
                <w:color w:val="auto"/>
              </w:rPr>
            </w:pPr>
          </w:p>
        </w:tc>
      </w:tr>
      <w:tr>
        <w:trPr>
          <w:trHeight w:val="153"/>
        </w:trPr>
        <w:tc>
          <w:tcPr>
            <w:tcW w:w="2300" w:type="dxa"/>
            <w:vAlign w:val="bottom"/>
            <w:gridSpan w:val="2"/>
          </w:tcPr>
          <w:p>
            <w:pPr>
              <w:ind w:left="20"/>
              <w:spacing w:after="0"/>
              <w:rPr>
                <w:sz w:val="20"/>
                <w:szCs w:val="20"/>
                <w:color w:val="auto"/>
              </w:rPr>
            </w:pPr>
            <w:r>
              <w:rPr>
                <w:rFonts w:ascii="Arial" w:cs="Arial" w:eastAsia="Arial" w:hAnsi="Arial"/>
                <w:sz w:val="12"/>
                <w:szCs w:val="12"/>
                <w:color w:val="auto"/>
              </w:rPr>
              <w:t>Marshall D. Smith</w:t>
            </w:r>
          </w:p>
        </w:tc>
        <w:tc>
          <w:tcPr>
            <w:tcW w:w="7120" w:type="dxa"/>
            <w:vAlign w:val="bottom"/>
            <w:gridSpan w:val="2"/>
          </w:tcPr>
          <w:p>
            <w:pPr>
              <w:ind w:left="20"/>
              <w:spacing w:after="0"/>
              <w:rPr>
                <w:sz w:val="20"/>
                <w:szCs w:val="20"/>
                <w:color w:val="auto"/>
              </w:rPr>
            </w:pPr>
            <w:r>
              <w:rPr>
                <w:rFonts w:ascii="Arial" w:cs="Arial" w:eastAsia="Arial" w:hAnsi="Arial"/>
                <w:sz w:val="12"/>
                <w:szCs w:val="12"/>
                <w:color w:val="auto"/>
              </w:rPr>
              <w:t>Senior Executive Vice President and Chief Financial Officer since 2014; Ultra Petroleum Corporation Senior Vice President and</w:t>
            </w:r>
          </w:p>
        </w:tc>
        <w:tc>
          <w:tcPr>
            <w:tcW w:w="2060" w:type="dxa"/>
            <w:vAlign w:val="bottom"/>
          </w:tcPr>
          <w:p>
            <w:pPr>
              <w:jc w:val="right"/>
              <w:ind w:right="900"/>
              <w:spacing w:after="0"/>
              <w:rPr>
                <w:sz w:val="20"/>
                <w:szCs w:val="20"/>
                <w:color w:val="auto"/>
              </w:rPr>
            </w:pPr>
            <w:r>
              <w:rPr>
                <w:rFonts w:ascii="Arial" w:cs="Arial" w:eastAsia="Arial" w:hAnsi="Arial"/>
                <w:sz w:val="12"/>
                <w:szCs w:val="12"/>
                <w:color w:val="auto"/>
              </w:rPr>
              <w:t>58</w:t>
            </w: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20" w:type="dxa"/>
            <w:vAlign w:val="bottom"/>
            <w:gridSpan w:val="2"/>
          </w:tcPr>
          <w:p>
            <w:pPr>
              <w:ind w:left="20"/>
              <w:spacing w:after="0"/>
              <w:rPr>
                <w:sz w:val="20"/>
                <w:szCs w:val="20"/>
                <w:color w:val="auto"/>
              </w:rPr>
            </w:pPr>
            <w:r>
              <w:rPr>
                <w:rFonts w:ascii="Arial" w:cs="Arial" w:eastAsia="Arial" w:hAnsi="Arial"/>
                <w:sz w:val="12"/>
                <w:szCs w:val="12"/>
                <w:color w:val="auto"/>
              </w:rPr>
              <w:t>Chief Financial Officer 2011 to 2014; Ultra Petroleum Corporation Chief Financial Officer 2005 to 2014.</w:t>
            </w:r>
          </w:p>
        </w:tc>
        <w:tc>
          <w:tcPr>
            <w:tcW w:w="2060" w:type="dxa"/>
            <w:vAlign w:val="bottom"/>
          </w:tcPr>
          <w:p>
            <w:pPr>
              <w:spacing w:after="0"/>
              <w:rPr>
                <w:sz w:val="12"/>
                <w:szCs w:val="12"/>
                <w:color w:val="auto"/>
              </w:rPr>
            </w:pPr>
          </w:p>
        </w:tc>
      </w:tr>
      <w:tr>
        <w:trPr>
          <w:trHeight w:val="157"/>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Shawn M. Kerns</w:t>
            </w: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Executive Vice President - Operations and Engineering - 2018; Executive Vice President - Corporate Development 2014 to 2018;</w:t>
            </w:r>
          </w:p>
        </w:tc>
        <w:tc>
          <w:tcPr>
            <w:tcW w:w="2060" w:type="dxa"/>
            <w:vAlign w:val="bottom"/>
            <w:shd w:val="clear" w:color="auto" w:fill="CCEEFF"/>
          </w:tcPr>
          <w:p>
            <w:pPr>
              <w:jc w:val="right"/>
              <w:ind w:right="900"/>
              <w:spacing w:after="0"/>
              <w:rPr>
                <w:sz w:val="20"/>
                <w:szCs w:val="20"/>
                <w:color w:val="auto"/>
              </w:rPr>
            </w:pPr>
            <w:r>
              <w:rPr>
                <w:rFonts w:ascii="Arial" w:cs="Arial" w:eastAsia="Arial" w:hAnsi="Arial"/>
                <w:sz w:val="12"/>
                <w:szCs w:val="12"/>
                <w:color w:val="auto"/>
              </w:rPr>
              <w:t>47</w:t>
            </w:r>
          </w:p>
        </w:tc>
      </w:tr>
      <w:tr>
        <w:trPr>
          <w:trHeight w:val="135"/>
        </w:trPr>
        <w:tc>
          <w:tcPr>
            <w:tcW w:w="2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1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Vintage Production California President and General Manager 2012 to 2014; Occidental of Elk Hills General Manager 2010 to</w:t>
            </w:r>
          </w:p>
        </w:tc>
        <w:tc>
          <w:tcPr>
            <w:tcW w:w="2060" w:type="dxa"/>
            <w:vAlign w:val="bottom"/>
            <w:shd w:val="clear" w:color="auto" w:fill="CCEEFF"/>
          </w:tcPr>
          <w:p>
            <w:pPr>
              <w:spacing w:after="0"/>
              <w:rPr>
                <w:sz w:val="11"/>
                <w:szCs w:val="11"/>
                <w:color w:val="auto"/>
              </w:rPr>
            </w:pPr>
          </w:p>
        </w:tc>
      </w:tr>
      <w:tr>
        <w:trPr>
          <w:trHeight w:val="154"/>
        </w:trPr>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2012; Occidental of Elk Hills Asset Development Manager 2008 to 2010.</w:t>
            </w:r>
          </w:p>
        </w:tc>
        <w:tc>
          <w:tcPr>
            <w:tcW w:w="2060" w:type="dxa"/>
            <w:vAlign w:val="bottom"/>
            <w:shd w:val="clear" w:color="auto" w:fill="CCEEFF"/>
          </w:tcPr>
          <w:p>
            <w:pPr>
              <w:spacing w:after="0"/>
              <w:rPr>
                <w:sz w:val="13"/>
                <w:szCs w:val="13"/>
                <w:color w:val="auto"/>
              </w:rPr>
            </w:pPr>
          </w:p>
        </w:tc>
      </w:tr>
      <w:tr>
        <w:trPr>
          <w:trHeight w:val="153"/>
        </w:trPr>
        <w:tc>
          <w:tcPr>
            <w:tcW w:w="2300" w:type="dxa"/>
            <w:vAlign w:val="bottom"/>
            <w:gridSpan w:val="2"/>
          </w:tcPr>
          <w:p>
            <w:pPr>
              <w:ind w:left="20"/>
              <w:spacing w:after="0"/>
              <w:rPr>
                <w:sz w:val="20"/>
                <w:szCs w:val="20"/>
                <w:color w:val="auto"/>
              </w:rPr>
            </w:pPr>
            <w:r>
              <w:rPr>
                <w:rFonts w:ascii="Arial" w:cs="Arial" w:eastAsia="Arial" w:hAnsi="Arial"/>
                <w:sz w:val="12"/>
                <w:szCs w:val="12"/>
                <w:color w:val="auto"/>
              </w:rPr>
              <w:t>Francisco J. Leon</w:t>
            </w:r>
          </w:p>
        </w:tc>
        <w:tc>
          <w:tcPr>
            <w:tcW w:w="7120" w:type="dxa"/>
            <w:vAlign w:val="bottom"/>
            <w:gridSpan w:val="2"/>
          </w:tcPr>
          <w:p>
            <w:pPr>
              <w:ind w:left="20"/>
              <w:spacing w:after="0"/>
              <w:rPr>
                <w:sz w:val="20"/>
                <w:szCs w:val="20"/>
                <w:color w:val="auto"/>
              </w:rPr>
            </w:pPr>
            <w:r>
              <w:rPr>
                <w:rFonts w:ascii="Arial" w:cs="Arial" w:eastAsia="Arial" w:hAnsi="Arial"/>
                <w:sz w:val="12"/>
                <w:szCs w:val="12"/>
                <w:color w:val="auto"/>
              </w:rPr>
              <w:t>Executive Vice President - Corporate Development and Strategic Planning - 2018; Vice President - Portfolio Management and</w:t>
            </w:r>
          </w:p>
        </w:tc>
        <w:tc>
          <w:tcPr>
            <w:tcW w:w="2060" w:type="dxa"/>
            <w:vAlign w:val="bottom"/>
          </w:tcPr>
          <w:p>
            <w:pPr>
              <w:jc w:val="right"/>
              <w:ind w:right="900"/>
              <w:spacing w:after="0"/>
              <w:rPr>
                <w:sz w:val="20"/>
                <w:szCs w:val="20"/>
                <w:color w:val="auto"/>
              </w:rPr>
            </w:pPr>
            <w:r>
              <w:rPr>
                <w:rFonts w:ascii="Arial" w:cs="Arial" w:eastAsia="Arial" w:hAnsi="Arial"/>
                <w:sz w:val="12"/>
                <w:szCs w:val="12"/>
                <w:color w:val="auto"/>
              </w:rPr>
              <w:t>41</w:t>
            </w: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1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Strategic Planning 2014 to 2018; Occidental Director - Portfolio Management 2012 to 2014; Occidental Director of Corporate</w:t>
            </w:r>
          </w:p>
        </w:tc>
        <w:tc>
          <w:tcPr>
            <w:tcW w:w="2060" w:type="dxa"/>
            <w:vAlign w:val="bottom"/>
          </w:tcPr>
          <w:p>
            <w:pPr>
              <w:spacing w:after="0"/>
              <w:rPr>
                <w:sz w:val="11"/>
                <w:szCs w:val="1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20" w:type="dxa"/>
            <w:vAlign w:val="bottom"/>
            <w:gridSpan w:val="2"/>
          </w:tcPr>
          <w:p>
            <w:pPr>
              <w:ind w:left="20"/>
              <w:spacing w:after="0"/>
              <w:rPr>
                <w:sz w:val="20"/>
                <w:szCs w:val="20"/>
                <w:color w:val="auto"/>
              </w:rPr>
            </w:pPr>
            <w:r>
              <w:rPr>
                <w:rFonts w:ascii="Arial" w:cs="Arial" w:eastAsia="Arial" w:hAnsi="Arial"/>
                <w:sz w:val="12"/>
                <w:szCs w:val="12"/>
                <w:color w:val="auto"/>
              </w:rPr>
              <w:t>Development and M&amp;A 2010 to 2012; Occidental Manager of Business Development 2008 to 2010.</w:t>
            </w:r>
          </w:p>
        </w:tc>
        <w:tc>
          <w:tcPr>
            <w:tcW w:w="2060" w:type="dxa"/>
            <w:vAlign w:val="bottom"/>
          </w:tcPr>
          <w:p>
            <w:pPr>
              <w:spacing w:after="0"/>
              <w:rPr>
                <w:sz w:val="12"/>
                <w:szCs w:val="12"/>
                <w:color w:val="auto"/>
              </w:rPr>
            </w:pPr>
          </w:p>
        </w:tc>
      </w:tr>
      <w:tr>
        <w:trPr>
          <w:trHeight w:val="157"/>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Roy Pineci</w:t>
            </w: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Executive Vice President - Finance since 2014; Occidental Vice President and Controller 2008 to 2014; Occidental Oil and Gas</w:t>
            </w:r>
          </w:p>
        </w:tc>
        <w:tc>
          <w:tcPr>
            <w:tcW w:w="2060" w:type="dxa"/>
            <w:vAlign w:val="bottom"/>
            <w:shd w:val="clear" w:color="auto" w:fill="CCEEFF"/>
          </w:tcPr>
          <w:p>
            <w:pPr>
              <w:jc w:val="right"/>
              <w:ind w:right="900"/>
              <w:spacing w:after="0"/>
              <w:rPr>
                <w:sz w:val="20"/>
                <w:szCs w:val="20"/>
                <w:color w:val="auto"/>
              </w:rPr>
            </w:pPr>
            <w:r>
              <w:rPr>
                <w:rFonts w:ascii="Arial" w:cs="Arial" w:eastAsia="Arial" w:hAnsi="Arial"/>
                <w:sz w:val="12"/>
                <w:szCs w:val="12"/>
                <w:color w:val="auto"/>
              </w:rPr>
              <w:t>55</w:t>
            </w:r>
          </w:p>
        </w:tc>
      </w:tr>
      <w:tr>
        <w:trPr>
          <w:trHeight w:val="154"/>
        </w:trPr>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Senior Vice President 2007 to 2008.</w:t>
            </w:r>
          </w:p>
        </w:tc>
        <w:tc>
          <w:tcPr>
            <w:tcW w:w="2060" w:type="dxa"/>
            <w:vAlign w:val="bottom"/>
            <w:shd w:val="clear" w:color="auto" w:fill="CCEEFF"/>
          </w:tcPr>
          <w:p>
            <w:pPr>
              <w:spacing w:after="0"/>
              <w:rPr>
                <w:sz w:val="13"/>
                <w:szCs w:val="13"/>
                <w:color w:val="auto"/>
              </w:rPr>
            </w:pPr>
          </w:p>
        </w:tc>
      </w:tr>
      <w:tr>
        <w:trPr>
          <w:trHeight w:val="153"/>
        </w:trPr>
        <w:tc>
          <w:tcPr>
            <w:tcW w:w="2300" w:type="dxa"/>
            <w:vAlign w:val="bottom"/>
            <w:gridSpan w:val="2"/>
          </w:tcPr>
          <w:p>
            <w:pPr>
              <w:ind w:left="20"/>
              <w:spacing w:after="0"/>
              <w:rPr>
                <w:sz w:val="20"/>
                <w:szCs w:val="20"/>
                <w:color w:val="auto"/>
              </w:rPr>
            </w:pPr>
            <w:r>
              <w:rPr>
                <w:rFonts w:ascii="Arial" w:cs="Arial" w:eastAsia="Arial" w:hAnsi="Arial"/>
                <w:sz w:val="12"/>
                <w:szCs w:val="12"/>
                <w:color w:val="auto"/>
              </w:rPr>
              <w:t>Michael L. Preston</w:t>
            </w:r>
          </w:p>
        </w:tc>
        <w:tc>
          <w:tcPr>
            <w:tcW w:w="7120" w:type="dxa"/>
            <w:vAlign w:val="bottom"/>
            <w:gridSpan w:val="2"/>
          </w:tcPr>
          <w:p>
            <w:pPr>
              <w:ind w:left="20"/>
              <w:spacing w:after="0"/>
              <w:rPr>
                <w:sz w:val="20"/>
                <w:szCs w:val="20"/>
                <w:color w:val="auto"/>
              </w:rPr>
            </w:pPr>
            <w:r>
              <w:rPr>
                <w:rFonts w:ascii="Arial" w:cs="Arial" w:eastAsia="Arial" w:hAnsi="Arial"/>
                <w:sz w:val="12"/>
                <w:szCs w:val="12"/>
                <w:color w:val="auto"/>
              </w:rPr>
              <w:t>Executive Vice President, General Counsel and Corporate Secretary since 2014; Occidental Oil and Gas Vice President and</w:t>
            </w:r>
          </w:p>
        </w:tc>
        <w:tc>
          <w:tcPr>
            <w:tcW w:w="2060" w:type="dxa"/>
            <w:vAlign w:val="bottom"/>
          </w:tcPr>
          <w:p>
            <w:pPr>
              <w:jc w:val="right"/>
              <w:ind w:right="900"/>
              <w:spacing w:after="0"/>
              <w:rPr>
                <w:sz w:val="20"/>
                <w:szCs w:val="20"/>
                <w:color w:val="auto"/>
              </w:rPr>
            </w:pPr>
            <w:r>
              <w:rPr>
                <w:rFonts w:ascii="Arial" w:cs="Arial" w:eastAsia="Arial" w:hAnsi="Arial"/>
                <w:sz w:val="12"/>
                <w:szCs w:val="12"/>
                <w:color w:val="auto"/>
              </w:rPr>
              <w:t>53</w:t>
            </w: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20" w:type="dxa"/>
            <w:vAlign w:val="bottom"/>
            <w:gridSpan w:val="2"/>
          </w:tcPr>
          <w:p>
            <w:pPr>
              <w:ind w:left="20"/>
              <w:spacing w:after="0"/>
              <w:rPr>
                <w:sz w:val="20"/>
                <w:szCs w:val="20"/>
                <w:color w:val="auto"/>
              </w:rPr>
            </w:pPr>
            <w:r>
              <w:rPr>
                <w:rFonts w:ascii="Arial" w:cs="Arial" w:eastAsia="Arial" w:hAnsi="Arial"/>
                <w:sz w:val="12"/>
                <w:szCs w:val="12"/>
                <w:color w:val="auto"/>
              </w:rPr>
              <w:t>General Counsel 2001 to 2014.</w:t>
            </w:r>
          </w:p>
        </w:tc>
        <w:tc>
          <w:tcPr>
            <w:tcW w:w="2060" w:type="dxa"/>
            <w:vAlign w:val="bottom"/>
          </w:tcPr>
          <w:p>
            <w:pPr>
              <w:spacing w:after="0"/>
              <w:rPr>
                <w:sz w:val="12"/>
                <w:szCs w:val="12"/>
                <w:color w:val="auto"/>
              </w:rPr>
            </w:pPr>
          </w:p>
        </w:tc>
      </w:tr>
      <w:tr>
        <w:trPr>
          <w:trHeight w:val="185"/>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Charles F. Weiss</w:t>
            </w: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Executive Vice President - Public Affairs since 2014; Occidental Vice President, Health, Environment and Safety 2007 to 2014.</w:t>
            </w:r>
          </w:p>
        </w:tc>
        <w:tc>
          <w:tcPr>
            <w:tcW w:w="2060" w:type="dxa"/>
            <w:vAlign w:val="bottom"/>
            <w:shd w:val="clear" w:color="auto" w:fill="CCEEFF"/>
          </w:tcPr>
          <w:p>
            <w:pPr>
              <w:jc w:val="right"/>
              <w:ind w:right="900"/>
              <w:spacing w:after="0"/>
              <w:rPr>
                <w:sz w:val="20"/>
                <w:szCs w:val="20"/>
                <w:color w:val="auto"/>
              </w:rPr>
            </w:pPr>
            <w:r>
              <w:rPr>
                <w:rFonts w:ascii="Arial" w:cs="Arial" w:eastAsia="Arial" w:hAnsi="Arial"/>
                <w:sz w:val="12"/>
                <w:szCs w:val="12"/>
                <w:color w:val="auto"/>
              </w:rPr>
              <w:t>54</w:t>
            </w:r>
          </w:p>
        </w:tc>
      </w:tr>
      <w:tr>
        <w:trPr>
          <w:trHeight w:val="153"/>
        </w:trPr>
        <w:tc>
          <w:tcPr>
            <w:tcW w:w="2300" w:type="dxa"/>
            <w:vAlign w:val="bottom"/>
            <w:gridSpan w:val="2"/>
          </w:tcPr>
          <w:p>
            <w:pPr>
              <w:ind w:left="20"/>
              <w:spacing w:after="0"/>
              <w:rPr>
                <w:sz w:val="20"/>
                <w:szCs w:val="20"/>
                <w:color w:val="auto"/>
              </w:rPr>
            </w:pPr>
            <w:r>
              <w:rPr>
                <w:rFonts w:ascii="Arial" w:cs="Arial" w:eastAsia="Arial" w:hAnsi="Arial"/>
                <w:sz w:val="12"/>
                <w:szCs w:val="12"/>
                <w:color w:val="auto"/>
              </w:rPr>
              <w:t>Darren Williams</w:t>
            </w:r>
          </w:p>
        </w:tc>
        <w:tc>
          <w:tcPr>
            <w:tcW w:w="7120" w:type="dxa"/>
            <w:vAlign w:val="bottom"/>
            <w:gridSpan w:val="2"/>
          </w:tcPr>
          <w:p>
            <w:pPr>
              <w:ind w:left="20"/>
              <w:spacing w:after="0"/>
              <w:rPr>
                <w:sz w:val="20"/>
                <w:szCs w:val="20"/>
                <w:color w:val="auto"/>
              </w:rPr>
            </w:pPr>
            <w:r>
              <w:rPr>
                <w:rFonts w:ascii="Arial" w:cs="Arial" w:eastAsia="Arial" w:hAnsi="Arial"/>
                <w:sz w:val="12"/>
                <w:szCs w:val="12"/>
                <w:color w:val="auto"/>
              </w:rPr>
              <w:t>Executive Vice President - Operations and Geoscience - 2018; Executive Vice President - Exploration 2014 to 2018; Marathon</w:t>
            </w:r>
          </w:p>
        </w:tc>
        <w:tc>
          <w:tcPr>
            <w:tcW w:w="2060" w:type="dxa"/>
            <w:vAlign w:val="bottom"/>
          </w:tcPr>
          <w:p>
            <w:pPr>
              <w:jc w:val="right"/>
              <w:ind w:right="900"/>
              <w:spacing w:after="0"/>
              <w:rPr>
                <w:sz w:val="20"/>
                <w:szCs w:val="20"/>
                <w:color w:val="auto"/>
              </w:rPr>
            </w:pPr>
            <w:r>
              <w:rPr>
                <w:rFonts w:ascii="Arial" w:cs="Arial" w:eastAsia="Arial" w:hAnsi="Arial"/>
                <w:sz w:val="12"/>
                <w:szCs w:val="12"/>
                <w:color w:val="auto"/>
              </w:rPr>
              <w:t>46</w:t>
            </w:r>
          </w:p>
        </w:tc>
      </w:tr>
      <w:tr>
        <w:trPr>
          <w:trHeight w:val="135"/>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1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Upstream Gabon Limited President and Africa Exploration Manager 2013 to 2014; Marathon Oil Oklahoma Subsurface Manager</w:t>
            </w:r>
          </w:p>
        </w:tc>
        <w:tc>
          <w:tcPr>
            <w:tcW w:w="2060" w:type="dxa"/>
            <w:vAlign w:val="bottom"/>
          </w:tcPr>
          <w:p>
            <w:pPr>
              <w:spacing w:after="0"/>
              <w:rPr>
                <w:sz w:val="11"/>
                <w:szCs w:val="11"/>
                <w:color w:val="auto"/>
              </w:rPr>
            </w:pPr>
          </w:p>
        </w:tc>
      </w:tr>
      <w:tr>
        <w:trPr>
          <w:trHeight w:val="145"/>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120" w:type="dxa"/>
            <w:vAlign w:val="bottom"/>
            <w:gridSpan w:val="2"/>
          </w:tcPr>
          <w:p>
            <w:pPr>
              <w:ind w:left="20"/>
              <w:spacing w:after="0"/>
              <w:rPr>
                <w:sz w:val="20"/>
                <w:szCs w:val="20"/>
                <w:color w:val="auto"/>
              </w:rPr>
            </w:pPr>
            <w:r>
              <w:rPr>
                <w:rFonts w:ascii="Arial" w:cs="Arial" w:eastAsia="Arial" w:hAnsi="Arial"/>
                <w:sz w:val="12"/>
                <w:szCs w:val="12"/>
                <w:color w:val="auto"/>
              </w:rPr>
              <w:t>2010 to 2013; Marathon Oil Gulf of Mexico Exploration and Appraisal Manager 2008 to 2010.</w:t>
            </w:r>
          </w:p>
        </w:tc>
        <w:tc>
          <w:tcPr>
            <w:tcW w:w="2060" w:type="dxa"/>
            <w:vAlign w:val="bottom"/>
          </w:tcPr>
          <w:p>
            <w:pPr>
              <w:spacing w:after="0"/>
              <w:rPr>
                <w:sz w:val="12"/>
                <w:szCs w:val="12"/>
                <w:color w:val="auto"/>
              </w:rPr>
            </w:pPr>
          </w:p>
        </w:tc>
      </w:tr>
      <w:tr>
        <w:trPr>
          <w:trHeight w:val="459"/>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0" w:type="dxa"/>
            <w:vAlign w:val="bottom"/>
          </w:tcPr>
          <w:p>
            <w:pPr>
              <w:ind w:left="3360"/>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80"/>
          </w:cols>
          <w:pgMar w:left="220" w:top="287" w:right="19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color w:val="auto"/>
        </w:rPr>
        <w:t>PART II</w:t>
      </w:r>
    </w:p>
    <w:p>
      <w:pPr>
        <w:spacing w:after="0" w:line="7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for Common Stock</w:t>
      </w:r>
    </w:p>
    <w:p>
      <w:pPr>
        <w:spacing w:after="0" w:line="164"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Our common stock began trading "regular way" on the New York Stock Exchange (NYSE) under the symbol "CRC" on December 1, 2014. Prior to that date there was no public trading market for our common stock. On May 31, 2016, we completed a reverse stock split using a ratio of one share of common stock for every ten shares then outstanding. All share-related information is presented on a split-adjusted basis.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schedule sets forth the high and low sales price per share of our common stock as reported on the NYSE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Stock Price</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9"/>
        </w:trPr>
        <w:tc>
          <w:tcPr>
            <w:tcW w:w="7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w w:val="97"/>
              </w:rPr>
              <w:t>2017</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w w:val="97"/>
              </w:rPr>
              <w:t>2016</w:t>
            </w:r>
          </w:p>
        </w:tc>
        <w:tc>
          <w:tcPr>
            <w:tcW w:w="780" w:type="dxa"/>
            <w:vAlign w:val="bottom"/>
            <w:tcBorders>
              <w:bottom w:val="single" w:sz="8" w:color="auto"/>
            </w:tcBorders>
          </w:tcPr>
          <w:p>
            <w:pPr>
              <w:spacing w:after="0"/>
              <w:rPr>
                <w:sz w:val="14"/>
                <w:szCs w:val="14"/>
                <w:color w:val="auto"/>
              </w:rPr>
            </w:pPr>
          </w:p>
        </w:tc>
      </w:tr>
      <w:tr>
        <w:trPr>
          <w:trHeight w:val="169"/>
        </w:trPr>
        <w:tc>
          <w:tcPr>
            <w:tcW w:w="7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High</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Low</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High</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Low</w:t>
            </w:r>
          </w:p>
        </w:tc>
      </w:tr>
      <w:tr>
        <w:trPr>
          <w:trHeight w:val="16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First Quarter</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2.81</w:t>
            </w:r>
          </w:p>
        </w:tc>
      </w:tr>
      <w:tr>
        <w:trPr>
          <w:trHeight w:val="176"/>
        </w:trPr>
        <w:tc>
          <w:tcPr>
            <w:tcW w:w="7000" w:type="dxa"/>
            <w:vAlign w:val="bottom"/>
          </w:tcPr>
          <w:p>
            <w:pPr>
              <w:ind w:left="20"/>
              <w:spacing w:after="0"/>
              <w:rPr>
                <w:sz w:val="20"/>
                <w:szCs w:val="20"/>
                <w:color w:val="auto"/>
              </w:rPr>
            </w:pPr>
            <w:r>
              <w:rPr>
                <w:rFonts w:ascii="Arial" w:cs="Arial" w:eastAsia="Arial" w:hAnsi="Arial"/>
                <w:sz w:val="12"/>
                <w:szCs w:val="12"/>
                <w:color w:val="auto"/>
              </w:rPr>
              <w:t>Second Quarter</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16.25</w:t>
            </w:r>
          </w:p>
        </w:tc>
        <w:tc>
          <w:tcPr>
            <w:tcW w:w="4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7.73</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25.50</w:t>
            </w:r>
          </w:p>
        </w:tc>
        <w:tc>
          <w:tcPr>
            <w:tcW w:w="4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9.20</w:t>
            </w: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Third Quarter</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8.79</w:t>
            </w:r>
          </w:p>
        </w:tc>
      </w:tr>
      <w:tr>
        <w:trPr>
          <w:trHeight w:val="171"/>
        </w:trPr>
        <w:tc>
          <w:tcPr>
            <w:tcW w:w="7000" w:type="dxa"/>
            <w:vAlign w:val="bottom"/>
          </w:tcPr>
          <w:p>
            <w:pPr>
              <w:ind w:left="20"/>
              <w:spacing w:after="0"/>
              <w:rPr>
                <w:sz w:val="20"/>
                <w:szCs w:val="20"/>
                <w:color w:val="auto"/>
              </w:rPr>
            </w:pPr>
            <w:r>
              <w:rPr>
                <w:rFonts w:ascii="Arial" w:cs="Arial" w:eastAsia="Arial" w:hAnsi="Arial"/>
                <w:sz w:val="12"/>
                <w:szCs w:val="12"/>
                <w:color w:val="auto"/>
              </w:rPr>
              <w:t>Fourth Quarter</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20.19</w:t>
            </w:r>
          </w:p>
        </w:tc>
        <w:tc>
          <w:tcPr>
            <w:tcW w:w="4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8.84</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21.97</w:t>
            </w:r>
          </w:p>
        </w:tc>
        <w:tc>
          <w:tcPr>
            <w:tcW w:w="4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9.84</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 of Record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common stock was held by approximately 21,400 stockholders of record at December 31, 2017.</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2017 and 2016, no dividends were paid. In 2015, we paid quarterly dividends of $0.10 per share for the first three quarters of the year.</w:t>
      </w:r>
    </w:p>
    <w:p>
      <w:pPr>
        <w:spacing w:after="0" w:line="150"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 xml:space="preserve">In November 2015, our Board of Directors suspended the payment of any dividends. This decision remains consistent with the Company's broader initiatives to contain costs and strengthen the balance sheet. The payment of future dividends, if any, will be at the discretion of our Board of Directors and will depend upon, among other things, our financial condition, results of operations, capital requirements and development expenditures, future business prospects and any restrictions imposed by future debt instruments. See </w:t>
      </w:r>
      <w:r>
        <w:rPr>
          <w:rFonts w:ascii="Arial" w:cs="Arial" w:eastAsia="Arial" w:hAnsi="Arial"/>
          <w:sz w:val="12"/>
          <w:szCs w:val="12"/>
          <w:i w:val="1"/>
          <w:iCs w:val="1"/>
          <w:color w:val="auto"/>
        </w:rPr>
        <w:t>Item 7 – Management's Discussion and Analysis of Financial Condition and Results of Operations – Liquidity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Capital Resources – Credit Agreements </w:t>
      </w:r>
      <w:r>
        <w:rPr>
          <w:rFonts w:ascii="Arial" w:cs="Arial" w:eastAsia="Arial" w:hAnsi="Arial"/>
          <w:sz w:val="12"/>
          <w:szCs w:val="12"/>
          <w:color w:val="auto"/>
        </w:rPr>
        <w:t>for a description of limitations on paying dividends in our credit facilities.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52" w:lineRule="exact"/>
        <w:rPr>
          <w:sz w:val="20"/>
          <w:szCs w:val="20"/>
          <w:color w:val="auto"/>
        </w:rPr>
      </w:pPr>
    </w:p>
    <w:p>
      <w:pPr>
        <w:ind w:right="200" w:firstLine="216"/>
        <w:spacing w:after="0" w:line="266" w:lineRule="auto"/>
        <w:rPr>
          <w:sz w:val="20"/>
          <w:szCs w:val="20"/>
          <w:color w:val="auto"/>
        </w:rPr>
      </w:pPr>
      <w:r>
        <w:rPr>
          <w:rFonts w:ascii="Arial" w:cs="Arial" w:eastAsia="Arial" w:hAnsi="Arial"/>
          <w:sz w:val="12"/>
          <w:szCs w:val="12"/>
          <w:color w:val="auto"/>
        </w:rPr>
        <w:t xml:space="preserve">Our stock-based compensation plans were approved by our stockholders at the May 2016 annual meeting. A description of the plans can be found in </w:t>
      </w:r>
      <w:r>
        <w:rPr>
          <w:rFonts w:ascii="Arial" w:cs="Arial" w:eastAsia="Arial" w:hAnsi="Arial"/>
          <w:sz w:val="12"/>
          <w:szCs w:val="12"/>
          <w:i w:val="1"/>
          <w:iCs w:val="1"/>
          <w:color w:val="auto"/>
        </w:rPr>
        <w:t>Item 8 – Financial Statements and Supplementary Data –</w:t>
      </w:r>
      <w:r>
        <w:rPr>
          <w:rFonts w:ascii="Arial" w:cs="Arial" w:eastAsia="Arial" w:hAnsi="Arial"/>
          <w:sz w:val="12"/>
          <w:szCs w:val="12"/>
          <w:color w:val="auto"/>
        </w:rPr>
        <w:t xml:space="preserve"> </w:t>
      </w:r>
      <w:r>
        <w:rPr>
          <w:rFonts w:ascii="Arial" w:cs="Arial" w:eastAsia="Arial" w:hAnsi="Arial"/>
          <w:sz w:val="12"/>
          <w:szCs w:val="12"/>
          <w:i w:val="1"/>
          <w:iCs w:val="1"/>
          <w:color w:val="auto"/>
        </w:rPr>
        <w:t>Note 10 Stock Compensation</w:t>
      </w:r>
      <w:r>
        <w:rPr>
          <w:rFonts w:ascii="Arial" w:cs="Arial" w:eastAsia="Arial" w:hAnsi="Arial"/>
          <w:sz w:val="12"/>
          <w:szCs w:val="12"/>
          <w:color w:val="auto"/>
        </w:rPr>
        <w:t>. The aggregate number of shares of our common stock authorized for issuance under stock-based compensation plans for our employees and non-employee directors is 5.7 million, of</w:t>
      </w:r>
      <w:r>
        <w:rPr>
          <w:rFonts w:ascii="Arial" w:cs="Arial" w:eastAsia="Arial" w:hAnsi="Arial"/>
          <w:sz w:val="12"/>
          <w:szCs w:val="12"/>
          <w:i w:val="1"/>
          <w:iCs w:val="1"/>
          <w:color w:val="auto"/>
        </w:rPr>
        <w:t xml:space="preserve"> </w:t>
      </w:r>
      <w:r>
        <w:rPr>
          <w:rFonts w:ascii="Arial" w:cs="Arial" w:eastAsia="Arial" w:hAnsi="Arial"/>
          <w:sz w:val="12"/>
          <w:szCs w:val="12"/>
          <w:color w:val="auto"/>
        </w:rPr>
        <w:t>which approximately 4.3 million had been issued or reserved through December 31, 2017.</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is a summary of the securities available for issuance under such plans as of December 31, 2017:</w:t>
      </w:r>
    </w:p>
    <w:p>
      <w:pPr>
        <w:sectPr>
          <w:pgSz w:w="11900" w:h="16838" w:orient="portrait"/>
          <w:cols w:equalWidth="0" w:num="1">
            <w:col w:w="11480"/>
          </w:cols>
          <w:pgMar w:left="220" w:top="359" w:right="199" w:bottom="1440" w:gutter="0" w:footer="0" w:header="0"/>
        </w:sectPr>
      </w:pPr>
    </w:p>
    <w:p>
      <w:pPr>
        <w:spacing w:after="0" w:line="116" w:lineRule="exact"/>
        <w:rPr>
          <w:sz w:val="20"/>
          <w:szCs w:val="20"/>
          <w:color w:val="auto"/>
        </w:rPr>
      </w:pPr>
    </w:p>
    <w:p>
      <w:pPr>
        <w:ind w:left="360" w:hanging="350"/>
        <w:spacing w:after="0" w:line="245" w:lineRule="auto"/>
        <w:tabs>
          <w:tab w:leader="none" w:pos="3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Number of securities to be issued upon exercise of outstanding options, warrants and rights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349" w:hanging="349"/>
        <w:spacing w:after="0" w:line="245" w:lineRule="auto"/>
        <w:tabs>
          <w:tab w:leader="none" w:pos="349" w:val="left"/>
        </w:tabs>
        <w:numPr>
          <w:ilvl w:val="0"/>
          <w:numId w:val="33"/>
        </w:numPr>
        <w:rPr>
          <w:rFonts w:ascii="Arial" w:cs="Arial" w:eastAsia="Arial" w:hAnsi="Arial"/>
          <w:sz w:val="11"/>
          <w:szCs w:val="11"/>
          <w:color w:val="auto"/>
        </w:rPr>
      </w:pPr>
      <w:r>
        <w:rPr>
          <w:rFonts w:ascii="Arial" w:cs="Arial" w:eastAsia="Arial" w:hAnsi="Arial"/>
          <w:sz w:val="11"/>
          <w:szCs w:val="11"/>
          <w:color w:val="auto"/>
        </w:rPr>
        <w:t>Weighted-average exercise price of outstanding options, warrants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6985</wp:posOffset>
            </wp:positionV>
            <wp:extent cx="729234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346" w:right="40" w:hanging="346"/>
        <w:spacing w:after="0" w:line="245" w:lineRule="auto"/>
        <w:tabs>
          <w:tab w:leader="none" w:pos="346" w:val="left"/>
        </w:tabs>
        <w:numPr>
          <w:ilvl w:val="0"/>
          <w:numId w:val="34"/>
        </w:numPr>
        <w:rPr>
          <w:rFonts w:ascii="Arial" w:cs="Arial" w:eastAsia="Arial" w:hAnsi="Arial"/>
          <w:sz w:val="11"/>
          <w:szCs w:val="11"/>
          <w:color w:val="auto"/>
        </w:rPr>
      </w:pPr>
      <w:r>
        <w:rPr>
          <w:rFonts w:ascii="Arial" w:cs="Arial" w:eastAsia="Arial" w:hAnsi="Arial"/>
          <w:sz w:val="11"/>
          <w:szCs w:val="11"/>
          <w:color w:val="auto"/>
        </w:rPr>
        <w:t>Number of securities remaining available for future issuance under equity compensation plans (excluding securities in column (a))</w:t>
      </w:r>
    </w:p>
    <w:p>
      <w:pPr>
        <w:spacing w:after="0" w:line="42" w:lineRule="exact"/>
        <w:rPr>
          <w:sz w:val="20"/>
          <w:szCs w:val="20"/>
          <w:color w:val="auto"/>
        </w:rPr>
      </w:pPr>
    </w:p>
    <w:p>
      <w:pPr>
        <w:sectPr>
          <w:pgSz w:w="11900" w:h="16838" w:orient="portrait"/>
          <w:cols w:equalWidth="0" w:num="3">
            <w:col w:w="3380" w:space="431"/>
            <w:col w:w="3489" w:space="294"/>
            <w:col w:w="3886"/>
          </w:cols>
          <w:pgMar w:left="220" w:top="359" w:right="199" w:bottom="1440" w:gutter="0" w:footer="0" w:header="0"/>
          <w:type w:val="continuous"/>
        </w:sectPr>
      </w:pPr>
    </w:p>
    <w:p>
      <w:pPr>
        <w:jc w:val="both"/>
        <w:ind w:left="1600"/>
        <w:spacing w:after="0"/>
        <w:tabs>
          <w:tab w:leader="none" w:pos="5380" w:val="left"/>
          <w:tab w:leader="none" w:pos="9200" w:val="left"/>
        </w:tabs>
        <w:rPr>
          <w:sz w:val="20"/>
          <w:szCs w:val="20"/>
          <w:color w:val="auto"/>
        </w:rPr>
      </w:pPr>
      <w:r>
        <w:rPr>
          <w:rFonts w:ascii="Arial" w:cs="Arial" w:eastAsia="Arial" w:hAnsi="Arial"/>
          <w:sz w:val="11"/>
          <w:szCs w:val="11"/>
          <w:color w:val="auto"/>
        </w:rPr>
        <w:t>2,906,623</w:t>
      </w:r>
      <w:r>
        <w:rPr>
          <w:sz w:val="20"/>
          <w:szCs w:val="20"/>
          <w:color w:val="auto"/>
        </w:rPr>
        <w:tab/>
      </w:r>
      <w:r>
        <w:rPr>
          <w:rFonts w:ascii="Arial" w:cs="Arial" w:eastAsia="Arial" w:hAnsi="Arial"/>
          <w:sz w:val="11"/>
          <w:szCs w:val="11"/>
          <w:color w:val="auto"/>
        </w:rPr>
        <w:t xml:space="preserve">$69.95 </w:t>
      </w:r>
      <w:r>
        <w:rPr>
          <w:rFonts w:ascii="Arial" w:cs="Arial" w:eastAsia="Arial" w:hAnsi="Arial"/>
          <w:sz w:val="14"/>
          <w:szCs w:val="14"/>
          <w:color w:val="auto"/>
          <w:vertAlign w:val="superscript"/>
        </w:rPr>
        <w:t>(1)</w:t>
      </w:r>
      <w:r>
        <w:rPr>
          <w:sz w:val="20"/>
          <w:szCs w:val="20"/>
          <w:color w:val="auto"/>
        </w:rPr>
        <w:tab/>
      </w:r>
      <w:r>
        <w:rPr>
          <w:rFonts w:ascii="Arial" w:cs="Arial" w:eastAsia="Arial" w:hAnsi="Arial"/>
          <w:sz w:val="10"/>
          <w:szCs w:val="10"/>
          <w:color w:val="auto"/>
        </w:rPr>
        <w:t xml:space="preserve">1,414,162 </w:t>
      </w:r>
      <w:r>
        <w:rPr>
          <w:rFonts w:ascii="Arial" w:cs="Arial" w:eastAsia="Arial" w:hAnsi="Arial"/>
          <w:sz w:val="13"/>
          <w:szCs w:val="1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2923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ind w:left="420" w:hanging="212"/>
        <w:spacing w:after="0" w:line="225" w:lineRule="auto"/>
        <w:tabs>
          <w:tab w:leader="none" w:pos="4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Exercise price applies only to approximately 1.1 million options included in column (a) and not to any other awards.</w:t>
      </w:r>
    </w:p>
    <w:p>
      <w:pPr>
        <w:ind w:left="420" w:hanging="212"/>
        <w:spacing w:after="0"/>
        <w:tabs>
          <w:tab w:leader="none" w:pos="4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306,154 shares available under our 2014 Employee Stock Purchase Plan (ESPP) for purchase at 85% of the lower of the market price at (i) the beginning of a quarter and (ii) the end of a quarter.</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359" w:right="199" w:bottom="1440" w:gutter="0" w:footer="0" w:header="0"/>
          <w:type w:val="continuous"/>
        </w:sectPr>
      </w:pPr>
    </w:p>
    <w:bookmarkStart w:id="46" w:name="page47"/>
    <w:bookmarkEnd w:id="46"/>
    <w:p>
      <w:pPr>
        <w:ind w:left="8"/>
        <w:spacing w:after="0"/>
        <w:rPr>
          <w:sz w:val="20"/>
          <w:szCs w:val="20"/>
          <w:color w:val="auto"/>
        </w:rPr>
      </w:pPr>
      <w:r>
        <w:rPr>
          <w:rFonts w:ascii="Arial" w:cs="Arial" w:eastAsia="Arial" w:hAnsi="Arial"/>
          <w:sz w:val="12"/>
          <w:szCs w:val="12"/>
          <w:b w:val="1"/>
          <w:bCs w:val="1"/>
          <w:color w:val="auto"/>
        </w:rPr>
        <w:t>Performance Graph</w:t>
      </w:r>
    </w:p>
    <w:p>
      <w:pPr>
        <w:spacing w:after="0" w:line="164" w:lineRule="exact"/>
        <w:rPr>
          <w:sz w:val="20"/>
          <w:szCs w:val="20"/>
          <w:color w:val="auto"/>
        </w:rPr>
      </w:pPr>
    </w:p>
    <w:p>
      <w:pPr>
        <w:ind w:left="8" w:right="80" w:firstLine="216"/>
        <w:spacing w:after="0" w:line="254" w:lineRule="auto"/>
        <w:rPr>
          <w:sz w:val="20"/>
          <w:szCs w:val="20"/>
          <w:color w:val="auto"/>
        </w:rPr>
      </w:pPr>
      <w:r>
        <w:rPr>
          <w:rFonts w:ascii="Arial" w:cs="Arial" w:eastAsia="Arial" w:hAnsi="Arial"/>
          <w:sz w:val="12"/>
          <w:szCs w:val="12"/>
          <w:color w:val="auto"/>
        </w:rPr>
        <w:t>The following graph compares the cumulative total return to stockholders on our common stock relative to the cumulative total returns of the S&amp;P 500 and Dow Jones U.S. Exploration and Production indexes and our peer groups (with reinvestment of all dividends). The graph assumes that on December 1, 2014, the date our common stock began trading on the NYSE, $100 was invested in our common stock, in each index and in each of the peer group companies' common stock weighted by their relative market values within the peer group, and that all dividends were reinvested. The returns shown are based on historical results and are not intended to suggest future performance.</w:t>
      </w:r>
    </w:p>
    <w:p>
      <w:pPr>
        <w:spacing w:after="0" w:line="136" w:lineRule="exact"/>
        <w:rPr>
          <w:sz w:val="20"/>
          <w:szCs w:val="20"/>
          <w:color w:val="auto"/>
        </w:rPr>
      </w:pPr>
    </w:p>
    <w:p>
      <w:pPr>
        <w:ind w:left="8" w:right="60" w:firstLine="216"/>
        <w:spacing w:after="0" w:line="256" w:lineRule="auto"/>
        <w:rPr>
          <w:sz w:val="20"/>
          <w:szCs w:val="20"/>
          <w:color w:val="auto"/>
        </w:rPr>
      </w:pPr>
      <w:r>
        <w:rPr>
          <w:rFonts w:ascii="Arial" w:cs="Arial" w:eastAsia="Arial" w:hAnsi="Arial"/>
          <w:sz w:val="12"/>
          <w:szCs w:val="12"/>
          <w:color w:val="auto"/>
        </w:rPr>
        <w:t>Our peer group changed in 2017 from prior years. Our current peer group consists of Cabot Oil and Gas Corporation; Cimarex Energy Co.; Concho Resources Inc.; Denbury Resources Inc.; Energen Corporation; EP Energy Corporation; Murphy Oil Corporation; Newfield Exploration Company; Oasis Petroleum Corporation; Parsley Energy, Inc.; QEP Resources, Inc.; Range Resources Corporation; SM Energy Company; Whiting Petroleum Corporation and WPX Energy, Inc. Previously, our peer group also included Noble Energy Inc. and Pioneer Natural Resources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85725</wp:posOffset>
            </wp:positionV>
            <wp:extent cx="3345815" cy="2316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5815" cy="231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w w:val="89"/>
              </w:rPr>
              <w:t>2014</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w w:val="97"/>
              </w:rPr>
              <w:t>2015</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2016</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w w:val="89"/>
              </w:rPr>
              <w:t>2017</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r>
        <w:trPr>
          <w:trHeight w:val="169"/>
        </w:trPr>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12/1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12/31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3/31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6/30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9/30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12/31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3/31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6/30</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9/30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12/31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3/31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6/30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9/30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12/31</w:t>
            </w:r>
          </w:p>
        </w:tc>
      </w:tr>
      <w:tr>
        <w:trPr>
          <w:trHeight w:val="104"/>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3"/>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California Resources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55"/>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Corp</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r>
      <w:tr>
        <w:trPr>
          <w:trHeight w:val="174"/>
        </w:trPr>
        <w:tc>
          <w:tcPr>
            <w:tcW w:w="1500" w:type="dxa"/>
            <w:vAlign w:val="bottom"/>
          </w:tcPr>
          <w:p>
            <w:pPr>
              <w:ind w:left="20"/>
              <w:spacing w:after="0"/>
              <w:rPr>
                <w:sz w:val="20"/>
                <w:szCs w:val="20"/>
                <w:color w:val="auto"/>
              </w:rPr>
            </w:pPr>
            <w:r>
              <w:rPr>
                <w:rFonts w:ascii="Arial" w:cs="Arial" w:eastAsia="Arial" w:hAnsi="Arial"/>
                <w:sz w:val="11"/>
                <w:szCs w:val="11"/>
                <w:b w:val="1"/>
                <w:bCs w:val="1"/>
                <w:color w:val="auto"/>
              </w:rPr>
              <w:t>S&amp;P 500</w:t>
            </w:r>
          </w:p>
        </w:tc>
        <w:tc>
          <w:tcPr>
            <w:tcW w:w="12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138</w:t>
            </w:r>
          </w:p>
        </w:tc>
      </w:tr>
      <w:tr>
        <w:trPr>
          <w:trHeight w:val="140"/>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Dow Jones US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55"/>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Exploration &amp; Production</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95</w:t>
            </w:r>
          </w:p>
        </w:tc>
      </w:tr>
      <w:tr>
        <w:trPr>
          <w:trHeight w:val="174"/>
        </w:trPr>
        <w:tc>
          <w:tcPr>
            <w:tcW w:w="1500" w:type="dxa"/>
            <w:vAlign w:val="bottom"/>
          </w:tcPr>
          <w:p>
            <w:pPr>
              <w:ind w:left="20"/>
              <w:spacing w:after="0"/>
              <w:rPr>
                <w:sz w:val="20"/>
                <w:szCs w:val="20"/>
                <w:color w:val="auto"/>
              </w:rPr>
            </w:pPr>
            <w:r>
              <w:rPr>
                <w:rFonts w:ascii="Arial" w:cs="Arial" w:eastAsia="Arial" w:hAnsi="Arial"/>
                <w:sz w:val="11"/>
                <w:szCs w:val="11"/>
                <w:b w:val="1"/>
                <w:bCs w:val="1"/>
                <w:color w:val="auto"/>
              </w:rPr>
              <w:t>Current Peer Group</w:t>
            </w:r>
          </w:p>
        </w:tc>
        <w:tc>
          <w:tcPr>
            <w:tcW w:w="12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82</w:t>
            </w:r>
          </w:p>
        </w:tc>
      </w:tr>
      <w:tr>
        <w:trPr>
          <w:trHeight w:val="187"/>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Prior Peer Group</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r>
    </w:tbl>
    <w:p>
      <w:pPr>
        <w:spacing w:after="0" w:line="111" w:lineRule="exact"/>
        <w:rPr>
          <w:sz w:val="20"/>
          <w:szCs w:val="20"/>
          <w:color w:val="auto"/>
        </w:rPr>
      </w:pPr>
    </w:p>
    <w:p>
      <w:pPr>
        <w:ind w:left="8" w:right="300" w:hanging="8"/>
        <w:spacing w:after="0" w:line="341" w:lineRule="auto"/>
        <w:tabs>
          <w:tab w:leader="none" w:pos="72" w:val="left"/>
        </w:tabs>
        <w:numPr>
          <w:ilvl w:val="0"/>
          <w:numId w:val="36"/>
        </w:numPr>
        <w:rPr>
          <w:rFonts w:ascii="Arial" w:cs="Arial" w:eastAsia="Arial" w:hAnsi="Arial"/>
          <w:sz w:val="8"/>
          <w:szCs w:val="8"/>
          <w:color w:val="auto"/>
        </w:rPr>
      </w:pPr>
      <w:r>
        <w:rPr>
          <w:rFonts w:ascii="Arial" w:cs="Arial" w:eastAsia="Arial" w:hAnsi="Arial"/>
          <w:sz w:val="8"/>
          <w:szCs w:val="8"/>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pacing w:after="0" w:line="1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8"/>
          </w:cols>
          <w:pgMar w:left="212" w:top="287" w:right="199" w:bottom="1440" w:gutter="0" w:footer="0" w:header="0"/>
        </w:sectPr>
      </w:pPr>
    </w:p>
    <w:bookmarkStart w:id="47" w:name="page48"/>
    <w:bookmarkEnd w:id="47"/>
    <w:p>
      <w:pPr>
        <w:spacing w:after="0"/>
        <w:tabs>
          <w:tab w:leader="none" w:pos="62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110" w:lineRule="exact"/>
        <w:rPr>
          <w:sz w:val="20"/>
          <w:szCs w:val="20"/>
          <w:color w:val="auto"/>
        </w:rPr>
      </w:pPr>
    </w:p>
    <w:p>
      <w:pPr>
        <w:jc w:val="both"/>
        <w:ind w:right="420" w:firstLine="216"/>
        <w:spacing w:after="0" w:line="307" w:lineRule="auto"/>
        <w:rPr>
          <w:sz w:val="20"/>
          <w:szCs w:val="20"/>
          <w:color w:val="auto"/>
        </w:rPr>
      </w:pPr>
      <w:r>
        <w:rPr>
          <w:rFonts w:ascii="Arial" w:cs="Arial" w:eastAsia="Arial" w:hAnsi="Arial"/>
          <w:sz w:val="11"/>
          <w:szCs w:val="11"/>
          <w:color w:val="auto"/>
        </w:rPr>
        <w:t>Prior to the Spin-off on November 30, 2014, financial data was derived from Occidental's California oil and gas exploration and production operations and related assets, liabilities and obligations (California business), which we assumed with the Spin-off. All financial information presented after the Spin-off represents our stand-alone consolidated results of operations, financial position and cash flows. Accordingly:</w:t>
      </w:r>
    </w:p>
    <w:p>
      <w:pPr>
        <w:spacing w:after="0" w:line="136" w:lineRule="exact"/>
        <w:rPr>
          <w:sz w:val="20"/>
          <w:szCs w:val="20"/>
          <w:color w:val="auto"/>
        </w:rPr>
      </w:pPr>
    </w:p>
    <w:p>
      <w:pPr>
        <w:ind w:left="420" w:right="100" w:hanging="212"/>
        <w:spacing w:after="0" w:line="263" w:lineRule="auto"/>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selected statement of operations and cash flows data for the years ended December 31, 2017, 2016 and 2015 consist of our stand-alone consolidated results post Spin-off. For the year ended December 31, 2014 the statement of operations and cash flows data includes the consolidated results for the month ended December 31, 2014 and the combined results of the California business prior to the Spin-off. The selected statement of operations and cash flow data for the year ended December 31, 2013 consists entirely of the combined results of the California business.</w:t>
      </w:r>
    </w:p>
    <w:p>
      <w:pPr>
        <w:spacing w:after="0" w:line="167" w:lineRule="exact"/>
        <w:rPr>
          <w:rFonts w:ascii="Arial" w:cs="Arial" w:eastAsia="Arial" w:hAnsi="Arial"/>
          <w:sz w:val="12"/>
          <w:szCs w:val="12"/>
          <w:color w:val="auto"/>
        </w:rPr>
      </w:pPr>
    </w:p>
    <w:p>
      <w:pPr>
        <w:ind w:left="420" w:right="120" w:hanging="212"/>
        <w:spacing w:after="0" w:line="262" w:lineRule="auto"/>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selected balance sheet data at December 31, 2017, 2016, 2015 and 2014 consists of our stand-alone consolidated balances, while the selected balance sheet data at December 31, 2013 consists of the combined balances of the California business.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All share-related information is presented on a split-adjusted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w w:val="99"/>
              </w:rPr>
              <w:t>Year Ended December 31,</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2017</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2016</w:t>
            </w: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2015</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r>
      <w:tr>
        <w:trPr>
          <w:trHeight w:val="152"/>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gridSpan w:val="4"/>
          </w:tcPr>
          <w:p>
            <w:pPr>
              <w:jc w:val="right"/>
              <w:ind w:right="120"/>
              <w:spacing w:after="0"/>
              <w:rPr>
                <w:sz w:val="20"/>
                <w:szCs w:val="20"/>
                <w:color w:val="auto"/>
              </w:rPr>
            </w:pPr>
            <w:r>
              <w:rPr>
                <w:rFonts w:ascii="Arial" w:cs="Arial" w:eastAsia="Arial" w:hAnsi="Arial"/>
                <w:sz w:val="10"/>
                <w:szCs w:val="10"/>
                <w:color w:val="auto"/>
              </w:rPr>
              <w:t>(in millions, except for per share data)</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4"/>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Statement of Operations Data</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Revenues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2,006</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1,547</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2,403</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4,173</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4,284</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income before income taxes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(262)</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(5,476)</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(2,421)</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1,447</w:t>
            </w: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Net (loss) income attributable to common stock</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(266)</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279</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(3,554)</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(1,434)</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869</w:t>
            </w:r>
          </w:p>
        </w:tc>
      </w:tr>
      <w:tr>
        <w:trPr>
          <w:trHeight w:val="185"/>
        </w:trPr>
        <w:tc>
          <w:tcPr>
            <w:tcW w:w="5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Per common share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5280" w:type="dxa"/>
            <w:vAlign w:val="bottom"/>
          </w:tcPr>
          <w:p>
            <w:pPr>
              <w:ind w:left="240"/>
              <w:spacing w:after="0"/>
              <w:rPr>
                <w:sz w:val="20"/>
                <w:szCs w:val="20"/>
                <w:color w:val="auto"/>
              </w:rPr>
            </w:pPr>
            <w:r>
              <w:rPr>
                <w:rFonts w:ascii="Arial" w:cs="Arial" w:eastAsia="Arial" w:hAnsi="Arial"/>
                <w:sz w:val="12"/>
                <w:szCs w:val="12"/>
                <w:color w:val="auto"/>
              </w:rPr>
              <w:t>Basic and diluted</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(6.26)</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6.76</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(92.79)</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(37.54)</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22.38</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Statement of Cash Flows Data</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248</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130</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403</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2,371</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2,476</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investments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(371)</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(401)</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(2,089)</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(1,669)</w:t>
            </w: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Acquisitions and other</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(151)</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(292)</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(44)</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(repayments) borrowings and related costs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356</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6,290</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Contribution from noncontrolling interest, net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98</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Spin-off related dividends to Occidental</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(6,000)</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Distributions to Occidental, net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(335)</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(763)</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Common Share</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0.30</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2"/>
                <w:szCs w:val="12"/>
                <w:b w:val="1"/>
                <w:bCs w:val="1"/>
                <w:color w:val="auto"/>
              </w:rPr>
              <w:t>As of December 31,</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2017</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b w:val="1"/>
                <w:bCs w:val="1"/>
                <w:color w:val="auto"/>
              </w:rPr>
              <w:t>2015</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r>
      <w:tr>
        <w:trPr>
          <w:trHeight w:val="152"/>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341"/>
              <w:spacing w:after="0"/>
              <w:rPr>
                <w:sz w:val="20"/>
                <w:szCs w:val="20"/>
                <w:color w:val="auto"/>
              </w:rPr>
            </w:pPr>
            <w:r>
              <w:rPr>
                <w:rFonts w:ascii="Arial" w:cs="Arial" w:eastAsia="Arial" w:hAnsi="Arial"/>
                <w:sz w:val="10"/>
                <w:szCs w:val="10"/>
                <w:color w:val="auto"/>
              </w:rPr>
              <w:t>(in millions)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4"/>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Sheet Data</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Total current assets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483</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425</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438</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701</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254</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5,696</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5,885</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6,312</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11,685</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14,008</w:t>
            </w: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6,207</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6,354</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7,053</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12,429</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14,297</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maturities of long-term debt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100</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Total current liabilities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732</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726</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605</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922</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689</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Long-term debt - principal amount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5,306</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5,168</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6,043</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6,360</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280" w:type="dxa"/>
            <w:vAlign w:val="bottom"/>
          </w:tcPr>
          <w:p>
            <w:pPr>
              <w:ind w:left="20"/>
              <w:spacing w:after="0"/>
              <w:rPr>
                <w:sz w:val="20"/>
                <w:szCs w:val="20"/>
                <w:color w:val="auto"/>
              </w:rPr>
            </w:pPr>
            <w:r>
              <w:rPr>
                <w:rFonts w:ascii="Arial" w:cs="Arial" w:eastAsia="Arial" w:hAnsi="Arial"/>
                <w:sz w:val="12"/>
                <w:szCs w:val="12"/>
                <w:color w:val="auto"/>
              </w:rPr>
              <w:t>Deferred gain and issuance costs, net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287</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397</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491</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(68)</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602</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830</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549</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497</w:t>
            </w:r>
          </w:p>
        </w:tc>
      </w:tr>
      <w:tr>
        <w:trPr>
          <w:trHeight w:val="171"/>
        </w:trPr>
        <w:tc>
          <w:tcPr>
            <w:tcW w:w="5280" w:type="dxa"/>
            <w:vAlign w:val="bottom"/>
          </w:tcPr>
          <w:p>
            <w:pPr>
              <w:ind w:left="20"/>
              <w:spacing w:after="0"/>
              <w:rPr>
                <w:sz w:val="20"/>
                <w:szCs w:val="20"/>
                <w:color w:val="auto"/>
              </w:rPr>
            </w:pPr>
            <w:r>
              <w:rPr>
                <w:rFonts w:ascii="Arial" w:cs="Arial" w:eastAsia="Arial" w:hAnsi="Arial"/>
                <w:sz w:val="12"/>
                <w:szCs w:val="12"/>
                <w:color w:val="auto"/>
              </w:rPr>
              <w:t>Equity attributable to common stock</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(814)</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(557)</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(916)</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2,611</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9,989</w:t>
            </w:r>
          </w:p>
        </w:tc>
      </w:tr>
    </w:tbl>
    <w:p>
      <w:pPr>
        <w:spacing w:after="0" w:line="87" w:lineRule="exact"/>
        <w:rPr>
          <w:sz w:val="20"/>
          <w:szCs w:val="20"/>
          <w:color w:val="auto"/>
        </w:rPr>
      </w:pPr>
    </w:p>
    <w:p>
      <w:pPr>
        <w:ind w:right="240" w:firstLine="216"/>
        <w:spacing w:after="0" w:line="283" w:lineRule="auto"/>
        <w:rPr>
          <w:sz w:val="20"/>
          <w:szCs w:val="20"/>
          <w:color w:val="auto"/>
        </w:rPr>
      </w:pPr>
      <w:r>
        <w:rPr>
          <w:rFonts w:ascii="Arial" w:cs="Arial" w:eastAsia="Arial" w:hAnsi="Arial"/>
          <w:sz w:val="12"/>
          <w:szCs w:val="12"/>
          <w:color w:val="auto"/>
        </w:rPr>
        <w:t xml:space="preserve">The selected financial data presented above should be read in conjunction with </w:t>
      </w:r>
      <w:r>
        <w:rPr>
          <w:rFonts w:ascii="Arial" w:cs="Arial" w:eastAsia="Arial" w:hAnsi="Arial"/>
          <w:sz w:val="12"/>
          <w:szCs w:val="12"/>
          <w:i w:val="1"/>
          <w:iCs w:val="1"/>
          <w:color w:val="auto"/>
        </w:rPr>
        <w:t>Item 7 – Management's Discussion and Analysis of Financial Condition and Results of Operations</w:t>
      </w:r>
      <w:r>
        <w:rPr>
          <w:rFonts w:ascii="Arial" w:cs="Arial" w:eastAsia="Arial" w:hAnsi="Arial"/>
          <w:sz w:val="12"/>
          <w:szCs w:val="12"/>
          <w:color w:val="auto"/>
        </w:rPr>
        <w:t xml:space="preserve"> and the consolidated financial statements and accompanying notes included elsewhere in this Form 10-K.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287" w:right="199" w:bottom="1440" w:gutter="0" w:footer="0" w:header="0"/>
        </w:sectPr>
      </w:pPr>
    </w:p>
    <w:bookmarkStart w:id="48" w:name="page49"/>
    <w:bookmarkEnd w:id="48"/>
    <w:p>
      <w:pPr>
        <w:spacing w:after="0"/>
        <w:tabs>
          <w:tab w:leader="none" w:pos="62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64" w:lineRule="exact"/>
        <w:rPr>
          <w:sz w:val="20"/>
          <w:szCs w:val="20"/>
          <w:color w:val="auto"/>
        </w:rPr>
      </w:pPr>
    </w:p>
    <w:p>
      <w:pPr>
        <w:ind w:right="240" w:firstLine="216"/>
        <w:spacing w:after="0" w:line="262" w:lineRule="auto"/>
        <w:rPr>
          <w:sz w:val="20"/>
          <w:szCs w:val="20"/>
          <w:color w:val="auto"/>
        </w:rPr>
      </w:pPr>
      <w:r>
        <w:rPr>
          <w:rFonts w:ascii="Arial" w:cs="Arial" w:eastAsia="Arial" w:hAnsi="Arial"/>
          <w:sz w:val="12"/>
          <w:szCs w:val="12"/>
          <w:color w:val="auto"/>
        </w:rPr>
        <w:t>We are an independent oil and natural gas exploration and production company operating properties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 and Certain Factors Affecting Comparability</w:t>
      </w:r>
    </w:p>
    <w:p>
      <w:pPr>
        <w:spacing w:after="0" w:line="12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All financial information presented consists of our consolidated results of operations, financial position and cash flows. The assets and liabilities in the consolidated financial statements are presented on a historical cost basis. We have eliminated all of our significant intercompany transactions and accounts. We account for our share of oil and gas exploration and production ventures, in which we have a direct working interest, by reporting our proportionate share of assets, liabilities, revenues, costs and cash flows within the relevant lines on the balance sheets and statements of operations and cash flows.</w:t>
      </w:r>
    </w:p>
    <w:p>
      <w:pPr>
        <w:spacing w:after="0" w:line="108"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On May 31, 2016 we completed a reverse stock split using a ratio of one share of common stock for every ten shares then outstanding. Share and per share amounts included in this report reflect this stock split for all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Environment and Industry Outlook</w:t>
      </w:r>
    </w:p>
    <w:p>
      <w:pPr>
        <w:spacing w:after="0" w:line="164" w:lineRule="exact"/>
        <w:rPr>
          <w:sz w:val="20"/>
          <w:szCs w:val="20"/>
          <w:color w:val="auto"/>
        </w:rPr>
      </w:pPr>
    </w:p>
    <w:p>
      <w:pPr>
        <w:ind w:right="240" w:firstLine="216"/>
        <w:spacing w:after="0" w:line="253" w:lineRule="auto"/>
        <w:rPr>
          <w:sz w:val="20"/>
          <w:szCs w:val="20"/>
          <w:color w:val="auto"/>
        </w:rPr>
      </w:pPr>
      <w:r>
        <w:rPr>
          <w:rFonts w:ascii="Arial" w:cs="Arial" w:eastAsia="Arial" w:hAnsi="Arial"/>
          <w:sz w:val="12"/>
          <w:szCs w:val="12"/>
          <w:color w:val="auto"/>
        </w:rPr>
        <w:t>Our operating results and those of the oil and gas industry as a whole are heavily influenced by commodity prices. Oil and gas prices and differentials may fluctuate significantly, generally as a result of market-related variables such as consumption patterns; inventory levels; global and local economic conditions; the actions of the Organization of the Petroleum Exporting Countries (OPEC) and other producers and governments; actual or threatened disruptions in production, refining and processing; currency exchange rates; worldwide drilling and exploration activities; the effects of conservation, weather, geophysical and technical limitations; technological advances; transportation and storage capacity; bottlenecks and costs in producing areas; alternative energy sources; regional market conditions; and other matters affecting the supply and demand dynamics for our products; as well as the effect of changes in these variables on market perceptions. These and other factors make it impossible to predict realized prices reliably.</w:t>
      </w:r>
    </w:p>
    <w:p>
      <w:pPr>
        <w:spacing w:after="0" w:line="137" w:lineRule="exact"/>
        <w:rPr>
          <w:sz w:val="20"/>
          <w:szCs w:val="20"/>
          <w:color w:val="auto"/>
        </w:rPr>
      </w:pPr>
    </w:p>
    <w:p>
      <w:pPr>
        <w:jc w:val="both"/>
        <w:ind w:right="200" w:firstLine="216"/>
        <w:spacing w:after="0" w:line="256" w:lineRule="auto"/>
        <w:rPr>
          <w:sz w:val="20"/>
          <w:szCs w:val="20"/>
          <w:color w:val="auto"/>
        </w:rPr>
      </w:pPr>
      <w:r>
        <w:rPr>
          <w:rFonts w:ascii="Arial" w:cs="Arial" w:eastAsia="Arial" w:hAnsi="Arial"/>
          <w:sz w:val="12"/>
          <w:szCs w:val="12"/>
          <w:color w:val="auto"/>
        </w:rPr>
        <w:t>Much of the global exploration and production industry has been challenged in the low-commodity price cycle in recent years, putting pressure on the industry's ability to generate positive cash flow and access capital. Global oil prices were higher in 2017 compared to 2016. Natural gas liquids (NGLs) prices have improved relative to crude oil prices throughout 2017 due to tighter domestic supplies, the strength of exports and higher contract prices on natural gasoline. Full year average natural gas prices in the U.S. were higher in 2017 than in 2016 due to lower production and higher demand.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the average daily Brent, WTI and NYMEX prices for each of the years ended December 31, 2017, 2016 and 2015: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2015</w:t>
            </w:r>
          </w:p>
        </w:tc>
      </w:tr>
      <w:tr>
        <w:trPr>
          <w:trHeight w:val="16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Brent oil ($/Bbl)</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54.82</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45.04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53.64</w:t>
            </w: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WTI oil ($/Bbl)</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50.95</w:t>
            </w:r>
          </w:p>
        </w:tc>
        <w:tc>
          <w:tcPr>
            <w:tcW w:w="120" w:type="dxa"/>
            <w:vAlign w:val="bottom"/>
          </w:tcPr>
          <w:p>
            <w:pPr>
              <w:spacing w:after="0"/>
              <w:rPr>
                <w:sz w:val="15"/>
                <w:szCs w:val="15"/>
                <w:color w:val="auto"/>
              </w:rPr>
            </w:pPr>
          </w:p>
        </w:tc>
        <w:tc>
          <w:tcPr>
            <w:tcW w:w="82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43.32</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48.80</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NYMEX gas ($/MMBtu)</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2.75</w:t>
            </w:r>
          </w:p>
        </w:tc>
      </w:tr>
    </w:tbl>
    <w:p>
      <w:pPr>
        <w:spacing w:after="0" w:line="117" w:lineRule="exact"/>
        <w:rPr>
          <w:sz w:val="20"/>
          <w:szCs w:val="20"/>
          <w:color w:val="auto"/>
        </w:rPr>
      </w:pPr>
    </w:p>
    <w:p>
      <w:pPr>
        <w:ind w:right="160" w:firstLine="216"/>
        <w:spacing w:after="0" w:line="253" w:lineRule="auto"/>
        <w:rPr>
          <w:sz w:val="20"/>
          <w:szCs w:val="20"/>
          <w:color w:val="auto"/>
        </w:rPr>
      </w:pPr>
      <w:r>
        <w:rPr>
          <w:rFonts w:ascii="Arial" w:cs="Arial" w:eastAsia="Arial" w:hAnsi="Arial"/>
          <w:sz w:val="12"/>
          <w:szCs w:val="12"/>
          <w:color w:val="auto"/>
        </w:rPr>
        <w:t>We currently sell all of our crude oil into the California refining markets, which we believe have offered relatively favorable pricing compared to other U.S. regions for similar grades. California is heavily reliant on imported sources of energy, with approximately 72% of the oil consumed in 2017 imported from outside the state. A vast majority of the imported oil arrives via supertanker, mostly from foreign locations. As a result, California refiners have typically purchased crude oil at international waterborne-based prices. We believe that the limited crude transportation infrastructure from other parts of the U.S. to California will continue to contribute to higher realizations than most other U.S. oil markets for comparable grades. Additionally, our differentials improved against Brent during 2017, as a result of an increase in the benchmark prices to North America from the Middle East and higher-than-expected demand in Asia. The improvement continued into the early part of 2018.</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287" w:right="199" w:bottom="1440" w:gutter="0" w:footer="0" w:header="0"/>
        </w:sectPr>
      </w:pPr>
    </w:p>
    <w:bookmarkStart w:id="49" w:name="page50"/>
    <w:bookmarkEnd w:id="49"/>
    <w:p>
      <w:pPr>
        <w:ind w:right="200" w:firstLine="216"/>
        <w:spacing w:after="0" w:line="262" w:lineRule="auto"/>
        <w:rPr>
          <w:sz w:val="20"/>
          <w:szCs w:val="20"/>
          <w:color w:val="auto"/>
        </w:rPr>
      </w:pPr>
      <w:r>
        <w:rPr>
          <w:rFonts w:ascii="Arial" w:cs="Arial" w:eastAsia="Arial" w:hAnsi="Arial"/>
          <w:sz w:val="12"/>
          <w:szCs w:val="12"/>
          <w:color w:val="auto"/>
        </w:rPr>
        <w:t>Prices and differentials for NGLs are related to the supply and demand for the products making up these liquids. Some of them more typically correlate to the price of oil while others are affected by natural gas prices as well as the demand for certain chemical products for which they are used as feedstock. In addition, infrastructure constraints magnify pricing volatility.</w:t>
      </w:r>
    </w:p>
    <w:p>
      <w:pPr>
        <w:spacing w:after="0" w:line="131"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Natural gas prices and differentials are strongly affected by local market fundamentals, as well as availability of transportation capacity from producing areas. Capacity influences prices because California imports about 90% of its natural gas from other states and Canada. As a result, we typically enjoy favorable pricing relative to out-of-state producers since we can deliver our gas for lower transportation costs. Due to our much lower natural gas production compared to our oil production, the changes in natural gas prices have a smaller impact on our operating results.</w:t>
      </w:r>
    </w:p>
    <w:p>
      <w:pPr>
        <w:spacing w:after="0" w:line="135"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In addition to selling natural gas, we also use gas for our steamfloods and power generation. As a result, the positive impact of higher natural gas prices is partially offset by higher operating costs but higher prices still have a net positive effect on our operating results. Conversely, lower natural gas prices generally have a net negative effect on our results, but lower the cost of our steamflood projects and power generation. In 2017, greater availability of hydroelectricity in California due to higher-than-normal rainfalls caused downward pressure on natural gas prices, reducing our realized prices as a percentage of the NYMEX index, and gas storage capacity disruptions caused seasonal price volatility.</w:t>
      </w:r>
    </w:p>
    <w:p>
      <w:pPr>
        <w:spacing w:after="0" w:line="136"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Our earnings are also affected by the performance of our processing and power generation assets. We process our wet gas to extract NGLs and other natural gas byproducts. We then deliver dry gas to pipelines and separately sell the NGLs. The efficiency with which we extract liquids from the wet gas stream affects our operating results. Additionally, we use part of the electricity from the Elk Hills power plant to reduce operating costs at Elk Hills and nearby fields and increase reliability. The remaining electricity is sold to the grid and a utility under a power purchase and sales agreement that includes a capacity payment. The price obtained for excess power impacts our earnings but generally by an insignificant amount.</w:t>
      </w:r>
    </w:p>
    <w:p>
      <w:pPr>
        <w:spacing w:after="0" w:line="136" w:lineRule="exact"/>
        <w:rPr>
          <w:sz w:val="20"/>
          <w:szCs w:val="20"/>
          <w:color w:val="auto"/>
        </w:rPr>
      </w:pPr>
    </w:p>
    <w:p>
      <w:pPr>
        <w:jc w:val="both"/>
        <w:ind w:right="160" w:firstLine="216"/>
        <w:spacing w:after="0" w:line="256" w:lineRule="auto"/>
        <w:rPr>
          <w:sz w:val="20"/>
          <w:szCs w:val="20"/>
          <w:color w:val="auto"/>
        </w:rPr>
      </w:pPr>
      <w:r>
        <w:rPr>
          <w:rFonts w:ascii="Arial" w:cs="Arial" w:eastAsia="Arial" w:hAnsi="Arial"/>
          <w:sz w:val="12"/>
          <w:szCs w:val="12"/>
          <w:color w:val="auto"/>
        </w:rPr>
        <w:t>We opportunistically seek strategic hedging transactions to help protect our cash flows, margins and capital investment program from the cyclical nature of commodity prices and to improve our ability to comply with our debt covenants. We can give no assurances that our hedges will be adequate to accomplish our objectives. Unless otherwise indicated, we use the term "hedge" to describe derivative instruments that are designed to achieve our hedging program goals, even though they are not necessarily accounted for as cash-flow or fair-value hedges.</w:t>
      </w:r>
    </w:p>
    <w:p>
      <w:pPr>
        <w:spacing w:after="0" w:line="135" w:lineRule="exact"/>
        <w:rPr>
          <w:sz w:val="20"/>
          <w:szCs w:val="20"/>
          <w:color w:val="auto"/>
        </w:rPr>
      </w:pPr>
    </w:p>
    <w:p>
      <w:pPr>
        <w:ind w:right="180" w:firstLine="216"/>
        <w:spacing w:after="0" w:line="254" w:lineRule="auto"/>
        <w:rPr>
          <w:sz w:val="20"/>
          <w:szCs w:val="20"/>
          <w:color w:val="auto"/>
        </w:rPr>
      </w:pPr>
      <w:r>
        <w:rPr>
          <w:rFonts w:ascii="Arial" w:cs="Arial" w:eastAsia="Arial" w:hAnsi="Arial"/>
          <w:sz w:val="12"/>
          <w:szCs w:val="12"/>
          <w:color w:val="auto"/>
        </w:rPr>
        <w:t>We respond to economic conditions by adjusting the amount and allocation of our capital program, aligning the size of our workforce with our level of activity, continuing to improve efficiencies and finding cost savings. The reductions in our capital program in 2015 and 2016 negatively impacted our 2017 production levels. With our increased capital program in 2017, our oil production flattened. With our 2018 program we expect to achieve sustained oil production growth and end the year with higher production than the beginning of the year. Volatility in oil prices may materially affect the quantities of oil and gas reserves we can economically produce over the longer term.</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While certain aspects of our operations are affected by seasonal factors, such as electricity costs, overall, seasonality is not a material driver of changes in our earnings during the year.</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Joint Ventures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Exploration and Development Joint Ventures</w:t>
      </w:r>
    </w:p>
    <w:p>
      <w:pPr>
        <w:spacing w:after="0" w:line="164" w:lineRule="exact"/>
        <w:rPr>
          <w:sz w:val="20"/>
          <w:szCs w:val="20"/>
          <w:color w:val="auto"/>
        </w:rPr>
      </w:pPr>
    </w:p>
    <w:p>
      <w:pPr>
        <w:ind w:right="80" w:firstLine="216"/>
        <w:spacing w:after="0" w:line="262" w:lineRule="auto"/>
        <w:rPr>
          <w:sz w:val="20"/>
          <w:szCs w:val="20"/>
          <w:color w:val="auto"/>
        </w:rPr>
      </w:pPr>
      <w:r>
        <w:rPr>
          <w:rFonts w:ascii="Arial" w:cs="Arial" w:eastAsia="Arial" w:hAnsi="Arial"/>
          <w:sz w:val="12"/>
          <w:szCs w:val="12"/>
          <w:color w:val="auto"/>
        </w:rPr>
        <w:t>In line with our strategy, we have entered into a number of joint ventures (JVs) where our partners carry all or substantially all of our exploration and development costs. These JVs allow us to continue to develop our assets while providing us with financial flexibility and immediate production benefit.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40"/>
          </w:cols>
          <w:pgMar w:left="220" w:top="301" w:right="239" w:bottom="1440" w:gutter="0" w:footer="0" w:header="0"/>
        </w:sectPr>
      </w:pPr>
    </w:p>
    <w:bookmarkStart w:id="50" w:name="page51"/>
    <w:bookmarkEnd w:id="50"/>
    <w:p>
      <w:pPr>
        <w:ind w:right="20" w:firstLine="216"/>
        <w:spacing w:after="0" w:line="252" w:lineRule="auto"/>
        <w:rPr>
          <w:sz w:val="20"/>
          <w:szCs w:val="20"/>
          <w:color w:val="auto"/>
        </w:rPr>
      </w:pPr>
      <w:r>
        <w:rPr>
          <w:rFonts w:ascii="Arial" w:cs="Arial" w:eastAsia="Arial" w:hAnsi="Arial"/>
          <w:sz w:val="12"/>
          <w:szCs w:val="12"/>
          <w:color w:val="auto"/>
        </w:rPr>
        <w:t>In February 2017, we entered into a JV with Benefit Street Partners (BSP) where BSP will contribute up to $250 million, subject to agreement of the parties, in exchange for a preferred interest in the JV (BSP JV). The funds contributed by BSP are designated to be used to develop certain of our oil and gas properties. We contributed a net profits interest (NPI) in existing and future cash flow from such properties in exchange for a common interest in the JV. BSP is entitled to preferential distributions and, if BSP receives cash distributions equal to a predetermined threshold, the preferred interest is automatically redeemed in full with no additional payment. BSP funded two $50 million tranches in March and July 2017, which were net of a $ 2 million issuance fee. The $98 million net proceeds were used to fund capital investments of $96 million and the remainder for hedging activities. Proceeds from the NPI are used by the BSP JV to (1) pay quarterly minimum distributions to BSP, (2) pay for development costs within the project area, upon mutual agreement between members, and (3) make distributions to BSP until the predetermined threshold is achieved.</w:t>
      </w:r>
    </w:p>
    <w:p>
      <w:pPr>
        <w:spacing w:after="0" w:line="139" w:lineRule="exact"/>
        <w:rPr>
          <w:sz w:val="20"/>
          <w:szCs w:val="20"/>
          <w:color w:val="auto"/>
        </w:rPr>
      </w:pPr>
    </w:p>
    <w:p>
      <w:pPr>
        <w:jc w:val="both"/>
        <w:ind w:right="100" w:firstLine="216"/>
        <w:spacing w:after="0" w:line="254" w:lineRule="auto"/>
        <w:rPr>
          <w:sz w:val="20"/>
          <w:szCs w:val="20"/>
          <w:color w:val="auto"/>
        </w:rPr>
      </w:pPr>
      <w:r>
        <w:rPr>
          <w:rFonts w:ascii="Arial" w:cs="Arial" w:eastAsia="Arial" w:hAnsi="Arial"/>
          <w:sz w:val="12"/>
          <w:szCs w:val="12"/>
          <w:color w:val="auto"/>
        </w:rPr>
        <w:t>In April 2017, we entered into a JV with Macquarie Infrastructure and Real Assets Inc. (MIRA) under which MIRA will invest up to $300 million, subject to agreement of the parties, to develop certain of our oil and gas properties in exchange for a 90% working interest in the related properties (MIRA JV). MIRA will fund 100% of the development cost of such properties. Our 10% working interest reverts to 75% if MIRA receives cash distributions equal to a predetermined threshold return. MIRA initially committed $160 million, which is intended to be invested over two years. Of the committed amount, MIRA contributed $58 million for drilling projects in 2017, with additional funding of up to $96 million expected in 2018.</w:t>
      </w:r>
    </w:p>
    <w:p>
      <w:pPr>
        <w:spacing w:after="0" w:line="136" w:lineRule="exact"/>
        <w:rPr>
          <w:sz w:val="20"/>
          <w:szCs w:val="20"/>
          <w:color w:val="auto"/>
        </w:rPr>
      </w:pPr>
    </w:p>
    <w:p>
      <w:pPr>
        <w:ind w:right="200" w:firstLine="216"/>
        <w:spacing w:after="0" w:line="262" w:lineRule="auto"/>
        <w:rPr>
          <w:sz w:val="20"/>
          <w:szCs w:val="20"/>
          <w:color w:val="auto"/>
        </w:rPr>
      </w:pPr>
      <w:r>
        <w:rPr>
          <w:rFonts w:ascii="Arial" w:cs="Arial" w:eastAsia="Arial" w:hAnsi="Arial"/>
          <w:sz w:val="12"/>
          <w:szCs w:val="12"/>
          <w:color w:val="auto"/>
        </w:rPr>
        <w:t>Our consolidated results reflect the full operations of our BSP JV, with BSP's share of net income and stockholders' equity being shown separately as a noncontrolling interest in the accompanying consolidated statements of operations and consolidated balance sheets, respectively. Our consolidated results reflect only our working interest share in our MIRA JV.</w:t>
      </w:r>
    </w:p>
    <w:p>
      <w:pPr>
        <w:spacing w:after="0" w:line="131" w:lineRule="exact"/>
        <w:rPr>
          <w:sz w:val="20"/>
          <w:szCs w:val="20"/>
          <w:color w:val="auto"/>
        </w:rPr>
      </w:pPr>
    </w:p>
    <w:p>
      <w:pPr>
        <w:ind w:right="360" w:firstLine="216"/>
        <w:spacing w:after="0" w:line="262" w:lineRule="auto"/>
        <w:rPr>
          <w:sz w:val="20"/>
          <w:szCs w:val="20"/>
          <w:color w:val="auto"/>
        </w:rPr>
      </w:pPr>
      <w:r>
        <w:rPr>
          <w:rFonts w:ascii="Arial" w:cs="Arial" w:eastAsia="Arial" w:hAnsi="Arial"/>
          <w:sz w:val="12"/>
          <w:szCs w:val="12"/>
          <w:color w:val="auto"/>
        </w:rPr>
        <w:t>We also entered into several other development and exploration JVs in which our JV partners have committed capital of approximately $30 million. These JVs could provide more than $75 million in capital if certain milestones are met.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Midstream Joint Venture</w:t>
      </w:r>
    </w:p>
    <w:p>
      <w:pPr>
        <w:spacing w:after="0" w:line="164"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In February 2018, we entered into a midstream JV with ECR Corporate Holdings L.P. (ECR), a portfolio company of Ares. This Ares JV holds the Elk Hills power plant, a 550 megawatt natural gas fired power plant, and the 200 million cubic foot per day cryogenic gas processing plant. Through one of our wholly owned subsidiaries, we hold 50% of the Class A common interest and 95.25% of the Class C common interest in the Ares JV. ECR holds 50% of the Class A common interest, 100% of the Class B preferred interest and 4.75% of the Class C common interest in the Ares JV. The proceeds will be utilized for our highest value projects, including but not limited to, acquisitions, investing in our business or buying our debt. At closing, in accordance with the terms of our credit agreement, we used $297 million of the $747 million in net proceeds to pay off the then outstanding balance of our 2014 Revolving Credit Facility.</w:t>
      </w:r>
    </w:p>
    <w:p>
      <w:pPr>
        <w:spacing w:after="0" w:line="137"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We will consolidate the Ares JV in our financial statements and reflect the Class A common interest and Class B preferred interest as noncontrolling interest in mezzanine equity and the Class C common interest in equity on our balance sheet. Net income allocable to ECR will be reported as income attributable to noncontrolling interest. Distributions will be paid to the preferred interest on a priority basis with the remaining cash distributed pro-rata to the common interests.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Private Placement</w:t>
      </w:r>
    </w:p>
    <w:p>
      <w:pPr>
        <w:spacing w:after="0" w:line="164"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In February 2018 and in connection with the formation of the Ares JV, an Ares-led investor group purchased approximately 2.3 million shares of our common stock in a private placement for an aggregate purchase price of $50 million.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Acquisitions and Divestitures</w:t>
      </w:r>
    </w:p>
    <w:p>
      <w:pPr>
        <w:spacing w:after="0" w:line="164" w:lineRule="exact"/>
        <w:rPr>
          <w:sz w:val="20"/>
          <w:szCs w:val="20"/>
          <w:color w:val="auto"/>
        </w:rPr>
      </w:pPr>
    </w:p>
    <w:p>
      <w:pPr>
        <w:ind w:right="220" w:firstLine="216"/>
        <w:spacing w:after="0" w:line="256" w:lineRule="auto"/>
        <w:rPr>
          <w:sz w:val="20"/>
          <w:szCs w:val="20"/>
          <w:color w:val="auto"/>
        </w:rPr>
      </w:pPr>
      <w:r>
        <w:rPr>
          <w:rFonts w:ascii="Arial" w:cs="Arial" w:eastAsia="Arial" w:hAnsi="Arial"/>
          <w:sz w:val="12"/>
          <w:szCs w:val="12"/>
          <w:color w:val="auto"/>
        </w:rPr>
        <w:t>In February 2017, we divested non-core assets resulting in $32 million of proceeds and a $21 million gain. During the year ended December 31, 2016, we divested non-core assets resulting in $20 million of proceeds and a $30 million gain. During the year ended December 31, 2015, we paid approximately $140 million to acquire certain producing and non-producing oil and gas properties, primarily in the San Joaquin basin.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60"/>
          </w:cols>
          <w:pgMar w:left="220" w:top="301" w:right="21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Income Taxes</w:t>
      </w:r>
    </w:p>
    <w:p>
      <w:pPr>
        <w:spacing w:after="0" w:line="164" w:lineRule="exact"/>
        <w:rPr>
          <w:sz w:val="20"/>
          <w:szCs w:val="20"/>
          <w:color w:val="auto"/>
        </w:rPr>
      </w:pPr>
    </w:p>
    <w:p>
      <w:pPr>
        <w:ind w:right="240" w:firstLine="216"/>
        <w:spacing w:after="0" w:line="253" w:lineRule="auto"/>
        <w:rPr>
          <w:sz w:val="20"/>
          <w:szCs w:val="20"/>
          <w:color w:val="auto"/>
        </w:rPr>
      </w:pPr>
      <w:r>
        <w:rPr>
          <w:rFonts w:ascii="Arial" w:cs="Arial" w:eastAsia="Arial" w:hAnsi="Arial"/>
          <w:sz w:val="12"/>
          <w:szCs w:val="12"/>
          <w:color w:val="auto"/>
        </w:rPr>
        <w:t>On December 22, 2017, the Tax Cuts and Jobs Act (the Tax Act) was enacted. The Tax Act includes significant changes to U.S. income tax and related laws. In addition to the reduction in the top corporate tax rate, other provisions of the Tax Act include, but are not limited to, fully expensing the cost of acquired qualified property, subject to certain phase-out provisions, and limiting the interest expense deduction. We evaluated the provisions of the Tax Act, most of which are effective January 1, 2018, and determined that because of our tax loss and valuation allowance position there is no net current impact in our financial statements. Over the long term, the provisions are expected to be favorable to us and should result in the deferral of cash tax payments from when they otherwise would have been due once we begin to generate taxable income.</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our pre- and after-tax (loss) income and income tax amounts:</w:t>
      </w:r>
    </w:p>
    <w:p>
      <w:pPr>
        <w:spacing w:after="0" w:line="100" w:lineRule="exact"/>
        <w:rPr>
          <w:sz w:val="20"/>
          <w:szCs w:val="20"/>
          <w:color w:val="auto"/>
        </w:rPr>
      </w:pPr>
    </w:p>
    <w:p>
      <w:pPr>
        <w:jc w:val="center"/>
        <w:ind w:left="7140"/>
        <w:spacing w:after="0"/>
        <w:rPr>
          <w:sz w:val="20"/>
          <w:szCs w:val="20"/>
          <w:color w:val="auto"/>
        </w:rPr>
      </w:pPr>
      <w:r>
        <w:rPr>
          <w:rFonts w:ascii="Arial" w:cs="Arial" w:eastAsia="Arial" w:hAnsi="Arial"/>
          <w:sz w:val="12"/>
          <w:szCs w:val="12"/>
          <w:b w:val="1"/>
          <w:bCs w:val="1"/>
          <w:color w:val="auto"/>
        </w:rPr>
        <w:t>For the years ended</w:t>
      </w:r>
    </w:p>
    <w:p>
      <w:pPr>
        <w:spacing w:after="0" w:line="11" w:lineRule="exact"/>
        <w:rPr>
          <w:sz w:val="20"/>
          <w:szCs w:val="20"/>
          <w:color w:val="auto"/>
        </w:rPr>
      </w:pPr>
    </w:p>
    <w:p>
      <w:pPr>
        <w:jc w:val="center"/>
        <w:ind w:left="714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10160</wp:posOffset>
            </wp:positionV>
            <wp:extent cx="27622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2250" cy="5715"/>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7100" w:type="dxa"/>
            <w:vAlign w:val="bottom"/>
          </w:tcPr>
          <w:p>
            <w:pPr>
              <w:spacing w:after="0"/>
              <w:rPr>
                <w:sz w:val="14"/>
                <w:szCs w:val="1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2017</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b w:val="1"/>
                <w:bCs w:val="1"/>
                <w:color w:val="auto"/>
              </w:rPr>
              <w:t>2016</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2015</w:t>
            </w:r>
          </w:p>
        </w:tc>
      </w:tr>
      <w:tr>
        <w:trPr>
          <w:trHeight w:val="161"/>
        </w:trPr>
        <w:tc>
          <w:tcPr>
            <w:tcW w:w="7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left="304"/>
              <w:spacing w:after="0"/>
              <w:rPr>
                <w:sz w:val="20"/>
                <w:szCs w:val="20"/>
                <w:color w:val="auto"/>
              </w:rPr>
            </w:pPr>
            <w:r>
              <w:rPr>
                <w:rFonts w:ascii="Arial" w:cs="Arial" w:eastAsia="Arial" w:hAnsi="Arial"/>
                <w:sz w:val="10"/>
                <w:szCs w:val="10"/>
                <w:color w:val="auto"/>
                <w:w w:val="94"/>
              </w:rPr>
              <w:t>(in millions)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4"/>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Pre-tax (loss) income</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(5,476)</w:t>
            </w:r>
          </w:p>
        </w:tc>
      </w:tr>
      <w:tr>
        <w:trPr>
          <w:trHeight w:val="176"/>
        </w:trPr>
        <w:tc>
          <w:tcPr>
            <w:tcW w:w="7100" w:type="dxa"/>
            <w:vAlign w:val="bottom"/>
          </w:tcPr>
          <w:p>
            <w:pPr>
              <w:spacing w:after="0"/>
              <w:rPr>
                <w:sz w:val="20"/>
                <w:szCs w:val="20"/>
                <w:color w:val="auto"/>
              </w:rPr>
            </w:pPr>
            <w:r>
              <w:rPr>
                <w:rFonts w:ascii="Arial" w:cs="Arial" w:eastAsia="Arial" w:hAnsi="Arial"/>
                <w:sz w:val="12"/>
                <w:szCs w:val="12"/>
                <w:color w:val="auto"/>
              </w:rPr>
              <w:t>Income tax benefit</w:t>
            </w:r>
          </w:p>
        </w:tc>
        <w:tc>
          <w:tcPr>
            <w:tcW w:w="92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5"/>
                <w:szCs w:val="15"/>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1,922</w:t>
            </w:r>
          </w:p>
        </w:tc>
      </w:tr>
      <w:tr>
        <w:trPr>
          <w:trHeight w:val="172"/>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income</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(3,554)</w:t>
            </w:r>
          </w:p>
        </w:tc>
      </w:tr>
    </w:tbl>
    <w:p>
      <w:pPr>
        <w:spacing w:after="0" w:line="14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did not make United States federal and state income tax payments in 2017, 2016 or 2015 due to the tax losses we incurred.</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Total income tax expense (benefit) differs from the amounts computed by applying the U.S. federal income tax rate to pre-tax income (loss) as follows:</w:t>
      </w:r>
    </w:p>
    <w:p>
      <w:pPr>
        <w:spacing w:after="0" w:line="280" w:lineRule="exact"/>
        <w:rPr>
          <w:sz w:val="20"/>
          <w:szCs w:val="20"/>
          <w:color w:val="auto"/>
        </w:rPr>
      </w:pPr>
    </w:p>
    <w:p>
      <w:pPr>
        <w:jc w:val="center"/>
        <w:ind w:left="7020"/>
        <w:spacing w:after="0"/>
        <w:rPr>
          <w:sz w:val="20"/>
          <w:szCs w:val="20"/>
          <w:color w:val="auto"/>
        </w:rPr>
      </w:pPr>
      <w:r>
        <w:rPr>
          <w:rFonts w:ascii="Arial" w:cs="Arial" w:eastAsia="Arial" w:hAnsi="Arial"/>
          <w:sz w:val="12"/>
          <w:szCs w:val="12"/>
          <w:b w:val="1"/>
          <w:bCs w:val="1"/>
          <w:color w:val="auto"/>
        </w:rPr>
        <w:t>For the years ended</w:t>
      </w:r>
    </w:p>
    <w:p>
      <w:pPr>
        <w:spacing w:after="0" w:line="11" w:lineRule="exact"/>
        <w:rPr>
          <w:sz w:val="20"/>
          <w:szCs w:val="20"/>
          <w:color w:val="auto"/>
        </w:rPr>
      </w:pPr>
    </w:p>
    <w:p>
      <w:pPr>
        <w:jc w:val="center"/>
        <w:ind w:left="702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10160</wp:posOffset>
            </wp:positionV>
            <wp:extent cx="28308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0830" cy="5715"/>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69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2017</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2015</w:t>
            </w:r>
          </w:p>
        </w:tc>
      </w:tr>
      <w:tr>
        <w:trPr>
          <w:trHeight w:val="165"/>
        </w:trPr>
        <w:tc>
          <w:tcPr>
            <w:tcW w:w="7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U.S. federal statutory tax rate</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35 %</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76"/>
        </w:trPr>
        <w:tc>
          <w:tcPr>
            <w:tcW w:w="7940" w:type="dxa"/>
            <w:vAlign w:val="bottom"/>
            <w:gridSpan w:val="2"/>
          </w:tcPr>
          <w:p>
            <w:pPr>
              <w:spacing w:after="0"/>
              <w:rPr>
                <w:sz w:val="20"/>
                <w:szCs w:val="20"/>
                <w:color w:val="auto"/>
              </w:rPr>
            </w:pPr>
            <w:r>
              <w:rPr>
                <w:rFonts w:ascii="Arial" w:cs="Arial" w:eastAsia="Arial" w:hAnsi="Arial"/>
                <w:sz w:val="12"/>
                <w:szCs w:val="12"/>
                <w:color w:val="auto"/>
              </w:rPr>
              <w:t>State income taxes, net</w:t>
            </w: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5"/>
                <w:szCs w:val="15"/>
                <w:color w:val="auto"/>
              </w:rPr>
            </w:pPr>
          </w:p>
        </w:tc>
        <w:tc>
          <w:tcPr>
            <w:tcW w:w="1400" w:type="dxa"/>
            <w:vAlign w:val="bottom"/>
          </w:tcPr>
          <w:p>
            <w:pPr>
              <w:jc w:val="right"/>
              <w:ind w:right="120"/>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(5)</w:t>
            </w:r>
          </w:p>
        </w:tc>
      </w:tr>
      <w:tr>
        <w:trPr>
          <w:trHeight w:val="185"/>
        </w:trPr>
        <w:tc>
          <w:tcPr>
            <w:tcW w:w="7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Decrease in U.S. federal corporate tax rate</w:t>
            </w: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6"/>
        </w:trPr>
        <w:tc>
          <w:tcPr>
            <w:tcW w:w="7940" w:type="dxa"/>
            <w:vAlign w:val="bottom"/>
            <w:gridSpan w:val="2"/>
          </w:tcPr>
          <w:p>
            <w:pPr>
              <w:spacing w:after="0"/>
              <w:rPr>
                <w:sz w:val="20"/>
                <w:szCs w:val="20"/>
                <w:color w:val="auto"/>
              </w:rPr>
            </w:pPr>
            <w:r>
              <w:rPr>
                <w:rFonts w:ascii="Arial" w:cs="Arial" w:eastAsia="Arial" w:hAnsi="Arial"/>
                <w:sz w:val="12"/>
                <w:szCs w:val="12"/>
                <w:color w:val="auto"/>
              </w:rPr>
              <w:t>Changes in tax attributes, net</w:t>
            </w: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85"/>
        </w:trPr>
        <w:tc>
          <w:tcPr>
            <w:tcW w:w="7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Cancellation of debt income, net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(275)</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6"/>
        </w:trPr>
        <w:tc>
          <w:tcPr>
            <w:tcW w:w="7940" w:type="dxa"/>
            <w:vAlign w:val="bottom"/>
            <w:gridSpan w:val="2"/>
          </w:tcPr>
          <w:p>
            <w:pPr>
              <w:spacing w:after="0"/>
              <w:rPr>
                <w:sz w:val="20"/>
                <w:szCs w:val="20"/>
                <w:color w:val="auto"/>
              </w:rPr>
            </w:pPr>
            <w:r>
              <w:rPr>
                <w:rFonts w:ascii="Arial" w:cs="Arial" w:eastAsia="Arial" w:hAnsi="Arial"/>
                <w:sz w:val="12"/>
                <w:szCs w:val="12"/>
                <w:color w:val="auto"/>
              </w:rPr>
              <w:t>Stock-based compensation, net</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400" w:type="dxa"/>
            <w:vAlign w:val="bottom"/>
          </w:tcPr>
          <w:p>
            <w:pPr>
              <w:jc w:val="right"/>
              <w:ind w:right="1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85"/>
        </w:trPr>
        <w:tc>
          <w:tcPr>
            <w:tcW w:w="7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Valuation allowance, net</w:t>
            </w: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192</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r>
      <w:tr>
        <w:trPr>
          <w:trHeight w:val="176"/>
        </w:trPr>
        <w:tc>
          <w:tcPr>
            <w:tcW w:w="6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r>
      <w:tr>
        <w:trPr>
          <w:trHeight w:val="172"/>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Effective tax rate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r>
    </w:tbl>
    <w:p>
      <w:pPr>
        <w:spacing w:after="0" w:line="89" w:lineRule="exact"/>
        <w:rPr>
          <w:sz w:val="20"/>
          <w:szCs w:val="20"/>
          <w:color w:val="auto"/>
        </w:rPr>
      </w:pPr>
    </w:p>
    <w:p>
      <w:pPr>
        <w:jc w:val="both"/>
        <w:ind w:right="100" w:firstLine="216"/>
        <w:spacing w:after="0" w:line="256" w:lineRule="auto"/>
        <w:rPr>
          <w:sz w:val="20"/>
          <w:szCs w:val="20"/>
          <w:color w:val="auto"/>
        </w:rPr>
      </w:pPr>
      <w:r>
        <w:rPr>
          <w:rFonts w:ascii="Arial" w:cs="Arial" w:eastAsia="Arial" w:hAnsi="Arial"/>
          <w:sz w:val="12"/>
          <w:szCs w:val="12"/>
          <w:color w:val="auto"/>
        </w:rPr>
        <w:t>During 2017, our effective tax rate differed from the statutory tax rate of 35% due to (1) a 91% decrease related to a one-time adjustment of $240 million for the remeasurement of our net deferred tax asset as a result of the Tax Act, (2) a 19% increase related to EOR tax credits, marginal well tax credits and other items, and (3) a 6% increase related to state taxes. All of these items resulted in a corresponding change to our valuation allowance, increasing our effective tax rate by 33%, because it is not more-likely-than-not that our net deferred tax asset is realizable.</w:t>
      </w:r>
    </w:p>
    <w:p>
      <w:pPr>
        <w:spacing w:after="0" w:line="135"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In the first quarter of 2016, we reduced our valuation allowance due to our evaluation of our assets and liabilities at the time of our 2015 debt exchange, which generated $1.4 billion of cancellation of debt income (CODI) for tax purposes. Our evaluation indicated that our liabilities exceeded the value of our assets, both calculated in accordance with tax rules, enabling us to move the liability related to CODI to deferred tax liabilities. The resulting increase of our deferred tax liabilities that could be offset against deferred tax assets caused an $ 82 million reduction in the valuation allowance and resulted in a benefit of $78 million, net of $4 million in state tax. During the rest of 2016, we increased the valuation allowance by $480 million, which resulted in a net increase of the allowance by $398 million for the year. The net change in the valuation allowance had the effect of increasing our provision by $384 million, after $14 million in state taxes, which increased our effective tax rate by 192%. We concluded, on a more-likely-than-not basis, that we could not realize any of the deferred tax assets generated during 2016.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431" w:right="219" w:bottom="1440" w:gutter="0" w:footer="0" w:header="0"/>
        </w:sectPr>
      </w:pPr>
    </w:p>
    <w:bookmarkStart w:id="52" w:name="page53"/>
    <w:bookmarkEnd w:id="52"/>
    <w:p>
      <w:pPr>
        <w:ind w:left="8" w:firstLine="216"/>
        <w:spacing w:after="0" w:line="253" w:lineRule="auto"/>
        <w:rPr>
          <w:sz w:val="20"/>
          <w:szCs w:val="20"/>
          <w:color w:val="auto"/>
        </w:rPr>
      </w:pPr>
      <w:r>
        <w:rPr>
          <w:rFonts w:ascii="Arial" w:cs="Arial" w:eastAsia="Arial" w:hAnsi="Arial"/>
          <w:sz w:val="12"/>
          <w:szCs w:val="12"/>
          <w:color w:val="auto"/>
        </w:rPr>
        <w:t>Management assesses the available positive and negative evidence to estimate whether sufficient future taxable income will be generated to permit use of existing deferred tax assets. A significant piece of evidence evaluated is a history of operating losses. Such evidence limits our ability to consider other evidence such as projections for growth. As of December 31, 2017, we concluded that we could not realize, on a more-likely-than-not basis, any of our deferred tax assets and there is not sufficient evidence to support the reversal of all or any portion of this allowance. Given our recent and anticipated future earnings trends, we do not believe any of the valuation allowance will be released within the next 12 months. The amount of the deferred tax assets considered realizable could however be adjusted if estimates or amounts of deferred tax liabilities change.</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Cancellation of debt income</w:t>
      </w:r>
    </w:p>
    <w:p>
      <w:pPr>
        <w:spacing w:after="0" w:line="227" w:lineRule="exact"/>
        <w:rPr>
          <w:sz w:val="20"/>
          <w:szCs w:val="20"/>
          <w:color w:val="auto"/>
        </w:rPr>
      </w:pPr>
    </w:p>
    <w:p>
      <w:pPr>
        <w:ind w:left="8" w:right="40" w:firstLine="216"/>
        <w:spacing w:after="0" w:line="252" w:lineRule="auto"/>
        <w:rPr>
          <w:sz w:val="20"/>
          <w:szCs w:val="20"/>
          <w:color w:val="auto"/>
        </w:rPr>
      </w:pPr>
      <w:r>
        <w:rPr>
          <w:rFonts w:ascii="Arial" w:cs="Arial" w:eastAsia="Arial" w:hAnsi="Arial"/>
          <w:sz w:val="12"/>
          <w:szCs w:val="12"/>
          <w:color w:val="auto"/>
        </w:rPr>
        <w:t>As a result of our 2015, 2016 and 2017 debt transactions and amendments, we generated CODI of $1.4 billion, $1.3 billion and $13 million, respectively ($2.7 billion in the aggregate), for both U.S. federal and California state tax purposes. These respective amounts were excluded from taxable income because we determined, in 2016, that our liabilities exceeded the value of our assets for tax purposes immediately prior to each of the deleveraging transactions. In exchange for this exclusion, tax rules require us to reduce the tax basis of our assets. Accordingly, we have reduced our net operating losses and the basis of property, plant and equipment by $1.2 billion for U.S. federal tax purposes and $1.9 billion for California tax purposes. We were not required to make any further reductions in those assets because, beyond this point, our liabilities would have exceeded the tax basis of our assets. Accordingly, any tax liability attributable to the remaining approximately $1.5 billion of federal and $800 million of California CODI was relieved without any future tax liability, which reduced our 2016 effective rate by 275%.</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Operations</w:t>
      </w:r>
    </w:p>
    <w:p>
      <w:pPr>
        <w:spacing w:after="0" w:line="164" w:lineRule="exact"/>
        <w:rPr>
          <w:sz w:val="20"/>
          <w:szCs w:val="20"/>
          <w:color w:val="auto"/>
        </w:rPr>
      </w:pPr>
    </w:p>
    <w:p>
      <w:pPr>
        <w:ind w:left="8" w:right="40" w:firstLine="216"/>
        <w:spacing w:after="0" w:line="254" w:lineRule="auto"/>
        <w:rPr>
          <w:sz w:val="20"/>
          <w:szCs w:val="20"/>
          <w:color w:val="auto"/>
        </w:rPr>
      </w:pPr>
      <w:r>
        <w:rPr>
          <w:rFonts w:ascii="Arial" w:cs="Arial" w:eastAsia="Arial" w:hAnsi="Arial"/>
          <w:sz w:val="12"/>
          <w:szCs w:val="12"/>
          <w:color w:val="auto"/>
        </w:rPr>
        <w:t>We conduct our operations on properties that we hold through fee interests, mineral leases and other contractual arrangements. We believe we are the largest private oil and natural gas mineral acreage holder in California, with interests in approximately 2.3 million net mineral acres, approximately 60% of which we hold in fee and approximately 15% of which is held by production. Our oil and gas leases have a primary term ranging from one to ten years, which is extended through the end of production once it commences. We also own a network of strategically placed infrastructure that is integrated with, and complementary to, our operations, including gas plants, oil and gas gathering systems, power plants and other related assets, which we use to maximize the value generated from our production.</w:t>
      </w:r>
    </w:p>
    <w:p>
      <w:pPr>
        <w:spacing w:after="0" w:line="109" w:lineRule="exact"/>
        <w:rPr>
          <w:sz w:val="20"/>
          <w:szCs w:val="20"/>
          <w:color w:val="auto"/>
        </w:rPr>
      </w:pPr>
    </w:p>
    <w:p>
      <w:pPr>
        <w:ind w:left="8" w:right="20" w:firstLine="216"/>
        <w:spacing w:after="0" w:line="273" w:lineRule="auto"/>
        <w:rPr>
          <w:sz w:val="20"/>
          <w:szCs w:val="20"/>
          <w:color w:val="auto"/>
        </w:rPr>
      </w:pPr>
      <w:r>
        <w:rPr>
          <w:rFonts w:ascii="Arial" w:cs="Arial" w:eastAsia="Arial" w:hAnsi="Arial"/>
          <w:sz w:val="11"/>
          <w:szCs w:val="11"/>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w:t>
      </w:r>
    </w:p>
    <w:p>
      <w:pPr>
        <w:spacing w:after="0" w:line="1" w:lineRule="exact"/>
        <w:rPr>
          <w:sz w:val="20"/>
          <w:szCs w:val="20"/>
          <w:color w:val="auto"/>
        </w:rPr>
      </w:pPr>
    </w:p>
    <w:p>
      <w:pPr>
        <w:ind w:left="8" w:hanging="8"/>
        <w:spacing w:after="0" w:line="254" w:lineRule="auto"/>
        <w:tabs>
          <w:tab w:leader="none" w:pos="201" w:val="left"/>
        </w:tabs>
        <w:numPr>
          <w:ilvl w:val="0"/>
          <w:numId w:val="38"/>
        </w:numPr>
        <w:rPr>
          <w:rFonts w:ascii="Arial" w:cs="Arial" w:eastAsia="Arial" w:hAnsi="Arial"/>
          <w:sz w:val="12"/>
          <w:szCs w:val="12"/>
          <w:color w:val="auto"/>
        </w:rPr>
      </w:pPr>
      <w:r>
        <w:rPr>
          <w:rFonts w:ascii="Arial" w:cs="Arial" w:eastAsia="Arial" w:hAnsi="Arial"/>
          <w:sz w:val="12"/>
          <w:szCs w:val="12"/>
          <w:color w:val="auto"/>
        </w:rPr>
        <w:t>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 contracts represented approximately 20% of our production for the year ended December 31, 2017.</w:t>
      </w:r>
    </w:p>
    <w:p>
      <w:pPr>
        <w:spacing w:after="0" w:line="109" w:lineRule="exact"/>
        <w:rPr>
          <w:sz w:val="20"/>
          <w:szCs w:val="20"/>
          <w:color w:val="auto"/>
        </w:rPr>
      </w:pPr>
    </w:p>
    <w:p>
      <w:pPr>
        <w:ind w:left="8" w:right="20" w:firstLine="216"/>
        <w:spacing w:after="0" w:line="254" w:lineRule="auto"/>
        <w:rPr>
          <w:sz w:val="20"/>
          <w:szCs w:val="20"/>
          <w:color w:val="auto"/>
        </w:rPr>
      </w:pPr>
      <w:r>
        <w:rPr>
          <w:rFonts w:ascii="Arial" w:cs="Arial" w:eastAsia="Arial" w:hAnsi="Arial"/>
          <w:sz w:val="12"/>
          <w:szCs w:val="12"/>
          <w:color w:val="auto"/>
        </w:rPr>
        <w:t>In addition, in line with industry practice for reporting PSC-type contracts, we report 100% of operating costs under the PSCs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inflates our operating costs per barrel, with an equal corresponding increase in revenues, with no effect on our net results.</w:t>
      </w:r>
    </w:p>
    <w:p>
      <w:pPr>
        <w:spacing w:after="0" w:line="109" w:lineRule="exact"/>
        <w:rPr>
          <w:sz w:val="20"/>
          <w:szCs w:val="20"/>
          <w:color w:val="auto"/>
        </w:rPr>
      </w:pPr>
    </w:p>
    <w:p>
      <w:pPr>
        <w:ind w:left="8" w:right="80" w:firstLine="216"/>
        <w:spacing w:after="0" w:line="256" w:lineRule="auto"/>
        <w:rPr>
          <w:sz w:val="20"/>
          <w:szCs w:val="20"/>
          <w:color w:val="auto"/>
        </w:rPr>
      </w:pPr>
      <w:r>
        <w:rPr>
          <w:rFonts w:ascii="Arial" w:cs="Arial" w:eastAsia="Arial" w:hAnsi="Arial"/>
          <w:sz w:val="12"/>
          <w:szCs w:val="12"/>
          <w:color w:val="auto"/>
        </w:rPr>
        <w:t>With our significant land holding in California, we have undertaken new initiatives to unlock additional value from our real estate. Our developing real estate initiatives include renewable energy opportunities such as solar energy projects; agricultural activities such as the production of fruits and nuts; and commercial real estate. We are also exploring carbon dioxide capture and storage projects and reclaimed water opportunities.</w:t>
      </w:r>
    </w:p>
    <w:p>
      <w:pPr>
        <w:spacing w:after="0" w:line="27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48"/>
          </w:cols>
          <w:pgMar w:left="212" w:top="301"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59"/>
        </w:trPr>
        <w:tc>
          <w:tcPr>
            <w:tcW w:w="7460" w:type="dxa"/>
            <w:vAlign w:val="bottom"/>
          </w:tcPr>
          <w:p>
            <w:pPr>
              <w:spacing w:after="0"/>
              <w:rPr>
                <w:sz w:val="20"/>
                <w:szCs w:val="20"/>
                <w:color w:val="auto"/>
              </w:rPr>
            </w:pPr>
            <w:r>
              <w:rPr>
                <w:rFonts w:ascii="Arial" w:cs="Arial" w:eastAsia="Arial" w:hAnsi="Arial"/>
                <w:sz w:val="12"/>
                <w:szCs w:val="12"/>
                <w:b w:val="1"/>
                <w:bCs w:val="1"/>
                <w:color w:val="auto"/>
              </w:rPr>
              <w:t>Production and Prices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8840" w:type="dxa"/>
            <w:vAlign w:val="bottom"/>
            <w:gridSpan w:val="3"/>
          </w:tcPr>
          <w:p>
            <w:pPr>
              <w:ind w:left="200"/>
              <w:spacing w:after="0"/>
              <w:rPr>
                <w:sz w:val="20"/>
                <w:szCs w:val="20"/>
                <w:color w:val="auto"/>
              </w:rPr>
            </w:pPr>
            <w:r>
              <w:rPr>
                <w:rFonts w:ascii="Arial" w:cs="Arial" w:eastAsia="Arial" w:hAnsi="Arial"/>
                <w:sz w:val="12"/>
                <w:szCs w:val="12"/>
                <w:color w:val="auto"/>
              </w:rPr>
              <w:t>The following table sets forth our average production volumes of oil, NGLs and natural gas per day for the years ended December 31, 2017, 2016 and 2015:</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6"/>
        </w:trPr>
        <w:tc>
          <w:tcPr>
            <w:tcW w:w="746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2015</w:t>
            </w:r>
          </w:p>
        </w:tc>
      </w:tr>
      <w:tr>
        <w:trPr>
          <w:trHeight w:val="174"/>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Oil (MBbl/d)</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7460" w:type="dxa"/>
            <w:vAlign w:val="bottom"/>
          </w:tcPr>
          <w:p>
            <w:pPr>
              <w:ind w:left="220"/>
              <w:spacing w:after="0"/>
              <w:rPr>
                <w:sz w:val="20"/>
                <w:szCs w:val="20"/>
                <w:color w:val="auto"/>
              </w:rPr>
            </w:pPr>
            <w:r>
              <w:rPr>
                <w:rFonts w:ascii="Arial" w:cs="Arial" w:eastAsia="Arial" w:hAnsi="Arial"/>
                <w:sz w:val="12"/>
                <w:szCs w:val="12"/>
                <w:color w:val="auto"/>
              </w:rPr>
              <w:t>San Joaquin Basin</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64</w:t>
            </w:r>
          </w:p>
        </w:tc>
      </w:tr>
      <w:tr>
        <w:trPr>
          <w:trHeight w:val="185"/>
        </w:trPr>
        <w:tc>
          <w:tcPr>
            <w:tcW w:w="7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Los Angeles Basin</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r>
      <w:tr>
        <w:trPr>
          <w:trHeight w:val="176"/>
        </w:trPr>
        <w:tc>
          <w:tcPr>
            <w:tcW w:w="7460" w:type="dxa"/>
            <w:vAlign w:val="bottom"/>
          </w:tcPr>
          <w:p>
            <w:pPr>
              <w:ind w:left="220"/>
              <w:spacing w:after="0"/>
              <w:rPr>
                <w:sz w:val="20"/>
                <w:szCs w:val="20"/>
                <w:color w:val="auto"/>
              </w:rPr>
            </w:pPr>
            <w:r>
              <w:rPr>
                <w:rFonts w:ascii="Arial" w:cs="Arial" w:eastAsia="Arial" w:hAnsi="Arial"/>
                <w:sz w:val="12"/>
                <w:szCs w:val="12"/>
                <w:color w:val="auto"/>
              </w:rPr>
              <w:t>Ventura Basin</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6</w:t>
            </w:r>
          </w:p>
        </w:tc>
      </w:tr>
      <w:tr>
        <w:trPr>
          <w:trHeight w:val="180"/>
        </w:trPr>
        <w:tc>
          <w:tcPr>
            <w:tcW w:w="7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Sacramento Basin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7460" w:type="dxa"/>
            <w:vAlign w:val="bottom"/>
          </w:tcPr>
          <w:p>
            <w:pPr>
              <w:ind w:left="340"/>
              <w:spacing w:after="0"/>
              <w:rPr>
                <w:sz w:val="20"/>
                <w:szCs w:val="20"/>
                <w:color w:val="auto"/>
              </w:rPr>
            </w:pPr>
            <w:r>
              <w:rPr>
                <w:rFonts w:ascii="Arial" w:cs="Arial" w:eastAsia="Arial" w:hAnsi="Arial"/>
                <w:sz w:val="12"/>
                <w:szCs w:val="12"/>
                <w:color w:val="auto"/>
              </w:rPr>
              <w:t>Total</w:t>
            </w: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83</w:t>
            </w:r>
          </w:p>
        </w:tc>
        <w:tc>
          <w:tcPr>
            <w:tcW w:w="120" w:type="dxa"/>
            <w:vAlign w:val="bottom"/>
          </w:tcPr>
          <w:p>
            <w:pPr>
              <w:spacing w:after="0"/>
              <w:rPr>
                <w:sz w:val="13"/>
                <w:szCs w:val="13"/>
                <w:color w:val="auto"/>
              </w:rPr>
            </w:pPr>
          </w:p>
        </w:tc>
        <w:tc>
          <w:tcPr>
            <w:tcW w:w="12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3"/>
                <w:szCs w:val="13"/>
                <w:color w:val="auto"/>
              </w:rPr>
            </w:pPr>
          </w:p>
        </w:tc>
        <w:tc>
          <w:tcPr>
            <w:tcW w:w="12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104</w:t>
            </w:r>
          </w:p>
        </w:tc>
      </w:tr>
      <w:tr>
        <w:trPr>
          <w:trHeight w:val="194"/>
        </w:trPr>
        <w:tc>
          <w:tcPr>
            <w:tcW w:w="74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NGLs (MBbl/d)</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5"/>
        </w:trPr>
        <w:tc>
          <w:tcPr>
            <w:tcW w:w="7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San Joaquin Basin</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r>
      <w:tr>
        <w:trPr>
          <w:trHeight w:val="176"/>
        </w:trPr>
        <w:tc>
          <w:tcPr>
            <w:tcW w:w="7460" w:type="dxa"/>
            <w:vAlign w:val="bottom"/>
          </w:tcPr>
          <w:p>
            <w:pPr>
              <w:ind w:left="220"/>
              <w:spacing w:after="0"/>
              <w:rPr>
                <w:sz w:val="20"/>
                <w:szCs w:val="20"/>
                <w:color w:val="auto"/>
              </w:rPr>
            </w:pPr>
            <w:r>
              <w:rPr>
                <w:rFonts w:ascii="Arial" w:cs="Arial" w:eastAsia="Arial" w:hAnsi="Arial"/>
                <w:sz w:val="12"/>
                <w:szCs w:val="12"/>
                <w:color w:val="auto"/>
              </w:rPr>
              <w:t>Los Angeles Basin</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Ventura Basin</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r>
      <w:tr>
        <w:trPr>
          <w:trHeight w:val="176"/>
        </w:trPr>
        <w:tc>
          <w:tcPr>
            <w:tcW w:w="7460" w:type="dxa"/>
            <w:vAlign w:val="bottom"/>
          </w:tcPr>
          <w:p>
            <w:pPr>
              <w:ind w:left="220"/>
              <w:spacing w:after="0"/>
              <w:rPr>
                <w:sz w:val="20"/>
                <w:szCs w:val="20"/>
                <w:color w:val="auto"/>
              </w:rPr>
            </w:pPr>
            <w:r>
              <w:rPr>
                <w:rFonts w:ascii="Arial" w:cs="Arial" w:eastAsia="Arial" w:hAnsi="Arial"/>
                <w:sz w:val="12"/>
                <w:szCs w:val="12"/>
                <w:color w:val="auto"/>
              </w:rPr>
              <w:t>Sacramento Basin</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7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Total</w:t>
            </w:r>
          </w:p>
        </w:tc>
        <w:tc>
          <w:tcPr>
            <w:tcW w:w="12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16</w:t>
            </w: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r>
      <w:tr>
        <w:trPr>
          <w:trHeight w:val="189"/>
        </w:trPr>
        <w:tc>
          <w:tcPr>
            <w:tcW w:w="7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Natural gas (MMcf/d)</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6"/>
        </w:trPr>
        <w:tc>
          <w:tcPr>
            <w:tcW w:w="7460" w:type="dxa"/>
            <w:vAlign w:val="bottom"/>
          </w:tcPr>
          <w:p>
            <w:pPr>
              <w:ind w:left="220"/>
              <w:spacing w:after="0"/>
              <w:rPr>
                <w:sz w:val="20"/>
                <w:szCs w:val="20"/>
                <w:color w:val="auto"/>
              </w:rPr>
            </w:pPr>
            <w:r>
              <w:rPr>
                <w:rFonts w:ascii="Arial" w:cs="Arial" w:eastAsia="Arial" w:hAnsi="Arial"/>
                <w:sz w:val="12"/>
                <w:szCs w:val="12"/>
                <w:color w:val="auto"/>
              </w:rPr>
              <w:t>San Joaquin Basin</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172</w:t>
            </w:r>
          </w:p>
        </w:tc>
      </w:tr>
      <w:tr>
        <w:trPr>
          <w:trHeight w:val="185"/>
        </w:trPr>
        <w:tc>
          <w:tcPr>
            <w:tcW w:w="7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Los Angeles Basin</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76"/>
        </w:trPr>
        <w:tc>
          <w:tcPr>
            <w:tcW w:w="7460" w:type="dxa"/>
            <w:vAlign w:val="bottom"/>
          </w:tcPr>
          <w:p>
            <w:pPr>
              <w:ind w:left="220"/>
              <w:spacing w:after="0"/>
              <w:rPr>
                <w:sz w:val="20"/>
                <w:szCs w:val="20"/>
                <w:color w:val="auto"/>
              </w:rPr>
            </w:pPr>
            <w:r>
              <w:rPr>
                <w:rFonts w:ascii="Arial" w:cs="Arial" w:eastAsia="Arial" w:hAnsi="Arial"/>
                <w:sz w:val="12"/>
                <w:szCs w:val="12"/>
                <w:color w:val="auto"/>
              </w:rPr>
              <w:t>Ventura Basin</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5"/>
                <w:szCs w:val="15"/>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11</w:t>
            </w:r>
          </w:p>
        </w:tc>
      </w:tr>
      <w:tr>
        <w:trPr>
          <w:trHeight w:val="180"/>
        </w:trPr>
        <w:tc>
          <w:tcPr>
            <w:tcW w:w="74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Sacramento Basin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r>
      <w:tr>
        <w:trPr>
          <w:trHeight w:val="160"/>
        </w:trPr>
        <w:tc>
          <w:tcPr>
            <w:tcW w:w="7460" w:type="dxa"/>
            <w:vAlign w:val="bottom"/>
          </w:tcPr>
          <w:p>
            <w:pPr>
              <w:ind w:left="340"/>
              <w:spacing w:after="0"/>
              <w:rPr>
                <w:sz w:val="20"/>
                <w:szCs w:val="20"/>
                <w:color w:val="auto"/>
              </w:rPr>
            </w:pPr>
            <w:r>
              <w:rPr>
                <w:rFonts w:ascii="Arial" w:cs="Arial" w:eastAsia="Arial" w:hAnsi="Arial"/>
                <w:sz w:val="12"/>
                <w:szCs w:val="12"/>
                <w:color w:val="auto"/>
              </w:rPr>
              <w:t>Total</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182</w:t>
            </w:r>
          </w:p>
        </w:tc>
        <w:tc>
          <w:tcPr>
            <w:tcW w:w="120" w:type="dxa"/>
            <w:vAlign w:val="bottom"/>
          </w:tcPr>
          <w:p>
            <w:pPr>
              <w:spacing w:after="0"/>
              <w:rPr>
                <w:sz w:val="13"/>
                <w:szCs w:val="13"/>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3"/>
                <w:szCs w:val="13"/>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229</w:t>
            </w:r>
          </w:p>
        </w:tc>
      </w:tr>
      <w:tr>
        <w:trPr>
          <w:trHeight w:val="194"/>
        </w:trPr>
        <w:tc>
          <w:tcPr>
            <w:tcW w:w="746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r>
      <w:tr>
        <w:trPr>
          <w:trHeight w:val="190"/>
        </w:trPr>
        <w:tc>
          <w:tcPr>
            <w:tcW w:w="7460" w:type="dxa"/>
            <w:vAlign w:val="bottom"/>
          </w:tcPr>
          <w:p>
            <w:pPr>
              <w:ind w:left="20"/>
              <w:spacing w:after="0"/>
              <w:rPr>
                <w:sz w:val="20"/>
                <w:szCs w:val="20"/>
                <w:color w:val="auto"/>
              </w:rPr>
            </w:pPr>
            <w:r>
              <w:rPr>
                <w:rFonts w:ascii="Arial" w:cs="Arial" w:eastAsia="Arial" w:hAnsi="Arial"/>
                <w:sz w:val="12"/>
                <w:szCs w:val="12"/>
                <w:b w:val="1"/>
                <w:bCs w:val="1"/>
                <w:color w:val="auto"/>
              </w:rPr>
              <w:t>Total Production (MBoe/d)</w:t>
            </w:r>
            <w:r>
              <w:rPr>
                <w:rFonts w:ascii="Arial" w:cs="Arial" w:eastAsia="Arial" w:hAnsi="Arial"/>
                <w:sz w:val="14"/>
                <w:szCs w:val="14"/>
                <w:b w:val="1"/>
                <w:bCs w:val="1"/>
                <w:color w:val="auto"/>
                <w:vertAlign w:val="superscript"/>
              </w:rPr>
              <w:t>(a)</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16"/>
                <w:szCs w:val="16"/>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6"/>
                <w:szCs w:val="16"/>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-18415</wp:posOffset>
            </wp:positionV>
            <wp:extent cx="25507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0795" cy="17145"/>
                    </a:xfrm>
                    <a:prstGeom prst="rect">
                      <a:avLst/>
                    </a:prstGeom>
                    <a:noFill/>
                  </pic:spPr>
                </pic:pic>
              </a:graphicData>
            </a:graphic>
          </wp:anchor>
        </w:drawing>
      </w:r>
    </w:p>
    <w:p>
      <w:pPr>
        <w:ind w:left="200"/>
        <w:spacing w:after="0" w:line="225" w:lineRule="auto"/>
        <w:rPr>
          <w:sz w:val="20"/>
          <w:szCs w:val="20"/>
          <w:color w:val="auto"/>
        </w:rPr>
      </w:pPr>
      <w:r>
        <w:rPr>
          <w:rFonts w:ascii="Arial" w:cs="Arial" w:eastAsia="Arial" w:hAnsi="Arial"/>
          <w:sz w:val="10"/>
          <w:szCs w:val="10"/>
          <w:color w:val="auto"/>
        </w:rPr>
        <w:t>Note: MBbl/d refers to thousands of barrels per day; MMcf/d refers to millions of cubic feet per day; MBoe/d refers to thousands of barrels of oil equivalent per day.</w:t>
      </w:r>
    </w:p>
    <w:p>
      <w:pPr>
        <w:ind w:left="420" w:hanging="212"/>
        <w:spacing w:after="0"/>
        <w:tabs>
          <w:tab w:leader="none" w:pos="420" w:val="left"/>
        </w:tabs>
        <w:numPr>
          <w:ilvl w:val="0"/>
          <w:numId w:val="39"/>
        </w:numPr>
        <w:rPr>
          <w:rFonts w:ascii="Arial" w:cs="Arial" w:eastAsia="Arial" w:hAnsi="Arial"/>
          <w:sz w:val="10"/>
          <w:szCs w:val="10"/>
          <w:color w:val="auto"/>
        </w:rPr>
      </w:pPr>
      <w:r>
        <w:rPr>
          <w:rFonts w:ascii="Arial" w:cs="Arial" w:eastAsia="Arial" w:hAnsi="Arial"/>
          <w:sz w:val="10"/>
          <w:szCs w:val="10"/>
          <w:color w:val="auto"/>
        </w:rPr>
        <w:t>Natural gas volumes have been converted to Boe based on the equivalence of energy content between six Mcf of natural gas and one barrel of oil. Barrels of oil equivalence does not necessarily result in price equivalence.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460" w:type="dxa"/>
            <w:vAlign w:val="bottom"/>
          </w:tcPr>
          <w:p>
            <w:pPr>
              <w:ind w:left="200"/>
              <w:spacing w:after="0"/>
              <w:rPr>
                <w:sz w:val="20"/>
                <w:szCs w:val="20"/>
                <w:color w:val="auto"/>
              </w:rPr>
            </w:pPr>
            <w:r>
              <w:rPr>
                <w:rFonts w:ascii="Arial" w:cs="Arial" w:eastAsia="Arial" w:hAnsi="Arial"/>
                <w:sz w:val="12"/>
                <w:szCs w:val="12"/>
                <w:color w:val="auto"/>
              </w:rPr>
              <w:t>The following table sets forth the average realized prices for our products for the years ended December 31, 2017, 2016 and 2015:</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66"/>
        </w:trPr>
        <w:tc>
          <w:tcPr>
            <w:tcW w:w="74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2015</w:t>
            </w:r>
          </w:p>
        </w:tc>
      </w:tr>
      <w:tr>
        <w:trPr>
          <w:trHeight w:val="16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Oil prices with hedge ($ per Bbl)</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51.24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42.01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49.19</w:t>
            </w:r>
          </w:p>
        </w:tc>
      </w:tr>
      <w:tr>
        <w:trPr>
          <w:trHeight w:val="189"/>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Oil prices without hedge ($ per Bbl)</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51.47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39.72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47.15</w:t>
            </w:r>
          </w:p>
        </w:tc>
      </w:tr>
      <w:tr>
        <w:trPr>
          <w:trHeight w:val="176"/>
        </w:trPr>
        <w:tc>
          <w:tcPr>
            <w:tcW w:w="7460" w:type="dxa"/>
            <w:vAlign w:val="bottom"/>
          </w:tcPr>
          <w:p>
            <w:pPr>
              <w:ind w:left="20"/>
              <w:spacing w:after="0"/>
              <w:rPr>
                <w:sz w:val="20"/>
                <w:szCs w:val="20"/>
                <w:color w:val="auto"/>
              </w:rPr>
            </w:pPr>
            <w:r>
              <w:rPr>
                <w:rFonts w:ascii="Arial" w:cs="Arial" w:eastAsia="Arial" w:hAnsi="Arial"/>
                <w:sz w:val="12"/>
                <w:szCs w:val="12"/>
                <w:color w:val="auto"/>
              </w:rPr>
              <w:t>NGLs prices ($ per Bbl)</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35.76</w:t>
            </w:r>
          </w:p>
        </w:tc>
        <w:tc>
          <w:tcPr>
            <w:tcW w:w="120" w:type="dxa"/>
            <w:vAlign w:val="bottom"/>
          </w:tcPr>
          <w:p>
            <w:pPr>
              <w:spacing w:after="0"/>
              <w:rPr>
                <w:sz w:val="15"/>
                <w:szCs w:val="15"/>
                <w:color w:val="auto"/>
              </w:rPr>
            </w:pP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22.39</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19.62</w:t>
            </w:r>
          </w:p>
        </w:tc>
      </w:tr>
      <w:tr>
        <w:trPr>
          <w:trHeight w:val="185"/>
        </w:trPr>
        <w:tc>
          <w:tcPr>
            <w:tcW w:w="7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Natural gas prices ($ per Mcf)</w:t>
            </w:r>
            <w:r>
              <w:rPr>
                <w:rFonts w:ascii="Arial" w:cs="Arial" w:eastAsia="Arial" w:hAnsi="Arial"/>
                <w:sz w:val="14"/>
                <w:szCs w:val="14"/>
                <w:color w:val="auto"/>
                <w:vertAlign w:val="superscript"/>
              </w:rPr>
              <w:t>(a)</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2.66</w:t>
            </w:r>
          </w:p>
        </w:tc>
      </w:tr>
    </w:tbl>
    <w:p>
      <w:pPr>
        <w:spacing w:after="0" w:line="3" w:lineRule="exact"/>
        <w:rPr>
          <w:sz w:val="20"/>
          <w:szCs w:val="20"/>
          <w:color w:val="auto"/>
        </w:rPr>
      </w:pPr>
    </w:p>
    <w:p>
      <w:pPr>
        <w:ind w:left="420" w:hanging="212"/>
        <w:spacing w:after="0"/>
        <w:tabs>
          <w:tab w:leader="none" w:pos="420" w:val="left"/>
        </w:tabs>
        <w:numPr>
          <w:ilvl w:val="0"/>
          <w:numId w:val="40"/>
        </w:numPr>
        <w:rPr>
          <w:rFonts w:ascii="Arial" w:cs="Arial" w:eastAsia="Arial" w:hAnsi="Arial"/>
          <w:sz w:val="10"/>
          <w:szCs w:val="10"/>
          <w:color w:val="auto"/>
        </w:rPr>
      </w:pPr>
      <w:r>
        <w:rPr>
          <w:rFonts w:ascii="Arial" w:cs="Arial" w:eastAsia="Arial" w:hAnsi="Arial"/>
          <w:sz w:val="10"/>
          <w:szCs w:val="10"/>
          <w:color w:val="auto"/>
        </w:rPr>
        <w:t>For 2015, the average realized price of natural gas includes the effect of hedges.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our average price realizations as a percentage of Brent, WTI and NYMEX for the years ended December 31, 2017, 2016 and 2015: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2016</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2015</w:t>
            </w:r>
          </w:p>
        </w:tc>
      </w:tr>
      <w:tr>
        <w:trPr>
          <w:trHeight w:val="165"/>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Oil with hedge as a percentage of Brent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r>
      <w:tr>
        <w:trPr>
          <w:trHeight w:val="176"/>
        </w:trPr>
        <w:tc>
          <w:tcPr>
            <w:tcW w:w="8300" w:type="dxa"/>
            <w:vAlign w:val="bottom"/>
            <w:gridSpan w:val="2"/>
          </w:tcPr>
          <w:p>
            <w:pPr>
              <w:ind w:left="20"/>
              <w:spacing w:after="0"/>
              <w:rPr>
                <w:sz w:val="20"/>
                <w:szCs w:val="20"/>
                <w:color w:val="auto"/>
              </w:rPr>
            </w:pPr>
            <w:r>
              <w:rPr>
                <w:rFonts w:ascii="Arial" w:cs="Arial" w:eastAsia="Arial" w:hAnsi="Arial"/>
                <w:sz w:val="12"/>
                <w:szCs w:val="12"/>
                <w:color w:val="auto"/>
              </w:rPr>
              <w:t>Oil with hedge as a percentage of WTI</w:t>
            </w:r>
          </w:p>
        </w:tc>
        <w:tc>
          <w:tcPr>
            <w:tcW w:w="420" w:type="dxa"/>
            <w:vAlign w:val="bottom"/>
          </w:tcPr>
          <w:p>
            <w:pPr>
              <w:jc w:val="right"/>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94"/>
        </w:trPr>
        <w:tc>
          <w:tcPr>
            <w:tcW w:w="7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6"/>
        </w:trPr>
        <w:tc>
          <w:tcPr>
            <w:tcW w:w="8300" w:type="dxa"/>
            <w:vAlign w:val="bottom"/>
            <w:gridSpan w:val="2"/>
          </w:tcPr>
          <w:p>
            <w:pPr>
              <w:ind w:left="20"/>
              <w:spacing w:after="0"/>
              <w:rPr>
                <w:sz w:val="20"/>
                <w:szCs w:val="20"/>
                <w:color w:val="auto"/>
              </w:rPr>
            </w:pPr>
            <w:r>
              <w:rPr>
                <w:rFonts w:ascii="Arial" w:cs="Arial" w:eastAsia="Arial" w:hAnsi="Arial"/>
                <w:sz w:val="12"/>
                <w:szCs w:val="12"/>
                <w:color w:val="auto"/>
              </w:rPr>
              <w:t>Oil without hedge as a percentage of Brent</w:t>
            </w:r>
          </w:p>
        </w:tc>
        <w:tc>
          <w:tcPr>
            <w:tcW w:w="42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85"/>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Oil without hedge as a percentage of WTI</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r>
      <w:tr>
        <w:trPr>
          <w:trHeight w:val="176"/>
        </w:trPr>
        <w:tc>
          <w:tcPr>
            <w:tcW w:w="8300" w:type="dxa"/>
            <w:vAlign w:val="bottom"/>
            <w:gridSpan w:val="2"/>
          </w:tcPr>
          <w:p>
            <w:pPr>
              <w:ind w:left="20"/>
              <w:spacing w:after="0"/>
              <w:rPr>
                <w:sz w:val="20"/>
                <w:szCs w:val="20"/>
                <w:color w:val="auto"/>
              </w:rPr>
            </w:pPr>
            <w:r>
              <w:rPr>
                <w:rFonts w:ascii="Arial" w:cs="Arial" w:eastAsia="Arial" w:hAnsi="Arial"/>
                <w:sz w:val="12"/>
                <w:szCs w:val="12"/>
                <w:color w:val="auto"/>
              </w:rPr>
              <w:t>NGLs as a percentage of Brent</w:t>
            </w:r>
          </w:p>
        </w:tc>
        <w:tc>
          <w:tcPr>
            <w:tcW w:w="42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85"/>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NGLs as a percentage of WTI</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83"/>
        </w:trPr>
        <w:tc>
          <w:tcPr>
            <w:tcW w:w="8300" w:type="dxa"/>
            <w:vAlign w:val="bottom"/>
            <w:gridSpan w:val="2"/>
          </w:tcPr>
          <w:p>
            <w:pPr>
              <w:ind w:left="20"/>
              <w:spacing w:after="0"/>
              <w:rPr>
                <w:sz w:val="20"/>
                <w:szCs w:val="20"/>
                <w:color w:val="auto"/>
              </w:rPr>
            </w:pPr>
            <w:r>
              <w:rPr>
                <w:rFonts w:ascii="Arial" w:cs="Arial" w:eastAsia="Arial" w:hAnsi="Arial"/>
                <w:sz w:val="12"/>
                <w:szCs w:val="12"/>
                <w:color w:val="auto"/>
              </w:rPr>
              <w:t>Natural gas as a percentage of NYMEX</w:t>
            </w:r>
            <w:r>
              <w:rPr>
                <w:rFonts w:ascii="Arial" w:cs="Arial" w:eastAsia="Arial" w:hAnsi="Arial"/>
                <w:sz w:val="14"/>
                <w:szCs w:val="14"/>
                <w:color w:val="auto"/>
                <w:vertAlign w:val="superscript"/>
              </w:rPr>
              <w:t>(a)</w:t>
            </w:r>
          </w:p>
        </w:tc>
        <w:tc>
          <w:tcPr>
            <w:tcW w:w="420" w:type="dxa"/>
            <w:vAlign w:val="bottom"/>
          </w:tcPr>
          <w:p>
            <w:pPr>
              <w:jc w:val="right"/>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97%</w:t>
            </w:r>
          </w:p>
        </w:tc>
      </w:tr>
    </w:tbl>
    <w:p>
      <w:pPr>
        <w:ind w:left="420" w:hanging="212"/>
        <w:spacing w:after="0"/>
        <w:tabs>
          <w:tab w:leader="none" w:pos="420" w:val="left"/>
        </w:tabs>
        <w:numPr>
          <w:ilvl w:val="0"/>
          <w:numId w:val="41"/>
        </w:numPr>
        <w:rPr>
          <w:rFonts w:ascii="Arial" w:cs="Arial" w:eastAsia="Arial" w:hAnsi="Arial"/>
          <w:sz w:val="10"/>
          <w:szCs w:val="10"/>
          <w:color w:val="auto"/>
        </w:rPr>
      </w:pPr>
      <w:r>
        <w:rPr>
          <w:rFonts w:ascii="Arial" w:cs="Arial" w:eastAsia="Arial" w:hAnsi="Arial"/>
          <w:sz w:val="10"/>
          <w:szCs w:val="10"/>
          <w:color w:val="auto"/>
        </w:rPr>
        <w:t>For 2015, the average realized price of natural gas as a percentage of NYMEX includes the effect of hedges.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80"/>
          </w:cols>
          <w:pgMar w:left="220" w:top="287" w:right="1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59"/>
        </w:trPr>
        <w:tc>
          <w:tcPr>
            <w:tcW w:w="7820" w:type="dxa"/>
            <w:vAlign w:val="bottom"/>
          </w:tcPr>
          <w:p>
            <w:pPr>
              <w:spacing w:after="0"/>
              <w:rPr>
                <w:sz w:val="20"/>
                <w:szCs w:val="20"/>
                <w:color w:val="auto"/>
              </w:rPr>
            </w:pPr>
            <w:r>
              <w:rPr>
                <w:rFonts w:ascii="Arial" w:cs="Arial" w:eastAsia="Arial" w:hAnsi="Arial"/>
                <w:sz w:val="12"/>
                <w:szCs w:val="12"/>
                <w:b w:val="1"/>
                <w:bCs w:val="1"/>
                <w:color w:val="auto"/>
              </w:rPr>
              <w:t>Balance Sheet Analysis</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88"/>
        </w:trPr>
        <w:tc>
          <w:tcPr>
            <w:tcW w:w="7820" w:type="dxa"/>
            <w:vAlign w:val="bottom"/>
          </w:tcPr>
          <w:p>
            <w:pPr>
              <w:ind w:left="200"/>
              <w:spacing w:after="0"/>
              <w:rPr>
                <w:sz w:val="20"/>
                <w:szCs w:val="20"/>
                <w:color w:val="auto"/>
              </w:rPr>
            </w:pPr>
            <w:r>
              <w:rPr>
                <w:rFonts w:ascii="Arial" w:cs="Arial" w:eastAsia="Arial" w:hAnsi="Arial"/>
                <w:sz w:val="12"/>
                <w:szCs w:val="12"/>
                <w:color w:val="auto"/>
              </w:rPr>
              <w:t>The changes in our balance sheet as of December 31, 2017 and 2016, are discussed below:</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6"/>
        </w:trPr>
        <w:tc>
          <w:tcPr>
            <w:tcW w:w="78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701"/>
              <w:spacing w:after="0"/>
              <w:rPr>
                <w:sz w:val="20"/>
                <w:szCs w:val="20"/>
                <w:color w:val="auto"/>
              </w:rPr>
            </w:pPr>
            <w:r>
              <w:rPr>
                <w:rFonts w:ascii="Arial" w:cs="Arial" w:eastAsia="Arial" w:hAnsi="Arial"/>
                <w:sz w:val="12"/>
                <w:szCs w:val="12"/>
                <w:b w:val="1"/>
                <w:bCs w:val="1"/>
                <w:color w:val="auto"/>
              </w:rPr>
              <w:t>2017</w:t>
            </w:r>
          </w:p>
        </w:tc>
        <w:tc>
          <w:tcPr>
            <w:tcW w:w="6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2016</w:t>
            </w:r>
          </w:p>
        </w:tc>
      </w:tr>
      <w:tr>
        <w:trPr>
          <w:trHeight w:val="130"/>
        </w:trPr>
        <w:tc>
          <w:tcPr>
            <w:tcW w:w="7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0"/>
                <w:szCs w:val="10"/>
                <w:color w:val="auto"/>
              </w:rPr>
              <w:t>(in millions)</w:t>
            </w:r>
          </w:p>
        </w:tc>
        <w:tc>
          <w:tcPr>
            <w:tcW w:w="1320" w:type="dxa"/>
            <w:vAlign w:val="bottom"/>
          </w:tcPr>
          <w:p>
            <w:pPr>
              <w:spacing w:after="0"/>
              <w:rPr>
                <w:sz w:val="11"/>
                <w:szCs w:val="11"/>
                <w:color w:val="auto"/>
              </w:rPr>
            </w:pPr>
          </w:p>
        </w:tc>
      </w:tr>
      <w:tr>
        <w:trPr>
          <w:trHeight w:val="35"/>
        </w:trPr>
        <w:tc>
          <w:tcPr>
            <w:tcW w:w="7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20</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Trade receivables</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2"/>
                <w:szCs w:val="12"/>
                <w:color w:val="auto"/>
              </w:rPr>
              <w:t>277</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232</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Inventories</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56</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Other current assets, net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2"/>
                <w:szCs w:val="12"/>
                <w:color w:val="auto"/>
              </w:rPr>
              <w:t>130</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123</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5,696</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5,885</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2"/>
                <w:szCs w:val="12"/>
                <w:color w:val="auto"/>
              </w:rPr>
              <w:t>28</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44</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maturities of long-term debt</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Accounts payable</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2"/>
                <w:szCs w:val="12"/>
                <w:color w:val="auto"/>
              </w:rPr>
              <w:t>257</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219</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liabilities</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475</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407</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Long-term debt - principal amount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2"/>
                <w:szCs w:val="12"/>
                <w:color w:val="auto"/>
              </w:rPr>
              <w:t>5,306</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5,168</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gain and financing costs, net</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287</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397</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Other long-term liabilities</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2"/>
                <w:szCs w:val="12"/>
                <w:color w:val="auto"/>
              </w:rPr>
              <w:t>602</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620</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attributable to common stock</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(814)</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(557)</w:t>
            </w:r>
          </w:p>
        </w:tc>
      </w:tr>
      <w:tr>
        <w:trPr>
          <w:trHeight w:val="171"/>
        </w:trPr>
        <w:tc>
          <w:tcPr>
            <w:tcW w:w="7820" w:type="dxa"/>
            <w:vAlign w:val="bottom"/>
          </w:tcPr>
          <w:p>
            <w:pPr>
              <w:ind w:left="20"/>
              <w:spacing w:after="0"/>
              <w:rPr>
                <w:sz w:val="20"/>
                <w:szCs w:val="20"/>
                <w:color w:val="auto"/>
              </w:rPr>
            </w:pPr>
            <w:r>
              <w:rPr>
                <w:rFonts w:ascii="Arial" w:cs="Arial" w:eastAsia="Arial" w:hAnsi="Arial"/>
                <w:sz w:val="12"/>
                <w:szCs w:val="12"/>
                <w:color w:val="auto"/>
              </w:rPr>
              <w:t>Equity attributable to noncontrolling interest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2"/>
                <w:szCs w:val="12"/>
                <w:color w:val="auto"/>
              </w:rPr>
              <w:t>94</w:t>
            </w:r>
          </w:p>
        </w:tc>
        <w:tc>
          <w:tcPr>
            <w:tcW w:w="6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w:t>
            </w:r>
          </w:p>
        </w:tc>
      </w:tr>
    </w:tbl>
    <w:p>
      <w:pPr>
        <w:spacing w:after="0" w:line="141" w:lineRule="exact"/>
        <w:rPr>
          <w:sz w:val="20"/>
          <w:szCs w:val="20"/>
          <w:color w:val="auto"/>
        </w:rPr>
      </w:pPr>
    </w:p>
    <w:p>
      <w:pPr>
        <w:ind w:right="340" w:firstLine="216"/>
        <w:spacing w:after="0" w:line="283" w:lineRule="auto"/>
        <w:rPr>
          <w:sz w:val="20"/>
          <w:szCs w:val="20"/>
          <w:color w:val="auto"/>
        </w:rPr>
      </w:pPr>
      <w:r>
        <w:rPr>
          <w:rFonts w:ascii="Arial" w:cs="Arial" w:eastAsia="Arial" w:hAnsi="Arial"/>
          <w:sz w:val="12"/>
          <w:szCs w:val="12"/>
          <w:color w:val="auto"/>
        </w:rPr>
        <w:t xml:space="preserve">Cash at December 31, 2017 included approximately $5 million that is restricted under our BSP JV agreement for distributions to BSP unless otherwise mutually agreed to by the parties. See the </w:t>
      </w:r>
      <w:r>
        <w:rPr>
          <w:rFonts w:ascii="Arial" w:cs="Arial" w:eastAsia="Arial" w:hAnsi="Arial"/>
          <w:sz w:val="12"/>
          <w:szCs w:val="12"/>
          <w:i w:val="1"/>
          <w:iCs w:val="1"/>
          <w:color w:val="auto"/>
        </w:rPr>
        <w:t>Liquidity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Capital Resources </w:t>
      </w:r>
      <w:r>
        <w:rPr>
          <w:rFonts w:ascii="Arial" w:cs="Arial" w:eastAsia="Arial" w:hAnsi="Arial"/>
          <w:sz w:val="12"/>
          <w:szCs w:val="12"/>
          <w:color w:val="auto"/>
        </w:rPr>
        <w:t>section below for discussion of changes in our cash.</w:t>
      </w:r>
    </w:p>
    <w:p>
      <w:pPr>
        <w:spacing w:after="0" w:line="119" w:lineRule="exact"/>
        <w:rPr>
          <w:sz w:val="20"/>
          <w:szCs w:val="20"/>
          <w:color w:val="auto"/>
        </w:rPr>
      </w:pPr>
    </w:p>
    <w:p>
      <w:pPr>
        <w:ind w:right="180" w:firstLine="216"/>
        <w:spacing w:after="0" w:line="307" w:lineRule="auto"/>
        <w:rPr>
          <w:sz w:val="20"/>
          <w:szCs w:val="20"/>
          <w:color w:val="auto"/>
        </w:rPr>
      </w:pPr>
      <w:r>
        <w:rPr>
          <w:rFonts w:ascii="Arial" w:cs="Arial" w:eastAsia="Arial" w:hAnsi="Arial"/>
          <w:sz w:val="11"/>
          <w:szCs w:val="11"/>
          <w:color w:val="auto"/>
        </w:rPr>
        <w:t>The increase in trade receivables was largely the result of higher year-end prices partially offset by lower production volumes in 2017 compared to 2016. The decrease in property, plant and equipment reflected depreciation, depletion and amortization (DD&amp;A) for the period, partially offset by capital investments. The decrease in other assets was primarily due to changes in the fair value of our long-term derivative assets.</w:t>
      </w:r>
    </w:p>
    <w:p>
      <w:pPr>
        <w:spacing w:after="0" w:line="109"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 xml:space="preserve">The reduction in current maturities of long-term debt was the result of the repayment of the remaining balance on our 2014 Term Loan in November 2017. The increase in accounts payable reflected higher capital investments in 2017 compared to 2016. The increase in accrued liabilities was primarily due to higher derivative and greenhouse gas obligations. The small increase in our debt, including the current maturities of our long-term debt, reflected the proceeds from the $1.3 billion credit agreement entered into in November 2017, net of transaction costs, partially offset by early repayment of our 2014 Term Loan, net paydown on our 2014 Revolving Credit Facility and repurchases of our Senior Notes. See the </w:t>
      </w:r>
      <w:r>
        <w:rPr>
          <w:rFonts w:ascii="Arial" w:cs="Arial" w:eastAsia="Arial" w:hAnsi="Arial"/>
          <w:sz w:val="12"/>
          <w:szCs w:val="12"/>
          <w:i w:val="1"/>
          <w:iCs w:val="1"/>
          <w:color w:val="auto"/>
        </w:rPr>
        <w:t>Liquidity and Capital Resources</w:t>
      </w:r>
      <w:r>
        <w:rPr>
          <w:rFonts w:ascii="Arial" w:cs="Arial" w:eastAsia="Arial" w:hAnsi="Arial"/>
          <w:sz w:val="12"/>
          <w:szCs w:val="12"/>
          <w:color w:val="auto"/>
        </w:rPr>
        <w:t xml:space="preserve"> section below for further discussion on our debt-related activities. The decrease in deferred gain and issuance costs, net, reflected the amortization of deferred gains, partially offset by new deferred transaction costs related to our debt transactions and the amortization of deferred issuance costs. The decrease in other long-term liabilities reflected changes in the fair value of our derivative liabilities, partially offset by an increase in equity and deferred compensation obligations. The decrease in equity attributable to common stock primarily reflected the net loss for the period. Equity attributable to noncontrolling interest primarily reflected contributions from BSP, partially offset by distributions to BSP.</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395" w:right="19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color w:val="auto"/>
        </w:rPr>
        <w:t>Statement of Operations Analysis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Oil and Gas Operations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represents key operating data for our oil and gas operations, excluding certain corporate items, on a per Boe basis for the years ended December 31, 2017, 2016 and 2015: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2015</w:t>
            </w:r>
          </w:p>
        </w:tc>
      </w:tr>
      <w:tr>
        <w:trPr>
          <w:trHeight w:val="165"/>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Production costs</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9"/>
              </w:rPr>
              <w:t>18.64</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3"/>
              </w:rPr>
              <w:t>15.61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16.30</w:t>
            </w:r>
          </w:p>
        </w:tc>
      </w:tr>
      <w:tr>
        <w:trPr>
          <w:trHeight w:val="180"/>
        </w:trPr>
        <w:tc>
          <w:tcPr>
            <w:tcW w:w="7800" w:type="dxa"/>
            <w:vAlign w:val="bottom"/>
          </w:tcPr>
          <w:p>
            <w:pPr>
              <w:ind w:left="20"/>
              <w:spacing w:after="0"/>
              <w:rPr>
                <w:sz w:val="20"/>
                <w:szCs w:val="20"/>
                <w:color w:val="auto"/>
              </w:rPr>
            </w:pPr>
            <w:r>
              <w:rPr>
                <w:rFonts w:ascii="Arial" w:cs="Arial" w:eastAsia="Arial" w:hAnsi="Arial"/>
                <w:sz w:val="12"/>
                <w:szCs w:val="12"/>
                <w:color w:val="auto"/>
              </w:rPr>
              <w:t>Production costs, excluding effects of PSC contracts</w:t>
            </w:r>
            <w:r>
              <w:rPr>
                <w:rFonts w:ascii="Arial" w:cs="Arial" w:eastAsia="Arial" w:hAnsi="Arial"/>
                <w:sz w:val="14"/>
                <w:szCs w:val="14"/>
                <w:color w:val="auto"/>
                <w:vertAlign w:val="superscript"/>
              </w:rPr>
              <w:t>(a)</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w w:val="99"/>
              </w:rPr>
              <w:t>17.48</w:t>
            </w:r>
          </w:p>
        </w:tc>
        <w:tc>
          <w:tcPr>
            <w:tcW w:w="120" w:type="dxa"/>
            <w:vAlign w:val="bottom"/>
          </w:tcPr>
          <w:p>
            <w:pPr>
              <w:spacing w:after="0"/>
              <w:rPr>
                <w:sz w:val="15"/>
                <w:szCs w:val="15"/>
                <w:color w:val="auto"/>
              </w:rPr>
            </w:pP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w w:val="93"/>
              </w:rPr>
              <w:t>14.69</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15.58</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Field general and administrative expenses</w:t>
            </w:r>
            <w:r>
              <w:rPr>
                <w:rFonts w:ascii="Arial" w:cs="Arial" w:eastAsia="Arial" w:hAnsi="Arial"/>
                <w:sz w:val="14"/>
                <w:szCs w:val="14"/>
                <w:color w:val="auto"/>
                <w:vertAlign w:val="superscript"/>
              </w:rPr>
              <w:t>(b)</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0.82</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0.84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1.31</w:t>
            </w:r>
          </w:p>
        </w:tc>
      </w:tr>
      <w:tr>
        <w:trPr>
          <w:trHeight w:val="180"/>
        </w:trPr>
        <w:tc>
          <w:tcPr>
            <w:tcW w:w="7800" w:type="dxa"/>
            <w:vAlign w:val="bottom"/>
          </w:tcPr>
          <w:p>
            <w:pPr>
              <w:ind w:left="20"/>
              <w:spacing w:after="0"/>
              <w:rPr>
                <w:sz w:val="20"/>
                <w:szCs w:val="20"/>
                <w:color w:val="auto"/>
              </w:rPr>
            </w:pPr>
            <w:r>
              <w:rPr>
                <w:rFonts w:ascii="Arial" w:cs="Arial" w:eastAsia="Arial" w:hAnsi="Arial"/>
                <w:sz w:val="12"/>
                <w:szCs w:val="12"/>
                <w:color w:val="auto"/>
              </w:rPr>
              <w:t>Field general and administrative expenses, adjusted</w:t>
            </w:r>
            <w:r>
              <w:rPr>
                <w:rFonts w:ascii="Arial" w:cs="Arial" w:eastAsia="Arial" w:hAnsi="Arial"/>
                <w:sz w:val="14"/>
                <w:szCs w:val="14"/>
                <w:color w:val="auto"/>
                <w:vertAlign w:val="superscript"/>
              </w:rPr>
              <w:t>(c)</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0.72</w:t>
            </w:r>
          </w:p>
        </w:tc>
        <w:tc>
          <w:tcPr>
            <w:tcW w:w="120" w:type="dxa"/>
            <w:vAlign w:val="bottom"/>
          </w:tcPr>
          <w:p>
            <w:pPr>
              <w:spacing w:after="0"/>
              <w:rPr>
                <w:sz w:val="15"/>
                <w:szCs w:val="15"/>
                <w:color w:val="auto"/>
              </w:rPr>
            </w:pP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0.72</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1.00</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Field other operating expenses</w:t>
            </w:r>
            <w:r>
              <w:rPr>
                <w:rFonts w:ascii="Arial" w:cs="Arial" w:eastAsia="Arial" w:hAnsi="Arial"/>
                <w:sz w:val="14"/>
                <w:szCs w:val="14"/>
                <w:color w:val="auto"/>
                <w:vertAlign w:val="superscript"/>
              </w:rPr>
              <w:t>(b)</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0.66</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1.78</w:t>
            </w:r>
          </w:p>
        </w:tc>
      </w:tr>
      <w:tr>
        <w:trPr>
          <w:trHeight w:val="180"/>
        </w:trPr>
        <w:tc>
          <w:tcPr>
            <w:tcW w:w="7800" w:type="dxa"/>
            <w:vAlign w:val="bottom"/>
          </w:tcPr>
          <w:p>
            <w:pPr>
              <w:ind w:left="20"/>
              <w:spacing w:after="0"/>
              <w:rPr>
                <w:sz w:val="20"/>
                <w:szCs w:val="20"/>
                <w:color w:val="auto"/>
              </w:rPr>
            </w:pPr>
            <w:r>
              <w:rPr>
                <w:rFonts w:ascii="Arial" w:cs="Arial" w:eastAsia="Arial" w:hAnsi="Arial"/>
                <w:sz w:val="12"/>
                <w:szCs w:val="12"/>
                <w:color w:val="auto"/>
              </w:rPr>
              <w:t>Field other operating expenses, adjusted</w:t>
            </w:r>
            <w:r>
              <w:rPr>
                <w:rFonts w:ascii="Arial" w:cs="Arial" w:eastAsia="Arial" w:hAnsi="Arial"/>
                <w:sz w:val="14"/>
                <w:szCs w:val="14"/>
                <w:color w:val="auto"/>
                <w:vertAlign w:val="superscript"/>
              </w:rPr>
              <w:t>(d)</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0.56</w:t>
            </w:r>
          </w:p>
        </w:tc>
        <w:tc>
          <w:tcPr>
            <w:tcW w:w="120" w:type="dxa"/>
            <w:vAlign w:val="bottom"/>
          </w:tcPr>
          <w:p>
            <w:pPr>
              <w:spacing w:after="0"/>
              <w:rPr>
                <w:sz w:val="15"/>
                <w:szCs w:val="15"/>
                <w:color w:val="auto"/>
              </w:rPr>
            </w:pP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0.67</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0.36</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Field depreciation, depletion and amortization</w:t>
            </w:r>
            <w:r>
              <w:rPr>
                <w:rFonts w:ascii="Arial" w:cs="Arial" w:eastAsia="Arial" w:hAnsi="Arial"/>
                <w:sz w:val="14"/>
                <w:szCs w:val="14"/>
                <w:color w:val="auto"/>
                <w:vertAlign w:val="superscript"/>
              </w:rPr>
              <w:t>(b)</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9"/>
              </w:rPr>
              <w:t>10.85</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3"/>
              </w:rPr>
              <w:t>10.28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16.72</w:t>
            </w:r>
          </w:p>
        </w:tc>
      </w:tr>
      <w:tr>
        <w:trPr>
          <w:trHeight w:val="208"/>
        </w:trPr>
        <w:tc>
          <w:tcPr>
            <w:tcW w:w="7800" w:type="dxa"/>
            <w:vAlign w:val="bottom"/>
          </w:tcPr>
          <w:p>
            <w:pPr>
              <w:ind w:left="20"/>
              <w:spacing w:after="0"/>
              <w:rPr>
                <w:sz w:val="20"/>
                <w:szCs w:val="20"/>
                <w:color w:val="auto"/>
              </w:rPr>
            </w:pPr>
            <w:r>
              <w:rPr>
                <w:rFonts w:ascii="Arial" w:cs="Arial" w:eastAsia="Arial" w:hAnsi="Arial"/>
                <w:sz w:val="12"/>
                <w:szCs w:val="12"/>
                <w:color w:val="auto"/>
              </w:rPr>
              <w:t>Field taxes other than on income</w:t>
            </w:r>
            <w:r>
              <w:rPr>
                <w:rFonts w:ascii="Arial" w:cs="Arial" w:eastAsia="Arial" w:hAnsi="Arial"/>
                <w:sz w:val="14"/>
                <w:szCs w:val="14"/>
                <w:color w:val="auto"/>
                <w:vertAlign w:val="superscript"/>
              </w:rPr>
              <w:t>(b)</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2.34</w:t>
            </w:r>
          </w:p>
        </w:tc>
        <w:tc>
          <w:tcPr>
            <w:tcW w:w="120" w:type="dxa"/>
            <w:vAlign w:val="bottom"/>
          </w:tcPr>
          <w:p>
            <w:pPr>
              <w:spacing w:after="0"/>
              <w:rPr>
                <w:sz w:val="18"/>
                <w:szCs w:val="18"/>
                <w:color w:val="auto"/>
              </w:rPr>
            </w:pP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2.36</w:t>
            </w:r>
          </w:p>
        </w:tc>
        <w:tc>
          <w:tcPr>
            <w:tcW w:w="120" w:type="dxa"/>
            <w:vAlign w:val="bottom"/>
          </w:tcPr>
          <w:p>
            <w:pPr>
              <w:spacing w:after="0"/>
              <w:rPr>
                <w:sz w:val="18"/>
                <w:szCs w:val="18"/>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2.67</w:t>
            </w:r>
          </w:p>
        </w:tc>
      </w:tr>
    </w:tbl>
    <w:p>
      <w:pPr>
        <w:spacing w:after="0" w:line="11" w:lineRule="exact"/>
        <w:rPr>
          <w:sz w:val="20"/>
          <w:szCs w:val="20"/>
          <w:color w:val="auto"/>
        </w:rPr>
      </w:pPr>
    </w:p>
    <w:p>
      <w:pPr>
        <w:ind w:left="420" w:right="60" w:hanging="212"/>
        <w:spacing w:after="0" w:line="232" w:lineRule="auto"/>
        <w:tabs>
          <w:tab w:leader="none" w:pos="420" w:val="left"/>
        </w:tabs>
        <w:numPr>
          <w:ilvl w:val="0"/>
          <w:numId w:val="42"/>
        </w:numPr>
        <w:rPr>
          <w:rFonts w:ascii="Arial" w:cs="Arial" w:eastAsia="Arial" w:hAnsi="Arial"/>
          <w:sz w:val="10"/>
          <w:szCs w:val="10"/>
          <w:color w:val="auto"/>
        </w:rPr>
      </w:pPr>
      <w:r>
        <w:rPr>
          <w:rFonts w:ascii="Arial" w:cs="Arial" w:eastAsia="Arial" w:hAnsi="Arial"/>
          <w:sz w:val="10"/>
          <w:szCs w:val="10"/>
          <w:color w:val="auto"/>
        </w:rPr>
        <w:t>As described in the Operations section, the reporting of our PSC-like contracts creates a difference between reported production costs, which are for the full field, and reported volumes, which are only our net share, inflating the per barrel production costs. The amounts represent the production costs for the company after adjusting for this difference.</w:t>
      </w:r>
    </w:p>
    <w:p>
      <w:pPr>
        <w:spacing w:after="0" w:line="29" w:lineRule="exact"/>
        <w:rPr>
          <w:rFonts w:ascii="Arial" w:cs="Arial" w:eastAsia="Arial" w:hAnsi="Arial"/>
          <w:sz w:val="10"/>
          <w:szCs w:val="10"/>
          <w:color w:val="auto"/>
        </w:rPr>
      </w:pPr>
    </w:p>
    <w:p>
      <w:pPr>
        <w:ind w:left="420" w:hanging="212"/>
        <w:spacing w:after="0"/>
        <w:tabs>
          <w:tab w:leader="none" w:pos="420" w:val="left"/>
        </w:tabs>
        <w:numPr>
          <w:ilvl w:val="0"/>
          <w:numId w:val="42"/>
        </w:numPr>
        <w:rPr>
          <w:rFonts w:ascii="Arial" w:cs="Arial" w:eastAsia="Arial" w:hAnsi="Arial"/>
          <w:sz w:val="10"/>
          <w:szCs w:val="10"/>
          <w:color w:val="auto"/>
        </w:rPr>
      </w:pPr>
      <w:r>
        <w:rPr>
          <w:rFonts w:ascii="Arial" w:cs="Arial" w:eastAsia="Arial" w:hAnsi="Arial"/>
          <w:sz w:val="10"/>
          <w:szCs w:val="10"/>
          <w:color w:val="auto"/>
        </w:rPr>
        <w:t>Amounts exclude corporate charges.</w:t>
      </w:r>
    </w:p>
    <w:p>
      <w:pPr>
        <w:spacing w:after="0" w:line="29" w:lineRule="exact"/>
        <w:rPr>
          <w:rFonts w:ascii="Arial" w:cs="Arial" w:eastAsia="Arial" w:hAnsi="Arial"/>
          <w:sz w:val="10"/>
          <w:szCs w:val="10"/>
          <w:color w:val="auto"/>
        </w:rPr>
      </w:pPr>
    </w:p>
    <w:p>
      <w:pPr>
        <w:ind w:left="420" w:right="200" w:hanging="212"/>
        <w:spacing w:after="0" w:line="232" w:lineRule="auto"/>
        <w:tabs>
          <w:tab w:leader="none" w:pos="420" w:val="left"/>
        </w:tabs>
        <w:numPr>
          <w:ilvl w:val="0"/>
          <w:numId w:val="42"/>
        </w:numPr>
        <w:rPr>
          <w:rFonts w:ascii="Arial" w:cs="Arial" w:eastAsia="Arial" w:hAnsi="Arial"/>
          <w:sz w:val="10"/>
          <w:szCs w:val="10"/>
          <w:color w:val="auto"/>
        </w:rPr>
      </w:pPr>
      <w:r>
        <w:rPr>
          <w:rFonts w:ascii="Arial" w:cs="Arial" w:eastAsia="Arial" w:hAnsi="Arial"/>
          <w:sz w:val="10"/>
          <w:szCs w:val="10"/>
          <w:color w:val="auto"/>
        </w:rPr>
        <w:t>Amounts exclude corporate charges. Amounts also exclude unusual and infrequent charges related to severance and early retirement costs associated with field personnel totaling $0.10 per Boe, $0.12 per Boe and $0.31 per Boe, for 2017, 2016 and 2015, respectively.</w:t>
      </w:r>
    </w:p>
    <w:p>
      <w:pPr>
        <w:spacing w:after="0" w:line="29" w:lineRule="exact"/>
        <w:rPr>
          <w:rFonts w:ascii="Arial" w:cs="Arial" w:eastAsia="Arial" w:hAnsi="Arial"/>
          <w:sz w:val="10"/>
          <w:szCs w:val="10"/>
          <w:color w:val="auto"/>
        </w:rPr>
      </w:pPr>
    </w:p>
    <w:p>
      <w:pPr>
        <w:ind w:left="420" w:right="20" w:hanging="212"/>
        <w:spacing w:after="0" w:line="230" w:lineRule="auto"/>
        <w:tabs>
          <w:tab w:leader="none" w:pos="420" w:val="left"/>
        </w:tabs>
        <w:numPr>
          <w:ilvl w:val="0"/>
          <w:numId w:val="42"/>
        </w:numPr>
        <w:rPr>
          <w:rFonts w:ascii="Arial" w:cs="Arial" w:eastAsia="Arial" w:hAnsi="Arial"/>
          <w:sz w:val="10"/>
          <w:szCs w:val="10"/>
          <w:color w:val="auto"/>
        </w:rPr>
      </w:pPr>
      <w:r>
        <w:rPr>
          <w:rFonts w:ascii="Arial" w:cs="Arial" w:eastAsia="Arial" w:hAnsi="Arial"/>
          <w:sz w:val="10"/>
          <w:szCs w:val="10"/>
          <w:color w:val="auto"/>
        </w:rPr>
        <w:t>Amounts exclude corporate charges. For 2017, the amount excludes net unusual and infrequent charges of $0.10 primarily related to rig termination expenses partially offset by property tax refunds, recovery of amounts due from joint interest partners and other items. For 2016, the amount excludes net unusual and infrequent gains of $0.35 that include refunds partially offset by plant turnaround charges and other items. For 2015, the amount excludes charges related to the write-down of certain assets and rig termination charges of $1.42 per Boe.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60"/>
          </w:cols>
          <w:pgMar w:left="220" w:top="287"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59"/>
        </w:trPr>
        <w:tc>
          <w:tcPr>
            <w:tcW w:w="7720" w:type="dxa"/>
            <w:vAlign w:val="bottom"/>
          </w:tcPr>
          <w:p>
            <w:pPr>
              <w:spacing w:after="0"/>
              <w:rPr>
                <w:sz w:val="20"/>
                <w:szCs w:val="20"/>
                <w:color w:val="auto"/>
              </w:rPr>
            </w:pPr>
            <w:r>
              <w:rPr>
                <w:rFonts w:ascii="Arial" w:cs="Arial" w:eastAsia="Arial" w:hAnsi="Arial"/>
                <w:sz w:val="12"/>
                <w:szCs w:val="12"/>
                <w:b w:val="1"/>
                <w:bCs w:val="1"/>
                <w:i w:val="1"/>
                <w:iCs w:val="1"/>
                <w:color w:val="auto"/>
              </w:rPr>
              <w:t>Consolidated Results of Operations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88"/>
        </w:trPr>
        <w:tc>
          <w:tcPr>
            <w:tcW w:w="7720" w:type="dxa"/>
            <w:vAlign w:val="bottom"/>
          </w:tcPr>
          <w:p>
            <w:pPr>
              <w:ind w:left="200"/>
              <w:spacing w:after="0"/>
              <w:rPr>
                <w:sz w:val="20"/>
                <w:szCs w:val="20"/>
                <w:color w:val="auto"/>
              </w:rPr>
            </w:pPr>
            <w:r>
              <w:rPr>
                <w:rFonts w:ascii="Arial" w:cs="Arial" w:eastAsia="Arial" w:hAnsi="Arial"/>
                <w:sz w:val="12"/>
                <w:szCs w:val="12"/>
                <w:color w:val="auto"/>
              </w:rPr>
              <w:t>The following represents key operating data for consolidated operations for the years ended December 31, 2017, 2016 and 2015:</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6"/>
        </w:trPr>
        <w:tc>
          <w:tcPr>
            <w:tcW w:w="7720" w:type="dxa"/>
            <w:vAlign w:val="bottom"/>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r>
      <w:tr>
        <w:trPr>
          <w:trHeight w:val="161"/>
        </w:trPr>
        <w:tc>
          <w:tcPr>
            <w:tcW w:w="7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60"/>
              <w:spacing w:after="0"/>
              <w:rPr>
                <w:sz w:val="20"/>
                <w:szCs w:val="20"/>
                <w:color w:val="auto"/>
              </w:rPr>
            </w:pPr>
            <w:r>
              <w:rPr>
                <w:rFonts w:ascii="Arial" w:cs="Arial" w:eastAsia="Arial" w:hAnsi="Arial"/>
                <w:sz w:val="10"/>
                <w:szCs w:val="10"/>
                <w:color w:val="auto"/>
              </w:rPr>
              <w:t>(in millions)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4"/>
        </w:trPr>
        <w:tc>
          <w:tcPr>
            <w:tcW w:w="7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Oil and gas net sales</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3"/>
              </w:rPr>
              <w:t>1,936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1,621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2,134</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Net derivative (losses) gains</w:t>
            </w:r>
          </w:p>
        </w:tc>
        <w:tc>
          <w:tcPr>
            <w:tcW w:w="720" w:type="dxa"/>
            <w:vAlign w:val="bottom"/>
          </w:tcPr>
          <w:p>
            <w:pPr>
              <w:spacing w:after="0"/>
              <w:rPr>
                <w:sz w:val="15"/>
                <w:szCs w:val="15"/>
                <w:color w:val="auto"/>
              </w:rPr>
            </w:pP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133</w:t>
            </w:r>
          </w:p>
        </w:tc>
      </w:tr>
      <w:tr>
        <w:trPr>
          <w:trHeight w:val="185"/>
        </w:trPr>
        <w:tc>
          <w:tcPr>
            <w:tcW w:w="7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revenue</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Production costs</w:t>
            </w:r>
          </w:p>
        </w:tc>
        <w:tc>
          <w:tcPr>
            <w:tcW w:w="720" w:type="dxa"/>
            <w:vAlign w:val="bottom"/>
          </w:tcPr>
          <w:p>
            <w:pPr>
              <w:spacing w:after="0"/>
              <w:rPr>
                <w:sz w:val="15"/>
                <w:szCs w:val="15"/>
                <w:color w:val="auto"/>
              </w:rPr>
            </w:pP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(876)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(951)</w:t>
            </w:r>
          </w:p>
        </w:tc>
      </w:tr>
      <w:tr>
        <w:trPr>
          <w:trHeight w:val="185"/>
        </w:trPr>
        <w:tc>
          <w:tcPr>
            <w:tcW w:w="7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(354)</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Depreciation, depletion and amortization</w:t>
            </w:r>
          </w:p>
        </w:tc>
        <w:tc>
          <w:tcPr>
            <w:tcW w:w="720" w:type="dxa"/>
            <w:vAlign w:val="bottom"/>
          </w:tcPr>
          <w:p>
            <w:pPr>
              <w:spacing w:after="0"/>
              <w:rPr>
                <w:sz w:val="15"/>
                <w:szCs w:val="15"/>
                <w:color w:val="auto"/>
              </w:rPr>
            </w:pP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(544)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(559)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(1,004)</w:t>
            </w:r>
          </w:p>
        </w:tc>
      </w:tr>
      <w:tr>
        <w:trPr>
          <w:trHeight w:val="185"/>
        </w:trPr>
        <w:tc>
          <w:tcPr>
            <w:tcW w:w="7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 impairments</w:t>
            </w: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(4,852)</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Taxes other than on income</w:t>
            </w:r>
          </w:p>
        </w:tc>
        <w:tc>
          <w:tcPr>
            <w:tcW w:w="720" w:type="dxa"/>
            <w:vAlign w:val="bottom"/>
          </w:tcPr>
          <w:p>
            <w:pPr>
              <w:spacing w:after="0"/>
              <w:rPr>
                <w:sz w:val="15"/>
                <w:szCs w:val="15"/>
                <w:color w:val="auto"/>
              </w:rPr>
            </w:pP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(136)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(180)</w:t>
            </w:r>
          </w:p>
        </w:tc>
      </w:tr>
      <w:tr>
        <w:trPr>
          <w:trHeight w:val="185"/>
        </w:trPr>
        <w:tc>
          <w:tcPr>
            <w:tcW w:w="7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Exploration expense</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(36)</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Other expenses, net</w:t>
            </w:r>
          </w:p>
        </w:tc>
        <w:tc>
          <w:tcPr>
            <w:tcW w:w="720" w:type="dxa"/>
            <w:vAlign w:val="bottom"/>
          </w:tcPr>
          <w:p>
            <w:pPr>
              <w:spacing w:after="0"/>
              <w:rPr>
                <w:sz w:val="15"/>
                <w:szCs w:val="15"/>
                <w:color w:val="auto"/>
              </w:rPr>
            </w:pP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(168)</w:t>
            </w:r>
          </w:p>
        </w:tc>
      </w:tr>
      <w:tr>
        <w:trPr>
          <w:trHeight w:val="185"/>
        </w:trPr>
        <w:tc>
          <w:tcPr>
            <w:tcW w:w="7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and debt expense, net</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(326)</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Net gains on early extinguishment of debt</w:t>
            </w:r>
          </w:p>
        </w:tc>
        <w:tc>
          <w:tcPr>
            <w:tcW w:w="72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805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20</w:t>
            </w:r>
          </w:p>
        </w:tc>
      </w:tr>
      <w:tr>
        <w:trPr>
          <w:trHeight w:val="185"/>
        </w:trPr>
        <w:tc>
          <w:tcPr>
            <w:tcW w:w="7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Gains on asset divestitures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Other non-operating expense</w:t>
            </w:r>
          </w:p>
        </w:tc>
        <w:tc>
          <w:tcPr>
            <w:tcW w:w="720" w:type="dxa"/>
            <w:vAlign w:val="bottom"/>
          </w:tcPr>
          <w:p>
            <w:pPr>
              <w:spacing w:after="0"/>
              <w:rPr>
                <w:sz w:val="15"/>
                <w:szCs w:val="15"/>
                <w:color w:val="auto"/>
              </w:rPr>
            </w:pP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(28)</w:t>
            </w:r>
          </w:p>
        </w:tc>
      </w:tr>
      <w:tr>
        <w:trPr>
          <w:trHeight w:val="165"/>
        </w:trPr>
        <w:tc>
          <w:tcPr>
            <w:tcW w:w="77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(Loss) income before income taxes</w:t>
            </w:r>
          </w:p>
        </w:tc>
        <w:tc>
          <w:tcPr>
            <w:tcW w:w="7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201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(5,476)</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Income tax benefit</w:t>
            </w:r>
          </w:p>
        </w:tc>
        <w:tc>
          <w:tcPr>
            <w:tcW w:w="7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1,922</w:t>
            </w:r>
          </w:p>
        </w:tc>
      </w:tr>
      <w:tr>
        <w:trPr>
          <w:trHeight w:val="165"/>
        </w:trPr>
        <w:tc>
          <w:tcPr>
            <w:tcW w:w="77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(loss) income</w:t>
            </w:r>
          </w:p>
        </w:tc>
        <w:tc>
          <w:tcPr>
            <w:tcW w:w="7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279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(3,554)</w:t>
            </w:r>
          </w:p>
        </w:tc>
      </w:tr>
      <w:tr>
        <w:trPr>
          <w:trHeight w:val="176"/>
        </w:trPr>
        <w:tc>
          <w:tcPr>
            <w:tcW w:w="7720" w:type="dxa"/>
            <w:vAlign w:val="bottom"/>
          </w:tcPr>
          <w:p>
            <w:pPr>
              <w:ind w:left="120"/>
              <w:spacing w:after="0"/>
              <w:rPr>
                <w:sz w:val="20"/>
                <w:szCs w:val="20"/>
                <w:color w:val="auto"/>
              </w:rPr>
            </w:pPr>
            <w:r>
              <w:rPr>
                <w:rFonts w:ascii="Arial" w:cs="Arial" w:eastAsia="Arial" w:hAnsi="Arial"/>
                <w:sz w:val="12"/>
                <w:szCs w:val="12"/>
                <w:color w:val="auto"/>
              </w:rPr>
              <w:t>Net income attributable to noncontrolling interest</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w:t>
            </w:r>
          </w:p>
        </w:tc>
      </w:tr>
      <w:tr>
        <w:trPr>
          <w:trHeight w:val="172"/>
        </w:trPr>
        <w:tc>
          <w:tcPr>
            <w:tcW w:w="77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(loss) income attributable to common stock</w:t>
            </w:r>
          </w:p>
        </w:tc>
        <w:tc>
          <w:tcPr>
            <w:tcW w:w="72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279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(3,554)</w:t>
            </w:r>
          </w:p>
        </w:tc>
      </w:tr>
      <w:tr>
        <w:trPr>
          <w:trHeight w:val="189"/>
        </w:trPr>
        <w:tc>
          <w:tcPr>
            <w:tcW w:w="7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0"/>
        </w:trPr>
        <w:tc>
          <w:tcPr>
            <w:tcW w:w="7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Adjusted net loss</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(311)</w:t>
            </w:r>
          </w:p>
        </w:tc>
      </w:tr>
      <w:tr>
        <w:trPr>
          <w:trHeight w:val="176"/>
        </w:trPr>
        <w:tc>
          <w:tcPr>
            <w:tcW w:w="7720" w:type="dxa"/>
            <w:vAlign w:val="bottom"/>
          </w:tcPr>
          <w:p>
            <w:pPr>
              <w:ind w:left="20"/>
              <w:spacing w:after="0"/>
              <w:rPr>
                <w:sz w:val="20"/>
                <w:szCs w:val="20"/>
                <w:color w:val="auto"/>
              </w:rPr>
            </w:pPr>
            <w:r>
              <w:rPr>
                <w:rFonts w:ascii="Arial" w:cs="Arial" w:eastAsia="Arial" w:hAnsi="Arial"/>
                <w:sz w:val="12"/>
                <w:szCs w:val="12"/>
                <w:color w:val="auto"/>
              </w:rPr>
              <w:t>Adjusted EBITDAX</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761</w:t>
            </w:r>
          </w:p>
        </w:tc>
        <w:tc>
          <w:tcPr>
            <w:tcW w:w="12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616</w:t>
            </w:r>
          </w:p>
        </w:tc>
        <w:tc>
          <w:tcPr>
            <w:tcW w:w="100" w:type="dxa"/>
            <w:vAlign w:val="bottom"/>
          </w:tcPr>
          <w:p>
            <w:pPr>
              <w:spacing w:after="0"/>
              <w:rPr>
                <w:sz w:val="15"/>
                <w:szCs w:val="15"/>
                <w:color w:val="auto"/>
              </w:rPr>
            </w:pP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906</w:t>
            </w:r>
          </w:p>
        </w:tc>
      </w:tr>
      <w:tr>
        <w:trPr>
          <w:trHeight w:val="194"/>
        </w:trPr>
        <w:tc>
          <w:tcPr>
            <w:tcW w:w="77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1"/>
        </w:trPr>
        <w:tc>
          <w:tcPr>
            <w:tcW w:w="7720" w:type="dxa"/>
            <w:vAlign w:val="bottom"/>
          </w:tcPr>
          <w:p>
            <w:pPr>
              <w:ind w:left="20"/>
              <w:spacing w:after="0"/>
              <w:rPr>
                <w:sz w:val="20"/>
                <w:szCs w:val="20"/>
                <w:color w:val="auto"/>
              </w:rPr>
            </w:pPr>
            <w:r>
              <w:rPr>
                <w:rFonts w:ascii="Arial" w:cs="Arial" w:eastAsia="Arial" w:hAnsi="Arial"/>
                <w:sz w:val="12"/>
                <w:szCs w:val="12"/>
                <w:color w:val="auto"/>
              </w:rPr>
              <w:t>Effective tax rate</w:t>
            </w:r>
          </w:p>
        </w:tc>
        <w:tc>
          <w:tcPr>
            <w:tcW w:w="720" w:type="dxa"/>
            <w:vAlign w:val="bottom"/>
          </w:tcPr>
          <w:p>
            <w:pPr>
              <w:spacing w:after="0"/>
              <w:rPr>
                <w:sz w:val="14"/>
                <w:szCs w:val="14"/>
                <w:color w:val="auto"/>
              </w:rPr>
            </w:pPr>
          </w:p>
        </w:tc>
        <w:tc>
          <w:tcPr>
            <w:tcW w:w="54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297"/>
        </w:trPr>
        <w:tc>
          <w:tcPr>
            <w:tcW w:w="7720" w:type="dxa"/>
            <w:vAlign w:val="bottom"/>
          </w:tcPr>
          <w:p>
            <w:pPr>
              <w:spacing w:after="0"/>
              <w:rPr>
                <w:sz w:val="20"/>
                <w:szCs w:val="20"/>
                <w:color w:val="auto"/>
              </w:rPr>
            </w:pPr>
            <w:r>
              <w:rPr>
                <w:rFonts w:ascii="Arial" w:cs="Arial" w:eastAsia="Arial" w:hAnsi="Arial"/>
                <w:sz w:val="12"/>
                <w:szCs w:val="12"/>
                <w:b w:val="1"/>
                <w:bCs w:val="1"/>
                <w:i w:val="1"/>
                <w:iCs w:val="1"/>
                <w:color w:val="auto"/>
              </w:rPr>
              <w:t>Non-GAAP Financial Measures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44" w:lineRule="exact"/>
        <w:rPr>
          <w:sz w:val="20"/>
          <w:szCs w:val="20"/>
          <w:color w:val="auto"/>
        </w:rPr>
      </w:pPr>
    </w:p>
    <w:p>
      <w:pPr>
        <w:ind w:right="60" w:firstLine="216"/>
        <w:spacing w:after="0" w:line="253" w:lineRule="auto"/>
        <w:rPr>
          <w:sz w:val="20"/>
          <w:szCs w:val="20"/>
          <w:color w:val="auto"/>
        </w:rPr>
      </w:pPr>
      <w:r>
        <w:rPr>
          <w:rFonts w:ascii="Arial" w:cs="Arial" w:eastAsia="Arial" w:hAnsi="Arial"/>
          <w:sz w:val="12"/>
          <w:szCs w:val="12"/>
          <w:color w:val="auto"/>
        </w:rPr>
        <w:t>Our results of operations can include the effects of unusual, out-of-period and infrequent transactions and events affecting earnings that vary widely and unpredictably in nature, timing, amount and frequency. Therefore, management uses measures called adjusted net loss and adjusted general and administrative expenses, both of which exclude those items. These measures are not meant to disassociate items from management's performance, but rather are meant to provide useful information to investors interested in comparing our performance between periods. Reported earnings are considered representative of management's performance over the long term. Adjusted net loss and adjusted general and administrative expenses are not considered to be alternatives to net income (loss) or general and administrative expenses, respectively, reported in accordance with U.S. generally accepted accounting principles (GAAP).</w:t>
      </w:r>
    </w:p>
    <w:p>
      <w:pPr>
        <w:spacing w:after="0" w:line="137"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We define Adjusted EBITDAX as earnings before interest expense; income taxes; depreciation, depletion and amortization; exploration expense; other unusual, out-of-period and infrequent items; and other non-cash items. We believe Adjusted EBITDAX provides useful information in assessing our financial condition, results of operations and cash flows and is widely used by the industry, the investment community and our lenders. While Adjusted EBITDAX is a non-GAAP measure, the amounts included in the calculation of Adjusted EBITDAX were computed in accordance with GAAP. This measure is a material component of certain of our financial covenants under our 2014 Revolving Credit Facility and is provided in addition to, and not as an alternative for, income and liquidity measures calculated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60"/>
          </w:cols>
          <w:pgMar w:left="220" w:top="287" w:right="219" w:bottom="1440" w:gutter="0" w:footer="0" w:header="0"/>
        </w:sectPr>
      </w:pPr>
    </w:p>
    <w:bookmarkStart w:id="57" w:name="page58"/>
    <w:bookmarkEnd w:id="57"/>
    <w:p>
      <w:pPr>
        <w:ind w:right="320" w:firstLine="216"/>
        <w:spacing w:after="0" w:line="262" w:lineRule="auto"/>
        <w:rPr>
          <w:sz w:val="20"/>
          <w:szCs w:val="20"/>
          <w:color w:val="auto"/>
        </w:rPr>
      </w:pPr>
      <w:r>
        <w:rPr>
          <w:rFonts w:ascii="Arial" w:cs="Arial" w:eastAsia="Arial" w:hAnsi="Arial"/>
          <w:sz w:val="12"/>
          <w:szCs w:val="12"/>
          <w:color w:val="auto"/>
        </w:rPr>
        <w:t>The following table presents a reconciliation of the GAAP financial measure of net (loss) income attributable to common stock to the non-GAAP financial measure of adjusted net loss and presents the GAAP financial measure of net (loss) income attributable to common stock per diluted share and the non-GAAP financial measure of adjusted net loss per diluted share: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2015</w:t>
            </w:r>
          </w:p>
        </w:tc>
      </w:tr>
      <w:tr>
        <w:trPr>
          <w:trHeight w:val="161"/>
        </w:trPr>
        <w:tc>
          <w:tcPr>
            <w:tcW w:w="7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gridSpan w:val="4"/>
          </w:tcPr>
          <w:p>
            <w:pPr>
              <w:ind w:left="40"/>
              <w:spacing w:after="0"/>
              <w:rPr>
                <w:sz w:val="20"/>
                <w:szCs w:val="20"/>
                <w:color w:val="auto"/>
              </w:rPr>
            </w:pPr>
            <w:r>
              <w:rPr>
                <w:rFonts w:ascii="Arial" w:cs="Arial" w:eastAsia="Arial" w:hAnsi="Arial"/>
                <w:sz w:val="10"/>
                <w:szCs w:val="10"/>
                <w:color w:val="auto"/>
                <w:w w:val="98"/>
              </w:rPr>
              <w:t>(in millions, except share data)</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4"/>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income attributable to common stock</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(3,554)</w:t>
            </w:r>
          </w:p>
        </w:tc>
      </w:tr>
      <w:tr>
        <w:trPr>
          <w:trHeight w:val="176"/>
        </w:trPr>
        <w:tc>
          <w:tcPr>
            <w:tcW w:w="7800" w:type="dxa"/>
            <w:vAlign w:val="bottom"/>
          </w:tcPr>
          <w:p>
            <w:pPr>
              <w:ind w:left="20"/>
              <w:spacing w:after="0"/>
              <w:rPr>
                <w:sz w:val="20"/>
                <w:szCs w:val="20"/>
                <w:color w:val="auto"/>
              </w:rPr>
            </w:pPr>
            <w:r>
              <w:rPr>
                <w:rFonts w:ascii="Arial" w:cs="Arial" w:eastAsia="Arial" w:hAnsi="Arial"/>
                <w:sz w:val="12"/>
                <w:szCs w:val="12"/>
                <w:color w:val="auto"/>
              </w:rPr>
              <w:t>Unusual and infrequent items:</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Non-cash derivative losses (gains), excluding noncontrolling interest</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Early retirement, severance and other costs</w:t>
            </w:r>
          </w:p>
        </w:tc>
        <w:tc>
          <w:tcPr>
            <w:tcW w:w="72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67</w:t>
            </w:r>
          </w:p>
        </w:tc>
      </w:tr>
      <w:tr>
        <w:trPr>
          <w:trHeight w:val="18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gains on early extinguishment of debt</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w:t>
            </w: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Gains on asset divestitures</w:t>
            </w:r>
          </w:p>
        </w:tc>
        <w:tc>
          <w:tcPr>
            <w:tcW w:w="720" w:type="dxa"/>
            <w:vAlign w:val="bottom"/>
          </w:tcPr>
          <w:p>
            <w:pPr>
              <w:spacing w:after="0"/>
              <w:rPr>
                <w:sz w:val="15"/>
                <w:szCs w:val="15"/>
                <w:color w:val="auto"/>
              </w:rPr>
            </w:pP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Asset impairments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4,852</w:t>
            </w: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Write-down of certain assets</w:t>
            </w:r>
          </w:p>
        </w:tc>
        <w:tc>
          <w:tcPr>
            <w:tcW w:w="72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71</w:t>
            </w:r>
          </w:p>
        </w:tc>
      </w:tr>
      <w:tr>
        <w:trPr>
          <w:trHeight w:val="18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Debt issuance costs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w:t>
            </w:r>
          </w:p>
        </w:tc>
      </w:tr>
      <w:tr>
        <w:trPr>
          <w:trHeight w:val="176"/>
        </w:trPr>
        <w:tc>
          <w:tcPr>
            <w:tcW w:w="78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w:t>
            </w:r>
          </w:p>
        </w:tc>
      </w:tr>
      <w:tr>
        <w:trPr>
          <w:trHeight w:val="165"/>
        </w:trPr>
        <w:tc>
          <w:tcPr>
            <w:tcW w:w="7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unusual and infrequent items</w:t>
            </w: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(545)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4,957</w:t>
            </w: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Deferred debt issuance costs write-off</w:t>
            </w:r>
          </w:p>
        </w:tc>
        <w:tc>
          <w:tcPr>
            <w:tcW w:w="72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Reversal of valuation allowance for deferred tax assets</w:t>
            </w:r>
            <w:r>
              <w:rPr>
                <w:rFonts w:ascii="Arial" w:cs="Arial" w:eastAsia="Arial" w:hAnsi="Arial"/>
                <w:sz w:val="14"/>
                <w:szCs w:val="14"/>
                <w:color w:val="auto"/>
                <w:vertAlign w:val="superscript"/>
              </w:rPr>
              <w:t>(a)</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294</w:t>
            </w:r>
          </w:p>
        </w:tc>
      </w:tr>
      <w:tr>
        <w:trPr>
          <w:trHeight w:val="176"/>
        </w:trPr>
        <w:tc>
          <w:tcPr>
            <w:tcW w:w="78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Tax effects of these items</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(2,008)</w:t>
            </w:r>
          </w:p>
        </w:tc>
      </w:tr>
      <w:tr>
        <w:trPr>
          <w:trHeight w:val="172"/>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Adjusted net loss</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(311)</w:t>
            </w:r>
          </w:p>
        </w:tc>
      </w:tr>
      <w:tr>
        <w:trPr>
          <w:trHeight w:val="189"/>
        </w:trPr>
        <w:tc>
          <w:tcPr>
            <w:tcW w:w="78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income attributable to common stock per diluted share</w:t>
            </w: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(6.26)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(92.79)</w:t>
            </w:r>
          </w:p>
        </w:tc>
      </w:tr>
      <w:tr>
        <w:trPr>
          <w:trHeight w:val="171"/>
        </w:trPr>
        <w:tc>
          <w:tcPr>
            <w:tcW w:w="7800" w:type="dxa"/>
            <w:vAlign w:val="bottom"/>
          </w:tcPr>
          <w:p>
            <w:pPr>
              <w:ind w:left="20"/>
              <w:spacing w:after="0"/>
              <w:rPr>
                <w:sz w:val="20"/>
                <w:szCs w:val="20"/>
                <w:color w:val="auto"/>
              </w:rPr>
            </w:pPr>
            <w:r>
              <w:rPr>
                <w:rFonts w:ascii="Arial" w:cs="Arial" w:eastAsia="Arial" w:hAnsi="Arial"/>
                <w:sz w:val="12"/>
                <w:szCs w:val="12"/>
                <w:color w:val="auto"/>
              </w:rPr>
              <w:t>Adjusted net loss per diluted share</w:t>
            </w:r>
          </w:p>
        </w:tc>
        <w:tc>
          <w:tcPr>
            <w:tcW w:w="720" w:type="dxa"/>
            <w:vAlign w:val="bottom"/>
          </w:tcPr>
          <w:p>
            <w:pPr>
              <w:jc w:val="right"/>
              <w:ind w:right="580"/>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(4.40)</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(7.85)</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(8.12)</w:t>
            </w:r>
          </w:p>
        </w:tc>
      </w:tr>
    </w:tbl>
    <w:p>
      <w:pPr>
        <w:spacing w:after="0" w:line="12" w:lineRule="exact"/>
        <w:rPr>
          <w:sz w:val="20"/>
          <w:szCs w:val="20"/>
          <w:color w:val="auto"/>
        </w:rPr>
      </w:pPr>
    </w:p>
    <w:p>
      <w:pPr>
        <w:ind w:left="480" w:hanging="218"/>
        <w:spacing w:after="0"/>
        <w:tabs>
          <w:tab w:leader="none" w:pos="480" w:val="left"/>
        </w:tabs>
        <w:numPr>
          <w:ilvl w:val="0"/>
          <w:numId w:val="43"/>
        </w:numPr>
        <w:rPr>
          <w:rFonts w:ascii="Arial" w:cs="Arial" w:eastAsia="Arial" w:hAnsi="Arial"/>
          <w:sz w:val="10"/>
          <w:szCs w:val="10"/>
          <w:color w:val="auto"/>
        </w:rPr>
      </w:pPr>
      <w:r>
        <w:rPr>
          <w:rFonts w:ascii="Arial" w:cs="Arial" w:eastAsia="Arial" w:hAnsi="Arial"/>
          <w:sz w:val="10"/>
          <w:szCs w:val="10"/>
          <w:color w:val="auto"/>
        </w:rPr>
        <w:t>Amount represents the out-of-period portion of the valuation allowance reversal.</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a reconciliation of the GAAP financial measure of net (loss) income attributable to common stock to the non-GAAP financial measure of Adjusted EBITDAX:</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80" w:type="dxa"/>
            <w:vAlign w:val="bottom"/>
          </w:tcPr>
          <w:p>
            <w:pPr>
              <w:spacing w:after="0"/>
              <w:rPr>
                <w:sz w:val="14"/>
                <w:szCs w:val="14"/>
                <w:color w:val="auto"/>
              </w:rPr>
            </w:pPr>
          </w:p>
        </w:tc>
        <w:tc>
          <w:tcPr>
            <w:tcW w:w="34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2017</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b w:val="1"/>
                <w:bCs w:val="1"/>
                <w:color w:val="auto"/>
              </w:rPr>
              <w:t>2015</w:t>
            </w:r>
          </w:p>
        </w:tc>
      </w:tr>
      <w:tr>
        <w:trPr>
          <w:trHeight w:val="161"/>
        </w:trPr>
        <w:tc>
          <w:tcPr>
            <w:tcW w:w="5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0"/>
                <w:szCs w:val="10"/>
                <w:color w:val="auto"/>
                <w:w w:val="94"/>
              </w:rPr>
              <w:t>(in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income attributable to common stock</w:t>
            </w:r>
          </w:p>
        </w:tc>
        <w:tc>
          <w:tcPr>
            <w:tcW w:w="3460" w:type="dxa"/>
            <w:vAlign w:val="bottom"/>
            <w:gridSpan w:val="3"/>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(3,554)</w:t>
            </w:r>
          </w:p>
        </w:tc>
      </w:tr>
      <w:tr>
        <w:trPr>
          <w:trHeight w:val="176"/>
        </w:trPr>
        <w:tc>
          <w:tcPr>
            <w:tcW w:w="5080" w:type="dxa"/>
            <w:vAlign w:val="bottom"/>
          </w:tcPr>
          <w:p>
            <w:pPr>
              <w:ind w:left="20"/>
              <w:spacing w:after="0"/>
              <w:rPr>
                <w:sz w:val="20"/>
                <w:szCs w:val="20"/>
                <w:color w:val="auto"/>
              </w:rPr>
            </w:pPr>
            <w:r>
              <w:rPr>
                <w:rFonts w:ascii="Arial" w:cs="Arial" w:eastAsia="Arial" w:hAnsi="Arial"/>
                <w:sz w:val="12"/>
                <w:szCs w:val="12"/>
                <w:color w:val="auto"/>
              </w:rPr>
              <w:t>Interest and debt expense, net</w:t>
            </w: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343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328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326</w:t>
            </w:r>
          </w:p>
        </w:tc>
      </w:tr>
      <w:tr>
        <w:trPr>
          <w:trHeight w:val="185"/>
        </w:trPr>
        <w:tc>
          <w:tcPr>
            <w:tcW w:w="5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benefit</w:t>
            </w:r>
          </w:p>
        </w:tc>
        <w:tc>
          <w:tcPr>
            <w:tcW w:w="2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(1,922)</w:t>
            </w:r>
          </w:p>
        </w:tc>
      </w:tr>
      <w:tr>
        <w:trPr>
          <w:trHeight w:val="176"/>
        </w:trPr>
        <w:tc>
          <w:tcPr>
            <w:tcW w:w="5080" w:type="dxa"/>
            <w:vAlign w:val="bottom"/>
          </w:tcPr>
          <w:p>
            <w:pPr>
              <w:ind w:left="20"/>
              <w:spacing w:after="0"/>
              <w:rPr>
                <w:sz w:val="20"/>
                <w:szCs w:val="20"/>
                <w:color w:val="auto"/>
              </w:rPr>
            </w:pPr>
            <w:r>
              <w:rPr>
                <w:rFonts w:ascii="Arial" w:cs="Arial" w:eastAsia="Arial" w:hAnsi="Arial"/>
                <w:sz w:val="12"/>
                <w:szCs w:val="12"/>
                <w:color w:val="auto"/>
              </w:rPr>
              <w:t>Depreciation, depletion and amortization, excluding noncontrolling interest</w:t>
            </w: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535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559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1,004</w:t>
            </w:r>
          </w:p>
        </w:tc>
      </w:tr>
      <w:tr>
        <w:trPr>
          <w:trHeight w:val="185"/>
        </w:trPr>
        <w:tc>
          <w:tcPr>
            <w:tcW w:w="5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Exploration expense</w:t>
            </w:r>
          </w:p>
        </w:tc>
        <w:tc>
          <w:tcPr>
            <w:tcW w:w="2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w:t>
            </w:r>
          </w:p>
        </w:tc>
      </w:tr>
      <w:tr>
        <w:trPr>
          <w:trHeight w:val="176"/>
        </w:trPr>
        <w:tc>
          <w:tcPr>
            <w:tcW w:w="5080" w:type="dxa"/>
            <w:vAlign w:val="bottom"/>
          </w:tcPr>
          <w:p>
            <w:pPr>
              <w:ind w:left="20"/>
              <w:spacing w:after="0"/>
              <w:rPr>
                <w:sz w:val="20"/>
                <w:szCs w:val="20"/>
                <w:color w:val="auto"/>
              </w:rPr>
            </w:pPr>
            <w:r>
              <w:rPr>
                <w:rFonts w:ascii="Arial" w:cs="Arial" w:eastAsia="Arial" w:hAnsi="Arial"/>
                <w:sz w:val="12"/>
                <w:szCs w:val="12"/>
                <w:color w:val="auto"/>
              </w:rPr>
              <w:t>Unusual and infrequent items</w:t>
            </w: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79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(545)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4,957</w:t>
            </w:r>
          </w:p>
        </w:tc>
      </w:tr>
      <w:tr>
        <w:trPr>
          <w:trHeight w:val="180"/>
        </w:trPr>
        <w:tc>
          <w:tcPr>
            <w:tcW w:w="5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non-cash items</w:t>
            </w:r>
          </w:p>
        </w:tc>
        <w:tc>
          <w:tcPr>
            <w:tcW w:w="27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59</w:t>
            </w:r>
          </w:p>
        </w:tc>
      </w:tr>
      <w:tr>
        <w:trPr>
          <w:trHeight w:val="172"/>
        </w:trPr>
        <w:tc>
          <w:tcPr>
            <w:tcW w:w="5080" w:type="dxa"/>
            <w:vAlign w:val="bottom"/>
          </w:tcPr>
          <w:p>
            <w:pPr>
              <w:ind w:left="20"/>
              <w:spacing w:after="0"/>
              <w:rPr>
                <w:sz w:val="20"/>
                <w:szCs w:val="20"/>
                <w:color w:val="auto"/>
              </w:rPr>
            </w:pPr>
            <w:r>
              <w:rPr>
                <w:rFonts w:ascii="Arial" w:cs="Arial" w:eastAsia="Arial" w:hAnsi="Arial"/>
                <w:sz w:val="12"/>
                <w:szCs w:val="12"/>
                <w:color w:val="auto"/>
              </w:rPr>
              <w:t>Adjusted EBITDAX</w:t>
            </w:r>
          </w:p>
        </w:tc>
        <w:tc>
          <w:tcPr>
            <w:tcW w:w="3460" w:type="dxa"/>
            <w:vAlign w:val="bottom"/>
            <w:gridSpan w:val="3"/>
          </w:tcPr>
          <w:p>
            <w:pPr>
              <w:jc w:val="right"/>
              <w:ind w:right="66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761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616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906</w:t>
            </w:r>
          </w:p>
        </w:tc>
      </w:tr>
      <w:tr>
        <w:trPr>
          <w:trHeight w:val="288"/>
        </w:trPr>
        <w:tc>
          <w:tcPr>
            <w:tcW w:w="5080" w:type="dxa"/>
            <w:vAlign w:val="bottom"/>
          </w:tcPr>
          <w:p>
            <w:pPr>
              <w:ind w:left="200"/>
              <w:spacing w:after="0"/>
              <w:rPr>
                <w:sz w:val="20"/>
                <w:szCs w:val="20"/>
                <w:color w:val="auto"/>
              </w:rPr>
            </w:pPr>
            <w:r>
              <w:rPr>
                <w:rFonts w:ascii="Arial" w:cs="Arial" w:eastAsia="Arial" w:hAnsi="Arial"/>
                <w:sz w:val="12"/>
                <w:szCs w:val="12"/>
                <w:color w:val="auto"/>
              </w:rPr>
              <w:t>The following table presents the components of our net derivative (losses) gains:</w:t>
            </w:r>
          </w:p>
        </w:tc>
        <w:tc>
          <w:tcPr>
            <w:tcW w:w="27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66"/>
        </w:trPr>
        <w:tc>
          <w:tcPr>
            <w:tcW w:w="5080" w:type="dxa"/>
            <w:vAlign w:val="bottom"/>
          </w:tcPr>
          <w:p>
            <w:pPr>
              <w:spacing w:after="0"/>
              <w:rPr>
                <w:sz w:val="23"/>
                <w:szCs w:val="23"/>
                <w:color w:val="auto"/>
              </w:rPr>
            </w:pPr>
          </w:p>
        </w:tc>
        <w:tc>
          <w:tcPr>
            <w:tcW w:w="34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center"/>
              <w:ind w:right="141"/>
              <w:spacing w:after="0"/>
              <w:rPr>
                <w:sz w:val="20"/>
                <w:szCs w:val="20"/>
                <w:color w:val="auto"/>
              </w:rPr>
            </w:pPr>
            <w:r>
              <w:rPr>
                <w:rFonts w:ascii="Arial" w:cs="Arial" w:eastAsia="Arial" w:hAnsi="Arial"/>
                <w:sz w:val="12"/>
                <w:szCs w:val="12"/>
                <w:b w:val="1"/>
                <w:bCs w:val="1"/>
                <w:color w:val="auto"/>
                <w:w w:val="97"/>
              </w:rPr>
              <w:t>2016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60"/>
              <w:spacing w:after="0"/>
              <w:rPr>
                <w:sz w:val="20"/>
                <w:szCs w:val="20"/>
                <w:color w:val="auto"/>
              </w:rPr>
            </w:pPr>
            <w:r>
              <w:rPr>
                <w:rFonts w:ascii="Arial" w:cs="Arial" w:eastAsia="Arial" w:hAnsi="Arial"/>
                <w:sz w:val="12"/>
                <w:szCs w:val="12"/>
                <w:b w:val="1"/>
                <w:bCs w:val="1"/>
                <w:color w:val="auto"/>
              </w:rPr>
              <w:t>2015</w:t>
            </w:r>
          </w:p>
        </w:tc>
      </w:tr>
      <w:tr>
        <w:trPr>
          <w:trHeight w:val="161"/>
        </w:trPr>
        <w:tc>
          <w:tcPr>
            <w:tcW w:w="5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0"/>
                <w:szCs w:val="10"/>
                <w:color w:val="auto"/>
                <w:w w:val="94"/>
              </w:rPr>
              <w:t>(in millions)</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184"/>
        </w:trPr>
        <w:tc>
          <w:tcPr>
            <w:tcW w:w="5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Non-cash derivative (losses) gains, excluding noncontrolling interest</w:t>
            </w:r>
          </w:p>
        </w:tc>
        <w:tc>
          <w:tcPr>
            <w:tcW w:w="3460" w:type="dxa"/>
            <w:vAlign w:val="bottom"/>
            <w:gridSpan w:val="3"/>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w:t>
            </w:r>
          </w:p>
        </w:tc>
      </w:tr>
      <w:tr>
        <w:trPr>
          <w:trHeight w:val="176"/>
        </w:trPr>
        <w:tc>
          <w:tcPr>
            <w:tcW w:w="5080" w:type="dxa"/>
            <w:vAlign w:val="bottom"/>
          </w:tcPr>
          <w:p>
            <w:pPr>
              <w:ind w:left="20"/>
              <w:spacing w:after="0"/>
              <w:rPr>
                <w:sz w:val="20"/>
                <w:szCs w:val="20"/>
                <w:color w:val="auto"/>
              </w:rPr>
            </w:pPr>
            <w:r>
              <w:rPr>
                <w:rFonts w:ascii="Arial" w:cs="Arial" w:eastAsia="Arial" w:hAnsi="Arial"/>
                <w:sz w:val="12"/>
                <w:szCs w:val="12"/>
                <w:color w:val="auto"/>
              </w:rPr>
              <w:t>Non-cash derivative losses for noncontrolling interest</w:t>
            </w: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5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(payments) proceeds from settled derivatives</w:t>
            </w:r>
          </w:p>
        </w:tc>
        <w:tc>
          <w:tcPr>
            <w:tcW w:w="2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81</w:t>
            </w:r>
          </w:p>
        </w:tc>
      </w:tr>
      <w:tr>
        <w:trPr>
          <w:trHeight w:val="172"/>
        </w:trPr>
        <w:tc>
          <w:tcPr>
            <w:tcW w:w="5080" w:type="dxa"/>
            <w:vAlign w:val="bottom"/>
          </w:tcPr>
          <w:p>
            <w:pPr>
              <w:ind w:left="20"/>
              <w:spacing w:after="0"/>
              <w:rPr>
                <w:sz w:val="20"/>
                <w:szCs w:val="20"/>
                <w:color w:val="auto"/>
              </w:rPr>
            </w:pPr>
            <w:r>
              <w:rPr>
                <w:rFonts w:ascii="Arial" w:cs="Arial" w:eastAsia="Arial" w:hAnsi="Arial"/>
                <w:sz w:val="12"/>
                <w:szCs w:val="12"/>
                <w:color w:val="auto"/>
              </w:rPr>
              <w:t>Net derivative (losses) gains</w:t>
            </w:r>
          </w:p>
        </w:tc>
        <w:tc>
          <w:tcPr>
            <w:tcW w:w="3460" w:type="dxa"/>
            <w:vAlign w:val="bottom"/>
            <w:gridSpan w:val="3"/>
          </w:tcPr>
          <w:p>
            <w:pPr>
              <w:jc w:val="right"/>
              <w:ind w:right="66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(90)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133</w:t>
            </w:r>
          </w:p>
        </w:tc>
      </w:tr>
      <w:tr>
        <w:trPr>
          <w:trHeight w:val="450"/>
        </w:trPr>
        <w:tc>
          <w:tcPr>
            <w:tcW w:w="5080" w:type="dxa"/>
            <w:vAlign w:val="bottom"/>
          </w:tcPr>
          <w:p>
            <w:pPr>
              <w:spacing w:after="0"/>
              <w:rPr>
                <w:sz w:val="24"/>
                <w:szCs w:val="24"/>
                <w:color w:val="auto"/>
              </w:rPr>
            </w:pPr>
          </w:p>
        </w:tc>
        <w:tc>
          <w:tcPr>
            <w:tcW w:w="2720" w:type="dxa"/>
            <w:vAlign w:val="bottom"/>
          </w:tcPr>
          <w:p>
            <w:pPr>
              <w:jc w:val="right"/>
              <w:ind w:right="1940"/>
              <w:spacing w:after="0"/>
              <w:rPr>
                <w:sz w:val="20"/>
                <w:szCs w:val="20"/>
                <w:color w:val="auto"/>
              </w:rPr>
            </w:pPr>
            <w:r>
              <w:rPr>
                <w:rFonts w:ascii="Arial" w:cs="Arial" w:eastAsia="Arial" w:hAnsi="Arial"/>
                <w:sz w:val="12"/>
                <w:szCs w:val="12"/>
                <w:color w:val="auto"/>
              </w:rPr>
              <w:t>58</w:t>
            </w:r>
          </w:p>
        </w:tc>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301" w:right="219" w:bottom="1440" w:gutter="0" w:footer="0" w:header="0"/>
        </w:sectPr>
      </w:pPr>
    </w:p>
    <w:bookmarkStart w:id="58" w:name="page59"/>
    <w:bookmarkEnd w:id="58"/>
    <w:p>
      <w:pPr>
        <w:ind w:right="240" w:firstLine="216"/>
        <w:spacing w:after="0" w:line="262" w:lineRule="auto"/>
        <w:rPr>
          <w:sz w:val="20"/>
          <w:szCs w:val="20"/>
          <w:color w:val="auto"/>
        </w:rPr>
      </w:pPr>
      <w:r>
        <w:rPr>
          <w:rFonts w:ascii="Arial" w:cs="Arial" w:eastAsia="Arial" w:hAnsi="Arial"/>
          <w:sz w:val="12"/>
          <w:szCs w:val="12"/>
          <w:color w:val="auto"/>
        </w:rPr>
        <w:t>The following table presents the reconciliation of our company-wide GAAP financial measure of general and administrative expenses to the non-GAAP financial measure of adjusted general and administrative expenses: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2015</w:t>
            </w:r>
          </w:p>
        </w:tc>
      </w:tr>
      <w:tr>
        <w:trPr>
          <w:trHeight w:val="161"/>
        </w:trPr>
        <w:tc>
          <w:tcPr>
            <w:tcW w:w="7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0"/>
                <w:szCs w:val="10"/>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4"/>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expenses</w:t>
            </w: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354</w:t>
            </w:r>
          </w:p>
        </w:tc>
      </w:tr>
      <w:tr>
        <w:trPr>
          <w:trHeight w:val="17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Early retirement and severance costs</w:t>
            </w: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r>
      <w:tr>
        <w:trPr>
          <w:trHeight w:val="172"/>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Adjusted general and administrative expenses</w:t>
            </w: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254</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228</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287</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2017 vs. 2016</w:t>
      </w:r>
    </w:p>
    <w:p>
      <w:pPr>
        <w:spacing w:after="0" w:line="164" w:lineRule="exact"/>
        <w:rPr>
          <w:sz w:val="20"/>
          <w:szCs w:val="20"/>
          <w:color w:val="auto"/>
        </w:rPr>
      </w:pPr>
    </w:p>
    <w:p>
      <w:pPr>
        <w:ind w:right="20" w:firstLine="216"/>
        <w:spacing w:after="0" w:line="253" w:lineRule="auto"/>
        <w:rPr>
          <w:sz w:val="20"/>
          <w:szCs w:val="20"/>
          <w:color w:val="auto"/>
        </w:rPr>
      </w:pPr>
      <w:r>
        <w:rPr>
          <w:rFonts w:ascii="Arial" w:cs="Arial" w:eastAsia="Arial" w:hAnsi="Arial"/>
          <w:sz w:val="12"/>
          <w:szCs w:val="12"/>
          <w:color w:val="auto"/>
        </w:rPr>
        <w:t>Oil and gas net sales increased 19%, or $315 million, in 2017 compared to 2016, due to increases of approximately $392 million, $78 million and $29 million from higher oil, NGL and natural gas realized prices, respectively, partially offset by the effects of lower oil and natural gas production of $168 million and $16 million, respectively. The higher realized oil prices reflected the significant increase in global oil prices and improved differentials. Our total daily production volumes averaged 129 MBoe in 2017, compared with 140 MBoe in 2016, representing a year-over-year decline rate of 8%. Average oil production decreased by 9%, or 8,000 barrels per day, from 91,000 barrels per day in 2016 to 83,000 barrels per day in 2017. NGL production was 16,000 barrels per day in both 2017 and 2016. Natural gas production decreased by 8% to 182 MMcf per day.</w:t>
      </w:r>
    </w:p>
    <w:p>
      <w:pPr>
        <w:spacing w:after="0" w:line="137"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Net derivative losses were $90 million in 2017 compared to $206 million in 2016, representing an overall change of $116 million. In 2017, we recorded $200 million less in non-cash derivative losses, partially offset by a cash payment of $7 million in 2017 compared with cash proceeds of $77 million in 2016. The non-cash change reflected changes in the commodity price curves based on our derivative positions at the end of each of the respective periods.</w:t>
      </w:r>
    </w:p>
    <w:p>
      <w:pPr>
        <w:spacing w:after="0" w:line="135" w:lineRule="exact"/>
        <w:rPr>
          <w:sz w:val="20"/>
          <w:szCs w:val="20"/>
          <w:color w:val="auto"/>
        </w:rPr>
      </w:pPr>
    </w:p>
    <w:p>
      <w:pPr>
        <w:ind w:right="200" w:firstLine="216"/>
        <w:spacing w:after="0" w:line="262" w:lineRule="auto"/>
        <w:rPr>
          <w:sz w:val="20"/>
          <w:szCs w:val="20"/>
          <w:color w:val="auto"/>
        </w:rPr>
      </w:pPr>
      <w:r>
        <w:rPr>
          <w:rFonts w:ascii="Arial" w:cs="Arial" w:eastAsia="Arial" w:hAnsi="Arial"/>
          <w:sz w:val="12"/>
          <w:szCs w:val="12"/>
          <w:color w:val="auto"/>
        </w:rPr>
        <w:t>Other revenue increased 21%, or $28 million, in 2017 compared to 2016, due to increased margins from natural gas trading activities and increased third-party power sales from the Elk Hills power plant, which was offline for about half of the first quarter of 2016 for a planned turnaround.</w:t>
      </w:r>
    </w:p>
    <w:p>
      <w:pPr>
        <w:spacing w:after="0" w:line="131"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Production costs increased $76 million to $876 million or $18.64 per Boe in 2017, compared to $800 million or $15.61 per Boe in 2016, resulting in 10% increase on an absolute dollar basis. The year-over-year increase was driven by increased activity in line with the stronger commodity prices and higher gas and electricity costs. Total production costs in 2016 reflected management's decision to selectively defer workovers and downhole maintenance activity in light of low commodity prices. The 2017 costs reflected higher downhole maintenance activity in line with the current price environment.</w:t>
      </w:r>
    </w:p>
    <w:p>
      <w:pPr>
        <w:spacing w:after="0" w:line="135"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Our general and administrative expenses increased $11 million to $ 259 million in 2017 compared to 2016. Our adjusted general and administrative expenses, which excluded early retirement and severance costs, were $ 254 million and $228 million in 2017 and 2016, respectively. The 2017 period primarily reflected higher compensation expense related to bonus and the timing of equity-based compensation grants between years. The non-cash portion of general and administrative expenses, comprising equity compensation and pension settlement costs, was approximately $19 million and $25 million in 2017 and 2016, respectively.</w:t>
      </w:r>
    </w:p>
    <w:p>
      <w:pPr>
        <w:spacing w:after="0" w:line="118"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DD&amp;A expense decreased by $15 million in 2017 compared to 2016. Of this decrease, approximately $45 million was attributable to lower volumes, partially offset by an increase in the DD&amp;A rate of approximately $30 million.</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Taxes other than on income decreased 6% in 2017 compared to 2016, largely due to lower property taxes and greenhouse gas emissions costs.</w:t>
      </w:r>
    </w:p>
    <w:p>
      <w:pPr>
        <w:spacing w:after="0" w:line="150" w:lineRule="exact"/>
        <w:rPr>
          <w:sz w:val="20"/>
          <w:szCs w:val="20"/>
          <w:color w:val="auto"/>
        </w:rPr>
      </w:pPr>
    </w:p>
    <w:p>
      <w:pPr>
        <w:ind w:right="240" w:firstLine="216"/>
        <w:spacing w:after="0" w:line="262" w:lineRule="auto"/>
        <w:rPr>
          <w:sz w:val="20"/>
          <w:szCs w:val="20"/>
          <w:color w:val="auto"/>
        </w:rPr>
      </w:pPr>
      <w:r>
        <w:rPr>
          <w:rFonts w:ascii="Arial" w:cs="Arial" w:eastAsia="Arial" w:hAnsi="Arial"/>
          <w:sz w:val="12"/>
          <w:szCs w:val="12"/>
          <w:color w:val="auto"/>
        </w:rPr>
        <w:t>The increase in other expenses, net of $ 27 million to $106 million in 2017, compared to $79 million in 2016, was largely the result of the absence of energy and property tax refunds received in 2016 as well as charges related to fires in the Ventura basin, increased fuel gas costs at our Elk Hills power plant and higher accretion expense.</w:t>
      </w:r>
    </w:p>
    <w:p>
      <w:pPr>
        <w:spacing w:after="0" w:line="131" w:lineRule="exact"/>
        <w:rPr>
          <w:sz w:val="20"/>
          <w:szCs w:val="20"/>
          <w:color w:val="auto"/>
        </w:rPr>
      </w:pPr>
    </w:p>
    <w:p>
      <w:pPr>
        <w:ind w:right="660" w:firstLine="216"/>
        <w:spacing w:after="0" w:line="262" w:lineRule="auto"/>
        <w:rPr>
          <w:sz w:val="20"/>
          <w:szCs w:val="20"/>
          <w:color w:val="auto"/>
        </w:rPr>
      </w:pPr>
      <w:r>
        <w:rPr>
          <w:rFonts w:ascii="Arial" w:cs="Arial" w:eastAsia="Arial" w:hAnsi="Arial"/>
          <w:sz w:val="12"/>
          <w:szCs w:val="12"/>
          <w:color w:val="auto"/>
        </w:rPr>
        <w:t>Interest and debt expense, net, increased to $343 million in 2017, compared to $328 million in 2016, primarily due to higher blended interest rates, increased average borrowings as a result of our debt transactions and increased amortization of our deferred financing costs.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60"/>
          </w:cols>
          <w:pgMar w:left="220" w:top="301" w:right="219" w:bottom="1440" w:gutter="0" w:footer="0" w:header="0"/>
        </w:sectPr>
      </w:pPr>
    </w:p>
    <w:bookmarkStart w:id="59" w:name="page60"/>
    <w:bookmarkEnd w:id="59"/>
    <w:p>
      <w:pPr>
        <w:ind w:firstLine="216"/>
        <w:spacing w:after="0" w:line="262" w:lineRule="auto"/>
        <w:rPr>
          <w:sz w:val="20"/>
          <w:szCs w:val="20"/>
          <w:color w:val="auto"/>
        </w:rPr>
      </w:pPr>
      <w:r>
        <w:rPr>
          <w:rFonts w:ascii="Arial" w:cs="Arial" w:eastAsia="Arial" w:hAnsi="Arial"/>
          <w:sz w:val="12"/>
          <w:szCs w:val="12"/>
          <w:color w:val="auto"/>
        </w:rPr>
        <w:t>Net gains on early extinguishment of debt consisted of the gains on open-market repurchases in 2017 of $12 million, partially offset by a net loss related to early repayment of our 2014 Term Loan of $8 million. Net gains on early extinguishment of debt in 2016 consisted of open-market purchases, a debt-for-equity exchange and a cash tender for our Senior Notes.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Gains on asset divestitures reflected non-core asset sales during each of the respective periods.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non-operating expense in 2017 primarily reflected transaction costs related to our JVs.</w:t>
      </w:r>
    </w:p>
    <w:p>
      <w:pPr>
        <w:spacing w:after="0" w:line="96" w:lineRule="exact"/>
        <w:rPr>
          <w:sz w:val="20"/>
          <w:szCs w:val="20"/>
          <w:color w:val="auto"/>
        </w:rPr>
      </w:pPr>
    </w:p>
    <w:p>
      <w:pPr>
        <w:ind w:right="80" w:firstLine="216"/>
        <w:spacing w:after="0" w:line="256" w:lineRule="auto"/>
        <w:rPr>
          <w:sz w:val="20"/>
          <w:szCs w:val="20"/>
          <w:color w:val="auto"/>
        </w:rPr>
      </w:pPr>
      <w:r>
        <w:rPr>
          <w:rFonts w:ascii="Arial" w:cs="Arial" w:eastAsia="Arial" w:hAnsi="Arial"/>
          <w:sz w:val="12"/>
          <w:szCs w:val="12"/>
          <w:color w:val="auto"/>
        </w:rPr>
        <w:t>In 2017, we did not provide any current or deferred tax benefit on pre-tax loss of $262 million as a result of our continued financial losses. For the same period of 2016, we had a deferred tax benefit of $ 78 million resulting from an adjustment to our 2015 valuation allowance. For 2016, we did not provide a tax provision on our pre-tax income of $279 million because the exclusion of gains related to our debt-reduction actions resulted in a tax loss, which we determined was not more-likely-than-not to be realized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2016 vs. 2015</w:t>
      </w:r>
    </w:p>
    <w:p>
      <w:pPr>
        <w:spacing w:after="0" w:line="164"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Oil and gas net sales decreased 24%, or $513 million, in 2016 compared to 2015, due to reductions of approximately $282 million and $181 million from lower oil prices and volumes, respectively; $ 28 million and $26 million from lower natural gas prices and volumes, respectively; $14 million from lower NGL volumes; and an increase of $18 million from higher NGL prices. The lower realized oil prices reflected a 16% decrease in global oil prices. Daily oil and gas production volumes averaged 140,000 Boe in 2016, compared with 160,000 Boe in 2015, representing a 12.5% year-over-year decline rate, consistent with our estimated overall annual base decline rate. The 2016 production was negatively impacted by 1,000 Boe per day due to the PSCs in our Long Beach operations. Excluding this PSC effect, our year-over-year production decline would have been under 12%. Average oil production decreased by 13%, or 13,000 barrels per day, to 91,000 barrels per day in 2016 compared to 2015. NGL production decreased by 11% to 16,000 barrels per day. Natural gas production decreased by 14% to 197,000 MMcf per day, consistent with our focus on oil-based projects. The overall production decline continued to reflect our decision to withhold development capital and selectively defer workover and downhole maintenance activity in the early part of the year.</w:t>
      </w:r>
    </w:p>
    <w:p>
      <w:pPr>
        <w:spacing w:after="0" w:line="139" w:lineRule="exact"/>
        <w:rPr>
          <w:sz w:val="20"/>
          <w:szCs w:val="20"/>
          <w:color w:val="auto"/>
        </w:rPr>
      </w:pPr>
    </w:p>
    <w:p>
      <w:pPr>
        <w:jc w:val="both"/>
        <w:ind w:right="180" w:firstLine="216"/>
        <w:spacing w:after="0" w:line="256" w:lineRule="auto"/>
        <w:rPr>
          <w:sz w:val="20"/>
          <w:szCs w:val="20"/>
          <w:color w:val="auto"/>
        </w:rPr>
      </w:pPr>
      <w:r>
        <w:rPr>
          <w:rFonts w:ascii="Arial" w:cs="Arial" w:eastAsia="Arial" w:hAnsi="Arial"/>
          <w:sz w:val="12"/>
          <w:szCs w:val="12"/>
          <w:color w:val="auto"/>
        </w:rPr>
        <w:t>Derivative losses were $ 206 million in 2016, compared to gains of $133 million in 2015. Of the change, $335 million was due to the valuation of outstanding derivative contracts at the end of 2016 and $4 million was the result of lower gains from cash settlements. Overall, the 2016 derivative losses were primarily a function of the higher commodity price curve at the end of 2016 compared to the curve when the derivatives were implemented.</w:t>
      </w:r>
    </w:p>
    <w:p>
      <w:pPr>
        <w:spacing w:after="0" w:line="135" w:lineRule="exact"/>
        <w:rPr>
          <w:sz w:val="20"/>
          <w:szCs w:val="20"/>
          <w:color w:val="auto"/>
        </w:rPr>
      </w:pPr>
    </w:p>
    <w:p>
      <w:pPr>
        <w:ind w:right="240" w:firstLine="216"/>
        <w:spacing w:after="0" w:line="256" w:lineRule="auto"/>
        <w:rPr>
          <w:sz w:val="20"/>
          <w:szCs w:val="20"/>
          <w:color w:val="auto"/>
        </w:rPr>
      </w:pPr>
      <w:r>
        <w:rPr>
          <w:rFonts w:ascii="Arial" w:cs="Arial" w:eastAsia="Arial" w:hAnsi="Arial"/>
          <w:sz w:val="12"/>
          <w:szCs w:val="12"/>
          <w:color w:val="auto"/>
        </w:rPr>
        <w:t>Production costs were $800 million or $15.61 per Boe in 2016, compared to $951 million or $16.30 per Boe in 2015, resulting in a 16% reduction on an absolute dollar basis. Of the absolute dollar reduction, approximately 25% related to lower energy costs, largely resulting from lower natural gas prices. The balance, or 75% of the reduction, came from ongoing cost-reduction initiatives which reduced costs across our operations in all categories including surface operations, downhole maintenance and labor costs.</w:t>
      </w:r>
    </w:p>
    <w:p>
      <w:pPr>
        <w:spacing w:after="0" w:line="135" w:lineRule="exact"/>
        <w:rPr>
          <w:sz w:val="20"/>
          <w:szCs w:val="20"/>
          <w:color w:val="auto"/>
        </w:rPr>
      </w:pPr>
    </w:p>
    <w:p>
      <w:pPr>
        <w:jc w:val="both"/>
        <w:ind w:right="160" w:firstLine="216"/>
        <w:spacing w:after="0" w:line="256" w:lineRule="auto"/>
        <w:rPr>
          <w:sz w:val="20"/>
          <w:szCs w:val="20"/>
          <w:color w:val="auto"/>
        </w:rPr>
      </w:pPr>
      <w:r>
        <w:rPr>
          <w:rFonts w:ascii="Arial" w:cs="Arial" w:eastAsia="Arial" w:hAnsi="Arial"/>
          <w:sz w:val="12"/>
          <w:szCs w:val="12"/>
          <w:color w:val="auto"/>
        </w:rPr>
        <w:t>Our general and administrative expenses were lower in 2016 compared to 2015 on a total dollar and per Boe basis, reflecting continued employee and contractor cost-reduction initiatives. Severance and early retirement costs of $ 20 million and $67 million were included in general and administrative expenses in 2016 and 2015, respectively. The non-cash portion of general and administrative expenses, comprising equity compensation and a portion of pension costs, was approximately $25 million and $30 million in 2016 and 2015, respectively.</w:t>
      </w:r>
    </w:p>
    <w:p>
      <w:pPr>
        <w:spacing w:after="0" w:line="135" w:lineRule="exact"/>
        <w:rPr>
          <w:sz w:val="20"/>
          <w:szCs w:val="20"/>
          <w:color w:val="auto"/>
        </w:rPr>
      </w:pPr>
    </w:p>
    <w:p>
      <w:pPr>
        <w:ind w:right="200" w:firstLine="216"/>
        <w:spacing w:after="0" w:line="262" w:lineRule="auto"/>
        <w:rPr>
          <w:sz w:val="20"/>
          <w:szCs w:val="20"/>
          <w:color w:val="auto"/>
        </w:rPr>
      </w:pPr>
      <w:r>
        <w:rPr>
          <w:rFonts w:ascii="Arial" w:cs="Arial" w:eastAsia="Arial" w:hAnsi="Arial"/>
          <w:sz w:val="12"/>
          <w:szCs w:val="12"/>
          <w:color w:val="auto"/>
        </w:rPr>
        <w:t>DD&amp;A expense decreased 44%, or $445 million, in 2016 compared to 2015, primarily due to a $376 million decrease in the DD&amp;A rate that resulted from asset impairments in the fourth quarter of 2015, and an approximately $73 million decrease attributable to lower volumes.</w:t>
      </w:r>
    </w:p>
    <w:p>
      <w:pPr>
        <w:spacing w:after="0" w:line="131" w:lineRule="exact"/>
        <w:rPr>
          <w:sz w:val="20"/>
          <w:szCs w:val="20"/>
          <w:color w:val="auto"/>
        </w:rPr>
      </w:pPr>
    </w:p>
    <w:p>
      <w:pPr>
        <w:ind w:right="240" w:firstLine="216"/>
        <w:spacing w:after="0" w:line="262" w:lineRule="auto"/>
        <w:rPr>
          <w:sz w:val="20"/>
          <w:szCs w:val="20"/>
          <w:color w:val="auto"/>
        </w:rPr>
      </w:pPr>
      <w:r>
        <w:rPr>
          <w:rFonts w:ascii="Arial" w:cs="Arial" w:eastAsia="Arial" w:hAnsi="Arial"/>
          <w:sz w:val="12"/>
          <w:szCs w:val="12"/>
          <w:color w:val="auto"/>
        </w:rPr>
        <w:t>At year-end 2015, we performed impairment tests with respect to our proved and unproved properties triggered by the sharp drop in oil prices in the fourth quarter of 2015, resulting in pre-tax asset impairment charges of $4.9 billion.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60"/>
          </w:cols>
          <w:pgMar w:left="220" w:top="445" w:right="219" w:bottom="1440" w:gutter="0" w:footer="0" w:header="0"/>
        </w:sectPr>
      </w:pPr>
    </w:p>
    <w:bookmarkStart w:id="60" w:name="page61"/>
    <w:bookmarkEnd w:id="60"/>
    <w:p>
      <w:pPr>
        <w:ind w:right="300" w:firstLine="216"/>
        <w:spacing w:after="0" w:line="262" w:lineRule="auto"/>
        <w:rPr>
          <w:sz w:val="20"/>
          <w:szCs w:val="20"/>
          <w:color w:val="auto"/>
        </w:rPr>
      </w:pPr>
      <w:r>
        <w:rPr>
          <w:rFonts w:ascii="Arial" w:cs="Arial" w:eastAsia="Arial" w:hAnsi="Arial"/>
          <w:sz w:val="12"/>
          <w:szCs w:val="12"/>
          <w:color w:val="auto"/>
        </w:rPr>
        <w:t>Taxes other than on income, which include ad valorem taxes, greenhouse gas emissions costs and production taxes, decreased 20%, or $36 million, in 2016 compared to 2015, reflecting lower property taxes assessed in the lower price environment.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Exploration expense decreased 36%, or $13 million, in 2016 compared to 2015, due to reduced lease rentals that we negotiated during the year and lower exploration activity.</w:t>
      </w:r>
    </w:p>
    <w:p>
      <w:pPr>
        <w:spacing w:after="0" w:line="150" w:lineRule="exact"/>
        <w:rPr>
          <w:sz w:val="20"/>
          <w:szCs w:val="20"/>
          <w:color w:val="auto"/>
        </w:rPr>
      </w:pPr>
    </w:p>
    <w:p>
      <w:pPr>
        <w:ind w:right="300" w:firstLine="216"/>
        <w:spacing w:after="0" w:line="262" w:lineRule="auto"/>
        <w:rPr>
          <w:sz w:val="20"/>
          <w:szCs w:val="20"/>
          <w:color w:val="auto"/>
        </w:rPr>
      </w:pPr>
      <w:r>
        <w:rPr>
          <w:rFonts w:ascii="Arial" w:cs="Arial" w:eastAsia="Arial" w:hAnsi="Arial"/>
          <w:sz w:val="12"/>
          <w:szCs w:val="12"/>
          <w:color w:val="auto"/>
        </w:rPr>
        <w:t>The decrease in other expenses from $168 million in 2015 to $79 million in 2016 was largely the result of net gains in 2016 principally from energy and property tax refunds as well as certain 2015 asset write-downs.</w:t>
      </w:r>
    </w:p>
    <w:p>
      <w:pPr>
        <w:spacing w:after="0" w:line="131" w:lineRule="exact"/>
        <w:rPr>
          <w:sz w:val="20"/>
          <w:szCs w:val="20"/>
          <w:color w:val="auto"/>
        </w:rPr>
      </w:pPr>
    </w:p>
    <w:p>
      <w:pPr>
        <w:jc w:val="both"/>
        <w:ind w:right="60" w:firstLine="216"/>
        <w:spacing w:after="0" w:line="256" w:lineRule="auto"/>
        <w:rPr>
          <w:sz w:val="20"/>
          <w:szCs w:val="20"/>
          <w:color w:val="auto"/>
        </w:rPr>
      </w:pPr>
      <w:r>
        <w:rPr>
          <w:rFonts w:ascii="Arial" w:cs="Arial" w:eastAsia="Arial" w:hAnsi="Arial"/>
          <w:sz w:val="12"/>
          <w:szCs w:val="12"/>
          <w:color w:val="auto"/>
        </w:rPr>
        <w:t>Interest and debt expense, net, of $328 million in 2016, compared to $326 million in 2015, reflected higher interest rates on our new debt, increased amortization of deferred financing costs including a $12 million write-off of the deferred financing costs associated with the tender for our notes during 2016. Offsetting these effects were $71 million of amortization of the deferred gains from our December 2015 debt exchange and lower overall debt principal amounts.</w:t>
      </w:r>
    </w:p>
    <w:p>
      <w:pPr>
        <w:spacing w:after="0" w:line="135" w:lineRule="exact"/>
        <w:rPr>
          <w:sz w:val="20"/>
          <w:szCs w:val="20"/>
          <w:color w:val="auto"/>
        </w:rPr>
      </w:pPr>
    </w:p>
    <w:p>
      <w:pPr>
        <w:ind w:right="260" w:firstLine="216"/>
        <w:spacing w:after="0" w:line="262" w:lineRule="auto"/>
        <w:rPr>
          <w:sz w:val="20"/>
          <w:szCs w:val="20"/>
          <w:color w:val="auto"/>
        </w:rPr>
      </w:pPr>
      <w:r>
        <w:rPr>
          <w:rFonts w:ascii="Arial" w:cs="Arial" w:eastAsia="Arial" w:hAnsi="Arial"/>
          <w:sz w:val="12"/>
          <w:szCs w:val="12"/>
          <w:color w:val="auto"/>
        </w:rPr>
        <w:t>Net gains on early extinguishment of debt of $805 million in 2016 consisted of open-market purchases, a debt-for-equity exchange and a cash tender for our Senior Notes. Net gains on early extinguishment of debt of $20 million in 2015 resulted from note repurchases, net of related expenses.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Gains on asset divestitures reflected non-core asset sales during 2016.</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non-operating expense consisted of debt-related transaction costs in 2015.</w:t>
      </w:r>
    </w:p>
    <w:p>
      <w:pPr>
        <w:spacing w:after="0" w:line="150"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In 2016, we had pre-tax income of $201 million and an income tax benefit of $78 million reflecting the release of a portion of the beginning of the year valuation allowance. Further, in 2016, we excluded CODI from taxable income which resulted in a tax loss. We did not recognize a resulting tax benefit due to the uncertainty of realizing such benefit. For 2015, we had a pre-tax loss of $5.5 billion and a $1.9 billion benefit which was net of a $294 million change related to a valuation allowance.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64"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Our primary sources of liquidity and capital resources are cash flow from operations and available borrowing capacity under our 2014 Revolving Credit Facility. We also rely on other sources such as JV funding to supplement our capital program. During 2017, we closed two key JV transactions. Under these arrangements our JV partners invested $154 million in our drilling programs, some of which is not included in our consolidated results. In February 2018, we entered into the Ares JV in which we received $747 million in net proceeds and raised $50 million in a private placement of our common stock with an Ares-led investor group.</w:t>
      </w:r>
    </w:p>
    <w:p>
      <w:pPr>
        <w:spacing w:after="0" w:line="136" w:lineRule="exact"/>
        <w:rPr>
          <w:sz w:val="20"/>
          <w:szCs w:val="20"/>
          <w:color w:val="auto"/>
        </w:rPr>
      </w:pPr>
    </w:p>
    <w:p>
      <w:pPr>
        <w:jc w:val="both"/>
        <w:ind w:right="400" w:firstLine="216"/>
        <w:spacing w:after="0" w:line="256" w:lineRule="auto"/>
        <w:rPr>
          <w:sz w:val="20"/>
          <w:szCs w:val="20"/>
          <w:color w:val="auto"/>
        </w:rPr>
      </w:pPr>
      <w:r>
        <w:rPr>
          <w:rFonts w:ascii="Arial" w:cs="Arial" w:eastAsia="Arial" w:hAnsi="Arial"/>
          <w:sz w:val="12"/>
          <w:szCs w:val="12"/>
          <w:color w:val="auto"/>
        </w:rPr>
        <w:t>We expect the combination of these sources of capital will be adequate to fund future capital expenditures, debt service and operating needs. Through 2017, we maintained limited cash on hand due to our leverage position. Following the Ares JV and the private placement in February 2018, we paid off the then outstanding balance on our 2014 Revolving Credit Facility of $297 million and expect to carry a greater amount of cash on hand until the proceeds from these transactions are invested.</w:t>
      </w:r>
    </w:p>
    <w:p>
      <w:pPr>
        <w:spacing w:after="0" w:line="135" w:lineRule="exact"/>
        <w:rPr>
          <w:sz w:val="20"/>
          <w:szCs w:val="20"/>
          <w:color w:val="auto"/>
        </w:rPr>
      </w:pPr>
    </w:p>
    <w:p>
      <w:pPr>
        <w:ind w:right="160" w:firstLine="216"/>
        <w:spacing w:after="0" w:line="254" w:lineRule="auto"/>
        <w:rPr>
          <w:sz w:val="20"/>
          <w:szCs w:val="20"/>
          <w:color w:val="auto"/>
        </w:rPr>
      </w:pPr>
      <w:r>
        <w:rPr>
          <w:rFonts w:ascii="Arial" w:cs="Arial" w:eastAsia="Arial" w:hAnsi="Arial"/>
          <w:sz w:val="12"/>
          <w:szCs w:val="12"/>
          <w:color w:val="auto"/>
        </w:rPr>
        <w:t>Significant changes in oil and natural gas prices have a material impact on our liquidity. Declining commodity prices negatively affect our operating cash flow but have a positive indirect effect on operating expenses. The inverse is also true during periods of rising commodity prices. To mitigate some of the risk inherent in oil prices, we have utilized various derivative instruments to hedge price risk. If commodity prices were to prevail through 2018 at about current levels, we would expect to be able to fund our operations and capital program with our operating cash flows and would not anticipate a net draw down on our 2014 Revolving Credit Facility. We maintain flexibility within our capital program that helps us to scale our internally funded capital as necessary to stay within our operating cash flow.</w:t>
      </w:r>
    </w:p>
    <w:p>
      <w:pPr>
        <w:spacing w:after="0" w:line="136"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The Tax Act, signed into law on December 22, 2017, includes significant changes to corporate tax provisions including a reduction in the corporate tax rate, limitations on certain corporate deductions and favorable capital recovery provisions. This change in tax law is not expected to have any impact on our liquidity in the foreseeable future.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301" w:right="199" w:bottom="1440" w:gutter="0" w:footer="0" w:header="0"/>
        </w:sectPr>
      </w:pPr>
    </w:p>
    <w:bookmarkStart w:id="61" w:name="page62"/>
    <w:bookmarkEnd w:id="61"/>
    <w:p>
      <w:pPr>
        <w:ind w:right="320" w:firstLine="216"/>
        <w:spacing w:after="0" w:line="262" w:lineRule="auto"/>
        <w:rPr>
          <w:sz w:val="20"/>
          <w:szCs w:val="20"/>
          <w:color w:val="auto"/>
        </w:rPr>
      </w:pPr>
      <w:r>
        <w:rPr>
          <w:rFonts w:ascii="Arial" w:cs="Arial" w:eastAsia="Arial" w:hAnsi="Arial"/>
          <w:sz w:val="12"/>
          <w:szCs w:val="12"/>
          <w:color w:val="auto"/>
        </w:rPr>
        <w:t>Currently, we have approximately $850 million of available borrowing capacity under our 2014 Revolving Credit Facility, before taking into account the monthly minimum $150 million liquidity requirement. Our ability to borrow funds under our 2014 Revolving Credit Facility is limited by the terms and conditions of that facility and our ability to comply with its covenants.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December 31, 2017, our debt consisted of the following credit agreements, second lien notes and senior notes: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50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Outstanding Principal</w:t>
            </w:r>
          </w:p>
        </w:tc>
        <w:tc>
          <w:tcPr>
            <w:tcW w:w="120" w:type="dxa"/>
            <w:vAlign w:val="bottom"/>
          </w:tcPr>
          <w:p>
            <w:pPr>
              <w:spacing w:after="0"/>
              <w:rPr>
                <w:sz w:val="12"/>
                <w:szCs w:val="12"/>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Interest Rate</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Maturity</w:t>
            </w:r>
          </w:p>
        </w:tc>
        <w:tc>
          <w:tcPr>
            <w:tcW w:w="2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Security</w:t>
            </w:r>
            <w:r>
              <w:rPr>
                <w:rFonts w:ascii="Arial" w:cs="Arial" w:eastAsia="Arial" w:hAnsi="Arial"/>
                <w:sz w:val="14"/>
                <w:szCs w:val="14"/>
                <w:b w:val="1"/>
                <w:bCs w:val="1"/>
                <w:color w:val="auto"/>
                <w:w w:val="94"/>
                <w:vertAlign w:val="superscript"/>
              </w:rPr>
              <w:t>(a)</w:t>
            </w:r>
          </w:p>
        </w:tc>
        <w:tc>
          <w:tcPr>
            <w:tcW w:w="0" w:type="dxa"/>
            <w:vAlign w:val="bottom"/>
          </w:tcPr>
          <w:p>
            <w:pPr>
              <w:spacing w:after="0"/>
              <w:rPr>
                <w:sz w:val="1"/>
                <w:szCs w:val="1"/>
                <w:color w:val="auto"/>
              </w:rPr>
            </w:pPr>
          </w:p>
        </w:tc>
      </w:tr>
      <w:tr>
        <w:trPr>
          <w:trHeight w:val="123"/>
        </w:trPr>
        <w:tc>
          <w:tcPr>
            <w:tcW w:w="2980" w:type="dxa"/>
            <w:vAlign w:val="bottom"/>
          </w:tcPr>
          <w:p>
            <w:pPr>
              <w:spacing w:after="0"/>
              <w:rPr>
                <w:sz w:val="10"/>
                <w:szCs w:val="10"/>
                <w:color w:val="auto"/>
              </w:rPr>
            </w:pP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(in millions)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2400" w:type="dxa"/>
            <w:vAlign w:val="bottom"/>
            <w:gridSpan w:val="2"/>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Credit Agreements</w:t>
            </w:r>
          </w:p>
        </w:tc>
        <w:tc>
          <w:tcPr>
            <w:tcW w:w="10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980" w:type="dxa"/>
            <w:vAlign w:val="bottom"/>
            <w:vMerge w:val="restart"/>
          </w:tcPr>
          <w:p>
            <w:pPr>
              <w:ind w:left="100"/>
              <w:spacing w:after="0"/>
              <w:rPr>
                <w:sz w:val="20"/>
                <w:szCs w:val="20"/>
                <w:color w:val="auto"/>
              </w:rPr>
            </w:pPr>
            <w:r>
              <w:rPr>
                <w:rFonts w:ascii="Arial" w:cs="Arial" w:eastAsia="Arial" w:hAnsi="Arial"/>
                <w:sz w:val="11"/>
                <w:szCs w:val="11"/>
                <w:color w:val="auto"/>
              </w:rPr>
              <w:t>2014 Revolving Credit Facility</w:t>
            </w:r>
            <w:r>
              <w:rPr>
                <w:rFonts w:ascii="Arial" w:cs="Arial" w:eastAsia="Arial" w:hAnsi="Arial"/>
                <w:sz w:val="14"/>
                <w:szCs w:val="14"/>
                <w:color w:val="auto"/>
                <w:vertAlign w:val="superscript"/>
              </w:rPr>
              <w:t>(a)</w:t>
            </w: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LIBOR plus 3.25%-4.00%</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vMerge w:val="continue"/>
          </w:tcPr>
          <w:p>
            <w:pPr>
              <w:spacing w:after="0"/>
              <w:rPr>
                <w:sz w:val="12"/>
                <w:szCs w:val="12"/>
                <w:color w:val="auto"/>
              </w:rPr>
            </w:pPr>
          </w:p>
        </w:tc>
        <w:tc>
          <w:tcPr>
            <w:tcW w:w="1060" w:type="dxa"/>
            <w:vAlign w:val="bottom"/>
          </w:tcPr>
          <w:p>
            <w:pPr>
              <w:jc w:val="right"/>
              <w:ind w:right="92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363</w:t>
            </w:r>
          </w:p>
        </w:tc>
        <w:tc>
          <w:tcPr>
            <w:tcW w:w="120" w:type="dxa"/>
            <w:vAlign w:val="bottom"/>
          </w:tcPr>
          <w:p>
            <w:pPr>
              <w:spacing w:after="0"/>
              <w:rPr>
                <w:sz w:val="12"/>
                <w:szCs w:val="12"/>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ABR plus 2.25%-3.00%</w:t>
            </w:r>
          </w:p>
        </w:tc>
        <w:tc>
          <w:tcPr>
            <w:tcW w:w="240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June 30, 2021</w:t>
            </w:r>
          </w:p>
        </w:tc>
        <w:tc>
          <w:tcPr>
            <w:tcW w:w="2180" w:type="dxa"/>
            <w:vAlign w:val="bottom"/>
          </w:tcPr>
          <w:p>
            <w:pPr>
              <w:jc w:val="center"/>
              <w:spacing w:after="0"/>
              <w:rPr>
                <w:sz w:val="20"/>
                <w:szCs w:val="20"/>
                <w:color w:val="auto"/>
              </w:rPr>
            </w:pPr>
            <w:r>
              <w:rPr>
                <w:rFonts w:ascii="Arial" w:cs="Arial" w:eastAsia="Arial" w:hAnsi="Arial"/>
                <w:sz w:val="11"/>
                <w:szCs w:val="11"/>
                <w:color w:val="auto"/>
                <w:w w:val="98"/>
              </w:rPr>
              <w:t>Shared First-Priority Lien</w:t>
            </w:r>
          </w:p>
        </w:tc>
        <w:tc>
          <w:tcPr>
            <w:tcW w:w="0" w:type="dxa"/>
            <w:vAlign w:val="bottom"/>
          </w:tcPr>
          <w:p>
            <w:pPr>
              <w:spacing w:after="0"/>
              <w:rPr>
                <w:sz w:val="1"/>
                <w:szCs w:val="1"/>
                <w:color w:val="auto"/>
              </w:rPr>
            </w:pPr>
          </w:p>
        </w:tc>
      </w:tr>
      <w:tr>
        <w:trPr>
          <w:trHeight w:val="145"/>
        </w:trPr>
        <w:tc>
          <w:tcPr>
            <w:tcW w:w="29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9"/>
              </w:rPr>
              <w:t>LIBOR plus 4.75%</w:t>
            </w:r>
          </w:p>
        </w:tc>
        <w:tc>
          <w:tcPr>
            <w:tcW w:w="24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1"/>
                <w:szCs w:val="11"/>
                <w:color w:val="auto"/>
                <w:w w:val="96"/>
              </w:rPr>
              <w:t>December 31, 2022</w:t>
            </w:r>
            <w:r>
              <w:rPr>
                <w:rFonts w:ascii="Arial" w:cs="Arial" w:eastAsia="Arial" w:hAnsi="Arial"/>
                <w:sz w:val="14"/>
                <w:szCs w:val="14"/>
                <w:color w:val="auto"/>
                <w:w w:val="96"/>
                <w:vertAlign w:val="superscript"/>
              </w:rPr>
              <w:t>(b)</w:t>
            </w:r>
          </w:p>
        </w:tc>
        <w:tc>
          <w:tcPr>
            <w:tcW w:w="2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2017 Credit Agreement</w:t>
            </w:r>
          </w:p>
        </w:tc>
        <w:tc>
          <w:tcPr>
            <w:tcW w:w="1060" w:type="dxa"/>
            <w:vAlign w:val="bottom"/>
            <w:shd w:val="clear" w:color="auto" w:fill="CCEEFF"/>
          </w:tcPr>
          <w:p>
            <w:pPr>
              <w:jc w:val="right"/>
              <w:ind w:right="927"/>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1,300</w:t>
            </w:r>
          </w:p>
        </w:tc>
        <w:tc>
          <w:tcPr>
            <w:tcW w:w="1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7"/>
              </w:rPr>
              <w:t>ABR plus 3.75%</w:t>
            </w:r>
          </w:p>
        </w:tc>
        <w:tc>
          <w:tcPr>
            <w:tcW w:w="2400" w:type="dxa"/>
            <w:vAlign w:val="bottom"/>
            <w:gridSpan w:val="2"/>
            <w:vMerge w:val="continue"/>
            <w:shd w:val="clear" w:color="auto" w:fill="CCEEFF"/>
          </w:tcPr>
          <w:p>
            <w:pPr>
              <w:spacing w:after="0"/>
              <w:rPr>
                <w:sz w:val="12"/>
                <w:szCs w:val="12"/>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Shared First-Priority Lien</w:t>
            </w:r>
          </w:p>
        </w:tc>
        <w:tc>
          <w:tcPr>
            <w:tcW w:w="0" w:type="dxa"/>
            <w:vAlign w:val="bottom"/>
          </w:tcPr>
          <w:p>
            <w:pPr>
              <w:spacing w:after="0"/>
              <w:rPr>
                <w:sz w:val="1"/>
                <w:szCs w:val="1"/>
                <w:color w:val="auto"/>
              </w:rPr>
            </w:pPr>
          </w:p>
        </w:tc>
      </w:tr>
      <w:tr>
        <w:trPr>
          <w:trHeight w:val="145"/>
        </w:trPr>
        <w:tc>
          <w:tcPr>
            <w:tcW w:w="2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LIBOR plus 10.375%</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100"/>
              <w:spacing w:after="0"/>
              <w:rPr>
                <w:sz w:val="20"/>
                <w:szCs w:val="20"/>
                <w:color w:val="auto"/>
              </w:rPr>
            </w:pPr>
            <w:r>
              <w:rPr>
                <w:rFonts w:ascii="Arial" w:cs="Arial" w:eastAsia="Arial" w:hAnsi="Arial"/>
                <w:sz w:val="11"/>
                <w:szCs w:val="11"/>
                <w:color w:val="auto"/>
              </w:rPr>
              <w:t>2016 Credit Agreement</w:t>
            </w:r>
          </w:p>
        </w:tc>
        <w:tc>
          <w:tcPr>
            <w:tcW w:w="1060" w:type="dxa"/>
            <w:vAlign w:val="bottom"/>
          </w:tcPr>
          <w:p>
            <w:pPr>
              <w:jc w:val="right"/>
              <w:ind w:right="92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1"/>
                <w:szCs w:val="11"/>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ABR plus 9.375%</w:t>
            </w:r>
          </w:p>
        </w:tc>
        <w:tc>
          <w:tcPr>
            <w:tcW w:w="240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December 31, 2021</w:t>
            </w:r>
          </w:p>
        </w:tc>
        <w:tc>
          <w:tcPr>
            <w:tcW w:w="2180" w:type="dxa"/>
            <w:vAlign w:val="bottom"/>
          </w:tcPr>
          <w:p>
            <w:pPr>
              <w:jc w:val="center"/>
              <w:spacing w:after="0"/>
              <w:rPr>
                <w:sz w:val="20"/>
                <w:szCs w:val="20"/>
                <w:color w:val="auto"/>
              </w:rPr>
            </w:pPr>
            <w:r>
              <w:rPr>
                <w:rFonts w:ascii="Arial" w:cs="Arial" w:eastAsia="Arial" w:hAnsi="Arial"/>
                <w:sz w:val="11"/>
                <w:szCs w:val="11"/>
                <w:color w:val="auto"/>
                <w:w w:val="98"/>
              </w:rPr>
              <w:t>First-Priority Lien</w:t>
            </w: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Second Lien Notes</w:t>
            </w:r>
          </w:p>
        </w:tc>
        <w:tc>
          <w:tcPr>
            <w:tcW w:w="1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980" w:type="dxa"/>
            <w:vAlign w:val="bottom"/>
          </w:tcPr>
          <w:p>
            <w:pPr>
              <w:ind w:left="100"/>
              <w:spacing w:after="0"/>
              <w:rPr>
                <w:sz w:val="20"/>
                <w:szCs w:val="20"/>
                <w:color w:val="auto"/>
              </w:rPr>
            </w:pPr>
            <w:r>
              <w:rPr>
                <w:rFonts w:ascii="Arial" w:cs="Arial" w:eastAsia="Arial" w:hAnsi="Arial"/>
                <w:sz w:val="11"/>
                <w:szCs w:val="11"/>
                <w:color w:val="auto"/>
              </w:rPr>
              <w:t>Second Lien Notes</w:t>
            </w:r>
          </w:p>
        </w:tc>
        <w:tc>
          <w:tcPr>
            <w:tcW w:w="1060" w:type="dxa"/>
            <w:vAlign w:val="bottom"/>
          </w:tcPr>
          <w:p>
            <w:pPr>
              <w:jc w:val="right"/>
              <w:ind w:right="92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2,250</w:t>
            </w:r>
          </w:p>
        </w:tc>
        <w:tc>
          <w:tcPr>
            <w:tcW w:w="2300" w:type="dxa"/>
            <w:vAlign w:val="bottom"/>
            <w:gridSpan w:val="2"/>
          </w:tcPr>
          <w:p>
            <w:pPr>
              <w:jc w:val="center"/>
              <w:ind w:left="8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5"/>
                <w:szCs w:val="15"/>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December 15, 2022</w:t>
            </w:r>
          </w:p>
        </w:tc>
        <w:tc>
          <w:tcPr>
            <w:tcW w:w="2180" w:type="dxa"/>
            <w:vAlign w:val="bottom"/>
          </w:tcPr>
          <w:p>
            <w:pPr>
              <w:jc w:val="center"/>
              <w:spacing w:after="0"/>
              <w:rPr>
                <w:sz w:val="20"/>
                <w:szCs w:val="20"/>
                <w:color w:val="auto"/>
              </w:rPr>
            </w:pPr>
            <w:r>
              <w:rPr>
                <w:rFonts w:ascii="Arial" w:cs="Arial" w:eastAsia="Arial" w:hAnsi="Arial"/>
                <w:sz w:val="11"/>
                <w:szCs w:val="11"/>
                <w:color w:val="auto"/>
                <w:w w:val="98"/>
              </w:rPr>
              <w:t>Second-Priority Lien</w:t>
            </w: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Senior Notes</w:t>
            </w:r>
          </w:p>
        </w:tc>
        <w:tc>
          <w:tcPr>
            <w:tcW w:w="10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980" w:type="dxa"/>
            <w:vAlign w:val="bottom"/>
          </w:tcPr>
          <w:p>
            <w:pPr>
              <w:ind w:left="100"/>
              <w:spacing w:after="0"/>
              <w:rPr>
                <w:sz w:val="20"/>
                <w:szCs w:val="20"/>
                <w:color w:val="auto"/>
              </w:rPr>
            </w:pPr>
            <w:r>
              <w:rPr>
                <w:rFonts w:ascii="Arial" w:cs="Arial" w:eastAsia="Arial" w:hAnsi="Arial"/>
                <w:sz w:val="11"/>
                <w:szCs w:val="11"/>
                <w:color w:val="auto"/>
              </w:rPr>
              <w:t>5% Senior Notes due 2020</w:t>
            </w:r>
          </w:p>
        </w:tc>
        <w:tc>
          <w:tcPr>
            <w:tcW w:w="1060" w:type="dxa"/>
            <w:vAlign w:val="bottom"/>
          </w:tcPr>
          <w:p>
            <w:pPr>
              <w:jc w:val="right"/>
              <w:ind w:right="927"/>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2300" w:type="dxa"/>
            <w:vAlign w:val="bottom"/>
            <w:gridSpan w:val="2"/>
          </w:tcPr>
          <w:p>
            <w:pPr>
              <w:jc w:val="center"/>
              <w:ind w:left="8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5"/>
                <w:szCs w:val="15"/>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1"/>
                <w:szCs w:val="11"/>
                <w:color w:val="auto"/>
                <w:w w:val="98"/>
              </w:rPr>
              <w:t>January 15, 2020</w:t>
            </w:r>
          </w:p>
        </w:tc>
        <w:tc>
          <w:tcPr>
            <w:tcW w:w="2180" w:type="dxa"/>
            <w:vAlign w:val="bottom"/>
          </w:tcPr>
          <w:p>
            <w:pPr>
              <w:jc w:val="center"/>
              <w:spacing w:after="0"/>
              <w:rPr>
                <w:sz w:val="20"/>
                <w:szCs w:val="20"/>
                <w:color w:val="auto"/>
              </w:rPr>
            </w:pPr>
            <w:r>
              <w:rPr>
                <w:rFonts w:ascii="Arial" w:cs="Arial" w:eastAsia="Arial" w:hAnsi="Arial"/>
                <w:sz w:val="11"/>
                <w:szCs w:val="11"/>
                <w:color w:val="auto"/>
                <w:w w:val="97"/>
              </w:rPr>
              <w:t>Unsecured</w:t>
            </w: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5½% Senior Notes due 2021</w:t>
            </w:r>
          </w:p>
        </w:tc>
        <w:tc>
          <w:tcPr>
            <w:tcW w:w="1060" w:type="dxa"/>
            <w:vAlign w:val="bottom"/>
            <w:shd w:val="clear" w:color="auto" w:fill="CCEEFF"/>
          </w:tcPr>
          <w:p>
            <w:pPr>
              <w:jc w:val="right"/>
              <w:ind w:right="927"/>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2300" w:type="dxa"/>
            <w:vAlign w:val="bottom"/>
            <w:gridSpan w:val="2"/>
            <w:shd w:val="clear" w:color="auto" w:fill="CCEEFF"/>
          </w:tcPr>
          <w:p>
            <w:pPr>
              <w:jc w:val="center"/>
              <w:ind w:left="86"/>
              <w:spacing w:after="0"/>
              <w:rPr>
                <w:sz w:val="20"/>
                <w:szCs w:val="20"/>
                <w:color w:val="auto"/>
              </w:rPr>
            </w:pPr>
            <w:r>
              <w:rPr>
                <w:rFonts w:ascii="Arial" w:cs="Arial" w:eastAsia="Arial" w:hAnsi="Arial"/>
                <w:sz w:val="11"/>
                <w:szCs w:val="11"/>
                <w:color w:val="auto"/>
                <w:w w:val="95"/>
              </w:rPr>
              <w:t>5.5%</w:t>
            </w:r>
          </w:p>
        </w:tc>
        <w:tc>
          <w:tcPr>
            <w:tcW w:w="1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6"/>
              </w:rPr>
              <w:t>September 15, 2021</w:t>
            </w:r>
          </w:p>
        </w:tc>
        <w:tc>
          <w:tcPr>
            <w:tcW w:w="2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Unsecured</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6% Senior Notes due 2024</w:t>
            </w:r>
          </w:p>
        </w:tc>
        <w:tc>
          <w:tcPr>
            <w:tcW w:w="1060" w:type="dxa"/>
            <w:vAlign w:val="bottom"/>
            <w:tcBorders>
              <w:bottom w:val="single" w:sz="8" w:color="auto"/>
            </w:tcBorders>
          </w:tcPr>
          <w:p>
            <w:pPr>
              <w:jc w:val="right"/>
              <w:ind w:right="927"/>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193</w:t>
            </w:r>
          </w:p>
        </w:tc>
        <w:tc>
          <w:tcPr>
            <w:tcW w:w="2300" w:type="dxa"/>
            <w:vAlign w:val="bottom"/>
            <w:tcBorders>
              <w:bottom w:val="single" w:sz="8" w:color="CCEEFF"/>
            </w:tcBorders>
            <w:gridSpan w:val="2"/>
          </w:tcPr>
          <w:p>
            <w:pPr>
              <w:jc w:val="center"/>
              <w:ind w:left="8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1"/>
                <w:szCs w:val="11"/>
                <w:color w:val="auto"/>
                <w:w w:val="99"/>
              </w:rPr>
              <w:t>November 15, 2024</w:t>
            </w:r>
          </w:p>
        </w:tc>
        <w:tc>
          <w:tcPr>
            <w:tcW w:w="218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Unsecured</w:t>
            </w:r>
          </w:p>
        </w:tc>
        <w:tc>
          <w:tcPr>
            <w:tcW w:w="0" w:type="dxa"/>
            <w:vAlign w:val="bottom"/>
          </w:tcPr>
          <w:p>
            <w:pPr>
              <w:spacing w:after="0"/>
              <w:rPr>
                <w:sz w:val="1"/>
                <w:szCs w:val="1"/>
                <w:color w:val="auto"/>
              </w:rPr>
            </w:pPr>
          </w:p>
        </w:tc>
      </w:tr>
      <w:tr>
        <w:trPr>
          <w:trHeight w:val="16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Long-Term Debt - Principal Amount</w:t>
            </w:r>
          </w:p>
        </w:tc>
        <w:tc>
          <w:tcPr>
            <w:tcW w:w="1060" w:type="dxa"/>
            <w:vAlign w:val="bottom"/>
            <w:tcBorders>
              <w:bottom w:val="single" w:sz="8" w:color="auto"/>
            </w:tcBorders>
            <w:shd w:val="clear" w:color="auto" w:fill="CCEEFF"/>
          </w:tcPr>
          <w:p>
            <w:pPr>
              <w:jc w:val="right"/>
              <w:ind w:right="927"/>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5,306</w:t>
            </w:r>
          </w:p>
        </w:tc>
        <w:tc>
          <w:tcPr>
            <w:tcW w:w="12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20" w:hanging="212"/>
        <w:spacing w:after="0"/>
        <w:tabs>
          <w:tab w:leader="none" w:pos="420" w:val="left"/>
        </w:tabs>
        <w:numPr>
          <w:ilvl w:val="0"/>
          <w:numId w:val="44"/>
        </w:numPr>
        <w:rPr>
          <w:rFonts w:ascii="Arial" w:cs="Arial" w:eastAsia="Arial" w:hAnsi="Arial"/>
          <w:sz w:val="8"/>
          <w:szCs w:val="8"/>
          <w:color w:val="auto"/>
        </w:rPr>
      </w:pPr>
      <w:r>
        <w:rPr>
          <w:rFonts w:ascii="Arial" w:cs="Arial" w:eastAsia="Arial" w:hAnsi="Arial"/>
          <w:sz w:val="8"/>
          <w:szCs w:val="8"/>
          <w:color w:val="auto"/>
        </w:rPr>
        <w:t>Following the Ares JV transaction in February 2018, (i) we have no outstanding principal balance on our 2014 Revolving Credit Facility and (ii) the Elk Hills power plant and certain other midstream assets are no longer subject to liens securing our indebtedness.</w:t>
      </w:r>
    </w:p>
    <w:p>
      <w:pPr>
        <w:spacing w:after="0" w:line="16" w:lineRule="exact"/>
        <w:rPr>
          <w:rFonts w:ascii="Arial" w:cs="Arial" w:eastAsia="Arial" w:hAnsi="Arial"/>
          <w:sz w:val="8"/>
          <w:szCs w:val="8"/>
          <w:color w:val="auto"/>
        </w:rPr>
      </w:pPr>
    </w:p>
    <w:p>
      <w:pPr>
        <w:ind w:left="420" w:hanging="212"/>
        <w:spacing w:after="0"/>
        <w:tabs>
          <w:tab w:leader="none" w:pos="420"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2017 Credit Agreement is subject to a springing maturity of 91 days prior to the maturity of our 2016 Credit Agreement if more than $100 million is outstanding at that time.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2014 Revolving Credit Facility</w:t>
      </w:r>
    </w:p>
    <w:p>
      <w:pPr>
        <w:spacing w:after="0" w:line="162"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In September 2014, we entered into a Credit Agreement with JPMorgan Chase Bank, N.A, as administrative agent, and certain other lenders. This credit agreement currently consists of a $1 billion senior revolving loan facility (2014 Revolving Credit Facility), which we are permitted to increase by up to $50 million if we obtain additional commitments from new or existing lenders. Previously this credit agreement included a term loan facility (2014 Term Loan) that was repaid in full in November 2017.</w:t>
      </w:r>
    </w:p>
    <w:p>
      <w:pPr>
        <w:spacing w:after="0" w:line="135" w:lineRule="exact"/>
        <w:rPr>
          <w:sz w:val="20"/>
          <w:szCs w:val="20"/>
          <w:color w:val="auto"/>
        </w:rPr>
      </w:pPr>
    </w:p>
    <w:p>
      <w:pPr>
        <w:jc w:val="both"/>
        <w:ind w:right="340" w:firstLine="216"/>
        <w:spacing w:after="0" w:line="256" w:lineRule="auto"/>
        <w:rPr>
          <w:sz w:val="20"/>
          <w:szCs w:val="20"/>
          <w:color w:val="auto"/>
        </w:rPr>
      </w:pPr>
      <w:r>
        <w:rPr>
          <w:rFonts w:ascii="Arial" w:cs="Arial" w:eastAsia="Arial" w:hAnsi="Arial"/>
          <w:sz w:val="12"/>
          <w:szCs w:val="12"/>
          <w:color w:val="auto"/>
        </w:rPr>
        <w:t>As of December 31, 2017, we had approximately $489 million of available borrowing capacity, before taking into account a $150 million month-end minimum liquidity requirement. Our 2014 Revolving Credit Facility also includes a sub-limit of $400 million for the issuance of letters of credit. As of December 31, 2017 and 2016, we had letters of credit of approximately $148 million and $130 million, respectively. These letters of credit were issued to support ordinary course marketing, insurance, regulatory and other matters.</w:t>
      </w:r>
    </w:p>
    <w:p>
      <w:pPr>
        <w:spacing w:after="0" w:line="123" w:lineRule="exact"/>
        <w:rPr>
          <w:sz w:val="20"/>
          <w:szCs w:val="20"/>
          <w:color w:val="auto"/>
        </w:rPr>
      </w:pPr>
    </w:p>
    <w:p>
      <w:pPr>
        <w:ind w:right="20" w:firstLine="216"/>
        <w:spacing w:after="0" w:line="283" w:lineRule="auto"/>
        <w:rPr>
          <w:sz w:val="20"/>
          <w:szCs w:val="20"/>
          <w:color w:val="auto"/>
        </w:rPr>
      </w:pPr>
      <w:r>
        <w:rPr>
          <w:rFonts w:ascii="Arial" w:cs="Arial" w:eastAsia="Arial" w:hAnsi="Arial"/>
          <w:sz w:val="12"/>
          <w:szCs w:val="12"/>
          <w:i w:val="1"/>
          <w:iCs w:val="1"/>
          <w:color w:val="auto"/>
        </w:rPr>
        <w:t xml:space="preserve">Security </w:t>
      </w:r>
      <w:r>
        <w:rPr>
          <w:rFonts w:ascii="Arial" w:cs="Arial" w:eastAsia="Arial" w:hAnsi="Arial"/>
          <w:sz w:val="12"/>
          <w:szCs w:val="12"/>
          <w:color w:val="auto"/>
        </w:rPr>
        <w:t>– The lenders share a first-priority lien on a substantial majority of our assets with the lenders under of 2017 Credit Agreement. Following the formation of the Ares JV in February 2018, the Elk Hills power</w:t>
      </w:r>
      <w:r>
        <w:rPr>
          <w:rFonts w:ascii="Arial" w:cs="Arial" w:eastAsia="Arial" w:hAnsi="Arial"/>
          <w:sz w:val="12"/>
          <w:szCs w:val="12"/>
          <w:i w:val="1"/>
          <w:iCs w:val="1"/>
          <w:color w:val="auto"/>
        </w:rPr>
        <w:t xml:space="preserve"> </w:t>
      </w:r>
      <w:r>
        <w:rPr>
          <w:rFonts w:ascii="Arial" w:cs="Arial" w:eastAsia="Arial" w:hAnsi="Arial"/>
          <w:sz w:val="12"/>
          <w:szCs w:val="12"/>
          <w:color w:val="auto"/>
        </w:rPr>
        <w:t>plant and certain other midstream assets are no longer subject to the shared first-priority lien.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301" w:right="199" w:bottom="1440" w:gutter="0" w:footer="0" w:header="0"/>
        </w:sectPr>
      </w:pPr>
    </w:p>
    <w:bookmarkStart w:id="62" w:name="page63"/>
    <w:bookmarkEnd w:id="62"/>
    <w:p>
      <w:pPr>
        <w:ind w:right="40" w:firstLine="216"/>
        <w:spacing w:after="0" w:line="258" w:lineRule="auto"/>
        <w:rPr>
          <w:sz w:val="20"/>
          <w:szCs w:val="20"/>
          <w:color w:val="auto"/>
        </w:rPr>
      </w:pPr>
      <w:r>
        <w:rPr>
          <w:rFonts w:ascii="Arial" w:cs="Arial" w:eastAsia="Arial" w:hAnsi="Arial"/>
          <w:sz w:val="12"/>
          <w:szCs w:val="12"/>
          <w:i w:val="1"/>
          <w:iCs w:val="1"/>
          <w:color w:val="auto"/>
        </w:rPr>
        <w:t xml:space="preserve">Interest Rate </w:t>
      </w:r>
      <w:r>
        <w:rPr>
          <w:rFonts w:ascii="Arial" w:cs="Arial" w:eastAsia="Arial" w:hAnsi="Arial"/>
          <w:sz w:val="12"/>
          <w:szCs w:val="12"/>
          <w:color w:val="auto"/>
        </w:rPr>
        <w:t>– We can elect to borrow at either a London Interbank Offered Rate (LIBOR) rate or an alternate base rate (ABR), in each case plus an applicable margin. The ABR is equal to the highest of (i) the</w:t>
      </w:r>
      <w:r>
        <w:rPr>
          <w:rFonts w:ascii="Arial" w:cs="Arial" w:eastAsia="Arial" w:hAnsi="Arial"/>
          <w:sz w:val="12"/>
          <w:szCs w:val="12"/>
          <w:i w:val="1"/>
          <w:iCs w:val="1"/>
          <w:color w:val="auto"/>
        </w:rPr>
        <w:t xml:space="preserve"> </w:t>
      </w:r>
      <w:r>
        <w:rPr>
          <w:rFonts w:ascii="Arial" w:cs="Arial" w:eastAsia="Arial" w:hAnsi="Arial"/>
          <w:sz w:val="12"/>
          <w:szCs w:val="12"/>
          <w:color w:val="auto"/>
        </w:rPr>
        <w:t>federal funds effective rate plus 0.50%, (ii) the administrative agent’s prime rate and (iii) the one-month LIBOR rate plus 1.00%. The applicable margin is adjusted based on the borrowing base utilization percentage under the 2014 Revolving Credit Facility and will vary from (i) in the case of LIBOR loans, 3.25% to 4.00% and (ii) in the case of ABR loans, 2.25% to 3.00%. The unused portion of our commitments is subject to a commitment fee that ranges from 0.30% to 0.50% per annum. We also pay customary fees and expenses. Interest on ABR loans is payable quarterly in arrears. Interest on LIBOR loans is payable at the end of each LIBOR period, but not less than quarterly.</w:t>
      </w:r>
    </w:p>
    <w:p>
      <w:pPr>
        <w:spacing w:after="0" w:line="123" w:lineRule="exact"/>
        <w:rPr>
          <w:sz w:val="20"/>
          <w:szCs w:val="20"/>
          <w:color w:val="auto"/>
        </w:rPr>
      </w:pPr>
    </w:p>
    <w:p>
      <w:pPr>
        <w:ind w:right="200" w:firstLine="216"/>
        <w:spacing w:after="0" w:line="266" w:lineRule="auto"/>
        <w:rPr>
          <w:sz w:val="20"/>
          <w:szCs w:val="20"/>
          <w:color w:val="auto"/>
        </w:rPr>
      </w:pPr>
      <w:r>
        <w:rPr>
          <w:rFonts w:ascii="Arial" w:cs="Arial" w:eastAsia="Arial" w:hAnsi="Arial"/>
          <w:sz w:val="12"/>
          <w:szCs w:val="12"/>
          <w:i w:val="1"/>
          <w:iCs w:val="1"/>
          <w:color w:val="auto"/>
        </w:rPr>
        <w:t xml:space="preserve">Maturity Date </w:t>
      </w:r>
      <w:r>
        <w:rPr>
          <w:rFonts w:ascii="Arial" w:cs="Arial" w:eastAsia="Arial" w:hAnsi="Arial"/>
          <w:sz w:val="12"/>
          <w:szCs w:val="12"/>
          <w:color w:val="auto"/>
        </w:rPr>
        <w:t>– Our 2014 Revolving Credit Facility matures on June 30, 2021. Previously this facility was subject to a springing maturity of 273 days prior to the maturity of each of our 2020 Notes or our 2021</w:t>
      </w:r>
      <w:r>
        <w:rPr>
          <w:rFonts w:ascii="Arial" w:cs="Arial" w:eastAsia="Arial" w:hAnsi="Arial"/>
          <w:sz w:val="12"/>
          <w:szCs w:val="12"/>
          <w:i w:val="1"/>
          <w:iCs w:val="1"/>
          <w:color w:val="auto"/>
        </w:rPr>
        <w:t xml:space="preserve"> </w:t>
      </w:r>
      <w:r>
        <w:rPr>
          <w:rFonts w:ascii="Arial" w:cs="Arial" w:eastAsia="Arial" w:hAnsi="Arial"/>
          <w:sz w:val="12"/>
          <w:szCs w:val="12"/>
          <w:color w:val="auto"/>
        </w:rPr>
        <w:t>Notes if more than $100 million of such notes were outstanding on such date. During the fourth quarter of 2017, we repurchased $65 million in principal amount of 2020 Notes and $35 million in principal amount of 2021 Notes which eliminated this springing maturity feature.</w:t>
      </w:r>
    </w:p>
    <w:p>
      <w:pPr>
        <w:spacing w:after="0" w:line="118" w:lineRule="exact"/>
        <w:rPr>
          <w:sz w:val="20"/>
          <w:szCs w:val="20"/>
          <w:color w:val="auto"/>
        </w:rPr>
      </w:pPr>
    </w:p>
    <w:p>
      <w:pPr>
        <w:ind w:firstLine="216"/>
        <w:spacing w:after="0" w:line="261" w:lineRule="auto"/>
        <w:rPr>
          <w:sz w:val="20"/>
          <w:szCs w:val="20"/>
          <w:color w:val="auto"/>
        </w:rPr>
      </w:pPr>
      <w:r>
        <w:rPr>
          <w:rFonts w:ascii="Arial" w:cs="Arial" w:eastAsia="Arial" w:hAnsi="Arial"/>
          <w:sz w:val="12"/>
          <w:szCs w:val="12"/>
          <w:i w:val="1"/>
          <w:iCs w:val="1"/>
          <w:color w:val="auto"/>
        </w:rPr>
        <w:t xml:space="preserve">Amortization Payments </w:t>
      </w:r>
      <w:r>
        <w:rPr>
          <w:rFonts w:ascii="Arial" w:cs="Arial" w:eastAsia="Arial" w:hAnsi="Arial"/>
          <w:sz w:val="12"/>
          <w:szCs w:val="12"/>
          <w:color w:val="auto"/>
        </w:rPr>
        <w:t>– The 2014 Revolving Credit Facility does not include any obligation to make amortization payments. In November 2017, we paid the remaining balance of our 2014 Term Loan in the</w:t>
      </w:r>
      <w:r>
        <w:rPr>
          <w:rFonts w:ascii="Arial" w:cs="Arial" w:eastAsia="Arial" w:hAnsi="Arial"/>
          <w:sz w:val="12"/>
          <w:szCs w:val="12"/>
          <w:i w:val="1"/>
          <w:iCs w:val="1"/>
          <w:color w:val="auto"/>
        </w:rPr>
        <w:t xml:space="preserve"> </w:t>
      </w:r>
      <w:r>
        <w:rPr>
          <w:rFonts w:ascii="Arial" w:cs="Arial" w:eastAsia="Arial" w:hAnsi="Arial"/>
          <w:sz w:val="12"/>
          <w:szCs w:val="12"/>
          <w:color w:val="auto"/>
        </w:rPr>
        <w:t>amount of $559 million. Prior to that, we made a $16 million prepayment on our 2014 Term Loan from the proceeds of non-core asset sales in February 2017. In 2016 and through the nine months ended September 30, 2017, we made scheduled quarterly payments of $25 million on our 2014 Term Loan for an aggregate amount of $175 million. In August 2016, we made a $250 million prepayment on our 2014 Term Loan from the proceeds of our 2016 Credit Agreement.</w:t>
      </w:r>
    </w:p>
    <w:p>
      <w:pPr>
        <w:spacing w:after="0" w:line="120" w:lineRule="exact"/>
        <w:rPr>
          <w:sz w:val="20"/>
          <w:szCs w:val="20"/>
          <w:color w:val="auto"/>
        </w:rPr>
      </w:pPr>
    </w:p>
    <w:p>
      <w:pPr>
        <w:ind w:right="80" w:firstLine="216"/>
        <w:spacing w:after="0" w:line="258" w:lineRule="auto"/>
        <w:rPr>
          <w:sz w:val="20"/>
          <w:szCs w:val="20"/>
          <w:color w:val="auto"/>
        </w:rPr>
      </w:pPr>
      <w:r>
        <w:rPr>
          <w:rFonts w:ascii="Arial" w:cs="Arial" w:eastAsia="Arial" w:hAnsi="Arial"/>
          <w:sz w:val="12"/>
          <w:szCs w:val="12"/>
          <w:i w:val="1"/>
          <w:iCs w:val="1"/>
          <w:color w:val="auto"/>
        </w:rPr>
        <w:t xml:space="preserve">Borrowing Base </w:t>
      </w:r>
      <w:r>
        <w:rPr>
          <w:rFonts w:ascii="Arial" w:cs="Arial" w:eastAsia="Arial" w:hAnsi="Arial"/>
          <w:sz w:val="12"/>
          <w:szCs w:val="12"/>
          <w:color w:val="auto"/>
        </w:rPr>
        <w:t>– The borrowing base is redetermined each May 1 and November 1, and was mostly recently reaffirmed at $2.3 billion on November 1, 2017. The borrowing base is based upon a number of</w:t>
      </w:r>
      <w:r>
        <w:rPr>
          <w:rFonts w:ascii="Arial" w:cs="Arial" w:eastAsia="Arial" w:hAnsi="Arial"/>
          <w:sz w:val="12"/>
          <w:szCs w:val="12"/>
          <w:i w:val="1"/>
          <w:iCs w:val="1"/>
          <w:color w:val="auto"/>
        </w:rPr>
        <w:t xml:space="preserve"> </w:t>
      </w:r>
      <w:r>
        <w:rPr>
          <w:rFonts w:ascii="Arial" w:cs="Arial" w:eastAsia="Arial" w:hAnsi="Arial"/>
          <w:sz w:val="12"/>
          <w:szCs w:val="12"/>
          <w:color w:val="auto"/>
        </w:rPr>
        <w:t>factors, including commodity prices and reserves, declines in which could cause our borrowing base to be reduced. Increases in our borrowing base require approval of at least 80% of our lenders while decreases or affirmations require a two-thirds approval, in each case as measured by relative commitment amount. We and the lenders (requiring a request from the lenders holding two-thirds of the commitments) each may request a special redetermination once in any period between three consecutive scheduled redeterminations. We will be permitted to have collateral released when both (i) our credit ratings are at least Baa3 from Moody's and BBB- from S&amp;P, in each case with a stable or better outlook, and (ii) certain permitted liens securing other debt are released.</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Financial Covenants </w:t>
      </w:r>
      <w:r>
        <w:rPr>
          <w:rFonts w:ascii="Arial" w:cs="Arial" w:eastAsia="Arial" w:hAnsi="Arial"/>
          <w:sz w:val="12"/>
          <w:szCs w:val="12"/>
          <w:color w:val="auto"/>
        </w:rPr>
        <w:t>– As of December 31, 2017, our financial performance covenants included a monthly minimum liquidity requirement of not less than $150 million and the following:</w:t>
      </w:r>
    </w:p>
    <w:p>
      <w:pPr>
        <w:sectPr>
          <w:pgSz w:w="11900" w:h="16838" w:orient="portrait"/>
          <w:cols w:equalWidth="0" w:num="1">
            <w:col w:w="11440"/>
          </w:cols>
          <w:pgMar w:left="220" w:top="289" w:right="239" w:bottom="1440" w:gutter="0" w:footer="0" w:header="0"/>
        </w:sectPr>
      </w:pPr>
    </w:p>
    <w:p>
      <w:pPr>
        <w:spacing w:after="0" w:line="121" w:lineRule="exact"/>
        <w:rPr>
          <w:sz w:val="20"/>
          <w:szCs w:val="20"/>
          <w:color w:val="auto"/>
        </w:rPr>
      </w:pPr>
    </w:p>
    <w:p>
      <w:pPr>
        <w:ind w:left="880"/>
        <w:spacing w:after="0"/>
        <w:tabs>
          <w:tab w:leader="none" w:pos="3540" w:val="left"/>
          <w:tab w:leader="none" w:pos="6760" w:val="left"/>
        </w:tabs>
        <w:rPr>
          <w:sz w:val="20"/>
          <w:szCs w:val="20"/>
          <w:color w:val="auto"/>
        </w:rPr>
      </w:pPr>
      <w:r>
        <w:rPr>
          <w:rFonts w:ascii="Arial" w:cs="Arial" w:eastAsia="Arial" w:hAnsi="Arial"/>
          <w:sz w:val="12"/>
          <w:szCs w:val="12"/>
          <w:b w:val="1"/>
          <w:bCs w:val="1"/>
          <w:color w:val="auto"/>
        </w:rPr>
        <w:t>Ratio</w:t>
      </w:r>
      <w:r>
        <w:rPr>
          <w:sz w:val="20"/>
          <w:szCs w:val="20"/>
          <w:color w:val="auto"/>
        </w:rPr>
        <w:tab/>
      </w:r>
      <w:r>
        <w:rPr>
          <w:rFonts w:ascii="Arial" w:cs="Arial" w:eastAsia="Arial" w:hAnsi="Arial"/>
          <w:sz w:val="12"/>
          <w:szCs w:val="12"/>
          <w:b w:val="1"/>
          <w:bCs w:val="1"/>
          <w:color w:val="auto"/>
        </w:rPr>
        <w:t>Components</w:t>
      </w:r>
      <w:r>
        <w:rPr>
          <w:rFonts w:ascii="Arial" w:cs="Arial" w:eastAsia="Arial" w:hAnsi="Arial"/>
          <w:sz w:val="14"/>
          <w:szCs w:val="14"/>
          <w:b w:val="1"/>
          <w:bCs w:val="1"/>
          <w:color w:val="auto"/>
          <w:vertAlign w:val="superscript"/>
        </w:rPr>
        <w:t>(a)</w:t>
      </w:r>
      <w:r>
        <w:rPr>
          <w:sz w:val="20"/>
          <w:szCs w:val="20"/>
          <w:color w:val="auto"/>
        </w:rPr>
        <w:tab/>
      </w:r>
      <w:r>
        <w:rPr>
          <w:rFonts w:ascii="Arial" w:cs="Arial" w:eastAsia="Arial" w:hAnsi="Arial"/>
          <w:sz w:val="11"/>
          <w:szCs w:val="11"/>
          <w:b w:val="1"/>
          <w:bCs w:val="1"/>
          <w:color w:val="auto"/>
        </w:rPr>
        <w:t>Required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280910" cy="200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0910" cy="200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Tested</w:t>
      </w:r>
    </w:p>
    <w:p>
      <w:pPr>
        <w:spacing w:after="0" w:line="41" w:lineRule="exact"/>
        <w:rPr>
          <w:sz w:val="20"/>
          <w:szCs w:val="20"/>
          <w:color w:val="auto"/>
        </w:rPr>
      </w:pPr>
    </w:p>
    <w:p>
      <w:pPr>
        <w:sectPr>
          <w:pgSz w:w="11900" w:h="16838" w:orient="portrait"/>
          <w:cols w:equalWidth="0" w:num="2">
            <w:col w:w="9180" w:space="720"/>
            <w:col w:w="1540"/>
          </w:cols>
          <w:pgMar w:left="220" w:top="289" w:right="239" w:bottom="1440" w:gutter="0" w:footer="0" w:header="0"/>
          <w:type w:val="continuous"/>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2"/>
          <w:szCs w:val="12"/>
          <w:color w:val="auto"/>
        </w:rPr>
        <w:t>Maximum leverage ratio</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1"/>
          <w:szCs w:val="11"/>
          <w:color w:val="auto"/>
        </w:rPr>
        <w:t>Minimum interest coverage ratio</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Minimum asset coverage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35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Ratio of indebtedness under our 2014 Revolving Credit Facility to</w:t>
            </w:r>
          </w:p>
        </w:tc>
        <w:tc>
          <w:tcPr>
            <w:tcW w:w="120" w:type="dxa"/>
            <w:vAlign w:val="bottom"/>
          </w:tcPr>
          <w:p>
            <w:pPr>
              <w:spacing w:after="0"/>
              <w:rPr>
                <w:sz w:val="12"/>
                <w:szCs w:val="12"/>
                <w:color w:val="auto"/>
              </w:rPr>
            </w:pPr>
          </w:p>
        </w:tc>
        <w:tc>
          <w:tcPr>
            <w:tcW w:w="27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Not greater than 1.90 to 1.00 through 2019</w:t>
            </w:r>
          </w:p>
        </w:tc>
      </w:tr>
      <w:tr>
        <w:trPr>
          <w:trHeight w:val="145"/>
        </w:trPr>
        <w:tc>
          <w:tcPr>
            <w:tcW w:w="3680" w:type="dxa"/>
            <w:vAlign w:val="bottom"/>
            <w:gridSpan w:val="2"/>
          </w:tcPr>
          <w:p>
            <w:pPr>
              <w:ind w:left="20"/>
              <w:spacing w:after="0"/>
              <w:rPr>
                <w:sz w:val="20"/>
                <w:szCs w:val="20"/>
                <w:color w:val="auto"/>
              </w:rPr>
            </w:pPr>
            <w:r>
              <w:rPr>
                <w:rFonts w:ascii="Arial" w:cs="Arial" w:eastAsia="Arial" w:hAnsi="Arial"/>
                <w:sz w:val="12"/>
                <w:szCs w:val="12"/>
                <w:color w:val="auto"/>
              </w:rPr>
              <w:t>trailing four-quarter Adjusted EBITDAX</w:t>
            </w:r>
          </w:p>
        </w:tc>
        <w:tc>
          <w:tcPr>
            <w:tcW w:w="2760" w:type="dxa"/>
            <w:vAlign w:val="bottom"/>
          </w:tcPr>
          <w:p>
            <w:pPr>
              <w:ind w:left="20"/>
              <w:spacing w:after="0"/>
              <w:rPr>
                <w:sz w:val="20"/>
                <w:szCs w:val="20"/>
                <w:color w:val="auto"/>
              </w:rPr>
            </w:pPr>
            <w:r>
              <w:rPr>
                <w:rFonts w:ascii="Arial" w:cs="Arial" w:eastAsia="Arial" w:hAnsi="Arial"/>
                <w:sz w:val="12"/>
                <w:szCs w:val="12"/>
                <w:color w:val="auto"/>
              </w:rPr>
              <w:t>Not greater than 1.50 to 1.00 after 2019</w:t>
            </w:r>
          </w:p>
        </w:tc>
      </w:tr>
      <w:tr>
        <w:trPr>
          <w:trHeight w:val="171"/>
        </w:trPr>
        <w:tc>
          <w:tcPr>
            <w:tcW w:w="3680" w:type="dxa"/>
            <w:vAlign w:val="bottom"/>
            <w:gridSpan w:val="2"/>
          </w:tcPr>
          <w:p>
            <w:pPr>
              <w:ind w:left="20"/>
              <w:spacing w:after="0"/>
              <w:rPr>
                <w:sz w:val="20"/>
                <w:szCs w:val="20"/>
                <w:color w:val="auto"/>
              </w:rPr>
            </w:pPr>
            <w:r>
              <w:rPr>
                <w:rFonts w:ascii="Arial" w:cs="Arial" w:eastAsia="Arial" w:hAnsi="Arial"/>
                <w:sz w:val="12"/>
                <w:szCs w:val="12"/>
                <w:color w:val="auto"/>
              </w:rPr>
              <w:t>Ratio of Adjusted EBITDAX to consolidated cash interest charges</w:t>
            </w:r>
          </w:p>
        </w:tc>
        <w:tc>
          <w:tcPr>
            <w:tcW w:w="2760" w:type="dxa"/>
            <w:vAlign w:val="bottom"/>
          </w:tcPr>
          <w:p>
            <w:pPr>
              <w:ind w:left="20"/>
              <w:spacing w:after="0"/>
              <w:rPr>
                <w:sz w:val="20"/>
                <w:szCs w:val="20"/>
                <w:color w:val="auto"/>
              </w:rPr>
            </w:pPr>
            <w:r>
              <w:rPr>
                <w:rFonts w:ascii="Arial" w:cs="Arial" w:eastAsia="Arial" w:hAnsi="Arial"/>
                <w:sz w:val="12"/>
                <w:szCs w:val="12"/>
                <w:color w:val="auto"/>
              </w:rPr>
              <w:t>Not less than 1.20 to 1.00</w:t>
            </w:r>
          </w:p>
        </w:tc>
      </w:tr>
      <w:tr>
        <w:trPr>
          <w:trHeight w:val="180"/>
        </w:trPr>
        <w:tc>
          <w:tcPr>
            <w:tcW w:w="3680" w:type="dxa"/>
            <w:vAlign w:val="bottom"/>
            <w:gridSpan w:val="2"/>
          </w:tcPr>
          <w:p>
            <w:pPr>
              <w:ind w:left="20"/>
              <w:spacing w:after="0"/>
              <w:rPr>
                <w:sz w:val="20"/>
                <w:szCs w:val="20"/>
                <w:color w:val="auto"/>
              </w:rPr>
            </w:pPr>
            <w:r>
              <w:rPr>
                <w:rFonts w:ascii="Arial" w:cs="Arial" w:eastAsia="Arial" w:hAnsi="Arial"/>
                <w:sz w:val="12"/>
                <w:szCs w:val="12"/>
                <w:color w:val="auto"/>
              </w:rPr>
              <w:t>Ratio of PV-10 to first lien indebtedness</w:t>
            </w:r>
          </w:p>
        </w:tc>
        <w:tc>
          <w:tcPr>
            <w:tcW w:w="2760" w:type="dxa"/>
            <w:vAlign w:val="bottom"/>
          </w:tcPr>
          <w:p>
            <w:pPr>
              <w:ind w:left="20"/>
              <w:spacing w:after="0"/>
              <w:rPr>
                <w:sz w:val="20"/>
                <w:szCs w:val="20"/>
                <w:color w:val="auto"/>
              </w:rPr>
            </w:pPr>
            <w:r>
              <w:rPr>
                <w:rFonts w:ascii="Arial" w:cs="Arial" w:eastAsia="Arial" w:hAnsi="Arial"/>
                <w:sz w:val="12"/>
                <w:szCs w:val="12"/>
                <w:color w:val="auto"/>
              </w:rPr>
              <w:t>Not less than 1.20 to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-102235</wp:posOffset>
            </wp:positionV>
            <wp:extent cx="728091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091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Quarterly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Quarterly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Quarterly</w:t>
      </w:r>
    </w:p>
    <w:p>
      <w:pPr>
        <w:spacing w:after="0" w:line="63" w:lineRule="exact"/>
        <w:rPr>
          <w:sz w:val="20"/>
          <w:szCs w:val="20"/>
          <w:color w:val="auto"/>
        </w:rPr>
      </w:pPr>
    </w:p>
    <w:p>
      <w:pPr>
        <w:sectPr>
          <w:pgSz w:w="11900" w:h="16838" w:orient="portrait"/>
          <w:cols w:equalWidth="0" w:num="3">
            <w:col w:w="1720" w:space="460"/>
            <w:col w:w="6440" w:space="120"/>
            <w:col w:w="2700"/>
          </w:cols>
          <w:pgMar w:left="220" w:top="289" w:right="239" w:bottom="1440" w:gutter="0" w:footer="0" w:header="0"/>
          <w:type w:val="continuous"/>
        </w:sectPr>
      </w:pPr>
    </w:p>
    <w:p>
      <w:pPr>
        <w:ind w:left="420" w:hanging="212"/>
        <w:spacing w:after="0"/>
        <w:tabs>
          <w:tab w:leader="none" w:pos="420" w:val="left"/>
        </w:tabs>
        <w:numPr>
          <w:ilvl w:val="0"/>
          <w:numId w:val="45"/>
        </w:numPr>
        <w:rPr>
          <w:rFonts w:ascii="Arial" w:cs="Arial" w:eastAsia="Arial" w:hAnsi="Arial"/>
          <w:sz w:val="10"/>
          <w:szCs w:val="10"/>
          <w:color w:val="auto"/>
        </w:rPr>
      </w:pPr>
      <w:r>
        <w:rPr>
          <w:rFonts w:ascii="Arial" w:cs="Arial" w:eastAsia="Arial" w:hAnsi="Arial"/>
          <w:sz w:val="10"/>
          <w:szCs w:val="10"/>
          <w:color w:val="auto"/>
        </w:rPr>
        <w:t>Refer to the terms of our credit agreements for more detailed descriptions of the components of our financial covenants.</w:t>
      </w:r>
    </w:p>
    <w:p>
      <w:pPr>
        <w:spacing w:after="0" w:line="122" w:lineRule="exact"/>
        <w:rPr>
          <w:sz w:val="20"/>
          <w:szCs w:val="20"/>
          <w:color w:val="auto"/>
        </w:rPr>
      </w:pPr>
    </w:p>
    <w:p>
      <w:pPr>
        <w:ind w:right="20" w:firstLine="216"/>
        <w:spacing w:after="0" w:line="266" w:lineRule="auto"/>
        <w:rPr>
          <w:sz w:val="20"/>
          <w:szCs w:val="20"/>
          <w:color w:val="auto"/>
        </w:rPr>
      </w:pPr>
      <w:r>
        <w:rPr>
          <w:rFonts w:ascii="Arial" w:cs="Arial" w:eastAsia="Arial" w:hAnsi="Arial"/>
          <w:sz w:val="12"/>
          <w:szCs w:val="12"/>
          <w:i w:val="1"/>
          <w:iCs w:val="1"/>
          <w:color w:val="auto"/>
        </w:rPr>
        <w:t xml:space="preserve">Other Covenants </w:t>
      </w:r>
      <w:r>
        <w:rPr>
          <w:rFonts w:ascii="Arial" w:cs="Arial" w:eastAsia="Arial" w:hAnsi="Arial"/>
          <w:sz w:val="12"/>
          <w:szCs w:val="12"/>
          <w:color w:val="auto"/>
        </w:rPr>
        <w:t>– Our 2014 Revolving Credit Facility include covenants that, among other things, restrict our ability to incur additional indebtedness, grant liens, make asset sales and investments, repay existing</w:t>
      </w:r>
      <w:r>
        <w:rPr>
          <w:rFonts w:ascii="Arial" w:cs="Arial" w:eastAsia="Arial" w:hAnsi="Arial"/>
          <w:sz w:val="12"/>
          <w:szCs w:val="12"/>
          <w:i w:val="1"/>
          <w:iCs w:val="1"/>
          <w:color w:val="auto"/>
        </w:rPr>
        <w:t xml:space="preserve"> </w:t>
      </w:r>
      <w:r>
        <w:rPr>
          <w:rFonts w:ascii="Arial" w:cs="Arial" w:eastAsia="Arial" w:hAnsi="Arial"/>
          <w:sz w:val="12"/>
          <w:szCs w:val="12"/>
          <w:color w:val="auto"/>
        </w:rPr>
        <w:t>indebtedness, pay dividends to common stockholders, make subsidiary distributions and enter into transactions that would result in fundamental changes. Generally, these covenants include exceptions that allow us to pursue some of these activities in certain circumstances. In addition to these covenants, we must also apply cash on hand in excess of $150 million daily to repay amounts outstanding.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40"/>
          </w:cols>
          <w:pgMar w:left="220" w:top="289" w:right="239" w:bottom="1440" w:gutter="0" w:footer="0" w:header="0"/>
          <w:type w:val="continuous"/>
        </w:sectPr>
      </w:pPr>
    </w:p>
    <w:bookmarkStart w:id="63" w:name="page64"/>
    <w:bookmarkEnd w:id="63"/>
    <w:p>
      <w:pPr>
        <w:ind w:left="200"/>
        <w:spacing w:after="0"/>
        <w:rPr>
          <w:sz w:val="20"/>
          <w:szCs w:val="20"/>
          <w:color w:val="auto"/>
        </w:rPr>
      </w:pPr>
      <w:r>
        <w:rPr>
          <w:rFonts w:ascii="Arial" w:cs="Arial" w:eastAsia="Arial" w:hAnsi="Arial"/>
          <w:sz w:val="12"/>
          <w:szCs w:val="12"/>
          <w:color w:val="auto"/>
        </w:rPr>
        <w:t>Except for dispositions to development JVs, we must generally apply all of the proceeds from the sale of assets included in our borrowing base to repay loans outstanding under our 2014 Revolving Credit Facility.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the sale of non-borrowing base assets (other than the Elk Hills power plant), we must apply the net cash proceeds to repay outstanding loans as follows:</w:t>
      </w:r>
    </w:p>
    <w:p>
      <w:pPr>
        <w:spacing w:after="0" w:line="168" w:lineRule="exact"/>
        <w:rPr>
          <w:sz w:val="20"/>
          <w:szCs w:val="20"/>
          <w:color w:val="auto"/>
        </w:rPr>
      </w:pPr>
    </w:p>
    <w:p>
      <w:pPr>
        <w:ind w:left="460" w:hanging="252"/>
        <w:spacing w:after="0"/>
        <w:tabs>
          <w:tab w:leader="none" w:pos="4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25% of such proceeds for all net cash proceeds received up to $500 million</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50% of such proceeds for all net cash proceeds received between $500 million and $1 billion</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75% of such proceeds for all net cash proceeds received in excess of $1 billion.</w:t>
      </w:r>
    </w:p>
    <w:p>
      <w:pPr>
        <w:spacing w:after="0" w:line="159"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We are permitted to use the balance of the proceeds for general corporate purposes, including acquisitions, and to repurchase our Second Lien Notes and Senior Notes subject to certain conditions, including that any repurchase be at a 20% minimum discount to par, pro-forma compliance with our financial performance covenants and that we maintain minimum liquidity of $250 million following such repurchase.</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connection with the Ares JV transaction, we used $297 million of the net proceeds to repay all of the then outstanding loans under our 2014 Revolving Credit Facility.</w:t>
      </w:r>
    </w:p>
    <w:p>
      <w:pPr>
        <w:spacing w:after="0" w:line="138" w:lineRule="exact"/>
        <w:rPr>
          <w:sz w:val="20"/>
          <w:szCs w:val="20"/>
          <w:color w:val="auto"/>
        </w:rPr>
      </w:pPr>
    </w:p>
    <w:p>
      <w:pPr>
        <w:ind w:right="180" w:firstLine="216"/>
        <w:spacing w:after="0" w:line="283" w:lineRule="auto"/>
        <w:rPr>
          <w:sz w:val="20"/>
          <w:szCs w:val="20"/>
          <w:color w:val="auto"/>
        </w:rPr>
      </w:pPr>
      <w:r>
        <w:rPr>
          <w:rFonts w:ascii="Arial" w:cs="Arial" w:eastAsia="Arial" w:hAnsi="Arial"/>
          <w:sz w:val="12"/>
          <w:szCs w:val="12"/>
          <w:i w:val="1"/>
          <w:iCs w:val="1"/>
          <w:color w:val="auto"/>
        </w:rPr>
        <w:t xml:space="preserve">Prior Amendments </w:t>
      </w:r>
      <w:r>
        <w:rPr>
          <w:rFonts w:ascii="Arial" w:cs="Arial" w:eastAsia="Arial" w:hAnsi="Arial"/>
          <w:sz w:val="12"/>
          <w:szCs w:val="12"/>
          <w:color w:val="auto"/>
        </w:rPr>
        <w:t>– Our 2014 Revolving Credit Facility was most recently amended in November 2017. As part of that amendment, we repaid the $559 million balance of our 2014 Term Loan and modified the</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and other covenants of our 2014 Revolving Credit Facility.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2017 Credit Agreement</w:t>
      </w:r>
    </w:p>
    <w:p>
      <w:pPr>
        <w:spacing w:after="0" w:line="162"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In November 2017, we entered into a 1.3 billion credit agreement with The Bank of New York Mellon Trust Company, N.A., as administrative agent, and certain other lenders (2017 Credit Agreement). The net proceeds were used to pay the $559 million remaining balance of our 2014 Term Loan, resulting in a loss on the early extinguishment of debt of $8 million, reduce the balance of our 2014 Revolving Credit Facility and pay accrued interest. The proceeds received were net of a $26 million original issue discount and $38 million in transaction costs. As of December 31, 2017, we had a $1.3 billion term loan outstanding under our 2017 Credit Agreement.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Security </w:t>
      </w:r>
      <w:r>
        <w:rPr>
          <w:rFonts w:ascii="Arial" w:cs="Arial" w:eastAsia="Arial" w:hAnsi="Arial"/>
          <w:sz w:val="12"/>
          <w:szCs w:val="12"/>
          <w:color w:val="auto"/>
        </w:rPr>
        <w:t>– Our 2017 Credit Agreement is secured by the same shared first-priority lien used to secure our 2014 Revolving Credit Facility.</w:t>
      </w:r>
    </w:p>
    <w:p>
      <w:pPr>
        <w:spacing w:after="0" w:line="150" w:lineRule="exact"/>
        <w:rPr>
          <w:sz w:val="20"/>
          <w:szCs w:val="20"/>
          <w:color w:val="auto"/>
        </w:rPr>
      </w:pPr>
    </w:p>
    <w:p>
      <w:pPr>
        <w:ind w:right="40" w:firstLine="216"/>
        <w:spacing w:after="0" w:line="261" w:lineRule="auto"/>
        <w:rPr>
          <w:sz w:val="20"/>
          <w:szCs w:val="20"/>
          <w:color w:val="auto"/>
        </w:rPr>
      </w:pPr>
      <w:r>
        <w:rPr>
          <w:rFonts w:ascii="Arial" w:cs="Arial" w:eastAsia="Arial" w:hAnsi="Arial"/>
          <w:sz w:val="12"/>
          <w:szCs w:val="12"/>
          <w:i w:val="1"/>
          <w:iCs w:val="1"/>
          <w:color w:val="auto"/>
        </w:rPr>
        <w:t xml:space="preserve">Maturity Date </w:t>
      </w:r>
      <w:r>
        <w:rPr>
          <w:rFonts w:ascii="Arial" w:cs="Arial" w:eastAsia="Arial" w:hAnsi="Arial"/>
          <w:sz w:val="12"/>
          <w:szCs w:val="12"/>
          <w:color w:val="auto"/>
        </w:rPr>
        <w:t>– The loans mature on December 31, 2022, subject to a springing maturity of 91 days prior to the maturity of our 2016 Credit Agreement if more than $100 million is outstanding at that time.</w:t>
      </w:r>
      <w:r>
        <w:rPr>
          <w:rFonts w:ascii="Arial" w:cs="Arial" w:eastAsia="Arial" w:hAnsi="Arial"/>
          <w:sz w:val="12"/>
          <w:szCs w:val="12"/>
          <w:i w:val="1"/>
          <w:iCs w:val="1"/>
          <w:color w:val="auto"/>
        </w:rPr>
        <w:t xml:space="preserve"> </w:t>
      </w:r>
      <w:r>
        <w:rPr>
          <w:rFonts w:ascii="Arial" w:cs="Arial" w:eastAsia="Arial" w:hAnsi="Arial"/>
          <w:sz w:val="12"/>
          <w:szCs w:val="12"/>
          <w:color w:val="auto"/>
        </w:rPr>
        <w:t>Previously these loans included a springing maturity of 91 days prior to the maturity of our 2020 Notes or our 2021 Notes if more than $100 million of such notes were outstanding on such date. During the fourth quarter of 2017, we repurchased $65 million in principal amount of 2020 Notes and $35 million in principal amount of 2021 Notes which eliminated the springing maturity feature in the 2017 Credit Agreement that was tied to those notes. Prepayment more than 90 days prior to maturity is subject to a 2% premium.</w:t>
      </w:r>
    </w:p>
    <w:p>
      <w:pPr>
        <w:spacing w:after="0" w:line="120" w:lineRule="exact"/>
        <w:rPr>
          <w:sz w:val="20"/>
          <w:szCs w:val="20"/>
          <w:color w:val="auto"/>
        </w:rPr>
      </w:pPr>
    </w:p>
    <w:p>
      <w:pPr>
        <w:ind w:right="20" w:firstLine="216"/>
        <w:spacing w:after="0" w:line="266" w:lineRule="auto"/>
        <w:rPr>
          <w:sz w:val="20"/>
          <w:szCs w:val="20"/>
          <w:color w:val="auto"/>
        </w:rPr>
      </w:pPr>
      <w:r>
        <w:rPr>
          <w:rFonts w:ascii="Arial" w:cs="Arial" w:eastAsia="Arial" w:hAnsi="Arial"/>
          <w:sz w:val="12"/>
          <w:szCs w:val="12"/>
          <w:i w:val="1"/>
          <w:iCs w:val="1"/>
          <w:color w:val="auto"/>
        </w:rPr>
        <w:t xml:space="preserve">Financial and Other Covenants </w:t>
      </w:r>
      <w:r>
        <w:rPr>
          <w:rFonts w:ascii="Arial" w:cs="Arial" w:eastAsia="Arial" w:hAnsi="Arial"/>
          <w:sz w:val="12"/>
          <w:szCs w:val="12"/>
          <w:color w:val="auto"/>
        </w:rPr>
        <w:t>– We are required to maintain a first-lien asset coverage ratio of not less than 1.20 to 1.00 as of any June 30 and December 31. In addition, our 2017 Credit Agreement provides for</w:t>
      </w:r>
      <w:r>
        <w:rPr>
          <w:rFonts w:ascii="Arial" w:cs="Arial" w:eastAsia="Arial" w:hAnsi="Arial"/>
          <w:sz w:val="12"/>
          <w:szCs w:val="12"/>
          <w:i w:val="1"/>
          <w:iCs w:val="1"/>
          <w:color w:val="auto"/>
        </w:rPr>
        <w:t xml:space="preserve"> </w:t>
      </w:r>
      <w:r>
        <w:rPr>
          <w:rFonts w:ascii="Arial" w:cs="Arial" w:eastAsia="Arial" w:hAnsi="Arial"/>
          <w:sz w:val="12"/>
          <w:szCs w:val="12"/>
          <w:color w:val="auto"/>
        </w:rPr>
        <w:t>customary covenants and events of default consistent with, or generally less restrictive than, the covenants in our 2014 Revolving Credit Facility, including limitations on additional indebtedness, liens, asset dispositions, investments and restricted payments and other negative covenants, in each case subject to certain limitations and exceptions.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2016 Credit Agreement</w:t>
      </w:r>
    </w:p>
    <w:p>
      <w:pPr>
        <w:spacing w:after="0" w:line="162" w:lineRule="exact"/>
        <w:rPr>
          <w:sz w:val="20"/>
          <w:szCs w:val="20"/>
          <w:color w:val="auto"/>
        </w:rPr>
      </w:pPr>
    </w:p>
    <w:p>
      <w:pPr>
        <w:ind w:right="320" w:firstLine="216"/>
        <w:spacing w:after="0" w:line="256" w:lineRule="auto"/>
        <w:rPr>
          <w:sz w:val="20"/>
          <w:szCs w:val="20"/>
          <w:color w:val="auto"/>
        </w:rPr>
      </w:pPr>
      <w:r>
        <w:rPr>
          <w:rFonts w:ascii="Arial" w:cs="Arial" w:eastAsia="Arial" w:hAnsi="Arial"/>
          <w:sz w:val="12"/>
          <w:szCs w:val="12"/>
          <w:color w:val="auto"/>
        </w:rPr>
        <w:t>In August 2016, we entered into a $1 billion credit agreement with The Bank of New York Mellon Trust Company, N.A., as administrative agent, and certain other lenders (2016 Credit Agreement). The net proceeds from the 2016 Credit Agreement were used to (i) prepay $250 million of our 2014 Term Loan and (ii) reduce our 2014 Revolving Credit Facility by $740 million. The proceeds received were net of a $10 million original issue discount. As of December 31, 2017, we had a $1 billion term loan outstanding under our 2016 Credit Agreement.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Security </w:t>
      </w:r>
      <w:r>
        <w:rPr>
          <w:rFonts w:ascii="Arial" w:cs="Arial" w:eastAsia="Arial" w:hAnsi="Arial"/>
          <w:sz w:val="12"/>
          <w:szCs w:val="12"/>
          <w:color w:val="auto"/>
        </w:rPr>
        <w:t>– Our 2016 Credit Agreement is secured by a first-priority lien on a substantial majority of our assets but is second in collateral recovery to our 2014 Revolving Credit Facility and 2017 Credit Agreement.</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40"/>
          </w:cols>
          <w:pgMar w:left="220" w:top="301" w:right="239" w:bottom="1440" w:gutter="0" w:footer="0" w:header="0"/>
        </w:sectPr>
      </w:pPr>
    </w:p>
    <w:bookmarkStart w:id="64" w:name="page65"/>
    <w:bookmarkEnd w:id="64"/>
    <w:p>
      <w:pPr>
        <w:ind w:firstLine="216"/>
        <w:spacing w:after="0" w:line="261" w:lineRule="auto"/>
        <w:rPr>
          <w:sz w:val="20"/>
          <w:szCs w:val="20"/>
          <w:color w:val="auto"/>
        </w:rPr>
      </w:pPr>
      <w:r>
        <w:rPr>
          <w:rFonts w:ascii="Arial" w:cs="Arial" w:eastAsia="Arial" w:hAnsi="Arial"/>
          <w:sz w:val="12"/>
          <w:szCs w:val="12"/>
          <w:i w:val="1"/>
          <w:iCs w:val="1"/>
          <w:color w:val="auto"/>
        </w:rPr>
        <w:t xml:space="preserve">Maturity Date </w:t>
      </w:r>
      <w:r>
        <w:rPr>
          <w:rFonts w:ascii="Arial" w:cs="Arial" w:eastAsia="Arial" w:hAnsi="Arial"/>
          <w:sz w:val="12"/>
          <w:szCs w:val="12"/>
          <w:color w:val="auto"/>
        </w:rPr>
        <w:t>– The loans mature on December 31, 2021. Previously these loans included a springing maturity of 91 days prior to the maturity of our 2020 Notes or our 2021 Notes if more than $100 million of such</w:t>
      </w:r>
      <w:r>
        <w:rPr>
          <w:rFonts w:ascii="Arial" w:cs="Arial" w:eastAsia="Arial" w:hAnsi="Arial"/>
          <w:sz w:val="12"/>
          <w:szCs w:val="12"/>
          <w:i w:val="1"/>
          <w:iCs w:val="1"/>
          <w:color w:val="auto"/>
        </w:rPr>
        <w:t xml:space="preserve"> </w:t>
      </w:r>
      <w:r>
        <w:rPr>
          <w:rFonts w:ascii="Arial" w:cs="Arial" w:eastAsia="Arial" w:hAnsi="Arial"/>
          <w:sz w:val="12"/>
          <w:szCs w:val="12"/>
          <w:color w:val="auto"/>
        </w:rPr>
        <w:t>notes were outstanding on such date. During the fourth quarter of 2017, we repurchased $ 65 million in principal amount of 2020 Notes and $35 million in principal amount of 2021 Notes which eliminated the springing maturity feature in the 2016 Credit Agreement that was tied to those notes. Prepayment is subject to a variable make-whole amount prior to the fourth anniversary. Following the fourth anniversary, we may redeem at par.</w:t>
      </w:r>
    </w:p>
    <w:p>
      <w:pPr>
        <w:spacing w:after="0" w:line="120" w:lineRule="exact"/>
        <w:rPr>
          <w:sz w:val="20"/>
          <w:szCs w:val="20"/>
          <w:color w:val="auto"/>
        </w:rPr>
      </w:pPr>
    </w:p>
    <w:p>
      <w:pPr>
        <w:ind w:right="260" w:firstLine="216"/>
        <w:spacing w:after="0" w:line="283" w:lineRule="auto"/>
        <w:rPr>
          <w:sz w:val="20"/>
          <w:szCs w:val="20"/>
          <w:color w:val="auto"/>
        </w:rPr>
      </w:pPr>
      <w:r>
        <w:rPr>
          <w:rFonts w:ascii="Arial" w:cs="Arial" w:eastAsia="Arial" w:hAnsi="Arial"/>
          <w:sz w:val="12"/>
          <w:szCs w:val="12"/>
          <w:i w:val="1"/>
          <w:iCs w:val="1"/>
          <w:color w:val="auto"/>
        </w:rPr>
        <w:t xml:space="preserve">Financial and Other Covenants </w:t>
      </w:r>
      <w:r>
        <w:rPr>
          <w:rFonts w:ascii="Arial" w:cs="Arial" w:eastAsia="Arial" w:hAnsi="Arial"/>
          <w:sz w:val="12"/>
          <w:szCs w:val="12"/>
          <w:color w:val="auto"/>
        </w:rPr>
        <w:t>– We are required to maintain a first–lien asset coverage ratio of not less than 1.20 to 1.00 as of any June 30 and December 31. Our 2016 Credit Agreement also includes other</w:t>
      </w:r>
      <w:r>
        <w:rPr>
          <w:rFonts w:ascii="Arial" w:cs="Arial" w:eastAsia="Arial" w:hAnsi="Arial"/>
          <w:sz w:val="12"/>
          <w:szCs w:val="12"/>
          <w:i w:val="1"/>
          <w:iCs w:val="1"/>
          <w:color w:val="auto"/>
        </w:rPr>
        <w:t xml:space="preserve"> </w:t>
      </w:r>
      <w:r>
        <w:rPr>
          <w:rFonts w:ascii="Arial" w:cs="Arial" w:eastAsia="Arial" w:hAnsi="Arial"/>
          <w:sz w:val="12"/>
          <w:szCs w:val="12"/>
          <w:color w:val="auto"/>
        </w:rPr>
        <w:t>covenants that are substantially similar to our 2017 Credit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Second Lien Notes</w:t>
      </w:r>
    </w:p>
    <w:p>
      <w:pPr>
        <w:spacing w:after="0" w:line="162"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In December 2015, we issued $2.25 billion in aggregate principal amount of 8% senior secured second-lien notes due December 15, 2022 (Second Lien Notes). The Second Lien Notes were issued in exchange for $2.8 billion of our then outstanding Senior Notes. We recorded a deferred gain of approximately $560 million on the debt exchange, which is being amortized using the effective interest rate method over the term of our Second Lien Notes. We pay cash interest semiannually in arrears on June 15 and December 15.</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Security </w:t>
      </w:r>
      <w:r>
        <w:rPr>
          <w:rFonts w:ascii="Arial" w:cs="Arial" w:eastAsia="Arial" w:hAnsi="Arial"/>
          <w:sz w:val="12"/>
          <w:szCs w:val="12"/>
          <w:color w:val="auto"/>
        </w:rPr>
        <w:t>– Our Second Lien Notes are secured on a junior-priority basis to the first-priority liens that secure the loans under our 2014 Revolving Credit Facility, 2017 Credit Agreement and 2016 Credit Agreement.</w:t>
      </w:r>
    </w:p>
    <w:p>
      <w:pPr>
        <w:spacing w:after="0" w:line="150" w:lineRule="exact"/>
        <w:rPr>
          <w:sz w:val="20"/>
          <w:szCs w:val="20"/>
          <w:color w:val="auto"/>
        </w:rPr>
      </w:pPr>
    </w:p>
    <w:p>
      <w:pPr>
        <w:jc w:val="both"/>
        <w:ind w:right="20" w:firstLine="216"/>
        <w:spacing w:after="0" w:line="258" w:lineRule="auto"/>
        <w:rPr>
          <w:sz w:val="20"/>
          <w:szCs w:val="20"/>
          <w:color w:val="auto"/>
        </w:rPr>
      </w:pPr>
      <w:r>
        <w:rPr>
          <w:rFonts w:ascii="Arial" w:cs="Arial" w:eastAsia="Arial" w:hAnsi="Arial"/>
          <w:sz w:val="12"/>
          <w:szCs w:val="12"/>
          <w:i w:val="1"/>
          <w:iCs w:val="1"/>
          <w:color w:val="auto"/>
        </w:rPr>
        <w:t xml:space="preserve">Financial and Other Covenants </w:t>
      </w:r>
      <w:r>
        <w:rPr>
          <w:rFonts w:ascii="Arial" w:cs="Arial" w:eastAsia="Arial" w:hAnsi="Arial"/>
          <w:sz w:val="12"/>
          <w:szCs w:val="12"/>
          <w:color w:val="auto"/>
        </w:rPr>
        <w:t>– The indenture includes covenants that, among other things, limit our ability to grant liens securing borrowed money (subject to certain exceptions) and restrict our ability to merge</w:t>
      </w:r>
      <w:r>
        <w:rPr>
          <w:rFonts w:ascii="Arial" w:cs="Arial" w:eastAsia="Arial" w:hAnsi="Arial"/>
          <w:sz w:val="12"/>
          <w:szCs w:val="12"/>
          <w:i w:val="1"/>
          <w:iCs w:val="1"/>
          <w:color w:val="auto"/>
        </w:rPr>
        <w:t xml:space="preserve"> </w:t>
      </w:r>
      <w:r>
        <w:rPr>
          <w:rFonts w:ascii="Arial" w:cs="Arial" w:eastAsia="Arial" w:hAnsi="Arial"/>
          <w:sz w:val="12"/>
          <w:szCs w:val="12"/>
          <w:color w:val="auto"/>
        </w:rPr>
        <w:t>or consolidate with, or transfer all or substantially all of our assets to, another entity. The covenants are not, however, directly linked to measures of our financial performance. In addition, if we experience a “change of control triggering event” (as defined in the indenture), we will be required, unless we have exercised our right to redeem our Second Lien Notes, to offer to purchase our Second Lien Notes at a purchase price equal to 101% of their principal amount, plus accrued and unpaid interest. The indenture also restricts our ability to sell certain assets and to release collateral from liens securing our Second Lien Notes, unless the collateral is also released in compliance with our senior credit facilities.</w:t>
      </w:r>
    </w:p>
    <w:p>
      <w:pPr>
        <w:spacing w:after="0" w:line="123" w:lineRule="exact"/>
        <w:rPr>
          <w:sz w:val="20"/>
          <w:szCs w:val="20"/>
          <w:color w:val="auto"/>
        </w:rPr>
      </w:pPr>
    </w:p>
    <w:p>
      <w:pPr>
        <w:ind w:right="120" w:firstLine="216"/>
        <w:spacing w:after="0" w:line="266" w:lineRule="auto"/>
        <w:rPr>
          <w:sz w:val="20"/>
          <w:szCs w:val="20"/>
          <w:color w:val="auto"/>
        </w:rPr>
      </w:pPr>
      <w:r>
        <w:rPr>
          <w:rFonts w:ascii="Arial" w:cs="Arial" w:eastAsia="Arial" w:hAnsi="Arial"/>
          <w:sz w:val="12"/>
          <w:szCs w:val="12"/>
          <w:i w:val="1"/>
          <w:iCs w:val="1"/>
          <w:color w:val="auto"/>
        </w:rPr>
        <w:t xml:space="preserve">Redemption </w:t>
      </w:r>
      <w:r>
        <w:rPr>
          <w:rFonts w:ascii="Arial" w:cs="Arial" w:eastAsia="Arial" w:hAnsi="Arial"/>
          <w:sz w:val="12"/>
          <w:szCs w:val="12"/>
          <w:color w:val="auto"/>
        </w:rPr>
        <w:t>– We may redeem our Second Lien Notes (i) prior to December 15, 2018, in whole or in part at a redemption price equal to 100% of the principal amount redeemed plus a make-whole amount and</w:t>
      </w:r>
      <w:r>
        <w:rPr>
          <w:rFonts w:ascii="Arial" w:cs="Arial" w:eastAsia="Arial" w:hAnsi="Arial"/>
          <w:sz w:val="12"/>
          <w:szCs w:val="12"/>
          <w:i w:val="1"/>
          <w:iCs w:val="1"/>
          <w:color w:val="auto"/>
        </w:rPr>
        <w:t xml:space="preserve"> </w:t>
      </w:r>
      <w:r>
        <w:rPr>
          <w:rFonts w:ascii="Arial" w:cs="Arial" w:eastAsia="Arial" w:hAnsi="Arial"/>
          <w:sz w:val="12"/>
          <w:szCs w:val="12"/>
          <w:color w:val="auto"/>
        </w:rPr>
        <w:t>accrued and unpaid interest, (ii) between December 15, 2018 and 2020, in whole or in part at a fixed redemption price ranging from 104% to 102% of the principal amount redeemed plus accrued and unpaid interest and (iii) thereafter in whole or in part at a redemption price equal to 100% of the principal amount redeemed plus accrued and unpaid interest.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Senior Notes</w:t>
      </w:r>
    </w:p>
    <w:p>
      <w:pPr>
        <w:spacing w:after="0" w:line="162"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In October 2014, we issued $ 5 billion in aggregate principal amount of our senior unsecured notes, including $1 billion of 5% notes due January 15, 2020 (2020 Notes), $1.75 billion of 5 ½% notes due September 15, 2021 (2021 Notes) and $2.25 billion of 6% notes due November 15, 2024 (2024 Notes and, collectively, Senior Notes). We used the net proceeds from the issuance of our Senior Notes to make a $4.95 billion cash distribution to Occidental in connection with the Spin-off in October 2014.</w:t>
      </w:r>
    </w:p>
    <w:p>
      <w:pPr>
        <w:spacing w:after="0" w:line="123" w:lineRule="exact"/>
        <w:rPr>
          <w:sz w:val="20"/>
          <w:szCs w:val="20"/>
          <w:color w:val="auto"/>
        </w:rPr>
      </w:pPr>
    </w:p>
    <w:p>
      <w:pPr>
        <w:ind w:right="120" w:firstLine="216"/>
        <w:spacing w:after="0" w:line="258" w:lineRule="auto"/>
        <w:rPr>
          <w:sz w:val="20"/>
          <w:szCs w:val="20"/>
          <w:color w:val="auto"/>
        </w:rPr>
      </w:pPr>
      <w:r>
        <w:rPr>
          <w:rFonts w:ascii="Arial" w:cs="Arial" w:eastAsia="Arial" w:hAnsi="Arial"/>
          <w:sz w:val="12"/>
          <w:szCs w:val="12"/>
          <w:i w:val="1"/>
          <w:iCs w:val="1"/>
          <w:color w:val="auto"/>
        </w:rPr>
        <w:t xml:space="preserve">Repurchases and Exchanges </w:t>
      </w:r>
      <w:r>
        <w:rPr>
          <w:rFonts w:ascii="Arial" w:cs="Arial" w:eastAsia="Arial" w:hAnsi="Arial"/>
          <w:sz w:val="12"/>
          <w:szCs w:val="12"/>
          <w:color w:val="auto"/>
        </w:rPr>
        <w:t>– In 2015, we repurchased approximately $33 million in principal amount of our 2020 Notes for $13 million in cash. We also exchanged a substantial majority of our Senior Notes for</w:t>
      </w:r>
      <w:r>
        <w:rPr>
          <w:rFonts w:ascii="Arial" w:cs="Arial" w:eastAsia="Arial" w:hAnsi="Arial"/>
          <w:sz w:val="12"/>
          <w:szCs w:val="12"/>
          <w:i w:val="1"/>
          <w:iCs w:val="1"/>
          <w:color w:val="auto"/>
        </w:rPr>
        <w:t xml:space="preserve"> </w:t>
      </w:r>
      <w:r>
        <w:rPr>
          <w:rFonts w:ascii="Arial" w:cs="Arial" w:eastAsia="Arial" w:hAnsi="Arial"/>
          <w:sz w:val="12"/>
          <w:szCs w:val="12"/>
          <w:color w:val="auto"/>
        </w:rPr>
        <w:t>our Second Lien Notes in December 2015 as described above. In 2016, we repurchased over $1.5 billion in principal amount of our outstanding Senior Notes, primarily using drawings of $750 million on our 2014 Revolving Credit Facility and cash from operations. We also exchanged approximately 3.4 million shares of our common stock for $100 million in aggregate principal amount of our Senior Notes. In the first quarter of 2017, we purchased $28 million in aggregate principal amount of our 2020 Notes for $24 million in cash, resulting in a $4 million pre-tax gain. As described above, in the fourth quarter of 2017, we also repurchased $65 million and $35 million in aggregate principal amount of our 2020 Notes and our 2021 Notes, respectively, for $92 million in cash, resulting in an $8 million pre-tax gain.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0"/>
          </w:cols>
          <w:pgMar w:left="220" w:top="289" w:right="199" w:bottom="1440" w:gutter="0" w:footer="0" w:header="0"/>
        </w:sectPr>
      </w:pPr>
    </w:p>
    <w:bookmarkStart w:id="65" w:name="page66"/>
    <w:bookmarkEnd w:id="65"/>
    <w:p>
      <w:pPr>
        <w:ind w:right="20" w:firstLine="216"/>
        <w:spacing w:after="0" w:line="261" w:lineRule="auto"/>
        <w:rPr>
          <w:sz w:val="20"/>
          <w:szCs w:val="20"/>
          <w:color w:val="auto"/>
        </w:rPr>
      </w:pPr>
      <w:r>
        <w:rPr>
          <w:rFonts w:ascii="Arial" w:cs="Arial" w:eastAsia="Arial" w:hAnsi="Arial"/>
          <w:sz w:val="12"/>
          <w:szCs w:val="12"/>
          <w:i w:val="1"/>
          <w:iCs w:val="1"/>
          <w:color w:val="auto"/>
        </w:rPr>
        <w:t xml:space="preserve">Financial and Other Covenants </w:t>
      </w:r>
      <w:r>
        <w:rPr>
          <w:rFonts w:ascii="Arial" w:cs="Arial" w:eastAsia="Arial" w:hAnsi="Arial"/>
          <w:sz w:val="12"/>
          <w:szCs w:val="12"/>
          <w:color w:val="auto"/>
        </w:rPr>
        <w:t>– The indenture includes covenants that, among other things, limits our ability to grant liens securing borrowed money subject to certain exceptions and restricts our ability to merge</w:t>
      </w:r>
      <w:r>
        <w:rPr>
          <w:rFonts w:ascii="Arial" w:cs="Arial" w:eastAsia="Arial" w:hAnsi="Arial"/>
          <w:sz w:val="12"/>
          <w:szCs w:val="12"/>
          <w:i w:val="1"/>
          <w:iCs w:val="1"/>
          <w:color w:val="auto"/>
        </w:rPr>
        <w:t xml:space="preserve"> </w:t>
      </w:r>
      <w:r>
        <w:rPr>
          <w:rFonts w:ascii="Arial" w:cs="Arial" w:eastAsia="Arial" w:hAnsi="Arial"/>
          <w:sz w:val="12"/>
          <w:szCs w:val="12"/>
          <w:color w:val="auto"/>
        </w:rPr>
        <w:t>or consolidate with, or transfer all or substantially all of our assets to, another entity. The covenants are not, however, directly linked to measures of our financial performance. In addition, if we experience a “change of control triggering event” (as defined in the indenture), we will be required, unless we have exercised our right to redeem our Senior Notes, to offer to purchase our Senior Notes at a purchase price equal to 101% of their principal amount, plus accrued and unpaid interest.</w:t>
      </w:r>
    </w:p>
    <w:p>
      <w:pPr>
        <w:spacing w:after="0" w:line="120" w:lineRule="exact"/>
        <w:rPr>
          <w:sz w:val="20"/>
          <w:szCs w:val="20"/>
          <w:color w:val="auto"/>
        </w:rPr>
      </w:pPr>
    </w:p>
    <w:p>
      <w:pPr>
        <w:ind w:right="340" w:firstLine="216"/>
        <w:spacing w:after="0" w:line="283" w:lineRule="auto"/>
        <w:rPr>
          <w:sz w:val="20"/>
          <w:szCs w:val="20"/>
          <w:color w:val="auto"/>
        </w:rPr>
      </w:pPr>
      <w:r>
        <w:rPr>
          <w:rFonts w:ascii="Arial" w:cs="Arial" w:eastAsia="Arial" w:hAnsi="Arial"/>
          <w:sz w:val="12"/>
          <w:szCs w:val="12"/>
          <w:i w:val="1"/>
          <w:iCs w:val="1"/>
          <w:color w:val="auto"/>
        </w:rPr>
        <w:t xml:space="preserve">Redemption </w:t>
      </w:r>
      <w:r>
        <w:rPr>
          <w:rFonts w:ascii="Arial" w:cs="Arial" w:eastAsia="Arial" w:hAnsi="Arial"/>
          <w:sz w:val="12"/>
          <w:szCs w:val="12"/>
          <w:color w:val="auto"/>
        </w:rPr>
        <w:t>– We may redeem our Senior Notes prior to their maturity dates, in whole or in part, at a redemption price equal to 100% of the principal amount redeemed plus accrued and unpaid interest and,</w:t>
      </w:r>
      <w:r>
        <w:rPr>
          <w:rFonts w:ascii="Arial" w:cs="Arial" w:eastAsia="Arial" w:hAnsi="Arial"/>
          <w:sz w:val="12"/>
          <w:szCs w:val="12"/>
          <w:i w:val="1"/>
          <w:iCs w:val="1"/>
          <w:color w:val="auto"/>
        </w:rPr>
        <w:t xml:space="preserve"> </w:t>
      </w:r>
      <w:r>
        <w:rPr>
          <w:rFonts w:ascii="Arial" w:cs="Arial" w:eastAsia="Arial" w:hAnsi="Arial"/>
          <w:sz w:val="12"/>
          <w:szCs w:val="12"/>
          <w:color w:val="auto"/>
        </w:rPr>
        <w:t>generally, a make-whole amount.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At December 31, 2017, we were in compliance with all financial and other debt covenants.</w:t>
      </w:r>
    </w:p>
    <w:p>
      <w:pPr>
        <w:spacing w:after="0" w:line="150" w:lineRule="exact"/>
        <w:rPr>
          <w:sz w:val="20"/>
          <w:szCs w:val="20"/>
          <w:color w:val="auto"/>
        </w:rPr>
      </w:pPr>
    </w:p>
    <w:p>
      <w:pPr>
        <w:ind w:right="560" w:firstLine="216"/>
        <w:spacing w:after="0" w:line="262" w:lineRule="auto"/>
        <w:rPr>
          <w:sz w:val="20"/>
          <w:szCs w:val="20"/>
          <w:color w:val="auto"/>
        </w:rPr>
      </w:pPr>
      <w:r>
        <w:rPr>
          <w:rFonts w:ascii="Arial" w:cs="Arial" w:eastAsia="Arial" w:hAnsi="Arial"/>
          <w:sz w:val="12"/>
          <w:szCs w:val="12"/>
          <w:color w:val="auto"/>
        </w:rPr>
        <w:t>All obligations under our 2014 Revolving Credit Facility, 2017 Credit Agreement and 2016 Credit Agreement (collectively, Credit Facilities) as well as our Second Lien Notes are guaranteed both fully and unconditionally and jointly and severally by all of our material wholly owned subsidiaries.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terms and conditions of all of our indebtedness are subject to additional qualifications and limitations that are set forth in the relevant governing documents.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one-eighth percent change in the variable interest rates on the borrowings under our Credit Facilities on December 31, 2017 would result in a $3 million change in annual interest expense.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Derivatives and Hedging</w:t>
      </w:r>
    </w:p>
    <w:p>
      <w:pPr>
        <w:spacing w:after="0" w:line="164"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Our most significant market exposure is the volatility of commodity prices. Realized prices are primarily driven by prevailing worldwide prices for crude oil and fluctuations in spot market prices, which are outside of our control, and can result in unpredictable operating cash flows. Global oil markets are influenced by many factors, including the over-supply of oil in the last few years. We maintain a commodity hedging program to help protect our cash flows, margins and capital program from the volatility of commodity prices and to improve our ability to comply with our debt covenants.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60"/>
          </w:cols>
          <w:pgMar w:left="220" w:top="289" w:right="219" w:bottom="1440" w:gutter="0" w:footer="0" w:header="0"/>
        </w:sectPr>
      </w:pPr>
    </w:p>
    <w:bookmarkStart w:id="66" w:name="page67"/>
    <w:bookmarkEnd w:id="66"/>
    <w:p>
      <w:pPr>
        <w:ind w:left="200"/>
        <w:spacing w:after="0"/>
        <w:rPr>
          <w:sz w:val="20"/>
          <w:szCs w:val="20"/>
          <w:color w:val="auto"/>
        </w:rPr>
      </w:pPr>
      <w:r>
        <w:rPr>
          <w:rFonts w:ascii="Arial" w:cs="Arial" w:eastAsia="Arial" w:hAnsi="Arial"/>
          <w:sz w:val="12"/>
          <w:szCs w:val="12"/>
          <w:color w:val="auto"/>
        </w:rPr>
        <w:t>We currently have the following Brent-based crude oil contracts, which includes activity subsequent to December 31, 2017:</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Q1</w:t>
            </w:r>
          </w:p>
        </w:tc>
        <w:tc>
          <w:tcPr>
            <w:tcW w:w="280" w:type="dxa"/>
            <w:vAlign w:val="bottom"/>
          </w:tcPr>
          <w:p>
            <w:pPr>
              <w:spacing w:after="0"/>
              <w:rPr>
                <w:sz w:val="12"/>
                <w:szCs w:val="12"/>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Q2</w:t>
            </w:r>
          </w:p>
        </w:tc>
        <w:tc>
          <w:tcPr>
            <w:tcW w:w="26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Q3</w:t>
            </w:r>
          </w:p>
        </w:tc>
        <w:tc>
          <w:tcPr>
            <w:tcW w:w="280" w:type="dxa"/>
            <w:vAlign w:val="bottom"/>
          </w:tcPr>
          <w:p>
            <w:pPr>
              <w:spacing w:after="0"/>
              <w:rPr>
                <w:sz w:val="12"/>
                <w:szCs w:val="12"/>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Q4</w:t>
            </w:r>
          </w:p>
        </w:tc>
        <w:tc>
          <w:tcPr>
            <w:tcW w:w="260" w:type="dxa"/>
            <w:vAlign w:val="bottom"/>
          </w:tcPr>
          <w:p>
            <w:pPr>
              <w:spacing w:after="0"/>
              <w:rPr>
                <w:sz w:val="12"/>
                <w:szCs w:val="12"/>
                <w:color w:val="auto"/>
              </w:rPr>
            </w:pPr>
          </w:p>
        </w:tc>
        <w:tc>
          <w:tcPr>
            <w:tcW w:w="900" w:type="dxa"/>
            <w:vAlign w:val="bottom"/>
          </w:tcPr>
          <w:p>
            <w:pPr>
              <w:jc w:val="center"/>
              <w:ind w:right="200"/>
              <w:spacing w:after="0"/>
              <w:rPr>
                <w:sz w:val="20"/>
                <w:szCs w:val="20"/>
                <w:color w:val="auto"/>
              </w:rPr>
            </w:pPr>
            <w:r>
              <w:rPr>
                <w:rFonts w:ascii="Arial" w:cs="Arial" w:eastAsia="Arial" w:hAnsi="Arial"/>
                <w:sz w:val="12"/>
                <w:szCs w:val="12"/>
                <w:b w:val="1"/>
                <w:bCs w:val="1"/>
                <w:color w:val="auto"/>
                <w:w w:val="99"/>
              </w:rPr>
              <w:t>Q1</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Q2 - Q4</w:t>
            </w:r>
          </w:p>
        </w:tc>
        <w:tc>
          <w:tcPr>
            <w:tcW w:w="180" w:type="dxa"/>
            <w:vAlign w:val="bottom"/>
          </w:tcPr>
          <w:p>
            <w:pPr>
              <w:spacing w:after="0"/>
              <w:rPr>
                <w:sz w:val="12"/>
                <w:szCs w:val="12"/>
                <w:color w:val="auto"/>
              </w:rPr>
            </w:pPr>
          </w:p>
        </w:tc>
        <w:tc>
          <w:tcPr>
            <w:tcW w:w="600" w:type="dxa"/>
            <w:vAlign w:val="bottom"/>
          </w:tcPr>
          <w:p>
            <w:pPr>
              <w:jc w:val="right"/>
              <w:ind w:right="240"/>
              <w:spacing w:after="0"/>
              <w:rPr>
                <w:sz w:val="20"/>
                <w:szCs w:val="20"/>
                <w:color w:val="auto"/>
              </w:rPr>
            </w:pPr>
            <w:r>
              <w:rPr>
                <w:rFonts w:ascii="Arial" w:cs="Arial" w:eastAsia="Arial" w:hAnsi="Arial"/>
                <w:sz w:val="12"/>
                <w:szCs w:val="12"/>
                <w:b w:val="1"/>
                <w:bCs w:val="1"/>
                <w:color w:val="auto"/>
              </w:rPr>
              <w:t>FY</w:t>
            </w:r>
          </w:p>
        </w:tc>
      </w:tr>
      <w:tr>
        <w:trPr>
          <w:trHeight w:val="163"/>
        </w:trPr>
        <w:tc>
          <w:tcPr>
            <w:tcW w:w="3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2020</w:t>
            </w:r>
          </w:p>
        </w:tc>
      </w:tr>
      <w:tr>
        <w:trPr>
          <w:trHeight w:val="174"/>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Sold Calls: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344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9,000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6,200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16,100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16,100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1,100</w:t>
            </w:r>
          </w:p>
        </w:tc>
        <w:tc>
          <w:tcPr>
            <w:tcW w:w="28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500</w:t>
            </w:r>
          </w:p>
        </w:tc>
      </w:tr>
      <w:tr>
        <w:trPr>
          <w:trHeight w:val="185"/>
        </w:trPr>
        <w:tc>
          <w:tcPr>
            <w:tcW w:w="3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58.91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58.91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60.00</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60.00</w:t>
            </w:r>
          </w:p>
        </w:tc>
      </w:tr>
      <w:tr>
        <w:trPr>
          <w:trHeight w:val="189"/>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Purchased Calls: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344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2,000</w:t>
            </w:r>
          </w:p>
        </w:tc>
        <w:tc>
          <w:tcPr>
            <w:tcW w:w="2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3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71.00</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Purchased Puts: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344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6,100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1,100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14,100</w:t>
            </w:r>
          </w:p>
        </w:tc>
        <w:tc>
          <w:tcPr>
            <w:tcW w:w="28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500</w:t>
            </w:r>
          </w:p>
        </w:tc>
      </w:tr>
      <w:tr>
        <w:trPr>
          <w:trHeight w:val="185"/>
        </w:trPr>
        <w:tc>
          <w:tcPr>
            <w:tcW w:w="3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61.48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45.85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58.93</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43.91</w:t>
            </w:r>
          </w:p>
        </w:tc>
      </w:tr>
      <w:tr>
        <w:trPr>
          <w:trHeight w:val="189"/>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Sold Puts: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344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29,000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29,000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24,000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19,000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10,000</w:t>
            </w:r>
          </w:p>
        </w:tc>
        <w:tc>
          <w:tcPr>
            <w:tcW w:w="2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3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47.50</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Swaps: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0"/>
        </w:trPr>
        <w:tc>
          <w:tcPr>
            <w:tcW w:w="344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38,300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 xml:space="preserve">34,000 </w:t>
            </w:r>
            <w:r>
              <w:rPr>
                <w:rFonts w:ascii="Arial" w:cs="Arial" w:eastAsia="Arial" w:hAnsi="Arial"/>
                <w:sz w:val="14"/>
                <w:szCs w:val="14"/>
                <w:color w:val="auto"/>
                <w:vertAlign w:val="superscript"/>
              </w:rPr>
              <w:t>(1)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 xml:space="preserve">19,000 </w:t>
            </w:r>
            <w:r>
              <w:rPr>
                <w:rFonts w:ascii="Arial" w:cs="Arial" w:eastAsia="Arial" w:hAnsi="Arial"/>
                <w:sz w:val="14"/>
                <w:szCs w:val="14"/>
                <w:color w:val="auto"/>
                <w:vertAlign w:val="superscript"/>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 xml:space="preserve">19,000 </w:t>
            </w:r>
            <w:r>
              <w:rPr>
                <w:rFonts w:ascii="Arial" w:cs="Arial" w:eastAsia="Arial" w:hAnsi="Arial"/>
                <w:sz w:val="14"/>
                <w:szCs w:val="14"/>
                <w:color w:val="auto"/>
                <w:vertAlign w:val="superscript"/>
              </w:rPr>
              <w:t>(2)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 xml:space="preserve">7,000 </w:t>
            </w:r>
            <w:r>
              <w:rPr>
                <w:rFonts w:ascii="Arial" w:cs="Arial" w:eastAsia="Arial" w:hAnsi="Arial"/>
                <w:sz w:val="14"/>
                <w:szCs w:val="14"/>
                <w:color w:val="auto"/>
                <w:vertAlign w:val="superscript"/>
              </w:rPr>
              <w:t>(3)</w:t>
            </w:r>
          </w:p>
        </w:tc>
        <w:tc>
          <w:tcPr>
            <w:tcW w:w="2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34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60.03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60.13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67.71</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bl>
    <w:p>
      <w:pPr>
        <w:ind w:left="420" w:hanging="212"/>
        <w:spacing w:after="0" w:line="232" w:lineRule="auto"/>
        <w:tabs>
          <w:tab w:leader="none" w:pos="420" w:val="left"/>
        </w:tabs>
        <w:numPr>
          <w:ilvl w:val="0"/>
          <w:numId w:val="47"/>
        </w:numPr>
        <w:rPr>
          <w:rFonts w:ascii="Arial" w:cs="Arial" w:eastAsia="Arial" w:hAnsi="Arial"/>
          <w:sz w:val="10"/>
          <w:szCs w:val="10"/>
          <w:color w:val="auto"/>
        </w:rPr>
      </w:pPr>
      <w:r>
        <w:rPr>
          <w:rFonts w:ascii="Arial" w:cs="Arial" w:eastAsia="Arial" w:hAnsi="Arial"/>
          <w:sz w:val="10"/>
          <w:szCs w:val="10"/>
          <w:color w:val="auto"/>
        </w:rPr>
        <w:t>Certain of our counterparties have options to increase swap volumes by up to 19,000 barrels per day at a weighted-average price of $60.00 for the second quarter of 2018.</w:t>
      </w:r>
    </w:p>
    <w:p>
      <w:pPr>
        <w:ind w:left="420" w:hanging="212"/>
        <w:spacing w:after="0" w:line="225" w:lineRule="auto"/>
        <w:tabs>
          <w:tab w:leader="none" w:pos="420" w:val="left"/>
        </w:tabs>
        <w:numPr>
          <w:ilvl w:val="0"/>
          <w:numId w:val="47"/>
        </w:numPr>
        <w:rPr>
          <w:rFonts w:ascii="Arial" w:cs="Arial" w:eastAsia="Arial" w:hAnsi="Arial"/>
          <w:sz w:val="10"/>
          <w:szCs w:val="10"/>
          <w:color w:val="auto"/>
        </w:rPr>
      </w:pPr>
      <w:r>
        <w:rPr>
          <w:rFonts w:ascii="Arial" w:cs="Arial" w:eastAsia="Arial" w:hAnsi="Arial"/>
          <w:sz w:val="10"/>
          <w:szCs w:val="10"/>
          <w:color w:val="auto"/>
        </w:rPr>
        <w:t>Certain of our counterparties have options to increase swap volumes by up to 29,000 barrels per day at a weighted-average price of $60.50 for the second half of 2018.</w:t>
      </w:r>
    </w:p>
    <w:p>
      <w:pPr>
        <w:ind w:left="420" w:hanging="212"/>
        <w:spacing w:after="0"/>
        <w:tabs>
          <w:tab w:leader="none" w:pos="420" w:val="left"/>
        </w:tabs>
        <w:numPr>
          <w:ilvl w:val="0"/>
          <w:numId w:val="47"/>
        </w:numPr>
        <w:rPr>
          <w:rFonts w:ascii="Arial" w:cs="Arial" w:eastAsia="Arial" w:hAnsi="Arial"/>
          <w:sz w:val="10"/>
          <w:szCs w:val="10"/>
          <w:color w:val="auto"/>
        </w:rPr>
      </w:pPr>
      <w:r>
        <w:rPr>
          <w:rFonts w:ascii="Arial" w:cs="Arial" w:eastAsia="Arial" w:hAnsi="Arial"/>
          <w:sz w:val="10"/>
          <w:szCs w:val="10"/>
          <w:color w:val="auto"/>
        </w:rPr>
        <w:t>Certain of our counterparties have options to increase swap volumes by up to 5,000 barrels per day at a weighted-average price of $70.00 for the first quarter of 2019.</w:t>
      </w:r>
    </w:p>
    <w:p>
      <w:pPr>
        <w:spacing w:after="0" w:line="133"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A small portion of the crude oil derivatives in the table above were entered into by the BSP joint venture entity, including some of the 2019 positions and all of the 2020 positions. This joint venture also entered into natural gas swaps for insignificant volumes for the period of February 2018 to July 2020.</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outcomes of the derivative positions are as follows:</w:t>
      </w:r>
    </w:p>
    <w:p>
      <w:pPr>
        <w:spacing w:after="0" w:line="150" w:lineRule="exact"/>
        <w:rPr>
          <w:sz w:val="20"/>
          <w:szCs w:val="20"/>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Sold calls – we make settlement payments for prices above the indicated weighted-average price per barrel.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Purchased calls – we receive settlement payments for prices above the indicated weighted-average price per barrel.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Purchased puts – we receive settlement payments for prices below the indicated weighted-average price per barrel.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Sold puts – we make settlement payments for prices below the indicated weighted-average price per barrel.</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From time to time, we may use combinations of these positions to increase the efficacy of our hedging program.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60"/>
          </w:cols>
          <w:pgMar w:left="220" w:top="301"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59"/>
        </w:trPr>
        <w:tc>
          <w:tcPr>
            <w:tcW w:w="7120" w:type="dxa"/>
            <w:vAlign w:val="bottom"/>
          </w:tcPr>
          <w:p>
            <w:pPr>
              <w:spacing w:after="0"/>
              <w:rPr>
                <w:sz w:val="20"/>
                <w:szCs w:val="20"/>
                <w:color w:val="auto"/>
              </w:rPr>
            </w:pPr>
            <w:r>
              <w:rPr>
                <w:rFonts w:ascii="Arial" w:cs="Arial" w:eastAsia="Arial" w:hAnsi="Arial"/>
                <w:sz w:val="12"/>
                <w:szCs w:val="12"/>
                <w:b w:val="1"/>
                <w:bCs w:val="1"/>
                <w:color w:val="auto"/>
              </w:rPr>
              <w:t>Cash Flow Analysis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66"/>
        </w:trPr>
        <w:tc>
          <w:tcPr>
            <w:tcW w:w="7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2017</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2"/>
                <w:szCs w:val="12"/>
                <w:b w:val="1"/>
                <w:bCs w:val="1"/>
                <w:color w:val="auto"/>
              </w:rPr>
              <w:t>2016</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2015</w:t>
            </w:r>
          </w:p>
        </w:tc>
      </w:tr>
      <w:tr>
        <w:trPr>
          <w:trHeight w:val="161"/>
        </w:trPr>
        <w:tc>
          <w:tcPr>
            <w:tcW w:w="7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442"/>
              <w:spacing w:after="0"/>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4"/>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248</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130</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403</w:t>
            </w:r>
          </w:p>
        </w:tc>
      </w:tr>
      <w:tr>
        <w:trPr>
          <w:trHeight w:val="176"/>
        </w:trPr>
        <w:tc>
          <w:tcPr>
            <w:tcW w:w="712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(313)</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42"/>
              <w:spacing w:after="0"/>
              <w:rPr>
                <w:sz w:val="20"/>
                <w:szCs w:val="20"/>
                <w:color w:val="auto"/>
              </w:rPr>
            </w:pPr>
            <w:r>
              <w:rPr>
                <w:rFonts w:ascii="Arial" w:cs="Arial" w:eastAsia="Arial" w:hAnsi="Arial"/>
                <w:sz w:val="12"/>
                <w:szCs w:val="12"/>
                <w:color w:val="auto"/>
              </w:rPr>
              <w:t>(61)</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(757)</w:t>
            </w:r>
          </w:p>
        </w:tc>
      </w:tr>
      <w:tr>
        <w:trPr>
          <w:trHeight w:val="185"/>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(used) by financing activities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73</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(69)</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352</w:t>
            </w: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Adjusted EBITDAX</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0"/>
              <w:spacing w:after="0"/>
              <w:rPr>
                <w:sz w:val="20"/>
                <w:szCs w:val="20"/>
                <w:color w:val="auto"/>
              </w:rPr>
            </w:pPr>
            <w:r>
              <w:rPr>
                <w:rFonts w:ascii="Arial" w:cs="Arial" w:eastAsia="Arial" w:hAnsi="Arial"/>
                <w:sz w:val="12"/>
                <w:szCs w:val="12"/>
                <w:color w:val="auto"/>
              </w:rPr>
              <w:t>761</w:t>
            </w:r>
          </w:p>
        </w:tc>
        <w:tc>
          <w:tcPr>
            <w:tcW w:w="3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616</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906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2017 vs. 2016</w:t>
      </w:r>
    </w:p>
    <w:p>
      <w:pPr>
        <w:spacing w:after="0" w:line="164" w:lineRule="exact"/>
        <w:rPr>
          <w:sz w:val="20"/>
          <w:szCs w:val="20"/>
          <w:color w:val="auto"/>
        </w:rPr>
      </w:pPr>
    </w:p>
    <w:p>
      <w:pPr>
        <w:ind w:right="80" w:firstLine="216"/>
        <w:spacing w:after="0" w:line="254" w:lineRule="auto"/>
        <w:rPr>
          <w:sz w:val="20"/>
          <w:szCs w:val="20"/>
          <w:color w:val="auto"/>
        </w:rPr>
      </w:pPr>
      <w:r>
        <w:rPr>
          <w:rFonts w:ascii="Arial" w:cs="Arial" w:eastAsia="Arial" w:hAnsi="Arial"/>
          <w:sz w:val="12"/>
          <w:szCs w:val="12"/>
          <w:color w:val="auto"/>
        </w:rPr>
        <w:t>Our net cash provided by operating activities is sensitive to many variables including market changes in commodity prices. Commodity price sensitivity triggers changes in other variables in our business including our level of workover activity and adjustments to our capital program. Operating cash flow increased 91% or $118 million to $248 million in 2017 from $130 million in 2016 due to higher realized prices on lower volumes, partially offset by lower receipts from settlements related to our derivative contracts. Production costs increased in 2017 by $76 million as we ramped up activity primarily related to downhole maintenance and as fuel gas and electricity prices increased. Our hedging program reduced our sensitivity to price changes.</w:t>
      </w:r>
    </w:p>
    <w:p>
      <w:pPr>
        <w:spacing w:after="0" w:line="82" w:lineRule="exact"/>
        <w:rPr>
          <w:sz w:val="20"/>
          <w:szCs w:val="20"/>
          <w:color w:val="auto"/>
        </w:rPr>
      </w:pPr>
    </w:p>
    <w:p>
      <w:pPr>
        <w:ind w:right="140" w:firstLine="216"/>
        <w:spacing w:after="0" w:line="256" w:lineRule="auto"/>
        <w:rPr>
          <w:sz w:val="20"/>
          <w:szCs w:val="20"/>
          <w:color w:val="auto"/>
        </w:rPr>
      </w:pPr>
      <w:r>
        <w:rPr>
          <w:rFonts w:ascii="Arial" w:cs="Arial" w:eastAsia="Arial" w:hAnsi="Arial"/>
          <w:sz w:val="12"/>
          <w:szCs w:val="12"/>
          <w:color w:val="auto"/>
        </w:rPr>
        <w:t>Cash interest increased $12 million in 2017 due to higher blended interest rates and increased average borrowings on our overall debt. Taxes other than on income decreased $8 million from 2016 due to lower property taxes and greenhouse gas taxes, partially offset by an increase in the production tax rate. Other changes in operating cash flow relate to higher general and administrative expenses and changes in working capital.</w:t>
      </w:r>
    </w:p>
    <w:p>
      <w:pPr>
        <w:spacing w:after="0" w:line="81" w:lineRule="exact"/>
        <w:rPr>
          <w:sz w:val="20"/>
          <w:szCs w:val="20"/>
          <w:color w:val="auto"/>
        </w:rPr>
      </w:pPr>
    </w:p>
    <w:p>
      <w:pPr>
        <w:ind w:right="80" w:firstLine="216"/>
        <w:spacing w:after="0" w:line="254" w:lineRule="auto"/>
        <w:rPr>
          <w:sz w:val="20"/>
          <w:szCs w:val="20"/>
          <w:color w:val="auto"/>
        </w:rPr>
      </w:pPr>
      <w:r>
        <w:rPr>
          <w:rFonts w:ascii="Arial" w:cs="Arial" w:eastAsia="Arial" w:hAnsi="Arial"/>
          <w:sz w:val="12"/>
          <w:szCs w:val="12"/>
          <w:color w:val="auto"/>
        </w:rPr>
        <w:t>Our net cash used in investing activities of $313 million in 2017 included approximately $344 million of capital investments (net of $27 million in capital-related accruals), of which $96 million was funded by BSP and reported as cash provided by financing activities. Our share of the total capital investment of $248 million was funded with cash from operations. The capital investment was partially offset by proceeds from asset divestitures of $33 million. Our net cash used in investing activities of $61 million in 2016 primarily included $81 million of capital investments (net of changes in capital-related accruals), partially offset by $20 million from asset divestitures.</w:t>
      </w:r>
    </w:p>
    <w:p>
      <w:pPr>
        <w:spacing w:after="0" w:line="136"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Our net cash provided by financing activities of $73 million in 2017 was primarily comprised of $1.3 billion of proceeds from our 2017 Credit Agreement and $98 million in net contributions from our BSP JV, partially offset by$650 million in repayments on our 2014 Term Loan, $484 million of net payments on our 2014 Revolving Credit Facility, $158 million of debt repurchases and transaction costs and $ 8 million of distributions paid to BSP. In 2016, our net cash used by financing activities of $69 million included approximately $821 million in debt repurchases and transaction costs and $350 million of payments on our 2014 Term Loan, partially offset by the $990 million in proceeds from the issuance of our 2016 Credit Agreement and $108 million of net proceeds from our 2014 Revolving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2016 vs. 2015</w:t>
      </w:r>
    </w:p>
    <w:p>
      <w:pPr>
        <w:spacing w:after="0" w:line="164" w:lineRule="exact"/>
        <w:rPr>
          <w:sz w:val="20"/>
          <w:szCs w:val="20"/>
          <w:color w:val="auto"/>
        </w:rPr>
      </w:pPr>
    </w:p>
    <w:p>
      <w:pPr>
        <w:jc w:val="both"/>
        <w:ind w:right="140" w:firstLine="216"/>
        <w:spacing w:after="0" w:line="256" w:lineRule="auto"/>
        <w:rPr>
          <w:sz w:val="20"/>
          <w:szCs w:val="20"/>
          <w:color w:val="auto"/>
        </w:rPr>
      </w:pPr>
      <w:r>
        <w:rPr>
          <w:rFonts w:ascii="Arial" w:cs="Arial" w:eastAsia="Arial" w:hAnsi="Arial"/>
          <w:sz w:val="12"/>
          <w:szCs w:val="12"/>
          <w:color w:val="auto"/>
        </w:rPr>
        <w:t>Our net cash provided by operating activities in 2016 decreased by $ 273 million from $403 million in 2015 to $130 million in 2016. The decrease reflected lower revenues of approximately $521 million, primarily due to lower commodity prices and volumes, net of cash generated from our hedging program, $25 million of higher interest payments and the negative effect of working capital changes of $16 million, partially offset by lower costs including lower production costs of $151 million, cash general and administrative expenses of $47 million, taxes other than on income of $36 million and exploration expense of $13 million.</w:t>
      </w:r>
    </w:p>
    <w:p>
      <w:pPr>
        <w:spacing w:after="0" w:line="135"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Our net cash used in investing activities decreased by approximately $696 million from $757 million in 2015 to $61 million in 2016. The decrease reflected significantly reduced capital investments, lower payments related to capital activity from prior periods and no acquisitions in 2016.</w:t>
      </w:r>
    </w:p>
    <w:p>
      <w:pPr>
        <w:spacing w:after="0" w:line="131" w:lineRule="exact"/>
        <w:rPr>
          <w:sz w:val="20"/>
          <w:szCs w:val="20"/>
          <w:color w:val="auto"/>
        </w:rPr>
      </w:pPr>
    </w:p>
    <w:p>
      <w:pPr>
        <w:ind w:right="120" w:firstLine="216"/>
        <w:spacing w:after="0" w:line="290" w:lineRule="auto"/>
        <w:rPr>
          <w:sz w:val="20"/>
          <w:szCs w:val="20"/>
          <w:color w:val="auto"/>
        </w:rPr>
      </w:pPr>
      <w:r>
        <w:rPr>
          <w:rFonts w:ascii="Arial" w:cs="Arial" w:eastAsia="Arial" w:hAnsi="Arial"/>
          <w:sz w:val="11"/>
          <w:szCs w:val="11"/>
          <w:color w:val="auto"/>
        </w:rPr>
        <w:t>Our net cash used in financing activities of $69 million in 2016 included approximately $350 million of payments on our 2014 Term Loan and debt repurchases and transaction costs of $821 million, partially offset by the issuance of our 2016 Credit Agreement for $990 million and $108 million of net proceeds from our 2014 Revolving Credit Facility. Our net cash provided by financing activities of $352 million in 2015 primarily included approximately $379 million of net proceeds on our 2014 Revolving Credit Facility, partially offset by 2015 debt repurchase and amendment costs of $23 million and $12 million in cash dividends paid.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80"/>
          </w:cols>
          <w:pgMar w:left="220" w:top="287" w:right="19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i w:val="1"/>
          <w:iCs w:val="1"/>
          <w:color w:val="auto"/>
        </w:rPr>
        <w:t>Non-GAAP Financial Measures</w:t>
      </w:r>
    </w:p>
    <w:p>
      <w:pPr>
        <w:spacing w:after="0" w:line="164" w:lineRule="exact"/>
        <w:rPr>
          <w:sz w:val="20"/>
          <w:szCs w:val="20"/>
          <w:color w:val="auto"/>
        </w:rPr>
      </w:pPr>
    </w:p>
    <w:p>
      <w:pPr>
        <w:ind w:right="420" w:firstLine="216"/>
        <w:spacing w:after="0" w:line="262" w:lineRule="auto"/>
        <w:rPr>
          <w:sz w:val="20"/>
          <w:szCs w:val="20"/>
          <w:color w:val="auto"/>
        </w:rPr>
      </w:pPr>
      <w:r>
        <w:rPr>
          <w:rFonts w:ascii="Arial" w:cs="Arial" w:eastAsia="Arial" w:hAnsi="Arial"/>
          <w:sz w:val="12"/>
          <w:szCs w:val="12"/>
          <w:color w:val="auto"/>
        </w:rPr>
        <w:t xml:space="preserve">The following table sets forth a reconciliation of the GAAP measure of net cash provided by operating activities to the non-GAAP financial measure of Adjusted EBITDAX. For a discussion of our non-GAAP financial measure of Adjusted EBITDAX, see </w:t>
      </w:r>
      <w:r>
        <w:rPr>
          <w:rFonts w:ascii="Arial" w:cs="Arial" w:eastAsia="Arial" w:hAnsi="Arial"/>
          <w:sz w:val="12"/>
          <w:szCs w:val="12"/>
          <w:i w:val="1"/>
          <w:iCs w:val="1"/>
          <w:color w:val="auto"/>
        </w:rPr>
        <w:t>Statements of Operations</w:t>
      </w:r>
      <w:r>
        <w:rPr>
          <w:rFonts w:ascii="Arial" w:cs="Arial" w:eastAsia="Arial" w:hAnsi="Arial"/>
          <w:sz w:val="12"/>
          <w:szCs w:val="12"/>
          <w:color w:val="auto"/>
        </w:rPr>
        <w:t xml:space="preserve"> above.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120" w:type="dxa"/>
            <w:vAlign w:val="bottom"/>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2017</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2015</w:t>
            </w:r>
          </w:p>
        </w:tc>
      </w:tr>
      <w:tr>
        <w:trPr>
          <w:trHeight w:val="161"/>
        </w:trPr>
        <w:tc>
          <w:tcPr>
            <w:tcW w:w="7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0"/>
                <w:szCs w:val="10"/>
                <w:color w:val="auto"/>
              </w:rPr>
              <w:t>(in millions)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4"/>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403</w:t>
            </w:r>
          </w:p>
        </w:tc>
      </w:tr>
      <w:tr>
        <w:trPr>
          <w:trHeight w:val="176"/>
        </w:trPr>
        <w:tc>
          <w:tcPr>
            <w:tcW w:w="7120" w:type="dxa"/>
            <w:vAlign w:val="bottom"/>
          </w:tcPr>
          <w:p>
            <w:pPr>
              <w:ind w:left="100"/>
              <w:spacing w:after="0"/>
              <w:rPr>
                <w:sz w:val="20"/>
                <w:szCs w:val="20"/>
                <w:color w:val="auto"/>
              </w:rPr>
            </w:pPr>
            <w:r>
              <w:rPr>
                <w:rFonts w:ascii="Arial" w:cs="Arial" w:eastAsia="Arial" w:hAnsi="Arial"/>
                <w:sz w:val="12"/>
                <w:szCs w:val="12"/>
                <w:color w:val="auto"/>
              </w:rPr>
              <w:t>Cash interest</w:t>
            </w:r>
          </w:p>
        </w:tc>
        <w:tc>
          <w:tcPr>
            <w:tcW w:w="94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396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1"/>
              <w:spacing w:after="0"/>
              <w:rPr>
                <w:sz w:val="20"/>
                <w:szCs w:val="20"/>
                <w:color w:val="auto"/>
              </w:rPr>
            </w:pPr>
            <w:r>
              <w:rPr>
                <w:rFonts w:ascii="Arial" w:cs="Arial" w:eastAsia="Arial" w:hAnsi="Arial"/>
                <w:sz w:val="12"/>
                <w:szCs w:val="12"/>
                <w:color w:val="auto"/>
              </w:rPr>
              <w:t>384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359</w:t>
            </w:r>
          </w:p>
        </w:tc>
      </w:tr>
      <w:tr>
        <w:trPr>
          <w:trHeight w:val="185"/>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Exploration expenditures</w:t>
            </w: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r>
      <w:tr>
        <w:trPr>
          <w:trHeight w:val="176"/>
        </w:trPr>
        <w:tc>
          <w:tcPr>
            <w:tcW w:w="7120" w:type="dxa"/>
            <w:vAlign w:val="bottom"/>
          </w:tcPr>
          <w:p>
            <w:pPr>
              <w:ind w:left="100"/>
              <w:spacing w:after="0"/>
              <w:rPr>
                <w:sz w:val="20"/>
                <w:szCs w:val="20"/>
                <w:color w:val="auto"/>
              </w:rPr>
            </w:pPr>
            <w:r>
              <w:rPr>
                <w:rFonts w:ascii="Arial" w:cs="Arial" w:eastAsia="Arial" w:hAnsi="Arial"/>
                <w:sz w:val="12"/>
                <w:szCs w:val="12"/>
                <w:color w:val="auto"/>
              </w:rPr>
              <w:t>Other changes in operating assets and liabilities</w:t>
            </w:r>
          </w:p>
        </w:tc>
        <w:tc>
          <w:tcPr>
            <w:tcW w:w="94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1"/>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106</w:t>
            </w:r>
          </w:p>
        </w:tc>
      </w:tr>
      <w:tr>
        <w:trPr>
          <w:trHeight w:val="180"/>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net</w:t>
            </w:r>
          </w:p>
        </w:tc>
        <w:tc>
          <w:tcPr>
            <w:tcW w:w="9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r>
      <w:tr>
        <w:trPr>
          <w:trHeight w:val="172"/>
        </w:trPr>
        <w:tc>
          <w:tcPr>
            <w:tcW w:w="7120" w:type="dxa"/>
            <w:vAlign w:val="bottom"/>
          </w:tcPr>
          <w:p>
            <w:pPr>
              <w:ind w:left="20"/>
              <w:spacing w:after="0"/>
              <w:rPr>
                <w:sz w:val="20"/>
                <w:szCs w:val="20"/>
                <w:color w:val="auto"/>
              </w:rPr>
            </w:pPr>
            <w:r>
              <w:rPr>
                <w:rFonts w:ascii="Arial" w:cs="Arial" w:eastAsia="Arial" w:hAnsi="Arial"/>
                <w:sz w:val="12"/>
                <w:szCs w:val="12"/>
                <w:color w:val="auto"/>
              </w:rPr>
              <w:t>Adjusted EBITDAX</w:t>
            </w:r>
          </w:p>
        </w:tc>
        <w:tc>
          <w:tcPr>
            <w:tcW w:w="94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761</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616</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906</w:t>
            </w:r>
          </w:p>
        </w:tc>
      </w:tr>
    </w:tbl>
    <w:p>
      <w:pPr>
        <w:spacing w:after="0" w:line="14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increase in Adjusted EBITDAX in 2017 compared to 2016 primarily resulted from higher revenues partially offset by higher production costs, reflecting increased activity and higher gas and electricity costs.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decrease in Adjusted EBITDAX in 2016 compared to 2015 primarily resulted from lower revenues partially offset by lower production costs and general and administrative expenses.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2017 and 2018 Capital Program</w:t>
      </w:r>
    </w:p>
    <w:p>
      <w:pPr>
        <w:spacing w:after="0" w:line="164" w:lineRule="exact"/>
        <w:rPr>
          <w:sz w:val="20"/>
          <w:szCs w:val="20"/>
          <w:color w:val="auto"/>
        </w:rPr>
      </w:pPr>
    </w:p>
    <w:p>
      <w:pPr>
        <w:jc w:val="both"/>
        <w:ind w:right="100" w:firstLine="216"/>
        <w:spacing w:after="0" w:line="256" w:lineRule="auto"/>
        <w:rPr>
          <w:sz w:val="20"/>
          <w:szCs w:val="20"/>
          <w:color w:val="auto"/>
        </w:rPr>
      </w:pPr>
      <w:r>
        <w:rPr>
          <w:rFonts w:ascii="Arial" w:cs="Arial" w:eastAsia="Arial" w:hAnsi="Arial"/>
          <w:sz w:val="12"/>
          <w:szCs w:val="12"/>
          <w:color w:val="auto"/>
        </w:rPr>
        <w:t>We create value by investing our operating cash flows back into our business. We are focusing our 2018 capital plan on oil projects, which provide high margins and low decline rates that we believe will generate positive cash flow to fund increasing capital budgets that will grow production. Our low decline rates compared to our industry peers plus our high level of operational control give us the flexibility to adjust the level of such capital investments as circumstances warrant.</w:t>
      </w:r>
    </w:p>
    <w:p>
      <w:pPr>
        <w:spacing w:after="0" w:line="135" w:lineRule="exact"/>
        <w:rPr>
          <w:sz w:val="20"/>
          <w:szCs w:val="20"/>
          <w:color w:val="auto"/>
        </w:rPr>
      </w:pPr>
    </w:p>
    <w:p>
      <w:pPr>
        <w:ind w:right="60" w:firstLine="216"/>
        <w:spacing w:after="0" w:line="254" w:lineRule="auto"/>
        <w:rPr>
          <w:sz w:val="20"/>
          <w:szCs w:val="20"/>
          <w:color w:val="auto"/>
        </w:rPr>
      </w:pPr>
      <w:r>
        <w:rPr>
          <w:rFonts w:ascii="Arial" w:cs="Arial" w:eastAsia="Arial" w:hAnsi="Arial"/>
          <w:sz w:val="12"/>
          <w:szCs w:val="12"/>
          <w:color w:val="auto"/>
        </w:rPr>
        <w:t>In 2017, we invested approximately $371 million of capital, excluding $58 million funded by our JV partner MIRA, as compared to the total capital deployed of approximately $75 million in 2016. Our capital predominantly targeted projects in the San Joaquin and Los Angeles basins. Virtually all of our 2017 capital was directed towards oil-weighted production consistent with 2016 and 2015. Of the total 2017 capital program, approximately $177 million was allocated to drilling wells, $89 million to capital workovers, $71 million to facilities and compression expansion, $25 million to maintenance and occupational health, safety and environmental projects and $9 million to exploration and other items.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table below sets forth our capital investments by basin and recovery mechanism for the year ended December 31, 2017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2"/>
                <w:szCs w:val="12"/>
                <w:b w:val="1"/>
                <w:bCs w:val="1"/>
                <w:color w:val="auto"/>
                <w:w w:val="97"/>
              </w:rPr>
              <w:t>Conventional</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9"/>
              </w:rPr>
              <w:t>Unconventional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20"/>
              <w:spacing w:after="0"/>
              <w:rPr>
                <w:sz w:val="20"/>
                <w:szCs w:val="20"/>
                <w:color w:val="auto"/>
              </w:rPr>
            </w:pPr>
            <w:r>
              <w:rPr>
                <w:rFonts w:ascii="Arial" w:cs="Arial" w:eastAsia="Arial" w:hAnsi="Arial"/>
                <w:sz w:val="12"/>
                <w:szCs w:val="12"/>
                <w:b w:val="1"/>
                <w:bCs w:val="1"/>
                <w:color w:val="auto"/>
              </w:rPr>
              <w:t>Total Capital</w:t>
            </w:r>
          </w:p>
        </w:tc>
      </w:tr>
      <w:tr>
        <w:trPr>
          <w:trHeight w:val="169"/>
        </w:trPr>
        <w:tc>
          <w:tcPr>
            <w:tcW w:w="2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Primary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Waterflood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Steamflood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Total</w:t>
            </w:r>
          </w:p>
        </w:tc>
        <w:tc>
          <w:tcPr>
            <w:tcW w:w="28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Primary</w:t>
            </w:r>
          </w:p>
        </w:tc>
        <w:tc>
          <w:tcPr>
            <w:tcW w:w="1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Other</w:t>
            </w:r>
          </w:p>
        </w:tc>
        <w:tc>
          <w:tcPr>
            <w:tcW w:w="240" w:type="dxa"/>
            <w:vAlign w:val="bottom"/>
          </w:tcPr>
          <w:p>
            <w:pPr>
              <w:spacing w:after="0"/>
              <w:rPr>
                <w:sz w:val="14"/>
                <w:szCs w:val="14"/>
                <w:color w:val="auto"/>
              </w:rPr>
            </w:pPr>
          </w:p>
        </w:tc>
        <w:tc>
          <w:tcPr>
            <w:tcW w:w="1240" w:type="dxa"/>
            <w:vAlign w:val="bottom"/>
          </w:tcPr>
          <w:p>
            <w:pPr>
              <w:jc w:val="right"/>
              <w:ind w:right="340"/>
              <w:spacing w:after="0"/>
              <w:rPr>
                <w:sz w:val="20"/>
                <w:szCs w:val="20"/>
                <w:color w:val="auto"/>
              </w:rPr>
            </w:pPr>
            <w:r>
              <w:rPr>
                <w:rFonts w:ascii="Arial" w:cs="Arial" w:eastAsia="Arial" w:hAnsi="Arial"/>
                <w:sz w:val="12"/>
                <w:szCs w:val="12"/>
                <w:b w:val="1"/>
                <w:bCs w:val="1"/>
                <w:color w:val="auto"/>
              </w:rPr>
              <w:t>Investments</w:t>
            </w:r>
          </w:p>
        </w:tc>
      </w:tr>
      <w:tr>
        <w:trPr>
          <w:trHeight w:val="174"/>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Basin:</w:t>
            </w: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176"/>
        </w:trPr>
        <w:tc>
          <w:tcPr>
            <w:tcW w:w="2060" w:type="dxa"/>
            <w:vAlign w:val="bottom"/>
          </w:tcPr>
          <w:p>
            <w:pPr>
              <w:ind w:left="120"/>
              <w:spacing w:after="0"/>
              <w:rPr>
                <w:sz w:val="20"/>
                <w:szCs w:val="20"/>
                <w:color w:val="auto"/>
              </w:rPr>
            </w:pPr>
            <w:r>
              <w:rPr>
                <w:rFonts w:ascii="Arial" w:cs="Arial" w:eastAsia="Arial" w:hAnsi="Arial"/>
                <w:sz w:val="12"/>
                <w:szCs w:val="12"/>
                <w:color w:val="auto"/>
              </w:rPr>
              <w:t>San Joaquin</w:t>
            </w: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5"/>
                <w:szCs w:val="15"/>
                <w:color w:val="auto"/>
              </w:rPr>
            </w:pPr>
          </w:p>
        </w:tc>
        <w:tc>
          <w:tcPr>
            <w:tcW w:w="1020" w:type="dxa"/>
            <w:vAlign w:val="bottom"/>
          </w:tcPr>
          <w:p>
            <w:pPr>
              <w:jc w:val="right"/>
              <w:ind w:right="86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5"/>
                <w:szCs w:val="15"/>
                <w:color w:val="auto"/>
              </w:rPr>
            </w:pPr>
          </w:p>
        </w:tc>
        <w:tc>
          <w:tcPr>
            <w:tcW w:w="1080" w:type="dxa"/>
            <w:vAlign w:val="bottom"/>
          </w:tcPr>
          <w:p>
            <w:pPr>
              <w:jc w:val="right"/>
              <w:ind w:right="92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277</w:t>
            </w:r>
          </w:p>
        </w:tc>
      </w:tr>
      <w:tr>
        <w:trPr>
          <w:trHeight w:val="185"/>
        </w:trPr>
        <w:tc>
          <w:tcPr>
            <w:tcW w:w="2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 Angeles</w:t>
            </w:r>
          </w:p>
        </w:tc>
        <w:tc>
          <w:tcPr>
            <w:tcW w:w="7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r>
      <w:tr>
        <w:trPr>
          <w:trHeight w:val="176"/>
        </w:trPr>
        <w:tc>
          <w:tcPr>
            <w:tcW w:w="2060" w:type="dxa"/>
            <w:vAlign w:val="bottom"/>
          </w:tcPr>
          <w:p>
            <w:pPr>
              <w:ind w:left="120"/>
              <w:spacing w:after="0"/>
              <w:rPr>
                <w:sz w:val="20"/>
                <w:szCs w:val="20"/>
                <w:color w:val="auto"/>
              </w:rPr>
            </w:pPr>
            <w:r>
              <w:rPr>
                <w:rFonts w:ascii="Arial" w:cs="Arial" w:eastAsia="Arial" w:hAnsi="Arial"/>
                <w:sz w:val="12"/>
                <w:szCs w:val="12"/>
                <w:color w:val="auto"/>
              </w:rPr>
              <w:t>Ventura</w:t>
            </w:r>
          </w:p>
        </w:tc>
        <w:tc>
          <w:tcPr>
            <w:tcW w:w="780" w:type="dxa"/>
            <w:vAlign w:val="bottom"/>
          </w:tcPr>
          <w:p>
            <w:pPr>
              <w:spacing w:after="0"/>
              <w:rPr>
                <w:sz w:val="15"/>
                <w:szCs w:val="15"/>
                <w:color w:val="auto"/>
              </w:rPr>
            </w:pP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25</w:t>
            </w:r>
          </w:p>
        </w:tc>
      </w:tr>
      <w:tr>
        <w:trPr>
          <w:trHeight w:val="180"/>
        </w:trPr>
        <w:tc>
          <w:tcPr>
            <w:tcW w:w="2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Sacramento</w:t>
            </w:r>
          </w:p>
        </w:tc>
        <w:tc>
          <w:tcPr>
            <w:tcW w:w="7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r>
      <w:tr>
        <w:trPr>
          <w:trHeight w:val="16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Basin Total</w:t>
            </w: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56</w:t>
            </w:r>
          </w:p>
        </w:tc>
        <w:tc>
          <w:tcPr>
            <w:tcW w:w="1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96</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190</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362</w:t>
            </w:r>
          </w:p>
        </w:tc>
      </w:tr>
      <w:tr>
        <w:trPr>
          <w:trHeight w:val="160"/>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Exploration and other</w:t>
            </w:r>
          </w:p>
        </w:tc>
        <w:tc>
          <w:tcPr>
            <w:tcW w:w="7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r>
      <w:tr>
        <w:trPr>
          <w:trHeight w:val="195"/>
        </w:trPr>
        <w:tc>
          <w:tcPr>
            <w:tcW w:w="2060" w:type="dxa"/>
            <w:vAlign w:val="bottom"/>
          </w:tcPr>
          <w:p>
            <w:pPr>
              <w:ind w:left="120"/>
              <w:spacing w:after="0"/>
              <w:rPr>
                <w:sz w:val="20"/>
                <w:szCs w:val="20"/>
                <w:color w:val="auto"/>
              </w:rPr>
            </w:pPr>
            <w:r>
              <w:rPr>
                <w:rFonts w:ascii="Arial" w:cs="Arial" w:eastAsia="Arial" w:hAnsi="Arial"/>
                <w:sz w:val="12"/>
                <w:szCs w:val="12"/>
                <w:color w:val="auto"/>
              </w:rPr>
              <w:t>Total</w:t>
            </w:r>
            <w:r>
              <w:rPr>
                <w:rFonts w:ascii="Arial" w:cs="Arial" w:eastAsia="Arial" w:hAnsi="Arial"/>
                <w:sz w:val="14"/>
                <w:szCs w:val="14"/>
                <w:color w:val="auto"/>
                <w:vertAlign w:val="superscript"/>
              </w:rPr>
              <w:t>(a)</w:t>
            </w:r>
          </w:p>
        </w:tc>
        <w:tc>
          <w:tcPr>
            <w:tcW w:w="780" w:type="dxa"/>
            <w:vAlign w:val="bottom"/>
            <w:tcBorders>
              <w:top w:val="single" w:sz="8" w:color="auto"/>
            </w:tcBorders>
          </w:tcPr>
          <w:p>
            <w:pPr>
              <w:jc w:val="right"/>
              <w:ind w:right="640"/>
              <w:spacing w:after="0"/>
              <w:rPr>
                <w:sz w:val="20"/>
                <w:szCs w:val="20"/>
                <w:color w:val="auto"/>
              </w:rPr>
            </w:pPr>
            <w:r>
              <w:rPr>
                <w:rFonts w:ascii="Arial" w:cs="Arial" w:eastAsia="Arial" w:hAnsi="Arial"/>
                <w:sz w:val="12"/>
                <w:szCs w:val="12"/>
                <w:color w:val="auto"/>
                <w:w w:val="89"/>
              </w:rPr>
              <w:t>$</w:t>
            </w:r>
          </w:p>
        </w:tc>
        <w:tc>
          <w:tcPr>
            <w:tcW w:w="2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6"/>
                <w:szCs w:val="16"/>
                <w:color w:val="auto"/>
              </w:rPr>
            </w:pPr>
          </w:p>
        </w:tc>
        <w:tc>
          <w:tcPr>
            <w:tcW w:w="1020" w:type="dxa"/>
            <w:vAlign w:val="bottom"/>
            <w:tcBorders>
              <w:top w:val="single" w:sz="8" w:color="auto"/>
            </w:tcBorders>
          </w:tcPr>
          <w:p>
            <w:pPr>
              <w:jc w:val="right"/>
              <w:ind w:right="860"/>
              <w:spacing w:after="0"/>
              <w:rPr>
                <w:sz w:val="20"/>
                <w:szCs w:val="20"/>
                <w:color w:val="auto"/>
              </w:rPr>
            </w:pPr>
            <w:r>
              <w:rPr>
                <w:rFonts w:ascii="Arial" w:cs="Arial" w:eastAsia="Arial" w:hAnsi="Arial"/>
                <w:sz w:val="12"/>
                <w:szCs w:val="12"/>
                <w:color w:val="auto"/>
              </w:rPr>
              <w:t>$</w:t>
            </w:r>
          </w:p>
        </w:tc>
        <w:tc>
          <w:tcPr>
            <w:tcW w:w="3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right"/>
              <w:ind w:right="920"/>
              <w:spacing w:after="0"/>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190</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5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-18415</wp:posOffset>
            </wp:positionV>
            <wp:extent cx="597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76620" cy="17145"/>
                    </a:xfrm>
                    <a:prstGeom prst="rect">
                      <a:avLst/>
                    </a:prstGeom>
                    <a:noFill/>
                  </pic:spPr>
                </pic:pic>
              </a:graphicData>
            </a:graphic>
          </wp:anchor>
        </w:drawing>
      </w:r>
    </w:p>
    <w:p>
      <w:pPr>
        <w:ind w:left="480" w:hanging="218"/>
        <w:spacing w:after="0"/>
        <w:tabs>
          <w:tab w:leader="none" w:pos="480" w:val="left"/>
        </w:tabs>
        <w:numPr>
          <w:ilvl w:val="0"/>
          <w:numId w:val="49"/>
        </w:numPr>
        <w:rPr>
          <w:rFonts w:ascii="Arial" w:cs="Arial" w:eastAsia="Arial" w:hAnsi="Arial"/>
          <w:sz w:val="10"/>
          <w:szCs w:val="10"/>
          <w:color w:val="auto"/>
        </w:rPr>
      </w:pPr>
      <w:r>
        <w:rPr>
          <w:rFonts w:ascii="Arial" w:cs="Arial" w:eastAsia="Arial" w:hAnsi="Arial"/>
          <w:sz w:val="10"/>
          <w:szCs w:val="10"/>
          <w:color w:val="auto"/>
        </w:rPr>
        <w:t>Of the net $98 million contributed by BSP, $96 million was used for capital investment.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80"/>
          </w:cols>
          <w:pgMar w:left="220" w:top="431" w:right="199" w:bottom="1440" w:gutter="0" w:footer="0" w:header="0"/>
        </w:sectPr>
      </w:pPr>
    </w:p>
    <w:bookmarkStart w:id="69" w:name="page70"/>
    <w:bookmarkEnd w:id="69"/>
    <w:p>
      <w:pPr>
        <w:ind w:right="200" w:firstLine="216"/>
        <w:spacing w:after="0" w:line="262" w:lineRule="auto"/>
        <w:rPr>
          <w:sz w:val="20"/>
          <w:szCs w:val="20"/>
          <w:color w:val="auto"/>
        </w:rPr>
      </w:pPr>
      <w:r>
        <w:rPr>
          <w:rFonts w:ascii="Arial" w:cs="Arial" w:eastAsia="Arial" w:hAnsi="Arial"/>
          <w:sz w:val="12"/>
          <w:szCs w:val="12"/>
          <w:color w:val="auto"/>
        </w:rPr>
        <w:t>With stronger expected cash flows, we estimate our 2018 capital program will range from $425 million to $450 million, which includes approximately $100 to $150 million in JV capital. Our 2018 capital program may grow further through additional tranches from existing JVs as well as potential new JVs.</w:t>
      </w:r>
    </w:p>
    <w:p>
      <w:pPr>
        <w:spacing w:after="0" w:line="131" w:lineRule="exact"/>
        <w:rPr>
          <w:sz w:val="20"/>
          <w:szCs w:val="20"/>
          <w:color w:val="auto"/>
        </w:rPr>
      </w:pPr>
    </w:p>
    <w:p>
      <w:pPr>
        <w:ind w:right="60" w:firstLine="216"/>
        <w:spacing w:after="0" w:line="253" w:lineRule="auto"/>
        <w:rPr>
          <w:sz w:val="20"/>
          <w:szCs w:val="20"/>
          <w:color w:val="auto"/>
        </w:rPr>
      </w:pPr>
      <w:r>
        <w:rPr>
          <w:rFonts w:ascii="Arial" w:cs="Arial" w:eastAsia="Arial" w:hAnsi="Arial"/>
          <w:sz w:val="12"/>
          <w:szCs w:val="12"/>
          <w:color w:val="auto"/>
        </w:rPr>
        <w:t>We are focusing our 2018 capital on oil projects, which provide higher margins and low decline rates that we believe will generate cash flow to fund increasing capital budgets that will grow production. Our approach to our 2018 drilling program is consistent with our stated strategy to remain financially disciplined and fund projects through either internally generated cash flow or JV capital to maintain our liquidity and further strengthen our balance sheet. We continue to deploy our partners' capital as part of our BSP and MIRA joint ventures and opportunistically pursue additional strategic relationships. We will deploy capital to projects that help continue to stabilize our production, develop our long-term resources and return our production to a growth profile. Our current drilling inventory comprises a diversified portfolio of oil and natural gas locations that are economically viable in a variety of operating and commodity price conditions.</w:t>
      </w:r>
    </w:p>
    <w:p>
      <w:pPr>
        <w:spacing w:after="0" w:line="137" w:lineRule="exact"/>
        <w:rPr>
          <w:sz w:val="20"/>
          <w:szCs w:val="20"/>
          <w:color w:val="auto"/>
        </w:rPr>
      </w:pPr>
    </w:p>
    <w:p>
      <w:pPr>
        <w:ind w:right="260" w:firstLine="216"/>
        <w:spacing w:after="0" w:line="262" w:lineRule="auto"/>
        <w:rPr>
          <w:sz w:val="20"/>
          <w:szCs w:val="20"/>
          <w:color w:val="auto"/>
        </w:rPr>
      </w:pPr>
      <w:r>
        <w:rPr>
          <w:rFonts w:ascii="Arial" w:cs="Arial" w:eastAsia="Arial" w:hAnsi="Arial"/>
          <w:sz w:val="12"/>
          <w:szCs w:val="12"/>
          <w:color w:val="auto"/>
        </w:rPr>
        <w:t>We will continue to focus on our core fields: Elk Hills, Wilmington, Kern Front and the delineation and appraisal of Kettleman North Dome and Buena Vista. We will also restart our development activities in the Huntington Beach field.</w:t>
      </w:r>
    </w:p>
    <w:p>
      <w:pPr>
        <w:spacing w:after="0" w:line="131" w:lineRule="exact"/>
        <w:rPr>
          <w:sz w:val="20"/>
          <w:szCs w:val="20"/>
          <w:color w:val="auto"/>
        </w:rPr>
      </w:pPr>
    </w:p>
    <w:p>
      <w:pPr>
        <w:ind w:right="160" w:firstLine="216"/>
        <w:spacing w:after="0" w:line="254" w:lineRule="auto"/>
        <w:rPr>
          <w:sz w:val="20"/>
          <w:szCs w:val="20"/>
          <w:color w:val="auto"/>
        </w:rPr>
      </w:pPr>
      <w:r>
        <w:rPr>
          <w:rFonts w:ascii="Arial" w:cs="Arial" w:eastAsia="Arial" w:hAnsi="Arial"/>
          <w:sz w:val="12"/>
          <w:szCs w:val="12"/>
          <w:color w:val="auto"/>
        </w:rPr>
        <w:t>Our 2018 drilling program includes development of conventional and unconventional resources. The depth of our primary conventional wells is expected to range from 2,000 to 15,000 feet. With a significant reduction in our drilling costs since 2014, many of our deep conventional and unconventional wells have become more competitive, and we expect to use approximately 60% of our capital on drilling. We expect to focus our conventional program of approximately 130 wells primarily in Wilmington, Huntington Beach, Kern Front, Pleito Ranch and Mount Poso, which will largely consist of waterfloods and steamfloods along with some primary drilling. We intend to drill approximately 20 unconventional wells in the Buena Vista and Kettleman areas.</w:t>
      </w:r>
    </w:p>
    <w:p>
      <w:pPr>
        <w:spacing w:after="0" w:line="136" w:lineRule="exact"/>
        <w:rPr>
          <w:sz w:val="20"/>
          <w:szCs w:val="20"/>
          <w:color w:val="auto"/>
        </w:rPr>
      </w:pPr>
    </w:p>
    <w:p>
      <w:pPr>
        <w:ind w:right="640" w:firstLine="216"/>
        <w:spacing w:after="0" w:line="262" w:lineRule="auto"/>
        <w:rPr>
          <w:sz w:val="20"/>
          <w:szCs w:val="20"/>
          <w:color w:val="auto"/>
        </w:rPr>
      </w:pPr>
      <w:r>
        <w:rPr>
          <w:rFonts w:ascii="Arial" w:cs="Arial" w:eastAsia="Arial" w:hAnsi="Arial"/>
          <w:sz w:val="12"/>
          <w:szCs w:val="12"/>
          <w:color w:val="auto"/>
        </w:rPr>
        <w:t>We also plan to use over 20% of our 2018 capital program for capital workovers on existing well bores. Capital workovers are some of the highest VCI projects in our portfolio and generally include well deepenings, recompletions, changes of lift methods and other activities designed to add incremental productive intervals and reserves.</w:t>
      </w:r>
    </w:p>
    <w:p>
      <w:pPr>
        <w:spacing w:after="0" w:line="131" w:lineRule="exact"/>
        <w:rPr>
          <w:sz w:val="20"/>
          <w:szCs w:val="20"/>
          <w:color w:val="auto"/>
        </w:rPr>
      </w:pPr>
    </w:p>
    <w:p>
      <w:pPr>
        <w:ind w:right="480" w:firstLine="216"/>
        <w:spacing w:after="0" w:line="262" w:lineRule="auto"/>
        <w:rPr>
          <w:sz w:val="20"/>
          <w:szCs w:val="20"/>
          <w:color w:val="auto"/>
        </w:rPr>
      </w:pPr>
      <w:r>
        <w:rPr>
          <w:rFonts w:ascii="Arial" w:cs="Arial" w:eastAsia="Arial" w:hAnsi="Arial"/>
          <w:sz w:val="12"/>
          <w:szCs w:val="12"/>
          <w:color w:val="auto"/>
        </w:rPr>
        <w:t>Further, over 15% of our 2018 capital program is intended for development facilities for our newer projects, including pipeline and gathering line interconnections, gas compression and water management systems, and about 5% is intended to be used for exploration and to maintain the mechanical integrity, safety and environmental performance of our operations.</w:t>
      </w:r>
    </w:p>
    <w:p>
      <w:pPr>
        <w:spacing w:after="0" w:line="131"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As a result of higher activity levels, our production flattened in the second half of 2017 and continues to improve in 2018 on a gross basis. We believe that the actions we have taken since the Spin-off to streamline our business and reduce costs, together with recent price increases, have enabled us to increase our activity level and grow our production. In addition, we will continue to build our inventory of available projects, which will position us to take advantage of future higher prices.</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Off-Balance-Sheet Arrangements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December 31, 2017, we had letters of credit of $148 million under our 2014 Revolving Credit Facility and no other material off-balance-sheet arrangements other than those noted below.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200" w:lineRule="exact"/>
        <w:rPr>
          <w:sz w:val="20"/>
          <w:szCs w:val="20"/>
          <w:color w:val="auto"/>
        </w:rPr>
      </w:pPr>
    </w:p>
    <w:p>
      <w:pPr>
        <w:ind w:right="320" w:firstLine="216"/>
        <w:spacing w:after="0" w:line="262" w:lineRule="auto"/>
        <w:rPr>
          <w:sz w:val="20"/>
          <w:szCs w:val="20"/>
          <w:color w:val="auto"/>
        </w:rPr>
      </w:pPr>
      <w:r>
        <w:rPr>
          <w:rFonts w:ascii="Arial" w:cs="Arial" w:eastAsia="Arial" w:hAnsi="Arial"/>
          <w:sz w:val="12"/>
          <w:szCs w:val="12"/>
          <w:color w:val="auto"/>
        </w:rPr>
        <w:t xml:space="preserve">We, or certain of our subsidiaries, have entered into various operating lease agreements, mainly for field equipment, office space and office equipment. We lease assets when leasing offers greater operating flexibility. Lease payments are generally expensed as part of production costs or general and administrative expenses. For more information, see </w:t>
      </w:r>
      <w:r>
        <w:rPr>
          <w:rFonts w:ascii="Arial" w:cs="Arial" w:eastAsia="Arial" w:hAnsi="Arial"/>
          <w:sz w:val="12"/>
          <w:szCs w:val="12"/>
          <w:i w:val="1"/>
          <w:iCs w:val="1"/>
          <w:color w:val="auto"/>
        </w:rPr>
        <w:t>Contractual Obligations</w:t>
      </w:r>
      <w:r>
        <w:rPr>
          <w:rFonts w:ascii="Arial" w:cs="Arial" w:eastAsia="Arial" w:hAnsi="Arial"/>
          <w:sz w:val="12"/>
          <w:szCs w:val="12"/>
          <w:color w:val="auto"/>
        </w:rPr>
        <w:t xml:space="preserve"> below.</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60"/>
          </w:cols>
          <w:pgMar w:left="220" w:top="301" w:right="219"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table below summarizes and cross-references our contractual obligations as of December 31, 2017. This summary indicates on- and off-balance-sheet obligations as of December 31,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98"/>
              </w:rPr>
              <w:t>Payments Due by Year</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rPr>
              <w:t>2019 and 2020</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2021 and 2022</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2023 and thereafter</w:t>
            </w:r>
          </w:p>
        </w:tc>
      </w:tr>
      <w:tr>
        <w:trPr>
          <w:trHeight w:val="161"/>
        </w:trPr>
        <w:tc>
          <w:tcPr>
            <w:tcW w:w="4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0"/>
                <w:szCs w:val="10"/>
                <w:color w:val="auto"/>
                <w:w w:val="94"/>
              </w:rPr>
              <w:t>(in millions)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On-Balance Sheet</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0"/>
        </w:trPr>
        <w:tc>
          <w:tcPr>
            <w:tcW w:w="4700" w:type="dxa"/>
            <w:vAlign w:val="bottom"/>
          </w:tcPr>
          <w:p>
            <w:pPr>
              <w:ind w:left="120"/>
              <w:spacing w:after="0"/>
              <w:rPr>
                <w:sz w:val="20"/>
                <w:szCs w:val="20"/>
                <w:color w:val="auto"/>
              </w:rPr>
            </w:pPr>
            <w:r>
              <w:rPr>
                <w:rFonts w:ascii="Arial" w:cs="Arial" w:eastAsia="Arial" w:hAnsi="Arial"/>
                <w:sz w:val="12"/>
                <w:szCs w:val="12"/>
                <w:color w:val="auto"/>
              </w:rPr>
              <w:t>Long-term debt - principal amount</w:t>
            </w:r>
            <w:r>
              <w:rPr>
                <w:rFonts w:ascii="Arial" w:cs="Arial" w:eastAsia="Arial" w:hAnsi="Arial"/>
                <w:sz w:val="14"/>
                <w:szCs w:val="14"/>
                <w:color w:val="auto"/>
                <w:vertAlign w:val="superscript"/>
              </w:rPr>
              <w:t>(a)</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5,306</w:t>
            </w:r>
          </w:p>
        </w:tc>
        <w:tc>
          <w:tcPr>
            <w:tcW w:w="100" w:type="dxa"/>
            <w:vAlign w:val="bottom"/>
          </w:tcPr>
          <w:p>
            <w:pPr>
              <w:spacing w:after="0"/>
              <w:rPr>
                <w:sz w:val="15"/>
                <w:szCs w:val="15"/>
                <w:color w:val="auto"/>
              </w:rPr>
            </w:pPr>
          </w:p>
        </w:tc>
        <w:tc>
          <w:tcPr>
            <w:tcW w:w="880" w:type="dxa"/>
            <w:vAlign w:val="bottom"/>
          </w:tcPr>
          <w:p>
            <w:pPr>
              <w:jc w:val="right"/>
              <w:ind w:right="72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5,013</w:t>
            </w:r>
          </w:p>
        </w:tc>
        <w:tc>
          <w:tcPr>
            <w:tcW w:w="120" w:type="dxa"/>
            <w:vAlign w:val="bottom"/>
          </w:tcPr>
          <w:p>
            <w:pPr>
              <w:spacing w:after="0"/>
              <w:rPr>
                <w:sz w:val="15"/>
                <w:szCs w:val="15"/>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193</w:t>
            </w:r>
          </w:p>
        </w:tc>
      </w:tr>
      <w:tr>
        <w:trPr>
          <w:trHeight w:val="180"/>
        </w:trPr>
        <w:tc>
          <w:tcPr>
            <w:tcW w:w="4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on long-term debt</w:t>
            </w:r>
            <w:r>
              <w:rPr>
                <w:rFonts w:ascii="Arial" w:cs="Arial" w:eastAsia="Arial" w:hAnsi="Arial"/>
                <w:sz w:val="14"/>
                <w:szCs w:val="14"/>
                <w:color w:val="auto"/>
                <w:vertAlign w:val="superscript"/>
              </w:rPr>
              <w:t>(b)</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1,960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842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673</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r>
      <w:tr>
        <w:trPr>
          <w:trHeight w:val="180"/>
        </w:trPr>
        <w:tc>
          <w:tcPr>
            <w:tcW w:w="4700" w:type="dxa"/>
            <w:vAlign w:val="bottom"/>
          </w:tcPr>
          <w:p>
            <w:pPr>
              <w:ind w:left="100"/>
              <w:spacing w:after="0"/>
              <w:rPr>
                <w:sz w:val="20"/>
                <w:szCs w:val="20"/>
                <w:color w:val="auto"/>
              </w:rPr>
            </w:pPr>
            <w:r>
              <w:rPr>
                <w:rFonts w:ascii="Arial" w:cs="Arial" w:eastAsia="Arial" w:hAnsi="Arial"/>
                <w:sz w:val="12"/>
                <w:szCs w:val="12"/>
                <w:color w:val="auto"/>
              </w:rPr>
              <w:t>Asset retirement obligations</w:t>
            </w:r>
            <w:r>
              <w:rPr>
                <w:rFonts w:ascii="Arial" w:cs="Arial" w:eastAsia="Arial" w:hAnsi="Arial"/>
                <w:sz w:val="14"/>
                <w:szCs w:val="14"/>
                <w:color w:val="auto"/>
                <w:vertAlign w:val="superscript"/>
              </w:rPr>
              <w:t>(c)</w:t>
            </w:r>
          </w:p>
        </w:tc>
        <w:tc>
          <w:tcPr>
            <w:tcW w:w="820" w:type="dxa"/>
            <w:vAlign w:val="bottom"/>
          </w:tcPr>
          <w:p>
            <w:pPr>
              <w:spacing w:after="0"/>
              <w:rPr>
                <w:sz w:val="15"/>
                <w:szCs w:val="15"/>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422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5"/>
                <w:szCs w:val="15"/>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403</w:t>
            </w:r>
          </w:p>
        </w:tc>
      </w:tr>
      <w:tr>
        <w:trPr>
          <w:trHeight w:val="180"/>
        </w:trPr>
        <w:tc>
          <w:tcPr>
            <w:tcW w:w="4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Pension and postretirement</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w:t>
            </w:r>
          </w:p>
        </w:tc>
      </w:tr>
      <w:tr>
        <w:trPr>
          <w:trHeight w:val="180"/>
        </w:trPr>
        <w:tc>
          <w:tcPr>
            <w:tcW w:w="4700" w:type="dxa"/>
            <w:vAlign w:val="bottom"/>
          </w:tcPr>
          <w:p>
            <w:pPr>
              <w:ind w:left="120"/>
              <w:spacing w:after="0"/>
              <w:rPr>
                <w:sz w:val="20"/>
                <w:szCs w:val="20"/>
                <w:color w:val="auto"/>
              </w:rPr>
            </w:pPr>
            <w:r>
              <w:rPr>
                <w:rFonts w:ascii="Arial" w:cs="Arial" w:eastAsia="Arial" w:hAnsi="Arial"/>
                <w:sz w:val="12"/>
                <w:szCs w:val="12"/>
                <w:color w:val="auto"/>
              </w:rPr>
              <w:t>Greenhouse gas emissions</w:t>
            </w:r>
            <w:r>
              <w:rPr>
                <w:rFonts w:ascii="Arial" w:cs="Arial" w:eastAsia="Arial" w:hAnsi="Arial"/>
                <w:sz w:val="14"/>
                <w:szCs w:val="14"/>
                <w:color w:val="auto"/>
                <w:vertAlign w:val="superscript"/>
              </w:rPr>
              <w:t>(d)</w:t>
            </w:r>
          </w:p>
        </w:tc>
        <w:tc>
          <w:tcPr>
            <w:tcW w:w="820" w:type="dxa"/>
            <w:vAlign w:val="bottom"/>
          </w:tcPr>
          <w:p>
            <w:pPr>
              <w:spacing w:after="0"/>
              <w:rPr>
                <w:sz w:val="15"/>
                <w:szCs w:val="15"/>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4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Production and ad valorem taxes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Pr>
          <w:p>
            <w:pPr>
              <w:ind w:left="120"/>
              <w:spacing w:after="0"/>
              <w:rPr>
                <w:sz w:val="20"/>
                <w:szCs w:val="20"/>
                <w:color w:val="auto"/>
              </w:rPr>
            </w:pPr>
            <w:r>
              <w:rPr>
                <w:rFonts w:ascii="Arial" w:cs="Arial" w:eastAsia="Arial" w:hAnsi="Arial"/>
                <w:sz w:val="12"/>
                <w:szCs w:val="12"/>
                <w:color w:val="auto"/>
              </w:rPr>
              <w:t>Other liabilities</w:t>
            </w:r>
          </w:p>
        </w:tc>
        <w:tc>
          <w:tcPr>
            <w:tcW w:w="820" w:type="dxa"/>
            <w:vAlign w:val="bottom"/>
          </w:tcPr>
          <w:p>
            <w:pPr>
              <w:spacing w:after="0"/>
              <w:rPr>
                <w:sz w:val="15"/>
                <w:szCs w:val="15"/>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w:t>
            </w:r>
          </w:p>
        </w:tc>
      </w:tr>
      <w:tr>
        <w:trPr>
          <w:trHeight w:val="185"/>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Off-Balance Sheet</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76"/>
        </w:trPr>
        <w:tc>
          <w:tcPr>
            <w:tcW w:w="4700" w:type="dxa"/>
            <w:vAlign w:val="bottom"/>
          </w:tcPr>
          <w:p>
            <w:pPr>
              <w:ind w:left="120"/>
              <w:spacing w:after="0"/>
              <w:rPr>
                <w:sz w:val="20"/>
                <w:szCs w:val="20"/>
                <w:color w:val="auto"/>
              </w:rPr>
            </w:pPr>
            <w:r>
              <w:rPr>
                <w:rFonts w:ascii="Arial" w:cs="Arial" w:eastAsia="Arial" w:hAnsi="Arial"/>
                <w:sz w:val="12"/>
                <w:szCs w:val="12"/>
                <w:color w:val="auto"/>
              </w:rPr>
              <w:t>Operating leases</w:t>
            </w:r>
          </w:p>
        </w:tc>
        <w:tc>
          <w:tcPr>
            <w:tcW w:w="820" w:type="dxa"/>
            <w:vAlign w:val="bottom"/>
          </w:tcPr>
          <w:p>
            <w:pPr>
              <w:spacing w:after="0"/>
              <w:rPr>
                <w:sz w:val="15"/>
                <w:szCs w:val="15"/>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8</w:t>
            </w:r>
          </w:p>
        </w:tc>
      </w:tr>
      <w:tr>
        <w:trPr>
          <w:trHeight w:val="185"/>
        </w:trPr>
        <w:tc>
          <w:tcPr>
            <w:tcW w:w="4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obligations</w:t>
            </w:r>
            <w:r>
              <w:rPr>
                <w:rFonts w:ascii="Arial" w:cs="Arial" w:eastAsia="Arial" w:hAnsi="Arial"/>
                <w:sz w:val="14"/>
                <w:szCs w:val="14"/>
                <w:color w:val="auto"/>
                <w:vertAlign w:val="superscript"/>
              </w:rPr>
              <w:t>(e)(f)</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215</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w:t>
            </w:r>
          </w:p>
        </w:tc>
      </w:tr>
      <w:tr>
        <w:trPr>
          <w:trHeight w:val="190"/>
        </w:trPr>
        <w:tc>
          <w:tcPr>
            <w:tcW w:w="4700" w:type="dxa"/>
            <w:vAlign w:val="bottom"/>
          </w:tcPr>
          <w:p>
            <w:pPr>
              <w:ind w:left="20"/>
              <w:spacing w:after="0"/>
              <w:rPr>
                <w:sz w:val="20"/>
                <w:szCs w:val="20"/>
                <w:color w:val="auto"/>
              </w:rPr>
            </w:pPr>
            <w:r>
              <w:rPr>
                <w:rFonts w:ascii="Arial" w:cs="Arial" w:eastAsia="Arial" w:hAnsi="Arial"/>
                <w:sz w:val="12"/>
                <w:szCs w:val="12"/>
                <w:color w:val="auto"/>
              </w:rPr>
              <w:t>Total</w:t>
            </w:r>
            <w:r>
              <w:rPr>
                <w:rFonts w:ascii="Arial" w:cs="Arial" w:eastAsia="Arial" w:hAnsi="Arial"/>
                <w:sz w:val="14"/>
                <w:szCs w:val="14"/>
                <w:color w:val="auto"/>
                <w:vertAlign w:val="superscript"/>
              </w:rPr>
              <w:t>(g)</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8,203</w:t>
            </w:r>
          </w:p>
        </w:tc>
        <w:tc>
          <w:tcPr>
            <w:tcW w:w="100" w:type="dxa"/>
            <w:vAlign w:val="bottom"/>
          </w:tcPr>
          <w:p>
            <w:pPr>
              <w:spacing w:after="0"/>
              <w:rPr>
                <w:sz w:val="16"/>
                <w:szCs w:val="16"/>
                <w:color w:val="auto"/>
              </w:rPr>
            </w:pPr>
          </w:p>
        </w:tc>
        <w:tc>
          <w:tcPr>
            <w:tcW w:w="880" w:type="dxa"/>
            <w:vAlign w:val="bottom"/>
          </w:tcPr>
          <w:p>
            <w:pPr>
              <w:jc w:val="right"/>
              <w:ind w:right="72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721</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1,020</w:t>
            </w:r>
          </w:p>
        </w:tc>
        <w:tc>
          <w:tcPr>
            <w:tcW w:w="120" w:type="dxa"/>
            <w:vAlign w:val="bottom"/>
          </w:tcPr>
          <w:p>
            <w:pPr>
              <w:spacing w:after="0"/>
              <w:rPr>
                <w:sz w:val="16"/>
                <w:szCs w:val="16"/>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5,711</w:t>
            </w:r>
          </w:p>
        </w:tc>
        <w:tc>
          <w:tcPr>
            <w:tcW w:w="120" w:type="dxa"/>
            <w:vAlign w:val="bottom"/>
          </w:tcPr>
          <w:p>
            <w:pPr>
              <w:spacing w:after="0"/>
              <w:rPr>
                <w:sz w:val="16"/>
                <w:szCs w:val="16"/>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-18415</wp:posOffset>
            </wp:positionV>
            <wp:extent cx="43008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00855" cy="17145"/>
                    </a:xfrm>
                    <a:prstGeom prst="rect">
                      <a:avLst/>
                    </a:prstGeom>
                    <a:noFill/>
                  </pic:spPr>
                </pic:pic>
              </a:graphicData>
            </a:graphic>
          </wp:anchor>
        </w:drawing>
      </w:r>
    </w:p>
    <w:p>
      <w:pPr>
        <w:ind w:left="420" w:right="80" w:hanging="212"/>
        <w:spacing w:after="0" w:line="225" w:lineRule="auto"/>
        <w:tabs>
          <w:tab w:leader="none" w:pos="420" w:val="left"/>
        </w:tabs>
        <w:numPr>
          <w:ilvl w:val="0"/>
          <w:numId w:val="50"/>
        </w:numPr>
        <w:rPr>
          <w:rFonts w:ascii="Arial" w:cs="Arial" w:eastAsia="Arial" w:hAnsi="Arial"/>
          <w:sz w:val="10"/>
          <w:szCs w:val="10"/>
          <w:color w:val="auto"/>
        </w:rPr>
      </w:pPr>
      <w:r>
        <w:rPr>
          <w:rFonts w:ascii="Arial" w:cs="Arial" w:eastAsia="Arial" w:hAnsi="Arial"/>
          <w:sz w:val="10"/>
          <w:szCs w:val="10"/>
          <w:color w:val="auto"/>
        </w:rPr>
        <w:t xml:space="preserve">In performing the calculation, the 2014 Revolving Credit Facility borrowings outstanding at December 31, 2017 of $363 million were assumed to be outstanding for the entire term of the agreement. See </w:t>
      </w:r>
      <w:r>
        <w:rPr>
          <w:rFonts w:ascii="Arial" w:cs="Arial" w:eastAsia="Arial" w:hAnsi="Arial"/>
          <w:sz w:val="10"/>
          <w:szCs w:val="10"/>
          <w:i w:val="1"/>
          <w:iCs w:val="1"/>
          <w:color w:val="auto"/>
        </w:rPr>
        <w:t>Item 8 – Financial Statements and Supplementary Data –</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Note 5 Debt </w:t>
      </w:r>
      <w:r>
        <w:rPr>
          <w:rFonts w:ascii="Arial" w:cs="Arial" w:eastAsia="Arial" w:hAnsi="Arial"/>
          <w:sz w:val="10"/>
          <w:szCs w:val="10"/>
          <w:color w:val="auto"/>
        </w:rPr>
        <w:t>for more information.</w:t>
      </w:r>
    </w:p>
    <w:p>
      <w:pPr>
        <w:ind w:left="420" w:hanging="212"/>
        <w:spacing w:after="0" w:line="225" w:lineRule="auto"/>
        <w:tabs>
          <w:tab w:leader="none" w:pos="420" w:val="left"/>
        </w:tabs>
        <w:numPr>
          <w:ilvl w:val="0"/>
          <w:numId w:val="50"/>
        </w:numPr>
        <w:rPr>
          <w:rFonts w:ascii="Arial" w:cs="Arial" w:eastAsia="Arial" w:hAnsi="Arial"/>
          <w:sz w:val="10"/>
          <w:szCs w:val="10"/>
          <w:color w:val="auto"/>
        </w:rPr>
      </w:pPr>
      <w:r>
        <w:rPr>
          <w:rFonts w:ascii="Arial" w:cs="Arial" w:eastAsia="Arial" w:hAnsi="Arial"/>
          <w:sz w:val="10"/>
          <w:szCs w:val="10"/>
          <w:color w:val="auto"/>
        </w:rPr>
        <w:t>The calculation of interest payable on the variable interest debt assumes the interest rate at December 31, 2017 to be the applicable interest rate for the entire term.</w:t>
      </w:r>
    </w:p>
    <w:p>
      <w:pPr>
        <w:ind w:left="420" w:right="200" w:hanging="212"/>
        <w:spacing w:after="0" w:line="225" w:lineRule="auto"/>
        <w:tabs>
          <w:tab w:leader="none" w:pos="420" w:val="left"/>
        </w:tabs>
        <w:numPr>
          <w:ilvl w:val="0"/>
          <w:numId w:val="50"/>
        </w:numPr>
        <w:rPr>
          <w:rFonts w:ascii="Arial" w:cs="Arial" w:eastAsia="Arial" w:hAnsi="Arial"/>
          <w:sz w:val="10"/>
          <w:szCs w:val="10"/>
          <w:color w:val="auto"/>
        </w:rPr>
      </w:pPr>
      <w:r>
        <w:rPr>
          <w:rFonts w:ascii="Arial" w:cs="Arial" w:eastAsia="Arial" w:hAnsi="Arial"/>
          <w:sz w:val="10"/>
          <w:szCs w:val="10"/>
          <w:color w:val="auto"/>
        </w:rPr>
        <w:t xml:space="preserve">Represents the estimated future asset retirement obligations on a discounted basis. We do not show the long-term asset retirement obligations by year as we are not able to precisely predict the timing of these amounts. Because these costs typically extend many years into the future, estimating these future costs requires management to make estimates and judgments that are subject to revisions based on numerous factors, including the rate of inflation, changing technology and the political and regulatory environment. See </w:t>
      </w:r>
      <w:r>
        <w:rPr>
          <w:rFonts w:ascii="Arial" w:cs="Arial" w:eastAsia="Arial" w:hAnsi="Arial"/>
          <w:sz w:val="10"/>
          <w:szCs w:val="10"/>
          <w:i w:val="1"/>
          <w:iCs w:val="1"/>
          <w:color w:val="auto"/>
        </w:rPr>
        <w:t>Item 8 – Financial Statements and Supplementary Data – Note 1 The Spin-Off, Summary of Significant Accounting Policies and Other</w:t>
      </w:r>
      <w:r>
        <w:rPr>
          <w:rFonts w:ascii="Arial" w:cs="Arial" w:eastAsia="Arial" w:hAnsi="Arial"/>
          <w:sz w:val="10"/>
          <w:szCs w:val="10"/>
          <w:color w:val="auto"/>
        </w:rPr>
        <w:t xml:space="preserve"> for more information.</w:t>
      </w:r>
    </w:p>
    <w:p>
      <w:pPr>
        <w:ind w:left="420" w:right="100" w:hanging="212"/>
        <w:spacing w:after="0" w:line="225" w:lineRule="auto"/>
        <w:tabs>
          <w:tab w:leader="none" w:pos="420" w:val="left"/>
        </w:tabs>
        <w:numPr>
          <w:ilvl w:val="0"/>
          <w:numId w:val="50"/>
        </w:numPr>
        <w:rPr>
          <w:rFonts w:ascii="Arial" w:cs="Arial" w:eastAsia="Arial" w:hAnsi="Arial"/>
          <w:sz w:val="10"/>
          <w:szCs w:val="10"/>
          <w:color w:val="auto"/>
        </w:rPr>
      </w:pPr>
      <w:r>
        <w:rPr>
          <w:rFonts w:ascii="Arial" w:cs="Arial" w:eastAsia="Arial" w:hAnsi="Arial"/>
          <w:sz w:val="10"/>
          <w:szCs w:val="10"/>
          <w:color w:val="auto"/>
        </w:rPr>
        <w:t>The amount reflects (i) our expected cost in 2018 to acquire remaining allowances for the 2015-2017 compliance period, including replacement of GHG allowances that we previously monetized in 2016 and (ii) a minor amount to obtain and acquire allowances for the compliance period that commences in 2018.</w:t>
      </w:r>
    </w:p>
    <w:p>
      <w:pPr>
        <w:ind w:left="420" w:hanging="212"/>
        <w:spacing w:after="0" w:line="225" w:lineRule="auto"/>
        <w:tabs>
          <w:tab w:leader="none" w:pos="420" w:val="left"/>
        </w:tabs>
        <w:numPr>
          <w:ilvl w:val="0"/>
          <w:numId w:val="50"/>
        </w:numPr>
        <w:rPr>
          <w:rFonts w:ascii="Arial" w:cs="Arial" w:eastAsia="Arial" w:hAnsi="Arial"/>
          <w:sz w:val="10"/>
          <w:szCs w:val="10"/>
          <w:color w:val="auto"/>
        </w:rPr>
      </w:pPr>
      <w:r>
        <w:rPr>
          <w:rFonts w:ascii="Arial" w:cs="Arial" w:eastAsia="Arial" w:hAnsi="Arial"/>
          <w:sz w:val="10"/>
          <w:szCs w:val="10"/>
          <w:color w:val="auto"/>
        </w:rPr>
        <w:t>Amounts include payments that will become due under long-term agreements to purchase goods and services used in the normal course of business including pipeline capacity and rig termination costs.</w:t>
      </w:r>
    </w:p>
    <w:p>
      <w:pPr>
        <w:ind w:left="420" w:right="40" w:hanging="212"/>
        <w:spacing w:after="0" w:line="225" w:lineRule="auto"/>
        <w:tabs>
          <w:tab w:leader="none" w:pos="42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Included in these obligations is a commitment to invest approximately $84 million in evaluation and development activities for one of our oil and gas properties prior to the end of 2018. Any deficiency in meeting this capital investment obligation would need to be paid in cash. Our 2018 capital program includes the required development plans for this property, and we expect to fulfill the minimum investment requirement.</w:t>
      </w:r>
    </w:p>
    <w:p>
      <w:pPr>
        <w:ind w:left="420" w:right="420" w:hanging="212"/>
        <w:spacing w:after="0" w:line="232" w:lineRule="auto"/>
        <w:tabs>
          <w:tab w:leader="none" w:pos="420" w:val="left"/>
        </w:tabs>
        <w:numPr>
          <w:ilvl w:val="0"/>
          <w:numId w:val="50"/>
        </w:numPr>
        <w:rPr>
          <w:rFonts w:ascii="Arial" w:cs="Arial" w:eastAsia="Arial" w:hAnsi="Arial"/>
          <w:sz w:val="10"/>
          <w:szCs w:val="10"/>
          <w:color w:val="auto"/>
        </w:rPr>
      </w:pPr>
      <w:r>
        <w:rPr>
          <w:rFonts w:ascii="Arial" w:cs="Arial" w:eastAsia="Arial" w:hAnsi="Arial"/>
          <w:sz w:val="10"/>
          <w:szCs w:val="10"/>
          <w:color w:val="auto"/>
        </w:rPr>
        <w:t>Amount excludes (1) unrecognized tax benefit of $25 million due to uncertainty with respect to the timing of future cash outflows and (2) $19 million in obligations for derivatives based on market information as of December 31, 2017 due to the potential significant changes to the value based on changing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Lawsuits, Claims, Commitments and Contingencies</w:t>
      </w:r>
    </w:p>
    <w:p>
      <w:pPr>
        <w:spacing w:after="0" w:line="164" w:lineRule="exact"/>
        <w:rPr>
          <w:sz w:val="20"/>
          <w:szCs w:val="20"/>
          <w:color w:val="auto"/>
        </w:rPr>
      </w:pPr>
    </w:p>
    <w:p>
      <w:pPr>
        <w:ind w:right="60" w:firstLine="216"/>
        <w:spacing w:after="0" w:line="262" w:lineRule="auto"/>
        <w:rPr>
          <w:sz w:val="20"/>
          <w:szCs w:val="20"/>
          <w:color w:val="auto"/>
        </w:rPr>
      </w:pPr>
      <w:r>
        <w:rPr>
          <w:rFonts w:ascii="Arial" w:cs="Arial" w:eastAsia="Arial" w:hAnsi="Arial"/>
          <w:sz w:val="12"/>
          <w:szCs w:val="12"/>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31" w:lineRule="exact"/>
        <w:rPr>
          <w:sz w:val="20"/>
          <w:szCs w:val="20"/>
          <w:color w:val="auto"/>
        </w:rPr>
      </w:pPr>
    </w:p>
    <w:p>
      <w:pPr>
        <w:ind w:right="220" w:firstLine="216"/>
        <w:spacing w:after="0" w:line="256" w:lineRule="auto"/>
        <w:rPr>
          <w:sz w:val="20"/>
          <w:szCs w:val="20"/>
          <w:color w:val="auto"/>
        </w:rPr>
      </w:pPr>
      <w:r>
        <w:rPr>
          <w:rFonts w:ascii="Arial" w:cs="Arial" w:eastAsia="Arial" w:hAnsi="Arial"/>
          <w:sz w:val="12"/>
          <w:szCs w:val="12"/>
          <w:color w:val="auto"/>
        </w:rPr>
        <w:t>We accrue reserves for currently outstanding lawsuits, claims and proceedings when it is probable that a liability has been incurred and the liability can be reasonably estimated. Reserve balances at December 31, 2017 and 2016 were not material to our balance sheets as of such dates. We also evaluate the amount of reasonably possible losses that we could incur as a result of these matters. We believe that reasonably possible losses that we could incur in excess of reserves accrued on our balance sheet would not be material to our consolidated financial position or results of operations.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0"/>
          </w:cols>
          <w:pgMar w:left="220" w:top="377" w:right="199" w:bottom="1440" w:gutter="0" w:footer="0" w:header="0"/>
        </w:sectPr>
      </w:pPr>
    </w:p>
    <w:bookmarkStart w:id="71" w:name="page72"/>
    <w:bookmarkEnd w:id="71"/>
    <w:p>
      <w:pPr>
        <w:ind w:right="140" w:firstLine="216"/>
        <w:spacing w:after="0" w:line="253" w:lineRule="auto"/>
        <w:rPr>
          <w:sz w:val="20"/>
          <w:szCs w:val="20"/>
          <w:color w:val="auto"/>
        </w:rPr>
      </w:pPr>
      <w:r>
        <w:rPr>
          <w:rFonts w:ascii="Arial" w:cs="Arial" w:eastAsia="Arial" w:hAnsi="Arial"/>
          <w:sz w:val="12"/>
          <w:szCs w:val="12"/>
          <w:color w:val="auto"/>
        </w:rPr>
        <w:t>We have certain commitments under contracts, including purchase commitments for goods and services used in the normal course of business including pipeline capacity and rig termination costs. At December 31, 2017, total purchase obligations on a discounted basis were approximately $215 million, which included approximately $129 million, $33 million, $18 million, $4 million and $ 3 million that will be paid in 2018, 2019, 2020, 2021 and 2022, respectively. Included in these obligations is a commitment to invest approximately $84 million in evaluation and development activities for one of our oil and gas properties prior to the end of 2018. Any deficiency in meeting this capital investment obligation would need to be paid in cash. Our 2018 capital program includes development plans for these properties, and we expect to fulfill the minimum investment requirement.</w:t>
      </w:r>
    </w:p>
    <w:p>
      <w:pPr>
        <w:spacing w:after="0" w:line="173" w:lineRule="exact"/>
        <w:rPr>
          <w:sz w:val="20"/>
          <w:szCs w:val="20"/>
          <w:color w:val="auto"/>
        </w:rPr>
      </w:pPr>
    </w:p>
    <w:p>
      <w:pPr>
        <w:ind w:right="120" w:firstLine="216"/>
        <w:spacing w:after="0" w:line="290" w:lineRule="auto"/>
        <w:rPr>
          <w:sz w:val="20"/>
          <w:szCs w:val="20"/>
          <w:color w:val="auto"/>
        </w:rPr>
      </w:pPr>
      <w:r>
        <w:rPr>
          <w:rFonts w:ascii="Arial" w:cs="Arial" w:eastAsia="Arial" w:hAnsi="Arial"/>
          <w:sz w:val="11"/>
          <w:szCs w:val="11"/>
          <w:color w:val="auto"/>
        </w:rPr>
        <w:t>We, our subsidiaries, or both, have indemnified various parties against specific liabilities those parties might incur in the future in connection with the Spin-off, purchases and other transactions that they have entered into with us. These indemnities include indemnities made to Occidental Petroleum Corporation (Occidental), our former parent, against certain tax-related liabilities that may be incurred by Occidental relating to the Spin-off and liabilities related to operation of our business while it was still owned by Occidental. As of December 31, 2017, we are not aware of material indemnity claims pending or threatened against us.</w:t>
      </w:r>
    </w:p>
    <w:p>
      <w:pPr>
        <w:spacing w:after="0" w:line="64" w:lineRule="exact"/>
        <w:rPr>
          <w:sz w:val="20"/>
          <w:szCs w:val="20"/>
          <w:color w:val="auto"/>
        </w:rPr>
      </w:pPr>
    </w:p>
    <w:p>
      <w:pPr>
        <w:ind w:right="140" w:firstLine="216"/>
        <w:spacing w:after="0" w:line="262" w:lineRule="auto"/>
        <w:rPr>
          <w:sz w:val="20"/>
          <w:szCs w:val="20"/>
          <w:color w:val="auto"/>
        </w:rPr>
      </w:pPr>
      <w:r>
        <w:rPr>
          <w:rFonts w:ascii="Arial" w:cs="Arial" w:eastAsia="Arial" w:hAnsi="Arial"/>
          <w:sz w:val="12"/>
          <w:szCs w:val="12"/>
          <w:color w:val="auto"/>
        </w:rPr>
        <w:t>We are currently under examination by the Internal Revenue Service for our U.S. federal income tax returns for the post-Spin-off period in 2014 and calendar year 2015. No significant issues have been raised to date. The U.S. federal income tax return for 2016 and the California franchise tax returns for 2014 through 2016 remain subject to examination.</w:t>
      </w: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2" w:lineRule="exact"/>
        <w:rPr>
          <w:sz w:val="20"/>
          <w:szCs w:val="20"/>
          <w:color w:val="auto"/>
        </w:rPr>
      </w:pPr>
    </w:p>
    <w:p>
      <w:pPr>
        <w:ind w:right="700" w:firstLine="216"/>
        <w:spacing w:after="0" w:line="283" w:lineRule="auto"/>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Item 8 – Financial Statements and Supplementary Data – Note 1 The Spin-Off, Summary of Significant Accounting Policies and Other</w:t>
      </w:r>
      <w:r>
        <w:rPr>
          <w:rFonts w:ascii="Arial" w:cs="Arial" w:eastAsia="Arial" w:hAnsi="Arial"/>
          <w:sz w:val="12"/>
          <w:szCs w:val="12"/>
          <w:color w:val="auto"/>
        </w:rPr>
        <w:t xml:space="preserve"> for our critical accounting policies and estimates that involve management's judgment and that could result in a material impact to the financial statements due to the levels of subjectivity and judgment.</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Accounting and Disclosure Changes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Item 8 – Financial Statements and Supplementary Data – Note 2 Accounting and Disclosure Changes</w:t>
      </w:r>
      <w:r>
        <w:rPr>
          <w:rFonts w:ascii="Arial" w:cs="Arial" w:eastAsia="Arial" w:hAnsi="Arial"/>
          <w:sz w:val="12"/>
          <w:szCs w:val="12"/>
          <w:color w:val="auto"/>
        </w:rPr>
        <w:t xml:space="preserve"> for a discussion of new accounting matters.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Commodity Price Risk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w:t>
      </w:r>
    </w:p>
    <w:p>
      <w:pPr>
        <w:spacing w:after="0" w:line="200" w:lineRule="exact"/>
        <w:rPr>
          <w:sz w:val="20"/>
          <w:szCs w:val="20"/>
          <w:color w:val="auto"/>
        </w:rPr>
      </w:pPr>
    </w:p>
    <w:p>
      <w:pPr>
        <w:ind w:right="320" w:firstLine="216"/>
        <w:spacing w:after="0" w:line="262" w:lineRule="auto"/>
        <w:rPr>
          <w:sz w:val="20"/>
          <w:szCs w:val="20"/>
          <w:color w:val="auto"/>
        </w:rPr>
      </w:pPr>
      <w:r>
        <w:rPr>
          <w:rFonts w:ascii="Arial" w:cs="Arial" w:eastAsia="Arial" w:hAnsi="Arial"/>
          <w:sz w:val="12"/>
          <w:szCs w:val="12"/>
          <w:color w:val="auto"/>
        </w:rPr>
        <w:t>Our financial results are sensitive to fluctuations in oil, NGL and gas prices. In 2018, we expect that price changes at current levels of production, including the impact of existing hedges, will affect our pre-tax annual income and cash flows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80" w:type="dxa"/>
            <w:vAlign w:val="bottom"/>
          </w:tcPr>
          <w:p>
            <w:pPr>
              <w:ind w:left="20"/>
              <w:spacing w:after="0"/>
              <w:rPr>
                <w:sz w:val="20"/>
                <w:szCs w:val="20"/>
                <w:color w:val="auto"/>
              </w:rPr>
            </w:pPr>
            <w:r>
              <w:rPr>
                <w:rFonts w:ascii="Arial" w:cs="Arial" w:eastAsia="Arial" w:hAnsi="Arial"/>
                <w:sz w:val="12"/>
                <w:szCs w:val="12"/>
                <w:b w:val="1"/>
                <w:bCs w:val="1"/>
                <w:color w:val="auto"/>
              </w:rPr>
              <w:t>Pre-tax 2018 Price Sensitivities</w:t>
            </w:r>
          </w:p>
        </w:tc>
        <w:tc>
          <w:tcPr>
            <w:tcW w:w="4320" w:type="dxa"/>
            <w:vAlign w:val="bottom"/>
          </w:tcPr>
          <w:p>
            <w:pPr>
              <w:spacing w:after="0"/>
              <w:rPr>
                <w:sz w:val="14"/>
                <w:szCs w:val="14"/>
                <w:color w:val="auto"/>
              </w:rPr>
            </w:pPr>
          </w:p>
        </w:tc>
        <w:tc>
          <w:tcPr>
            <w:tcW w:w="1380" w:type="dxa"/>
            <w:vAlign w:val="bottom"/>
          </w:tcPr>
          <w:p>
            <w:pPr>
              <w:jc w:val="right"/>
              <w:ind w:right="563"/>
              <w:spacing w:after="0"/>
              <w:rPr>
                <w:sz w:val="20"/>
                <w:szCs w:val="20"/>
                <w:color w:val="auto"/>
              </w:rPr>
            </w:pPr>
            <w:r>
              <w:rPr>
                <w:rFonts w:ascii="Arial" w:cs="Arial" w:eastAsia="Arial" w:hAnsi="Arial"/>
                <w:sz w:val="10"/>
                <w:szCs w:val="10"/>
                <w:color w:val="auto"/>
              </w:rPr>
              <w:t>(in millions)</w:t>
            </w: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$1 change in Brent index - Oil</w:t>
            </w:r>
            <w:r>
              <w:rPr>
                <w:rFonts w:ascii="Arial" w:cs="Arial" w:eastAsia="Arial" w:hAnsi="Arial"/>
                <w:sz w:val="14"/>
                <w:szCs w:val="14"/>
                <w:color w:val="auto"/>
                <w:vertAlign w:val="superscript"/>
              </w:rPr>
              <w:t>(a)</w:t>
            </w:r>
          </w:p>
        </w:tc>
        <w:tc>
          <w:tcPr>
            <w:tcW w:w="43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3.3</w:t>
            </w:r>
          </w:p>
        </w:tc>
      </w:tr>
      <w:tr>
        <w:trPr>
          <w:trHeight w:val="167"/>
        </w:trPr>
        <w:tc>
          <w:tcPr>
            <w:tcW w:w="5780" w:type="dxa"/>
            <w:vAlign w:val="bottom"/>
          </w:tcPr>
          <w:p>
            <w:pPr>
              <w:ind w:left="20"/>
              <w:spacing w:after="0"/>
              <w:rPr>
                <w:sz w:val="20"/>
                <w:szCs w:val="20"/>
                <w:color w:val="auto"/>
              </w:rPr>
            </w:pPr>
            <w:r>
              <w:rPr>
                <w:rFonts w:ascii="Arial" w:cs="Arial" w:eastAsia="Arial" w:hAnsi="Arial"/>
                <w:sz w:val="12"/>
                <w:szCs w:val="12"/>
                <w:color w:val="auto"/>
              </w:rPr>
              <w:t>$1 change in Brent index - NGLs</w:t>
            </w:r>
          </w:p>
        </w:tc>
        <w:tc>
          <w:tcPr>
            <w:tcW w:w="43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63"/>
              <w:spacing w:after="0"/>
              <w:rPr>
                <w:sz w:val="20"/>
                <w:szCs w:val="20"/>
                <w:color w:val="auto"/>
              </w:rPr>
            </w:pPr>
            <w:r>
              <w:rPr>
                <w:rFonts w:ascii="Arial" w:cs="Arial" w:eastAsia="Arial" w:hAnsi="Arial"/>
                <w:sz w:val="12"/>
                <w:szCs w:val="12"/>
                <w:color w:val="auto"/>
              </w:rPr>
              <w:t>3.2</w:t>
            </w: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$0.50 change in NYMEX - Gas</w:t>
            </w:r>
            <w:r>
              <w:rPr>
                <w:rFonts w:ascii="Arial" w:cs="Arial" w:eastAsia="Arial" w:hAnsi="Arial"/>
                <w:sz w:val="14"/>
                <w:szCs w:val="14"/>
                <w:color w:val="auto"/>
                <w:vertAlign w:val="superscript"/>
              </w:rPr>
              <w:t>(b)</w:t>
            </w:r>
          </w:p>
        </w:tc>
        <w:tc>
          <w:tcPr>
            <w:tcW w:w="43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14.0</w:t>
            </w:r>
          </w:p>
        </w:tc>
      </w:tr>
    </w:tbl>
    <w:p>
      <w:pPr>
        <w:spacing w:after="0" w:line="75" w:lineRule="exact"/>
        <w:rPr>
          <w:sz w:val="20"/>
          <w:szCs w:val="20"/>
          <w:color w:val="auto"/>
        </w:rPr>
      </w:pPr>
    </w:p>
    <w:p>
      <w:pPr>
        <w:ind w:left="420" w:hanging="212"/>
        <w:spacing w:after="0"/>
        <w:tabs>
          <w:tab w:leader="none" w:pos="420" w:val="left"/>
        </w:tabs>
        <w:numPr>
          <w:ilvl w:val="0"/>
          <w:numId w:val="51"/>
        </w:numPr>
        <w:rPr>
          <w:rFonts w:ascii="Arial" w:cs="Arial" w:eastAsia="Arial" w:hAnsi="Arial"/>
          <w:sz w:val="10"/>
          <w:szCs w:val="10"/>
          <w:color w:val="auto"/>
        </w:rPr>
      </w:pPr>
      <w:r>
        <w:rPr>
          <w:rFonts w:ascii="Arial" w:cs="Arial" w:eastAsia="Arial" w:hAnsi="Arial"/>
          <w:sz w:val="10"/>
          <w:szCs w:val="10"/>
          <w:color w:val="auto"/>
        </w:rPr>
        <w:t>Amounts reflect the sensitivity with respect to unhedged barrels at a Brent index price at $60.00 per barrel and include the effect of production sharing type contracts in our Wilmington field operations.</w:t>
      </w:r>
    </w:p>
    <w:p>
      <w:pPr>
        <w:spacing w:after="0" w:line="29" w:lineRule="exact"/>
        <w:rPr>
          <w:rFonts w:ascii="Arial" w:cs="Arial" w:eastAsia="Arial" w:hAnsi="Arial"/>
          <w:sz w:val="10"/>
          <w:szCs w:val="10"/>
          <w:color w:val="auto"/>
        </w:rPr>
      </w:pPr>
    </w:p>
    <w:p>
      <w:pPr>
        <w:ind w:left="420" w:hanging="212"/>
        <w:spacing w:after="0"/>
        <w:tabs>
          <w:tab w:leader="none" w:pos="420" w:val="left"/>
        </w:tabs>
        <w:numPr>
          <w:ilvl w:val="0"/>
          <w:numId w:val="51"/>
        </w:numPr>
        <w:rPr>
          <w:rFonts w:ascii="Arial" w:cs="Arial" w:eastAsia="Arial" w:hAnsi="Arial"/>
          <w:sz w:val="10"/>
          <w:szCs w:val="10"/>
          <w:color w:val="auto"/>
        </w:rPr>
      </w:pPr>
      <w:r>
        <w:rPr>
          <w:rFonts w:ascii="Arial" w:cs="Arial" w:eastAsia="Arial" w:hAnsi="Arial"/>
          <w:sz w:val="10"/>
          <w:szCs w:val="10"/>
          <w:color w:val="auto"/>
        </w:rPr>
        <w:t>Amounts reflect the sensitivity with respect to unhedged barrels at a NYMEX index price at $3.00 per barrel and includes the offsetting effect of Elk Hills power plant and steam consumption.</w:t>
      </w:r>
    </w:p>
    <w:p>
      <w:pPr>
        <w:spacing w:after="0" w:line="134"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Due to our tax position, there is no difference between the impact on our income and cash flows. These price-change sensitivities include the impact on income of volume changes under arrangements similar to production-sharing contracts. If production and price levels change in the future, the sensitivity of our results to prices also will change.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0"/>
          </w:cols>
          <w:pgMar w:left="220" w:top="391" w:right="19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i w:val="1"/>
          <w:iCs w:val="1"/>
          <w:color w:val="auto"/>
        </w:rPr>
        <w:t>Derivatives</w:t>
      </w:r>
    </w:p>
    <w:p>
      <w:pPr>
        <w:spacing w:after="0" w:line="164" w:lineRule="exact"/>
        <w:rPr>
          <w:sz w:val="20"/>
          <w:szCs w:val="20"/>
          <w:color w:val="auto"/>
        </w:rPr>
      </w:pPr>
    </w:p>
    <w:p>
      <w:pPr>
        <w:ind w:right="580" w:firstLine="216"/>
        <w:spacing w:after="0" w:line="262" w:lineRule="auto"/>
        <w:rPr>
          <w:sz w:val="20"/>
          <w:szCs w:val="20"/>
          <w:color w:val="auto"/>
        </w:rPr>
      </w:pPr>
      <w:r>
        <w:rPr>
          <w:rFonts w:ascii="Arial" w:cs="Arial" w:eastAsia="Arial" w:hAnsi="Arial"/>
          <w:sz w:val="12"/>
          <w:szCs w:val="12"/>
          <w:color w:val="auto"/>
        </w:rPr>
        <w:t xml:space="preserve">As of December 31, 2017, we had a net derivative liability of $133 million carried at fair value, using industry-standard models with various inputs, including quoted forward prices. See additional hedging information in </w:t>
      </w:r>
      <w:r>
        <w:rPr>
          <w:rFonts w:ascii="Arial" w:cs="Arial" w:eastAsia="Arial" w:hAnsi="Arial"/>
          <w:sz w:val="12"/>
          <w:szCs w:val="12"/>
          <w:i w:val="1"/>
          <w:iCs w:val="1"/>
          <w:color w:val="auto"/>
        </w:rPr>
        <w:t>Item 7 – Management's Discussion and Analysis of Financial Condition and Results of Operations – Liquidity and Capital Resources</w:t>
      </w:r>
      <w:r>
        <w:rPr>
          <w:rFonts w:ascii="Arial" w:cs="Arial" w:eastAsia="Arial" w:hAnsi="Arial"/>
          <w:sz w:val="12"/>
          <w:szCs w:val="12"/>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Counterparty Credit Risk</w:t>
      </w:r>
    </w:p>
    <w:p>
      <w:pPr>
        <w:spacing w:after="0" w:line="137" w:lineRule="exact"/>
        <w:rPr>
          <w:sz w:val="20"/>
          <w:szCs w:val="20"/>
          <w:color w:val="auto"/>
        </w:rPr>
      </w:pPr>
    </w:p>
    <w:p>
      <w:pPr>
        <w:ind w:right="240" w:firstLine="216"/>
        <w:spacing w:after="0" w:line="290" w:lineRule="auto"/>
        <w:rPr>
          <w:sz w:val="20"/>
          <w:szCs w:val="20"/>
          <w:color w:val="auto"/>
        </w:rPr>
      </w:pPr>
      <w:r>
        <w:rPr>
          <w:rFonts w:ascii="Arial" w:cs="Arial" w:eastAsia="Arial" w:hAnsi="Arial"/>
          <w:sz w:val="11"/>
          <w:szCs w:val="11"/>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continue to monitor their financial health. Concentration of credit risk is regularly reviewed to ensure that counterparty credit risk is adequately diversified.</w:t>
      </w:r>
    </w:p>
    <w:p>
      <w:pPr>
        <w:spacing w:after="0" w:line="118"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As of December 31, 2017, the substantial majority of the credit exposures related to our derivative financial instruments was with investment grade counterparties. We believe exposure to credit-related losses at December 31, 2017 was not material and losses associated with credit risk have been insignificant for all years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64" w:lineRule="exact"/>
        <w:rPr>
          <w:sz w:val="20"/>
          <w:szCs w:val="20"/>
          <w:color w:val="auto"/>
        </w:rPr>
      </w:pPr>
    </w:p>
    <w:p>
      <w:pPr>
        <w:jc w:val="both"/>
        <w:ind w:right="200" w:firstLine="216"/>
        <w:spacing w:after="0" w:line="256" w:lineRule="auto"/>
        <w:rPr>
          <w:sz w:val="20"/>
          <w:szCs w:val="20"/>
          <w:color w:val="auto"/>
        </w:rPr>
      </w:pPr>
      <w:r>
        <w:rPr>
          <w:rFonts w:ascii="Arial" w:cs="Arial" w:eastAsia="Arial" w:hAnsi="Arial"/>
          <w:sz w:val="12"/>
          <w:szCs w:val="12"/>
          <w:color w:val="auto"/>
        </w:rPr>
        <w:t>As of December 31, 2017, we had borrowings of $1.3 billion outstanding under our 2017 Credit Agreement, $1 billion outstanding under our 2016 Credit Agreement and $363 million outstanding under our 2014 Revolving Credit Facility, all of which carry variable interest rates. A one-eighth percent change in the interest rates on these outstanding borrowings under these facilities would result in an approximately $3 million change in annual interest expense.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520" w:type="dxa"/>
            <w:vAlign w:val="bottom"/>
          </w:tcPr>
          <w:p>
            <w:pPr>
              <w:ind w:left="200"/>
              <w:spacing w:after="0"/>
              <w:rPr>
                <w:sz w:val="20"/>
                <w:szCs w:val="20"/>
                <w:color w:val="auto"/>
              </w:rPr>
            </w:pPr>
            <w:r>
              <w:rPr>
                <w:rFonts w:ascii="Arial" w:cs="Arial" w:eastAsia="Arial" w:hAnsi="Arial"/>
                <w:sz w:val="12"/>
                <w:szCs w:val="12"/>
                <w:color w:val="auto"/>
              </w:rPr>
              <w:t>The following table shows our fixed- and variable-rate debt as of December 31, 2017 (in millions):</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29"/>
        </w:trPr>
        <w:tc>
          <w:tcPr>
            <w:tcW w:w="5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U.S. Dollar Fixed-Rate</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U.S. Dollar Variable-Rate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6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Year of Maturity</w:t>
            </w: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Debt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Debt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Total</w:t>
            </w:r>
          </w:p>
        </w:tc>
      </w:tr>
      <w:tr>
        <w:trPr>
          <w:trHeight w:val="165"/>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76"/>
        </w:trPr>
        <w:tc>
          <w:tcPr>
            <w:tcW w:w="5520" w:type="dxa"/>
            <w:vAlign w:val="bottom"/>
          </w:tcPr>
          <w:p>
            <w:pPr>
              <w:ind w:left="20"/>
              <w:spacing w:after="0"/>
              <w:rPr>
                <w:sz w:val="20"/>
                <w:szCs w:val="20"/>
                <w:color w:val="auto"/>
              </w:rPr>
            </w:pPr>
            <w:r>
              <w:rPr>
                <w:rFonts w:ascii="Arial" w:cs="Arial" w:eastAsia="Arial" w:hAnsi="Arial"/>
                <w:sz w:val="12"/>
                <w:szCs w:val="12"/>
                <w:color w:val="auto"/>
              </w:rPr>
              <w:t>2019</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85"/>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100</w:t>
            </w:r>
          </w:p>
        </w:tc>
      </w:tr>
      <w:tr>
        <w:trPr>
          <w:trHeight w:val="176"/>
        </w:trPr>
        <w:tc>
          <w:tcPr>
            <w:tcW w:w="5520" w:type="dxa"/>
            <w:vAlign w:val="bottom"/>
          </w:tcPr>
          <w:p>
            <w:pPr>
              <w:ind w:left="20"/>
              <w:spacing w:after="0"/>
              <w:rPr>
                <w:sz w:val="20"/>
                <w:szCs w:val="20"/>
                <w:color w:val="auto"/>
              </w:rPr>
            </w:pPr>
            <w:r>
              <w:rPr>
                <w:rFonts w:ascii="Arial" w:cs="Arial" w:eastAsia="Arial" w:hAnsi="Arial"/>
                <w:sz w:val="12"/>
                <w:szCs w:val="12"/>
                <w:color w:val="auto"/>
              </w:rPr>
              <w:t>2021</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526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0"/>
              <w:spacing w:after="0"/>
              <w:rPr>
                <w:sz w:val="20"/>
                <w:szCs w:val="20"/>
                <w:color w:val="auto"/>
              </w:rPr>
            </w:pPr>
            <w:r>
              <w:rPr>
                <w:rFonts w:ascii="Arial" w:cs="Arial" w:eastAsia="Arial" w:hAnsi="Arial"/>
                <w:sz w:val="12"/>
                <w:szCs w:val="12"/>
                <w:color w:val="auto"/>
              </w:rPr>
              <w:t>1,363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1,889</w:t>
            </w:r>
          </w:p>
        </w:tc>
      </w:tr>
      <w:tr>
        <w:trPr>
          <w:trHeight w:val="185"/>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3,124</w:t>
            </w:r>
          </w:p>
        </w:tc>
      </w:tr>
      <w:tr>
        <w:trPr>
          <w:trHeight w:val="17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Thereafter</w:t>
            </w: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193</w:t>
            </w:r>
          </w:p>
        </w:tc>
      </w:tr>
      <w:tr>
        <w:trPr>
          <w:trHeight w:val="172"/>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2,643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2,663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5,306</w:t>
            </w:r>
          </w:p>
        </w:tc>
      </w:tr>
      <w:tr>
        <w:trPr>
          <w:trHeight w:val="178"/>
        </w:trPr>
        <w:tc>
          <w:tcPr>
            <w:tcW w:w="55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2"/>
                <w:szCs w:val="12"/>
                <w:color w:val="auto"/>
              </w:rPr>
              <w:t>Weighted-average interest rate</w:t>
            </w:r>
          </w:p>
        </w:tc>
        <w:tc>
          <w:tcPr>
            <w:tcW w:w="11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7.65%</w:t>
            </w:r>
          </w:p>
        </w:tc>
        <w:tc>
          <w:tcPr>
            <w:tcW w:w="1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8.31%</w:t>
            </w:r>
          </w:p>
        </w:tc>
        <w:tc>
          <w:tcPr>
            <w:tcW w:w="10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7.98%</w:t>
            </w:r>
          </w:p>
        </w:tc>
      </w:tr>
      <w:tr>
        <w:trPr>
          <w:trHeight w:val="191"/>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Fair value</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2,185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4,848</w:t>
            </w:r>
          </w:p>
        </w:tc>
      </w:tr>
      <w:tr>
        <w:trPr>
          <w:trHeight w:val="293"/>
        </w:trPr>
        <w:tc>
          <w:tcPr>
            <w:tcW w:w="55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jc w:val="right"/>
              <w:ind w:right="800"/>
              <w:spacing w:after="0"/>
              <w:rPr>
                <w:sz w:val="20"/>
                <w:szCs w:val="20"/>
                <w:color w:val="auto"/>
              </w:rPr>
            </w:pPr>
            <w:r>
              <w:rPr>
                <w:rFonts w:ascii="Arial" w:cs="Arial" w:eastAsia="Arial" w:hAnsi="Arial"/>
                <w:sz w:val="12"/>
                <w:szCs w:val="12"/>
                <w:color w:val="auto"/>
              </w:rPr>
              <w:t>73</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287" w:right="199" w:bottom="1440" w:gutter="0" w:footer="0" w:header="0"/>
        </w:sectPr>
      </w:pPr>
    </w:p>
    <w:bookmarkStart w:id="73" w:name="page74"/>
    <w:bookmarkEnd w:id="73"/>
    <w:p>
      <w:pPr>
        <w:spacing w:after="0"/>
        <w:rPr>
          <w:sz w:val="20"/>
          <w:szCs w:val="20"/>
          <w:color w:val="auto"/>
        </w:rPr>
      </w:pPr>
      <w:r>
        <w:rPr>
          <w:rFonts w:ascii="Arial" w:cs="Arial" w:eastAsia="Arial" w:hAnsi="Arial"/>
          <w:sz w:val="12"/>
          <w:szCs w:val="12"/>
          <w:b w:val="1"/>
          <w:bCs w:val="1"/>
          <w:color w:val="auto"/>
        </w:rPr>
        <w:t>FORWARD-LOOKING STATEMENTS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information included herein contains forward-looking statements that involve risks and uncertainties that could materially affect our expected results of operations, liquidity, cash flows and business prospects.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Such statements include those regarding our expectations as to our future:</w:t>
      </w:r>
    </w:p>
    <w:p>
      <w:pPr>
        <w:sectPr>
          <w:pgSz w:w="11900" w:h="16838" w:orient="portrait"/>
          <w:cols w:equalWidth="0" w:num="1">
            <w:col w:w="11460"/>
          </w:cols>
          <w:pgMar w:left="220" w:top="377" w:right="219" w:bottom="1440" w:gutter="0" w:footer="0" w:header="0"/>
        </w:sectPr>
      </w:pPr>
    </w:p>
    <w:p>
      <w:pPr>
        <w:spacing w:after="0" w:line="123" w:lineRule="exact"/>
        <w:rPr>
          <w:sz w:val="20"/>
          <w:szCs w:val="20"/>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financial position, liquidity, cash flows and results of operations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business prospects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transactions and projects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operating costs</w:t>
      </w:r>
    </w:p>
    <w:p>
      <w:pPr>
        <w:spacing w:after="0" w:line="6" w:lineRule="exact"/>
        <w:rPr>
          <w:rFonts w:ascii="Arial" w:cs="Arial" w:eastAsia="Arial" w:hAnsi="Arial"/>
          <w:sz w:val="12"/>
          <w:szCs w:val="12"/>
          <w:color w:val="auto"/>
        </w:rPr>
      </w:pPr>
    </w:p>
    <w:p>
      <w:pPr>
        <w:ind w:left="420" w:right="20" w:hanging="212"/>
        <w:spacing w:after="0" w:line="262" w:lineRule="auto"/>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Value Creation Index (VCI) metrics are based on certain estimates including future rates, costs and commodity prices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220" w:hanging="220"/>
        <w:spacing w:after="0"/>
        <w:tabs>
          <w:tab w:leader="none" w:pos="2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operations and operational results including production, hedging and capital investment</w:t>
      </w:r>
    </w:p>
    <w:p>
      <w:pPr>
        <w:spacing w:after="0" w:line="17" w:lineRule="exact"/>
        <w:rPr>
          <w:rFonts w:ascii="Arial" w:cs="Arial" w:eastAsia="Arial" w:hAnsi="Arial"/>
          <w:sz w:val="11"/>
          <w:szCs w:val="11"/>
          <w:color w:val="auto"/>
        </w:rPr>
      </w:pPr>
    </w:p>
    <w:p>
      <w:pPr>
        <w:ind w:left="220" w:hanging="220"/>
        <w:spacing w:after="0"/>
        <w:tabs>
          <w:tab w:leader="none" w:pos="2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budgets and maintenance capital requirements</w:t>
      </w:r>
    </w:p>
    <w:p>
      <w:pPr>
        <w:spacing w:after="0" w:line="6" w:lineRule="exact"/>
        <w:rPr>
          <w:rFonts w:ascii="Arial" w:cs="Arial" w:eastAsia="Arial" w:hAnsi="Arial"/>
          <w:sz w:val="12"/>
          <w:szCs w:val="12"/>
          <w:color w:val="auto"/>
        </w:rPr>
      </w:pPr>
    </w:p>
    <w:p>
      <w:pPr>
        <w:ind w:left="220" w:hanging="220"/>
        <w:spacing w:after="0"/>
        <w:tabs>
          <w:tab w:leader="none" w:pos="2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reserves</w:t>
      </w:r>
    </w:p>
    <w:p>
      <w:pPr>
        <w:spacing w:after="0" w:line="651" w:lineRule="exact"/>
        <w:rPr>
          <w:sz w:val="20"/>
          <w:szCs w:val="20"/>
          <w:color w:val="auto"/>
        </w:rPr>
      </w:pPr>
    </w:p>
    <w:p>
      <w:pPr>
        <w:sectPr>
          <w:pgSz w:w="11900" w:h="16838" w:orient="portrait"/>
          <w:cols w:equalWidth="0" w:num="2">
            <w:col w:w="5460" w:space="720"/>
            <w:col w:w="5280"/>
          </w:cols>
          <w:pgMar w:left="220" w:top="377" w:right="219" w:bottom="1440" w:gutter="0" w:footer="0" w:header="0"/>
          <w:type w:val="continuous"/>
        </w:sectPr>
      </w:pPr>
    </w:p>
    <w:p>
      <w:pPr>
        <w:spacing w:after="0" w:line="48" w:lineRule="exact"/>
        <w:rPr>
          <w:sz w:val="20"/>
          <w:szCs w:val="20"/>
          <w:color w:val="auto"/>
        </w:rPr>
      </w:pPr>
    </w:p>
    <w:p>
      <w:pPr>
        <w:jc w:val="both"/>
        <w:ind w:right="160" w:firstLine="216"/>
        <w:spacing w:after="0" w:line="256" w:lineRule="auto"/>
        <w:rPr>
          <w:sz w:val="20"/>
          <w:szCs w:val="20"/>
          <w:color w:val="auto"/>
        </w:rPr>
      </w:pPr>
      <w:r>
        <w:rPr>
          <w:rFonts w:ascii="Arial" w:cs="Arial" w:eastAsia="Arial" w:hAnsi="Arial"/>
          <w:sz w:val="12"/>
          <w:szCs w:val="12"/>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460"/>
          </w:cols>
          <w:pgMar w:left="220" w:top="377" w:right="219" w:bottom="1440" w:gutter="0" w:footer="0" w:header="0"/>
          <w:type w:val="continuous"/>
        </w:sectPr>
      </w:pPr>
    </w:p>
    <w:p>
      <w:pPr>
        <w:spacing w:after="0" w:line="108" w:lineRule="exact"/>
        <w:rPr>
          <w:sz w:val="20"/>
          <w:szCs w:val="20"/>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commodity price changes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debt limitations on our financial flexibility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insufficient cash flow to fund planned investment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inability to enter desirable transactions including acquisitions, asset sales and joint ventures</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unexpected geologic conditions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changes in business strategy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inability to replace reserves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20" w:hanging="220"/>
        <w:spacing w:after="0" w:line="250"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insufficient capital, including as a result of lender restrictions, unavailability of capital markets or inability to attract potential investors</w:t>
      </w:r>
    </w:p>
    <w:p>
      <w:pPr>
        <w:ind w:left="220" w:hanging="220"/>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inability to enter efficient hedges</w:t>
      </w:r>
    </w:p>
    <w:p>
      <w:pPr>
        <w:spacing w:after="0" w:line="6" w:lineRule="exact"/>
        <w:rPr>
          <w:rFonts w:ascii="Arial" w:cs="Arial" w:eastAsia="Arial" w:hAnsi="Arial"/>
          <w:sz w:val="12"/>
          <w:szCs w:val="12"/>
          <w:color w:val="auto"/>
        </w:rPr>
      </w:pPr>
    </w:p>
    <w:p>
      <w:pPr>
        <w:ind w:left="220" w:hanging="220"/>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equipment, service or labor price inflation or unavailability</w:t>
      </w:r>
    </w:p>
    <w:p>
      <w:pPr>
        <w:spacing w:after="0" w:line="6" w:lineRule="exact"/>
        <w:rPr>
          <w:rFonts w:ascii="Arial" w:cs="Arial" w:eastAsia="Arial" w:hAnsi="Arial"/>
          <w:sz w:val="12"/>
          <w:szCs w:val="12"/>
          <w:color w:val="auto"/>
        </w:rPr>
      </w:pPr>
    </w:p>
    <w:p>
      <w:pPr>
        <w:ind w:left="220" w:hanging="220"/>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availability or timing of, or conditions imposed on, permits and approvals</w:t>
      </w:r>
    </w:p>
    <w:p>
      <w:pPr>
        <w:spacing w:after="0" w:line="6" w:lineRule="exact"/>
        <w:rPr>
          <w:rFonts w:ascii="Arial" w:cs="Arial" w:eastAsia="Arial" w:hAnsi="Arial"/>
          <w:sz w:val="12"/>
          <w:szCs w:val="12"/>
          <w:color w:val="auto"/>
        </w:rPr>
      </w:pPr>
    </w:p>
    <w:p>
      <w:pPr>
        <w:ind w:left="220" w:right="560" w:hanging="220"/>
        <w:spacing w:after="0" w:line="250"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lower-than-expected production, reserves or resources from development projects or acquisitions or higher-than-expected decline rates</w:t>
      </w:r>
    </w:p>
    <w:p>
      <w:pPr>
        <w:ind w:left="220" w:right="60" w:hanging="220"/>
        <w:spacing w:after="0" w:line="250" w:lineRule="auto"/>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disruptions due to accidents, mechanical failures, transportation or storage constraints, natural disasters, labor difficulties, cyber attacks or other catastrophic events</w:t>
      </w:r>
    </w:p>
    <w:p>
      <w:pPr>
        <w:ind w:left="220" w:hanging="220"/>
        <w:spacing w:after="0"/>
        <w:tabs>
          <w:tab w:leader="none" w:pos="2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 xml:space="preserve">factors discussed in </w:t>
      </w:r>
      <w:r>
        <w:rPr>
          <w:rFonts w:ascii="Arial" w:cs="Arial" w:eastAsia="Arial" w:hAnsi="Arial"/>
          <w:sz w:val="12"/>
          <w:szCs w:val="12"/>
          <w:i w:val="1"/>
          <w:iCs w:val="1"/>
          <w:color w:val="auto"/>
        </w:rPr>
        <w:t>Item 1A – Risk Factors</w:t>
      </w:r>
      <w:r>
        <w:rPr>
          <w:rFonts w:ascii="Arial" w:cs="Arial" w:eastAsia="Arial" w:hAnsi="Arial"/>
          <w:sz w:val="12"/>
          <w:szCs w:val="12"/>
          <w:color w:val="auto"/>
        </w:rPr>
        <w:t>.</w:t>
      </w:r>
    </w:p>
    <w:p>
      <w:pPr>
        <w:spacing w:after="0" w:line="344" w:lineRule="exact"/>
        <w:rPr>
          <w:sz w:val="20"/>
          <w:szCs w:val="20"/>
          <w:color w:val="auto"/>
        </w:rPr>
      </w:pPr>
    </w:p>
    <w:p>
      <w:pPr>
        <w:sectPr>
          <w:pgSz w:w="11900" w:h="16838" w:orient="portrait"/>
          <w:cols w:equalWidth="0" w:num="2">
            <w:col w:w="5480" w:space="700"/>
            <w:col w:w="5280"/>
          </w:cols>
          <w:pgMar w:left="220" w:top="377" w:right="219" w:bottom="1440" w:gutter="0" w:footer="0" w:header="0"/>
          <w:type w:val="continuous"/>
        </w:sectPr>
      </w:pPr>
    </w:p>
    <w:p>
      <w:pPr>
        <w:spacing w:after="0" w:line="67" w:lineRule="exact"/>
        <w:rPr>
          <w:sz w:val="20"/>
          <w:szCs w:val="20"/>
          <w:color w:val="auto"/>
        </w:rPr>
      </w:pPr>
    </w:p>
    <w:p>
      <w:pPr>
        <w:ind w:right="140" w:firstLine="216"/>
        <w:spacing w:after="0" w:line="256" w:lineRule="auto"/>
        <w:rPr>
          <w:sz w:val="20"/>
          <w:szCs w:val="20"/>
          <w:color w:val="auto"/>
        </w:rPr>
      </w:pPr>
      <w:r>
        <w:rPr>
          <w:rFonts w:ascii="Arial" w:cs="Arial" w:eastAsia="Arial" w:hAnsi="Arial"/>
          <w:sz w:val="12"/>
          <w:szCs w:val="1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60"/>
          </w:cols>
          <w:pgMar w:left="220" w:top="377" w:right="219" w:bottom="1440" w:gutter="0" w:footer="0" w:header="0"/>
          <w:type w:val="continuous"/>
        </w:sectPr>
      </w:pPr>
    </w:p>
    <w:bookmarkStart w:id="74" w:name="page75"/>
    <w:bookmarkEnd w:id="74"/>
    <w:p>
      <w:pPr>
        <w:spacing w:after="0"/>
        <w:tabs>
          <w:tab w:leader="none" w:pos="72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California Resources Corporation: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Opinions on the Consolidated Financial Statements and Internal Control Over Financial Reporting</w:t>
      </w:r>
    </w:p>
    <w:p>
      <w:pPr>
        <w:spacing w:after="0" w:line="72"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 xml:space="preserve">We have audited the accompanying consolidated balance sheets of California Resources Corporation and subsidiaries (the Company) as of December 31, 2017 and 2016, the related consolidated statements of operations, comprehensive income, equity, and cash flows for each of the years in the three-year period ended December 31, 2017, and the related notes (collectively, the consolidated financial statements). We also have audited the Company’s internal control over financial reporting as of December 31, 2017,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w:t>
      </w:r>
    </w:p>
    <w:p>
      <w:pPr>
        <w:spacing w:after="0" w:line="109"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 xml:space="preserve">In our opinion, the consolidated financial statements referred to above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 Also in our opinion, the Company maintained, in all material respects, effective internal control over financial reporting as of December 31, 2017,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380"/>
        <w:spacing w:after="0" w:line="262"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40"/>
          </w:cols>
          <w:pgMar w:left="220" w:top="287" w:right="239" w:bottom="1440" w:gutter="0" w:footer="0" w:header="0"/>
        </w:sectPr>
      </w:pPr>
    </w:p>
    <w:bookmarkStart w:id="75" w:name="page76"/>
    <w:bookmarkEnd w:id="75"/>
    <w:p>
      <w:pPr>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320"/>
        <w:spacing w:after="0" w:line="26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/s/ KPMG LLP</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2014.</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26,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460"/>
          </w:cols>
          <w:pgMar w:left="220" w:top="289" w:right="219" w:bottom="1440" w:gutter="0" w:footer="0" w:header="0"/>
        </w:sectPr>
      </w:pPr>
    </w:p>
    <w:bookmarkStart w:id="76" w:name="page77"/>
    <w:bookmarkEnd w:id="76"/>
    <w:p>
      <w:pPr>
        <w:jc w:val="center"/>
        <w:spacing w:after="0"/>
        <w:rPr>
          <w:sz w:val="20"/>
          <w:szCs w:val="20"/>
          <w:color w:val="auto"/>
        </w:rPr>
      </w:pPr>
      <w:r>
        <w:rPr>
          <w:rFonts w:ascii="Arial" w:cs="Arial" w:eastAsia="Arial" w:hAnsi="Arial"/>
          <w:sz w:val="12"/>
          <w:szCs w:val="12"/>
          <w:b w:val="1"/>
          <w:bCs w:val="1"/>
          <w:color w:val="auto"/>
        </w:rPr>
        <w:t>CALIFORNIA RESOURCES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of December 31, 2017 and 2016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millions,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2017</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2016</w:t>
            </w:r>
          </w:p>
        </w:tc>
      </w:tr>
      <w:tr>
        <w:trPr>
          <w:trHeight w:val="174"/>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Cash</w:t>
            </w:r>
          </w:p>
        </w:tc>
        <w:tc>
          <w:tcPr>
            <w:tcW w:w="1100" w:type="dxa"/>
            <w:vAlign w:val="bottom"/>
          </w:tcPr>
          <w:p>
            <w:pPr>
              <w:jc w:val="right"/>
              <w:ind w:right="9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5"/>
                <w:szCs w:val="15"/>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12</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Trade receivables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232</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Inventories</w:t>
            </w:r>
          </w:p>
        </w:tc>
        <w:tc>
          <w:tcPr>
            <w:tcW w:w="110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58</w:t>
            </w:r>
          </w:p>
        </w:tc>
      </w:tr>
      <w:tr>
        <w:trPr>
          <w:trHeight w:val="180"/>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 net</w:t>
            </w: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123</w:t>
            </w:r>
          </w:p>
        </w:tc>
      </w:tr>
      <w:tr>
        <w:trPr>
          <w:trHeight w:val="160"/>
        </w:trPr>
        <w:tc>
          <w:tcPr>
            <w:tcW w:w="7820" w:type="dxa"/>
            <w:vAlign w:val="bottom"/>
          </w:tcPr>
          <w:p>
            <w:pPr>
              <w:ind w:left="460"/>
              <w:spacing w:after="0"/>
              <w:rPr>
                <w:sz w:val="20"/>
                <w:szCs w:val="20"/>
                <w:color w:val="auto"/>
              </w:rPr>
            </w:pPr>
            <w:r>
              <w:rPr>
                <w:rFonts w:ascii="Arial" w:cs="Arial" w:eastAsia="Arial" w:hAnsi="Arial"/>
                <w:sz w:val="12"/>
                <w:szCs w:val="12"/>
                <w:color w:val="auto"/>
              </w:rPr>
              <w:t>Total current assets</w:t>
            </w:r>
          </w:p>
        </w:tc>
        <w:tc>
          <w:tcPr>
            <w:tcW w:w="1100" w:type="dxa"/>
            <w:vAlign w:val="bottom"/>
          </w:tcPr>
          <w:p>
            <w:pPr>
              <w:spacing w:after="0"/>
              <w:rPr>
                <w:sz w:val="13"/>
                <w:szCs w:val="13"/>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483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425</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PROPERTY, PLANT AND EQUIPMENT</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21,260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20,915</w:t>
            </w:r>
          </w:p>
        </w:tc>
      </w:tr>
      <w:tr>
        <w:trPr>
          <w:trHeight w:val="176"/>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Accumulated depreciation, depletion and amortization</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(15,564)</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(15,030)</w:t>
            </w:r>
          </w:p>
        </w:tc>
      </w:tr>
      <w:tr>
        <w:trPr>
          <w:trHeight w:val="16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property, plant, equipment, net</w:t>
            </w: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5,696</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5,885</w:t>
            </w:r>
          </w:p>
        </w:tc>
      </w:tr>
      <w:tr>
        <w:trPr>
          <w:trHeight w:val="17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OTHER ASSETS</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w:t>
            </w:r>
          </w:p>
        </w:tc>
      </w:tr>
      <w:tr>
        <w:trPr>
          <w:trHeight w:val="17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1100" w:type="dxa"/>
            <w:vAlign w:val="bottom"/>
            <w:tcBorders>
              <w:bottom w:val="single" w:sz="8" w:color="auto"/>
            </w:tcBorders>
            <w:shd w:val="clear" w:color="auto" w:fill="CCEEFF"/>
          </w:tcPr>
          <w:p>
            <w:pPr>
              <w:jc w:val="right"/>
              <w:ind w:right="9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6,207</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6,354</w:t>
            </w:r>
          </w:p>
        </w:tc>
      </w:tr>
      <w:tr>
        <w:trPr>
          <w:trHeight w:val="90"/>
        </w:trPr>
        <w:tc>
          <w:tcPr>
            <w:tcW w:w="7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tcPr>
          <w:p>
            <w:pPr>
              <w:spacing w:after="0"/>
              <w:rPr>
                <w:sz w:val="7"/>
                <w:szCs w:val="7"/>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Current maturities of long-term debt</w:t>
            </w:r>
          </w:p>
        </w:tc>
        <w:tc>
          <w:tcPr>
            <w:tcW w:w="1100" w:type="dxa"/>
            <w:vAlign w:val="bottom"/>
          </w:tcPr>
          <w:p>
            <w:pPr>
              <w:jc w:val="right"/>
              <w:ind w:right="960"/>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100</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219</w:t>
            </w:r>
          </w:p>
        </w:tc>
      </w:tr>
      <w:tr>
        <w:trPr>
          <w:trHeight w:val="176"/>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Accrued liabilities</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475</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407</w:t>
            </w:r>
          </w:p>
        </w:tc>
      </w:tr>
      <w:tr>
        <w:trPr>
          <w:trHeight w:val="16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726</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LONG-TERM DEBT - PRINCIPAL AMOUNT</w:t>
            </w:r>
          </w:p>
        </w:tc>
        <w:tc>
          <w:tcPr>
            <w:tcW w:w="110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5,306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5,168</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DEFERRED GAIN AND ISSUANCE COSTS, NET</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397</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OTHER LONG-TERM LIABILITIES</w:t>
            </w:r>
          </w:p>
        </w:tc>
        <w:tc>
          <w:tcPr>
            <w:tcW w:w="110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602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620</w:t>
            </w:r>
          </w:p>
        </w:tc>
      </w:tr>
      <w:tr>
        <w:trPr>
          <w:trHeight w:val="194"/>
        </w:trPr>
        <w:tc>
          <w:tcPr>
            <w:tcW w:w="78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EQUITY</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Preferred stock (20 million shares authorized at $0.01 par value) no shares outstanding at December 31, 2017 or 2016</w:t>
            </w:r>
          </w:p>
        </w:tc>
        <w:tc>
          <w:tcPr>
            <w:tcW w:w="1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7820" w:type="dxa"/>
            <w:vAlign w:val="bottom"/>
          </w:tcPr>
          <w:p>
            <w:pPr>
              <w:ind w:left="240"/>
              <w:spacing w:after="0"/>
              <w:rPr>
                <w:sz w:val="20"/>
                <w:szCs w:val="20"/>
                <w:color w:val="auto"/>
              </w:rPr>
            </w:pPr>
            <w:r>
              <w:rPr>
                <w:rFonts w:ascii="Arial" w:cs="Arial" w:eastAsia="Arial" w:hAnsi="Arial"/>
                <w:sz w:val="12"/>
                <w:szCs w:val="12"/>
                <w:color w:val="auto"/>
              </w:rPr>
              <w:t>Common stock (200 million shares authorized at $0.01 par value)</w:t>
            </w: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49"/>
        </w:trPr>
        <w:tc>
          <w:tcPr>
            <w:tcW w:w="7820" w:type="dxa"/>
            <w:vAlign w:val="bottom"/>
          </w:tcPr>
          <w:p>
            <w:pPr>
              <w:ind w:left="420"/>
              <w:spacing w:after="0"/>
              <w:rPr>
                <w:sz w:val="20"/>
                <w:szCs w:val="20"/>
                <w:color w:val="auto"/>
              </w:rPr>
            </w:pPr>
            <w:r>
              <w:rPr>
                <w:rFonts w:ascii="Arial" w:cs="Arial" w:eastAsia="Arial" w:hAnsi="Arial"/>
                <w:sz w:val="12"/>
                <w:szCs w:val="12"/>
                <w:color w:val="auto"/>
              </w:rPr>
              <w:t>outstanding shares (2017 — 42,901,946 shares and 2016 — 42,542,637 shares)</w:t>
            </w:r>
          </w:p>
        </w:tc>
        <w:tc>
          <w:tcPr>
            <w:tcW w:w="1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4,879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4,861</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Accumulated deficit</w:t>
            </w:r>
          </w:p>
        </w:tc>
        <w:tc>
          <w:tcPr>
            <w:tcW w:w="1100" w:type="dxa"/>
            <w:vAlign w:val="bottom"/>
          </w:tcPr>
          <w:p>
            <w:pPr>
              <w:spacing w:after="0"/>
              <w:rPr>
                <w:sz w:val="15"/>
                <w:szCs w:val="15"/>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(5,670)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(5,404)</w:t>
            </w:r>
          </w:p>
        </w:tc>
      </w:tr>
      <w:tr>
        <w:trPr>
          <w:trHeight w:val="180"/>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loss</w:t>
            </w: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r>
      <w:tr>
        <w:trPr>
          <w:trHeight w:val="160"/>
        </w:trPr>
        <w:tc>
          <w:tcPr>
            <w:tcW w:w="7820" w:type="dxa"/>
            <w:vAlign w:val="bottom"/>
          </w:tcPr>
          <w:p>
            <w:pPr>
              <w:ind w:left="460"/>
              <w:spacing w:after="0"/>
              <w:rPr>
                <w:sz w:val="20"/>
                <w:szCs w:val="20"/>
                <w:color w:val="auto"/>
              </w:rPr>
            </w:pPr>
            <w:r>
              <w:rPr>
                <w:rFonts w:ascii="Arial" w:cs="Arial" w:eastAsia="Arial" w:hAnsi="Arial"/>
                <w:sz w:val="12"/>
                <w:szCs w:val="12"/>
                <w:color w:val="auto"/>
              </w:rPr>
              <w:t>Total equity attributable to common stock</w:t>
            </w:r>
          </w:p>
        </w:tc>
        <w:tc>
          <w:tcPr>
            <w:tcW w:w="11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(814)</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(557)</w:t>
            </w:r>
          </w:p>
        </w:tc>
      </w:tr>
      <w:tr>
        <w:trPr>
          <w:trHeight w:val="180"/>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Noncontrolling interest</w:t>
            </w: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equity</w:t>
            </w: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(720)</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(557)</w:t>
            </w:r>
          </w:p>
        </w:tc>
      </w:tr>
      <w:tr>
        <w:trPr>
          <w:trHeight w:val="17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1100" w:type="dxa"/>
            <w:vAlign w:val="bottom"/>
            <w:tcBorders>
              <w:bottom w:val="single" w:sz="8" w:color="auto"/>
            </w:tcBorders>
            <w:shd w:val="clear" w:color="auto" w:fill="CCEEFF"/>
          </w:tcPr>
          <w:p>
            <w:pPr>
              <w:jc w:val="right"/>
              <w:ind w:right="9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6,207</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6,354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80"/>
          </w:cols>
          <w:pgMar w:left="220" w:top="287" w:right="19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2"/>
          <w:szCs w:val="12"/>
          <w:b w:val="1"/>
          <w:bCs w:val="1"/>
          <w:color w:val="auto"/>
        </w:rPr>
        <w:t>CALIFORNIA RESOURCES CORPORATION AND SUBSIDIARIES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years ended December 31, 2017, 2016 and 2015</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 except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00" w:type="dxa"/>
            <w:vAlign w:val="bottom"/>
          </w:tcPr>
          <w:p>
            <w:pPr>
              <w:spacing w:after="0"/>
              <w:rPr>
                <w:sz w:val="14"/>
                <w:szCs w:val="14"/>
                <w:color w:val="auto"/>
              </w:rPr>
            </w:pPr>
          </w:p>
        </w:tc>
        <w:tc>
          <w:tcPr>
            <w:tcW w:w="38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80"/>
              <w:spacing w:after="0"/>
              <w:rPr>
                <w:sz w:val="20"/>
                <w:szCs w:val="20"/>
                <w:color w:val="auto"/>
              </w:rPr>
            </w:pPr>
            <w:r>
              <w:rPr>
                <w:rFonts w:ascii="Arial" w:cs="Arial" w:eastAsia="Arial" w:hAnsi="Arial"/>
                <w:sz w:val="12"/>
                <w:szCs w:val="12"/>
                <w:b w:val="1"/>
                <w:bCs w:val="1"/>
                <w:color w:val="auto"/>
              </w:rPr>
              <w:t>2015</w:t>
            </w:r>
          </w:p>
        </w:tc>
      </w:tr>
      <w:tr>
        <w:trPr>
          <w:trHeight w:val="178"/>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REVENUES AND OTHER</w:t>
            </w:r>
          </w:p>
        </w:tc>
        <w:tc>
          <w:tcPr>
            <w:tcW w:w="3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76"/>
        </w:trPr>
        <w:tc>
          <w:tcPr>
            <w:tcW w:w="4700" w:type="dxa"/>
            <w:vAlign w:val="bottom"/>
          </w:tcPr>
          <w:p>
            <w:pPr>
              <w:ind w:left="240"/>
              <w:spacing w:after="0"/>
              <w:rPr>
                <w:sz w:val="20"/>
                <w:szCs w:val="20"/>
                <w:color w:val="auto"/>
              </w:rPr>
            </w:pPr>
            <w:r>
              <w:rPr>
                <w:rFonts w:ascii="Arial" w:cs="Arial" w:eastAsia="Arial" w:hAnsi="Arial"/>
                <w:sz w:val="12"/>
                <w:szCs w:val="12"/>
                <w:color w:val="auto"/>
              </w:rPr>
              <w:t>Oil and gas net sales</w:t>
            </w:r>
          </w:p>
        </w:tc>
        <w:tc>
          <w:tcPr>
            <w:tcW w:w="3840" w:type="dxa"/>
            <w:vAlign w:val="bottom"/>
            <w:gridSpan w:val="2"/>
          </w:tcPr>
          <w:p>
            <w:pPr>
              <w:jc w:val="right"/>
              <w:ind w:right="64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w w:val="99"/>
              </w:rPr>
              <w:t>1,936</w:t>
            </w:r>
          </w:p>
        </w:tc>
        <w:tc>
          <w:tcPr>
            <w:tcW w:w="100" w:type="dxa"/>
            <w:vAlign w:val="bottom"/>
          </w:tcPr>
          <w:p>
            <w:pPr>
              <w:spacing w:after="0"/>
              <w:rPr>
                <w:sz w:val="15"/>
                <w:szCs w:val="15"/>
                <w:color w:val="auto"/>
              </w:rPr>
            </w:pPr>
          </w:p>
        </w:tc>
        <w:tc>
          <w:tcPr>
            <w:tcW w:w="720" w:type="dxa"/>
            <w:vAlign w:val="bottom"/>
          </w:tcPr>
          <w:p>
            <w:pPr>
              <w:jc w:val="right"/>
              <w:ind w:right="56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w w:val="99"/>
              </w:rPr>
              <w:t>1,621</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2,134</w:t>
            </w:r>
          </w:p>
        </w:tc>
      </w:tr>
      <w:tr>
        <w:trPr>
          <w:trHeight w:val="185"/>
        </w:trPr>
        <w:tc>
          <w:tcPr>
            <w:tcW w:w="4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derivative (losses) gains</w:t>
            </w:r>
          </w:p>
        </w:tc>
        <w:tc>
          <w:tcPr>
            <w:tcW w:w="3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133</w:t>
            </w:r>
          </w:p>
        </w:tc>
      </w:tr>
      <w:tr>
        <w:trPr>
          <w:trHeight w:val="176"/>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revenue</w:t>
            </w:r>
          </w:p>
        </w:tc>
        <w:tc>
          <w:tcPr>
            <w:tcW w:w="3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160</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136</w:t>
            </w:r>
          </w:p>
        </w:tc>
      </w:tr>
      <w:tr>
        <w:trPr>
          <w:trHeight w:val="160"/>
        </w:trPr>
        <w:tc>
          <w:tcPr>
            <w:tcW w:w="47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revenues and other</w:t>
            </w:r>
          </w:p>
        </w:tc>
        <w:tc>
          <w:tcPr>
            <w:tcW w:w="31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2,006</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1,547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2,403</w:t>
            </w:r>
          </w:p>
        </w:tc>
      </w:tr>
      <w:tr>
        <w:trPr>
          <w:trHeight w:val="183"/>
        </w:trPr>
        <w:tc>
          <w:tcPr>
            <w:tcW w:w="4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COSTS AND OTHER</w:t>
            </w:r>
          </w:p>
        </w:tc>
        <w:tc>
          <w:tcPr>
            <w:tcW w:w="3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6"/>
        </w:trPr>
        <w:tc>
          <w:tcPr>
            <w:tcW w:w="4700" w:type="dxa"/>
            <w:vAlign w:val="bottom"/>
          </w:tcPr>
          <w:p>
            <w:pPr>
              <w:ind w:left="240"/>
              <w:spacing w:after="0"/>
              <w:rPr>
                <w:sz w:val="20"/>
                <w:szCs w:val="20"/>
                <w:color w:val="auto"/>
              </w:rPr>
            </w:pPr>
            <w:r>
              <w:rPr>
                <w:rFonts w:ascii="Arial" w:cs="Arial" w:eastAsia="Arial" w:hAnsi="Arial"/>
                <w:sz w:val="12"/>
                <w:szCs w:val="12"/>
                <w:color w:val="auto"/>
              </w:rPr>
              <w:t>Production costs</w:t>
            </w: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876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951</w:t>
            </w:r>
          </w:p>
        </w:tc>
      </w:tr>
      <w:tr>
        <w:trPr>
          <w:trHeight w:val="185"/>
        </w:trPr>
        <w:tc>
          <w:tcPr>
            <w:tcW w:w="4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 expenses</w:t>
            </w:r>
          </w:p>
        </w:tc>
        <w:tc>
          <w:tcPr>
            <w:tcW w:w="3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354</w:t>
            </w:r>
          </w:p>
        </w:tc>
      </w:tr>
      <w:tr>
        <w:trPr>
          <w:trHeight w:val="176"/>
        </w:trPr>
        <w:tc>
          <w:tcPr>
            <w:tcW w:w="4700" w:type="dxa"/>
            <w:vAlign w:val="bottom"/>
          </w:tcPr>
          <w:p>
            <w:pPr>
              <w:ind w:left="240"/>
              <w:spacing w:after="0"/>
              <w:rPr>
                <w:sz w:val="20"/>
                <w:szCs w:val="20"/>
                <w:color w:val="auto"/>
              </w:rPr>
            </w:pPr>
            <w:r>
              <w:rPr>
                <w:rFonts w:ascii="Arial" w:cs="Arial" w:eastAsia="Arial" w:hAnsi="Arial"/>
                <w:sz w:val="12"/>
                <w:szCs w:val="12"/>
                <w:color w:val="auto"/>
              </w:rPr>
              <w:t>Depreciation, depletion and amortization</w:t>
            </w: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544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559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1,004</w:t>
            </w:r>
          </w:p>
        </w:tc>
      </w:tr>
      <w:tr>
        <w:trPr>
          <w:trHeight w:val="185"/>
        </w:trPr>
        <w:tc>
          <w:tcPr>
            <w:tcW w:w="4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Asset impairments</w:t>
            </w:r>
          </w:p>
        </w:tc>
        <w:tc>
          <w:tcPr>
            <w:tcW w:w="3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4,852</w:t>
            </w:r>
          </w:p>
        </w:tc>
      </w:tr>
      <w:tr>
        <w:trPr>
          <w:trHeight w:val="176"/>
        </w:trPr>
        <w:tc>
          <w:tcPr>
            <w:tcW w:w="4700" w:type="dxa"/>
            <w:vAlign w:val="bottom"/>
          </w:tcPr>
          <w:p>
            <w:pPr>
              <w:ind w:left="240"/>
              <w:spacing w:after="0"/>
              <w:rPr>
                <w:sz w:val="20"/>
                <w:szCs w:val="20"/>
                <w:color w:val="auto"/>
              </w:rPr>
            </w:pPr>
            <w:r>
              <w:rPr>
                <w:rFonts w:ascii="Arial" w:cs="Arial" w:eastAsia="Arial" w:hAnsi="Arial"/>
                <w:sz w:val="12"/>
                <w:szCs w:val="12"/>
                <w:color w:val="auto"/>
              </w:rPr>
              <w:t>Taxes other than on income</w:t>
            </w: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180</w:t>
            </w:r>
          </w:p>
        </w:tc>
      </w:tr>
      <w:tr>
        <w:trPr>
          <w:trHeight w:val="185"/>
        </w:trPr>
        <w:tc>
          <w:tcPr>
            <w:tcW w:w="4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Exploration expense</w:t>
            </w:r>
          </w:p>
        </w:tc>
        <w:tc>
          <w:tcPr>
            <w:tcW w:w="3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w:t>
            </w:r>
          </w:p>
        </w:tc>
      </w:tr>
      <w:tr>
        <w:trPr>
          <w:trHeight w:val="176"/>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Other expenses, net</w:t>
            </w:r>
          </w:p>
        </w:tc>
        <w:tc>
          <w:tcPr>
            <w:tcW w:w="3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106</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168</w:t>
            </w:r>
          </w:p>
        </w:tc>
      </w:tr>
      <w:tr>
        <w:trPr>
          <w:trHeight w:val="165"/>
        </w:trPr>
        <w:tc>
          <w:tcPr>
            <w:tcW w:w="47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costs and other</w:t>
            </w:r>
          </w:p>
        </w:tc>
        <w:tc>
          <w:tcPr>
            <w:tcW w:w="3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1,943</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1,853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7,545</w:t>
            </w:r>
          </w:p>
        </w:tc>
      </w:tr>
      <w:tr>
        <w:trPr>
          <w:trHeight w:val="156"/>
        </w:trPr>
        <w:tc>
          <w:tcPr>
            <w:tcW w:w="4700" w:type="dxa"/>
            <w:vAlign w:val="bottom"/>
          </w:tcPr>
          <w:p>
            <w:pPr>
              <w:ind w:left="20"/>
              <w:spacing w:after="0"/>
              <w:rPr>
                <w:sz w:val="20"/>
                <w:szCs w:val="20"/>
                <w:color w:val="auto"/>
              </w:rPr>
            </w:pPr>
            <w:r>
              <w:rPr>
                <w:rFonts w:ascii="Arial" w:cs="Arial" w:eastAsia="Arial" w:hAnsi="Arial"/>
                <w:sz w:val="12"/>
                <w:szCs w:val="12"/>
                <w:b w:val="1"/>
                <w:bCs w:val="1"/>
                <w:color w:val="auto"/>
              </w:rPr>
              <w:t>OPERATING INCOME (LOSS)</w:t>
            </w:r>
          </w:p>
        </w:tc>
        <w:tc>
          <w:tcPr>
            <w:tcW w:w="3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(306)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(5,142)</w:t>
            </w:r>
          </w:p>
        </w:tc>
      </w:tr>
      <w:tr>
        <w:trPr>
          <w:trHeight w:val="194"/>
        </w:trPr>
        <w:tc>
          <w:tcPr>
            <w:tcW w:w="470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b w:val="1"/>
                <w:bCs w:val="1"/>
                <w:color w:val="auto"/>
              </w:rPr>
              <w:t>NON-OPERATING (LOSS) INCOME</w:t>
            </w: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4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and debt expense, net</w:t>
            </w:r>
          </w:p>
        </w:tc>
        <w:tc>
          <w:tcPr>
            <w:tcW w:w="3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(326)</w:t>
            </w:r>
          </w:p>
        </w:tc>
      </w:tr>
      <w:tr>
        <w:trPr>
          <w:trHeight w:val="176"/>
        </w:trPr>
        <w:tc>
          <w:tcPr>
            <w:tcW w:w="4700" w:type="dxa"/>
            <w:vAlign w:val="bottom"/>
          </w:tcPr>
          <w:p>
            <w:pPr>
              <w:ind w:left="240"/>
              <w:spacing w:after="0"/>
              <w:rPr>
                <w:sz w:val="20"/>
                <w:szCs w:val="20"/>
                <w:color w:val="auto"/>
              </w:rPr>
            </w:pPr>
            <w:r>
              <w:rPr>
                <w:rFonts w:ascii="Arial" w:cs="Arial" w:eastAsia="Arial" w:hAnsi="Arial"/>
                <w:sz w:val="12"/>
                <w:szCs w:val="12"/>
                <w:color w:val="auto"/>
              </w:rPr>
              <w:t>Net gains on early extinguishment of debt</w:t>
            </w: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805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20</w:t>
            </w:r>
          </w:p>
        </w:tc>
      </w:tr>
      <w:tr>
        <w:trPr>
          <w:trHeight w:val="185"/>
        </w:trPr>
        <w:tc>
          <w:tcPr>
            <w:tcW w:w="4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Gains on asset divestitures</w:t>
            </w:r>
          </w:p>
        </w:tc>
        <w:tc>
          <w:tcPr>
            <w:tcW w:w="3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Pr>
          <w:p>
            <w:pPr>
              <w:ind w:left="240"/>
              <w:spacing w:after="0"/>
              <w:rPr>
                <w:sz w:val="20"/>
                <w:szCs w:val="20"/>
                <w:color w:val="auto"/>
              </w:rPr>
            </w:pPr>
            <w:r>
              <w:rPr>
                <w:rFonts w:ascii="Arial" w:cs="Arial" w:eastAsia="Arial" w:hAnsi="Arial"/>
                <w:sz w:val="12"/>
                <w:szCs w:val="12"/>
                <w:color w:val="auto"/>
              </w:rPr>
              <w:t>Other non-operating expense</w:t>
            </w: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(28)</w:t>
            </w:r>
          </w:p>
        </w:tc>
      </w:tr>
      <w:tr>
        <w:trPr>
          <w:trHeight w:val="165"/>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(LOSS) INCOME BEFORE INCOME TAXES</w:t>
            </w:r>
          </w:p>
        </w:tc>
        <w:tc>
          <w:tcPr>
            <w:tcW w:w="3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(5,476)</w:t>
            </w: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Income tax benefit</w:t>
            </w:r>
          </w:p>
        </w:tc>
        <w:tc>
          <w:tcPr>
            <w:tcW w:w="3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1,922</w:t>
            </w:r>
          </w:p>
        </w:tc>
      </w:tr>
      <w:tr>
        <w:trPr>
          <w:trHeight w:val="165"/>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w:t>
            </w:r>
          </w:p>
        </w:tc>
        <w:tc>
          <w:tcPr>
            <w:tcW w:w="3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(3,554)</w:t>
            </w:r>
          </w:p>
        </w:tc>
      </w:tr>
      <w:tr>
        <w:trPr>
          <w:trHeight w:val="17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attributable to noncontrolling interest</w:t>
            </w:r>
          </w:p>
        </w:tc>
        <w:tc>
          <w:tcPr>
            <w:tcW w:w="3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ATTRIBUTABLE TO COMMON STOCK</w:t>
            </w:r>
          </w:p>
        </w:tc>
        <w:tc>
          <w:tcPr>
            <w:tcW w:w="38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(3,554)</w:t>
            </w:r>
          </w:p>
        </w:tc>
      </w:tr>
      <w:tr>
        <w:trPr>
          <w:trHeight w:val="189"/>
        </w:trPr>
        <w:tc>
          <w:tcPr>
            <w:tcW w:w="4700" w:type="dxa"/>
            <w:vAlign w:val="bottom"/>
            <w:tcBorders>
              <w:top w:val="single" w:sz="8" w:color="CCEEFF"/>
            </w:tcBorders>
          </w:tcPr>
          <w:p>
            <w:pPr>
              <w:spacing w:after="0"/>
              <w:rPr>
                <w:sz w:val="16"/>
                <w:szCs w:val="16"/>
                <w:color w:val="auto"/>
              </w:rPr>
            </w:pPr>
          </w:p>
        </w:tc>
        <w:tc>
          <w:tcPr>
            <w:tcW w:w="31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attributable to common stock per share</w:t>
            </w:r>
          </w:p>
        </w:tc>
        <w:tc>
          <w:tcPr>
            <w:tcW w:w="3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Basic and diluted</w:t>
            </w:r>
          </w:p>
        </w:tc>
        <w:tc>
          <w:tcPr>
            <w:tcW w:w="3840" w:type="dxa"/>
            <w:vAlign w:val="bottom"/>
            <w:gridSpan w:val="2"/>
          </w:tcPr>
          <w:p>
            <w:pPr>
              <w:jc w:val="right"/>
              <w:ind w:right="64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(6.26)</w:t>
            </w:r>
          </w:p>
        </w:tc>
        <w:tc>
          <w:tcPr>
            <w:tcW w:w="100" w:type="dxa"/>
            <w:vAlign w:val="bottom"/>
          </w:tcPr>
          <w:p>
            <w:pPr>
              <w:spacing w:after="0"/>
              <w:rPr>
                <w:sz w:val="15"/>
                <w:szCs w:val="15"/>
                <w:color w:val="auto"/>
              </w:rPr>
            </w:pPr>
          </w:p>
        </w:tc>
        <w:tc>
          <w:tcPr>
            <w:tcW w:w="720" w:type="dxa"/>
            <w:vAlign w:val="bottom"/>
          </w:tcPr>
          <w:p>
            <w:pPr>
              <w:jc w:val="right"/>
              <w:ind w:right="56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6.76</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(92.79)</w:t>
            </w:r>
          </w:p>
        </w:tc>
      </w:tr>
      <w:tr>
        <w:trPr>
          <w:trHeight w:val="194"/>
        </w:trPr>
        <w:tc>
          <w:tcPr>
            <w:tcW w:w="470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2"/>
                <w:szCs w:val="12"/>
                <w:color w:val="auto"/>
              </w:rPr>
              <w:t>Dividends per common share</w:t>
            </w:r>
          </w:p>
        </w:tc>
        <w:tc>
          <w:tcPr>
            <w:tcW w:w="3840" w:type="dxa"/>
            <w:vAlign w:val="bottom"/>
            <w:gridSpan w:val="2"/>
          </w:tcPr>
          <w:p>
            <w:pPr>
              <w:jc w:val="right"/>
              <w:ind w:right="6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56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0.30</w:t>
            </w:r>
          </w:p>
        </w:tc>
      </w:tr>
      <w:tr>
        <w:trPr>
          <w:trHeight w:val="289"/>
        </w:trPr>
        <w:tc>
          <w:tcPr>
            <w:tcW w:w="4700" w:type="dxa"/>
            <w:vAlign w:val="bottom"/>
          </w:tcPr>
          <w:p>
            <w:pPr>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2"/>
        </w:trPr>
        <w:tc>
          <w:tcPr>
            <w:tcW w:w="4700" w:type="dxa"/>
            <w:vAlign w:val="bottom"/>
          </w:tcPr>
          <w:p>
            <w:pPr>
              <w:spacing w:after="0"/>
              <w:rPr>
                <w:sz w:val="21"/>
                <w:szCs w:val="21"/>
                <w:color w:val="auto"/>
              </w:rPr>
            </w:pPr>
          </w:p>
        </w:tc>
        <w:tc>
          <w:tcPr>
            <w:tcW w:w="3120" w:type="dxa"/>
            <w:vAlign w:val="bottom"/>
          </w:tcPr>
          <w:p>
            <w:pPr>
              <w:jc w:val="right"/>
              <w:ind w:right="1960"/>
              <w:spacing w:after="0"/>
              <w:rPr>
                <w:sz w:val="20"/>
                <w:szCs w:val="20"/>
                <w:color w:val="auto"/>
              </w:rPr>
            </w:pPr>
            <w:r>
              <w:rPr>
                <w:rFonts w:ascii="Arial" w:cs="Arial" w:eastAsia="Arial" w:hAnsi="Arial"/>
                <w:sz w:val="12"/>
                <w:szCs w:val="12"/>
                <w:color w:val="auto"/>
              </w:rPr>
              <w:t>78</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ectPr>
          <w:pgSz w:w="11900" w:h="16838" w:orient="portrait"/>
          <w:cols w:equalWidth="0" w:num="1">
            <w:col w:w="11480"/>
          </w:cols>
          <w:pgMar w:left="220" w:top="287" w:right="199" w:bottom="1440" w:gutter="0" w:footer="0" w:header="0"/>
        </w:sectPr>
      </w:pPr>
    </w:p>
    <w:bookmarkStart w:id="78" w:name="page79"/>
    <w:bookmarkEnd w:id="78"/>
    <w:p>
      <w:pPr>
        <w:jc w:val="center"/>
        <w:spacing w:after="0"/>
        <w:rPr>
          <w:sz w:val="20"/>
          <w:szCs w:val="20"/>
          <w:color w:val="auto"/>
        </w:rPr>
      </w:pPr>
      <w:r>
        <w:rPr>
          <w:rFonts w:ascii="Arial" w:cs="Arial" w:eastAsia="Arial" w:hAnsi="Arial"/>
          <w:sz w:val="12"/>
          <w:szCs w:val="12"/>
          <w:b w:val="1"/>
          <w:bCs w:val="1"/>
          <w:color w:val="auto"/>
        </w:rPr>
        <w:t>CALIFORNIA RESOURCES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years ended December 31, 2017, 2016 and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2015</w:t>
            </w:r>
          </w:p>
        </w:tc>
      </w:tr>
      <w:tr>
        <w:trPr>
          <w:trHeight w:val="169"/>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w:t>
            </w: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(262)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(3,554)</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Other comprehensive (loss) income items:</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Pension and postretirement losses</w:t>
            </w:r>
            <w:r>
              <w:rPr>
                <w:rFonts w:ascii="Arial" w:cs="Arial" w:eastAsia="Arial" w:hAnsi="Arial"/>
                <w:sz w:val="14"/>
                <w:szCs w:val="14"/>
                <w:color w:val="auto"/>
                <w:vertAlign w:val="superscript"/>
              </w:rPr>
              <w:t>(a)</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(2)</w:t>
            </w:r>
          </w:p>
        </w:tc>
      </w:tr>
      <w:tr>
        <w:trPr>
          <w:trHeight w:val="180"/>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Reclassification to income of realized losses on pension and postretirement</w:t>
            </w:r>
            <w:r>
              <w:rPr>
                <w:rFonts w:ascii="Arial" w:cs="Arial" w:eastAsia="Arial" w:hAnsi="Arial"/>
                <w:sz w:val="14"/>
                <w:szCs w:val="14"/>
                <w:color w:val="auto"/>
                <w:vertAlign w:val="superscript"/>
              </w:rPr>
              <w:t>(b)</w:t>
            </w: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11</w:t>
            </w:r>
          </w:p>
        </w:tc>
      </w:tr>
      <w:tr>
        <w:trPr>
          <w:trHeight w:val="160"/>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comprehensive income, net of tax</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Comprehensive income attributable to noncontrolling interest</w:t>
            </w:r>
          </w:p>
        </w:tc>
        <w:tc>
          <w:tcPr>
            <w:tcW w:w="74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Comprehensive (loss) income attributable to common stock</w:t>
            </w: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(271)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280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(3,545)</w:t>
            </w:r>
          </w:p>
        </w:tc>
      </w:tr>
    </w:tbl>
    <w:p>
      <w:pPr>
        <w:ind w:left="260" w:hanging="214"/>
        <w:spacing w:after="0" w:line="232" w:lineRule="auto"/>
        <w:tabs>
          <w:tab w:leader="none" w:pos="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 xml:space="preserve">No associated tax for 2017 and 2016. Net of tax of $1 million for 2015. See </w:t>
      </w:r>
      <w:r>
        <w:rPr>
          <w:rFonts w:ascii="Arial" w:cs="Arial" w:eastAsia="Arial" w:hAnsi="Arial"/>
          <w:sz w:val="10"/>
          <w:szCs w:val="10"/>
          <w:i w:val="1"/>
          <w:iCs w:val="1"/>
          <w:color w:val="auto"/>
        </w:rPr>
        <w:t>Note 13 Pension and Postretirement Benefit Plans</w:t>
      </w:r>
      <w:r>
        <w:rPr>
          <w:rFonts w:ascii="Arial" w:cs="Arial" w:eastAsia="Arial" w:hAnsi="Arial"/>
          <w:sz w:val="10"/>
          <w:szCs w:val="10"/>
          <w:color w:val="auto"/>
        </w:rPr>
        <w:t>, for additional information.</w:t>
      </w:r>
    </w:p>
    <w:p>
      <w:pPr>
        <w:ind w:left="260" w:hanging="214"/>
        <w:spacing w:after="0"/>
        <w:tabs>
          <w:tab w:leader="none" w:pos="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 xml:space="preserve">No associated tax for 2017 and 2016. Net of tax $(7) million 2015. See </w:t>
      </w:r>
      <w:r>
        <w:rPr>
          <w:rFonts w:ascii="Arial" w:cs="Arial" w:eastAsia="Arial" w:hAnsi="Arial"/>
          <w:sz w:val="10"/>
          <w:szCs w:val="10"/>
          <w:i w:val="1"/>
          <w:iCs w:val="1"/>
          <w:color w:val="auto"/>
        </w:rPr>
        <w:t>Note 13 Pension and Postretirement Benefit Plans</w:t>
      </w:r>
      <w:r>
        <w:rPr>
          <w:rFonts w:ascii="Arial" w:cs="Arial" w:eastAsia="Arial" w:hAnsi="Arial"/>
          <w:sz w:val="10"/>
          <w:szCs w:val="10"/>
          <w:color w:val="auto"/>
        </w:rPr>
        <w:t>, for additional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80"/>
          </w:cols>
          <w:pgMar w:left="220" w:top="287" w:right="199" w:bottom="1440" w:gutter="0" w:footer="0" w:header="0"/>
        </w:sectPr>
      </w:pPr>
    </w:p>
    <w:bookmarkStart w:id="79" w:name="page80"/>
    <w:bookmarkEnd w:id="79"/>
    <w:p>
      <w:pPr>
        <w:jc w:val="center"/>
        <w:spacing w:after="0"/>
        <w:rPr>
          <w:sz w:val="20"/>
          <w:szCs w:val="20"/>
          <w:color w:val="auto"/>
        </w:rPr>
      </w:pPr>
      <w:r>
        <w:rPr>
          <w:rFonts w:ascii="Arial" w:cs="Arial" w:eastAsia="Arial" w:hAnsi="Arial"/>
          <w:sz w:val="12"/>
          <w:szCs w:val="12"/>
          <w:b w:val="1"/>
          <w:bCs w:val="1"/>
          <w:color w:val="auto"/>
        </w:rPr>
        <w:t>CALIFORNIA RESOURCES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years ended December 31, 2017, 2016 and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Accumulated Other</w:t>
            </w: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08"/>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ind w:left="20"/>
              <w:spacing w:after="0" w:line="108" w:lineRule="exact"/>
              <w:rPr>
                <w:sz w:val="20"/>
                <w:szCs w:val="20"/>
                <w:color w:val="auto"/>
              </w:rPr>
            </w:pPr>
            <w:r>
              <w:rPr>
                <w:rFonts w:ascii="Arial" w:cs="Arial" w:eastAsia="Arial" w:hAnsi="Arial"/>
                <w:sz w:val="10"/>
                <w:szCs w:val="10"/>
                <w:b w:val="1"/>
                <w:bCs w:val="1"/>
                <w:color w:val="auto"/>
              </w:rPr>
              <w:t>Additional Paid-in</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Comprehensive</w:t>
            </w:r>
          </w:p>
        </w:tc>
        <w:tc>
          <w:tcPr>
            <w:tcW w:w="80" w:type="dxa"/>
            <w:vAlign w:val="bottom"/>
          </w:tcPr>
          <w:p>
            <w:pPr>
              <w:spacing w:after="0"/>
              <w:rPr>
                <w:sz w:val="9"/>
                <w:szCs w:val="9"/>
                <w:color w:val="auto"/>
              </w:rPr>
            </w:pPr>
          </w:p>
        </w:tc>
        <w:tc>
          <w:tcPr>
            <w:tcW w:w="116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Equity Attributable to</w:t>
            </w: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1"/>
        </w:trPr>
        <w:tc>
          <w:tcPr>
            <w:tcW w:w="26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95"/>
              </w:rPr>
              <w:t>Common Stock</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Capital</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99"/>
              </w:rPr>
              <w:t>Accumulated Deficit</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97"/>
              </w:rPr>
              <w:t>(Loss) Income</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98"/>
              </w:rPr>
              <w:t>Noncontrolling Interest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Total Equity</w:t>
            </w:r>
          </w:p>
        </w:tc>
      </w:tr>
      <w:tr>
        <w:trPr>
          <w:trHeight w:val="164"/>
        </w:trPr>
        <w:tc>
          <w:tcPr>
            <w:tcW w:w="26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4,752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(2,117)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2,611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2,611</w:t>
            </w:r>
          </w:p>
        </w:tc>
      </w:tr>
      <w:tr>
        <w:trPr>
          <w:trHeight w:val="176"/>
        </w:trPr>
        <w:tc>
          <w:tcPr>
            <w:tcW w:w="2640" w:type="dxa"/>
            <w:vAlign w:val="bottom"/>
          </w:tcPr>
          <w:p>
            <w:pPr>
              <w:ind w:left="100"/>
              <w:spacing w:after="0"/>
              <w:rPr>
                <w:sz w:val="20"/>
                <w:szCs w:val="20"/>
                <w:color w:val="auto"/>
              </w:rPr>
            </w:pPr>
            <w:r>
              <w:rPr>
                <w:rFonts w:ascii="Arial" w:cs="Arial" w:eastAsia="Arial" w:hAnsi="Arial"/>
                <w:sz w:val="10"/>
                <w:szCs w:val="10"/>
                <w:color w:val="auto"/>
              </w:rPr>
              <w:t>Net loss</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160" w:type="dxa"/>
            <w:vAlign w:val="bottom"/>
          </w:tcPr>
          <w:p>
            <w:pPr>
              <w:jc w:val="right"/>
              <w:ind w:right="32"/>
              <w:spacing w:after="0"/>
              <w:rPr>
                <w:sz w:val="20"/>
                <w:szCs w:val="20"/>
                <w:color w:val="auto"/>
              </w:rPr>
            </w:pPr>
            <w:r>
              <w:rPr>
                <w:rFonts w:ascii="Arial" w:cs="Arial" w:eastAsia="Arial" w:hAnsi="Arial"/>
                <w:sz w:val="10"/>
                <w:szCs w:val="10"/>
                <w:color w:val="auto"/>
              </w:rPr>
              <w:t>(3,554)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(3,554)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(3,554)</w:t>
            </w:r>
          </w:p>
        </w:tc>
      </w:tr>
      <w:tr>
        <w:trPr>
          <w:trHeight w:val="184"/>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 comprehensive income, net of tax</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w:t>
            </w:r>
          </w:p>
        </w:tc>
      </w:tr>
      <w:tr>
        <w:trPr>
          <w:trHeight w:val="176"/>
        </w:trPr>
        <w:tc>
          <w:tcPr>
            <w:tcW w:w="2640" w:type="dxa"/>
            <w:vAlign w:val="bottom"/>
          </w:tcPr>
          <w:p>
            <w:pPr>
              <w:ind w:left="100"/>
              <w:spacing w:after="0"/>
              <w:rPr>
                <w:sz w:val="20"/>
                <w:szCs w:val="20"/>
                <w:color w:val="auto"/>
              </w:rPr>
            </w:pPr>
            <w:r>
              <w:rPr>
                <w:rFonts w:ascii="Arial" w:cs="Arial" w:eastAsia="Arial" w:hAnsi="Arial"/>
                <w:sz w:val="10"/>
                <w:szCs w:val="10"/>
                <w:color w:val="auto"/>
              </w:rPr>
              <w:t>Dividends on common stock</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160" w:type="dxa"/>
            <w:vAlign w:val="bottom"/>
          </w:tcPr>
          <w:p>
            <w:pPr>
              <w:jc w:val="right"/>
              <w:ind w:right="32"/>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(12)</w:t>
            </w:r>
          </w:p>
        </w:tc>
      </w:tr>
      <w:tr>
        <w:trPr>
          <w:trHeight w:val="184"/>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Share-based compensation, net</w:t>
            </w: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30</w:t>
            </w:r>
          </w:p>
        </w:tc>
      </w:tr>
      <w:tr>
        <w:trPr>
          <w:trHeight w:val="156"/>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Balance, December 31, 2015</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4,782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2"/>
              <w:spacing w:after="0"/>
              <w:rPr>
                <w:sz w:val="20"/>
                <w:szCs w:val="20"/>
                <w:color w:val="auto"/>
              </w:rPr>
            </w:pPr>
            <w:r>
              <w:rPr>
                <w:rFonts w:ascii="Arial" w:cs="Arial" w:eastAsia="Arial" w:hAnsi="Arial"/>
                <w:sz w:val="10"/>
                <w:szCs w:val="10"/>
                <w:color w:val="auto"/>
              </w:rPr>
              <w:t>(5,683)</w:t>
            </w:r>
          </w:p>
        </w:tc>
        <w:tc>
          <w:tcPr>
            <w:tcW w:w="12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32"/>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(916)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(916)</w:t>
            </w:r>
          </w:p>
        </w:tc>
      </w:tr>
      <w:tr>
        <w:trPr>
          <w:trHeight w:val="184"/>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income</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279</w:t>
            </w:r>
          </w:p>
        </w:tc>
      </w:tr>
      <w:tr>
        <w:trPr>
          <w:trHeight w:val="176"/>
        </w:trPr>
        <w:tc>
          <w:tcPr>
            <w:tcW w:w="2640" w:type="dxa"/>
            <w:vAlign w:val="bottom"/>
          </w:tcPr>
          <w:p>
            <w:pPr>
              <w:ind w:left="100"/>
              <w:spacing w:after="0"/>
              <w:rPr>
                <w:sz w:val="20"/>
                <w:szCs w:val="20"/>
                <w:color w:val="auto"/>
              </w:rPr>
            </w:pPr>
            <w:r>
              <w:rPr>
                <w:rFonts w:ascii="Arial" w:cs="Arial" w:eastAsia="Arial" w:hAnsi="Arial"/>
                <w:sz w:val="10"/>
                <w:szCs w:val="10"/>
                <w:color w:val="auto"/>
              </w:rPr>
              <w:t>Other comprehensive income</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32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w:t>
            </w:r>
          </w:p>
        </w:tc>
      </w:tr>
      <w:tr>
        <w:trPr>
          <w:trHeight w:val="184"/>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Share-based compensation, net</w:t>
            </w: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79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79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79</w:t>
            </w:r>
          </w:p>
        </w:tc>
      </w:tr>
      <w:tr>
        <w:trPr>
          <w:trHeight w:val="156"/>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Balance, December 31, 2016</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4,861</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2"/>
              <w:spacing w:after="0"/>
              <w:rPr>
                <w:sz w:val="20"/>
                <w:szCs w:val="20"/>
                <w:color w:val="auto"/>
              </w:rPr>
            </w:pPr>
            <w:r>
              <w:rPr>
                <w:rFonts w:ascii="Arial" w:cs="Arial" w:eastAsia="Arial" w:hAnsi="Arial"/>
                <w:sz w:val="10"/>
                <w:szCs w:val="10"/>
                <w:color w:val="auto"/>
              </w:rPr>
              <w:t>(5,404)</w:t>
            </w:r>
          </w:p>
        </w:tc>
        <w:tc>
          <w:tcPr>
            <w:tcW w:w="120" w:type="dxa"/>
            <w:vAlign w:val="bottom"/>
          </w:tcPr>
          <w:p>
            <w:pPr>
              <w:spacing w:after="0"/>
              <w:rPr>
                <w:sz w:val="13"/>
                <w:szCs w:val="13"/>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32"/>
              <w:spacing w:after="0"/>
              <w:rPr>
                <w:sz w:val="20"/>
                <w:szCs w:val="20"/>
                <w:color w:val="auto"/>
              </w:rPr>
            </w:pPr>
            <w:r>
              <w:rPr>
                <w:rFonts w:ascii="Arial" w:cs="Arial" w:eastAsia="Arial" w:hAnsi="Arial"/>
                <w:sz w:val="10"/>
                <w:szCs w:val="10"/>
                <w:color w:val="auto"/>
              </w:rPr>
              <w:t>(14)</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(557)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(557)</w:t>
            </w:r>
          </w:p>
        </w:tc>
      </w:tr>
      <w:tr>
        <w:trPr>
          <w:trHeight w:val="184"/>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loss (income)</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(262)</w:t>
            </w:r>
          </w:p>
        </w:tc>
      </w:tr>
      <w:tr>
        <w:trPr>
          <w:trHeight w:val="176"/>
        </w:trPr>
        <w:tc>
          <w:tcPr>
            <w:tcW w:w="2640" w:type="dxa"/>
            <w:vAlign w:val="bottom"/>
          </w:tcPr>
          <w:p>
            <w:pPr>
              <w:ind w:left="100"/>
              <w:spacing w:after="0"/>
              <w:rPr>
                <w:sz w:val="20"/>
                <w:szCs w:val="20"/>
                <w:color w:val="auto"/>
              </w:rPr>
            </w:pPr>
            <w:r>
              <w:rPr>
                <w:rFonts w:ascii="Arial" w:cs="Arial" w:eastAsia="Arial" w:hAnsi="Arial"/>
                <w:sz w:val="10"/>
                <w:szCs w:val="10"/>
                <w:color w:val="auto"/>
              </w:rPr>
              <w:t>Contribution from noncontrolling interest, net</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98</w:t>
            </w:r>
          </w:p>
        </w:tc>
      </w:tr>
      <w:tr>
        <w:trPr>
          <w:trHeight w:val="184"/>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Distributions paid to noncontrolling interest holders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w:t>
            </w:r>
          </w:p>
        </w:tc>
      </w:tr>
      <w:tr>
        <w:trPr>
          <w:trHeight w:val="176"/>
        </w:trPr>
        <w:tc>
          <w:tcPr>
            <w:tcW w:w="2640" w:type="dxa"/>
            <w:vAlign w:val="bottom"/>
          </w:tcPr>
          <w:p>
            <w:pPr>
              <w:ind w:left="100"/>
              <w:spacing w:after="0"/>
              <w:rPr>
                <w:sz w:val="20"/>
                <w:szCs w:val="20"/>
                <w:color w:val="auto"/>
              </w:rPr>
            </w:pPr>
            <w:r>
              <w:rPr>
                <w:rFonts w:ascii="Arial" w:cs="Arial" w:eastAsia="Arial" w:hAnsi="Arial"/>
                <w:sz w:val="10"/>
                <w:szCs w:val="10"/>
                <w:color w:val="auto"/>
              </w:rPr>
              <w:t>Other comprehensive income</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1320" w:type="dxa"/>
            <w:vAlign w:val="bottom"/>
          </w:tcPr>
          <w:p>
            <w:pPr>
              <w:jc w:val="right"/>
              <w:ind w:right="32"/>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(9)</w:t>
            </w:r>
          </w:p>
        </w:tc>
      </w:tr>
      <w:tr>
        <w:trPr>
          <w:trHeight w:val="184"/>
        </w:trPr>
        <w:tc>
          <w:tcPr>
            <w:tcW w:w="26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Share-based compensation, net</w:t>
            </w: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18</w:t>
            </w:r>
          </w:p>
        </w:tc>
      </w:tr>
      <w:tr>
        <w:trPr>
          <w:trHeight w:val="158"/>
        </w:trPr>
        <w:tc>
          <w:tcPr>
            <w:tcW w:w="2640" w:type="dxa"/>
            <w:vAlign w:val="bottom"/>
          </w:tcPr>
          <w:p>
            <w:pPr>
              <w:ind w:left="100"/>
              <w:spacing w:after="0"/>
              <w:rPr>
                <w:sz w:val="20"/>
                <w:szCs w:val="20"/>
                <w:color w:val="auto"/>
              </w:rPr>
            </w:pPr>
            <w:r>
              <w:rPr>
                <w:rFonts w:ascii="Arial" w:cs="Arial" w:eastAsia="Arial" w:hAnsi="Arial"/>
                <w:sz w:val="10"/>
                <w:szCs w:val="10"/>
                <w:b w:val="1"/>
                <w:bCs w:val="1"/>
                <w:color w:val="auto"/>
              </w:rPr>
              <w:t>Balance, December 31,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4,879</w:t>
            </w: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(5,670)</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(23)</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(814)</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94</w:t>
            </w: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(720)</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80"/>
          </w:cols>
          <w:pgMar w:left="220" w:top="287" w:right="199" w:bottom="1440" w:gutter="0" w:footer="0" w:header="0"/>
        </w:sectPr>
      </w:pPr>
    </w:p>
    <w:bookmarkStart w:id="80" w:name="page81"/>
    <w:bookmarkEnd w:id="80"/>
    <w:p>
      <w:pPr>
        <w:jc w:val="center"/>
        <w:spacing w:after="0"/>
        <w:rPr>
          <w:sz w:val="20"/>
          <w:szCs w:val="20"/>
          <w:color w:val="auto"/>
        </w:rPr>
      </w:pPr>
      <w:r>
        <w:rPr>
          <w:rFonts w:ascii="Arial" w:cs="Arial" w:eastAsia="Arial" w:hAnsi="Arial"/>
          <w:sz w:val="12"/>
          <w:szCs w:val="12"/>
          <w:b w:val="1"/>
          <w:bCs w:val="1"/>
          <w:color w:val="auto"/>
        </w:rPr>
        <w:t>CALIFORNIA RESOURCES CORPORATION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years ended December 31, 2017, 2016 and 2015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2015</w:t>
            </w:r>
          </w:p>
        </w:tc>
      </w:tr>
      <w:tr>
        <w:trPr>
          <w:trHeight w:val="174"/>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 FROM 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Net (loss) income</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(262)</w:t>
            </w:r>
          </w:p>
        </w:tc>
        <w:tc>
          <w:tcPr>
            <w:tcW w:w="100" w:type="dxa"/>
            <w:vAlign w:val="bottom"/>
          </w:tcPr>
          <w:p>
            <w:pPr>
              <w:spacing w:after="0"/>
              <w:rPr>
                <w:sz w:val="15"/>
                <w:szCs w:val="15"/>
                <w:color w:val="auto"/>
              </w:rPr>
            </w:pP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279</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(3,554)</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7820" w:type="dxa"/>
            <w:vAlign w:val="bottom"/>
          </w:tcPr>
          <w:p>
            <w:pPr>
              <w:ind w:left="460"/>
              <w:spacing w:after="0"/>
              <w:rPr>
                <w:sz w:val="20"/>
                <w:szCs w:val="20"/>
                <w:color w:val="auto"/>
              </w:rPr>
            </w:pPr>
            <w:r>
              <w:rPr>
                <w:rFonts w:ascii="Arial" w:cs="Arial" w:eastAsia="Arial" w:hAnsi="Arial"/>
                <w:sz w:val="12"/>
                <w:szCs w:val="12"/>
                <w:color w:val="auto"/>
              </w:rPr>
              <w:t>Depreciation, depletion and amortization</w:t>
            </w: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544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559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1,004</w:t>
            </w:r>
          </w:p>
        </w:tc>
      </w:tr>
      <w:tr>
        <w:trPr>
          <w:trHeight w:val="18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Asset impairments</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4,852</w:t>
            </w:r>
          </w:p>
        </w:tc>
      </w:tr>
      <w:tr>
        <w:trPr>
          <w:trHeight w:val="176"/>
        </w:trPr>
        <w:tc>
          <w:tcPr>
            <w:tcW w:w="7820" w:type="dxa"/>
            <w:vAlign w:val="bottom"/>
          </w:tcPr>
          <w:p>
            <w:pPr>
              <w:ind w:left="460"/>
              <w:spacing w:after="0"/>
              <w:rPr>
                <w:sz w:val="20"/>
                <w:szCs w:val="20"/>
                <w:color w:val="auto"/>
              </w:rPr>
            </w:pPr>
            <w:r>
              <w:rPr>
                <w:rFonts w:ascii="Arial" w:cs="Arial" w:eastAsia="Arial" w:hAnsi="Arial"/>
                <w:sz w:val="12"/>
                <w:szCs w:val="12"/>
                <w:color w:val="auto"/>
              </w:rPr>
              <w:t>Deferred income tax benefit</w:t>
            </w: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(2,258)</w:t>
            </w:r>
          </w:p>
        </w:tc>
      </w:tr>
      <w:tr>
        <w:trPr>
          <w:trHeight w:val="18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derivative losses (gains)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(133)</w:t>
            </w:r>
          </w:p>
        </w:tc>
      </w:tr>
      <w:tr>
        <w:trPr>
          <w:trHeight w:val="176"/>
        </w:trPr>
        <w:tc>
          <w:tcPr>
            <w:tcW w:w="7820" w:type="dxa"/>
            <w:vAlign w:val="bottom"/>
          </w:tcPr>
          <w:p>
            <w:pPr>
              <w:ind w:left="460"/>
              <w:spacing w:after="0"/>
              <w:rPr>
                <w:sz w:val="20"/>
                <w:szCs w:val="20"/>
                <w:color w:val="auto"/>
              </w:rPr>
            </w:pPr>
            <w:r>
              <w:rPr>
                <w:rFonts w:ascii="Arial" w:cs="Arial" w:eastAsia="Arial" w:hAnsi="Arial"/>
                <w:sz w:val="12"/>
                <w:szCs w:val="12"/>
                <w:color w:val="auto"/>
              </w:rPr>
              <w:t>Net (payments) proceeds on settled derivatives</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81</w:t>
            </w:r>
          </w:p>
        </w:tc>
      </w:tr>
      <w:tr>
        <w:trPr>
          <w:trHeight w:val="18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gains on early extinguishment of debt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w:t>
            </w:r>
          </w:p>
        </w:tc>
      </w:tr>
      <w:tr>
        <w:trPr>
          <w:trHeight w:val="176"/>
        </w:trPr>
        <w:tc>
          <w:tcPr>
            <w:tcW w:w="7820" w:type="dxa"/>
            <w:vAlign w:val="bottom"/>
          </w:tcPr>
          <w:p>
            <w:pPr>
              <w:ind w:left="460"/>
              <w:spacing w:after="0"/>
              <w:rPr>
                <w:sz w:val="20"/>
                <w:szCs w:val="20"/>
                <w:color w:val="auto"/>
              </w:rPr>
            </w:pPr>
            <w:r>
              <w:rPr>
                <w:rFonts w:ascii="Arial" w:cs="Arial" w:eastAsia="Arial" w:hAnsi="Arial"/>
                <w:sz w:val="12"/>
                <w:szCs w:val="12"/>
                <w:color w:val="auto"/>
              </w:rPr>
              <w:t>Amortization of deferred gain</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w:t>
            </w:r>
          </w:p>
        </w:tc>
      </w:tr>
      <w:tr>
        <w:trPr>
          <w:trHeight w:val="18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Gains on asset divestitures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820" w:type="dxa"/>
            <w:vAlign w:val="bottom"/>
          </w:tcPr>
          <w:p>
            <w:pPr>
              <w:ind w:left="460"/>
              <w:spacing w:after="0"/>
              <w:rPr>
                <w:sz w:val="20"/>
                <w:szCs w:val="20"/>
                <w:color w:val="auto"/>
              </w:rPr>
            </w:pPr>
            <w:r>
              <w:rPr>
                <w:rFonts w:ascii="Arial" w:cs="Arial" w:eastAsia="Arial" w:hAnsi="Arial"/>
                <w:sz w:val="12"/>
                <w:szCs w:val="12"/>
                <w:color w:val="auto"/>
              </w:rPr>
              <w:t>Other non-cash tax provision</w:t>
            </w: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310</w:t>
            </w:r>
          </w:p>
        </w:tc>
      </w:tr>
      <w:tr>
        <w:trPr>
          <w:trHeight w:val="18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Other non-cash charges to income, net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210</w:t>
            </w:r>
          </w:p>
        </w:tc>
      </w:tr>
      <w:tr>
        <w:trPr>
          <w:trHeight w:val="176"/>
        </w:trPr>
        <w:tc>
          <w:tcPr>
            <w:tcW w:w="7820" w:type="dxa"/>
            <w:vAlign w:val="bottom"/>
          </w:tcPr>
          <w:p>
            <w:pPr>
              <w:ind w:left="460"/>
              <w:spacing w:after="0"/>
              <w:rPr>
                <w:sz w:val="20"/>
                <w:szCs w:val="20"/>
                <w:color w:val="auto"/>
              </w:rPr>
            </w:pPr>
            <w:r>
              <w:rPr>
                <w:rFonts w:ascii="Arial" w:cs="Arial" w:eastAsia="Arial" w:hAnsi="Arial"/>
                <w:sz w:val="12"/>
                <w:szCs w:val="12"/>
                <w:color w:val="auto"/>
              </w:rPr>
              <w:t>Dry hole expenses</w:t>
            </w: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9</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operating assets and liabilities, net: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7820" w:type="dxa"/>
            <w:vAlign w:val="bottom"/>
          </w:tcPr>
          <w:p>
            <w:pPr>
              <w:ind w:left="460"/>
              <w:spacing w:after="0"/>
              <w:rPr>
                <w:sz w:val="20"/>
                <w:szCs w:val="20"/>
                <w:color w:val="auto"/>
              </w:rPr>
            </w:pPr>
            <w:r>
              <w:rPr>
                <w:rFonts w:ascii="Arial" w:cs="Arial" w:eastAsia="Arial" w:hAnsi="Arial"/>
                <w:sz w:val="12"/>
                <w:szCs w:val="12"/>
                <w:color w:val="auto"/>
              </w:rPr>
              <w:t>(Increase) decrease in trade receivables</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99</w:t>
            </w:r>
          </w:p>
        </w:tc>
      </w:tr>
      <w:tr>
        <w:trPr>
          <w:trHeight w:val="18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Decrease in inventories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820" w:type="dxa"/>
            <w:vAlign w:val="bottom"/>
          </w:tcPr>
          <w:p>
            <w:pPr>
              <w:ind w:left="460"/>
              <w:spacing w:after="0"/>
              <w:rPr>
                <w:sz w:val="20"/>
                <w:szCs w:val="20"/>
                <w:color w:val="auto"/>
              </w:rPr>
            </w:pPr>
            <w:r>
              <w:rPr>
                <w:rFonts w:ascii="Arial" w:cs="Arial" w:eastAsia="Arial" w:hAnsi="Arial"/>
                <w:sz w:val="12"/>
                <w:szCs w:val="12"/>
                <w:color w:val="auto"/>
              </w:rPr>
              <w:t>(Increase) decrease in other current assets</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18</w:t>
            </w:r>
          </w:p>
        </w:tc>
      </w:tr>
      <w:tr>
        <w:trPr>
          <w:trHeight w:val="185"/>
        </w:trPr>
        <w:tc>
          <w:tcPr>
            <w:tcW w:w="78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Decrease in accounts payable and accrued liabilities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(212)</w:t>
            </w:r>
          </w:p>
        </w:tc>
      </w:tr>
      <w:tr>
        <w:trPr>
          <w:trHeight w:val="156"/>
        </w:trPr>
        <w:tc>
          <w:tcPr>
            <w:tcW w:w="7820" w:type="dxa"/>
            <w:vAlign w:val="bottom"/>
            <w:tcBorders>
              <w:bottom w:val="single" w:sz="8" w:color="CCEEFF"/>
            </w:tcBorders>
          </w:tcPr>
          <w:p>
            <w:pPr>
              <w:ind w:left="740"/>
              <w:spacing w:after="0"/>
              <w:rPr>
                <w:sz w:val="20"/>
                <w:szCs w:val="20"/>
                <w:color w:val="auto"/>
              </w:rPr>
            </w:pPr>
            <w:r>
              <w:rPr>
                <w:rFonts w:ascii="Arial" w:cs="Arial" w:eastAsia="Arial" w:hAnsi="Arial"/>
                <w:sz w:val="12"/>
                <w:szCs w:val="12"/>
                <w:b w:val="1"/>
                <w:bCs w:val="1"/>
                <w:color w:val="auto"/>
              </w:rPr>
              <w:t>Net cash provided by operating activities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403</w:t>
            </w:r>
          </w:p>
        </w:tc>
      </w:tr>
      <w:tr>
        <w:trPr>
          <w:trHeight w:val="183"/>
        </w:trPr>
        <w:tc>
          <w:tcPr>
            <w:tcW w:w="7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CASH FLOW FROM INVESTING ACTIVITIES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Capital investments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(401)</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Changes in capital investment accruals</w:t>
            </w: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(205)</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Asset divestitures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Acquisitions and other</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(151)</w:t>
            </w:r>
          </w:p>
        </w:tc>
      </w:tr>
      <w:tr>
        <w:trPr>
          <w:trHeight w:val="160"/>
        </w:trPr>
        <w:tc>
          <w:tcPr>
            <w:tcW w:w="782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2"/>
                <w:szCs w:val="12"/>
                <w:b w:val="1"/>
                <w:bCs w:val="1"/>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(313)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(61)</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(757)</w:t>
            </w:r>
          </w:p>
        </w:tc>
      </w:tr>
      <w:tr>
        <w:trPr>
          <w:trHeight w:val="183"/>
        </w:trPr>
        <w:tc>
          <w:tcPr>
            <w:tcW w:w="7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 FROM FINANCING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Proceeds from 2014 Revolving Credit Facility</w:t>
            </w:r>
          </w:p>
        </w:tc>
        <w:tc>
          <w:tcPr>
            <w:tcW w:w="26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1,696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2,218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2,035</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Repayments of 2014 Revolving Credit Facility</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(2,110)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(1,656)</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Proceeds from 2016 Credit Agreement</w:t>
            </w: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990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2017 Term Loan</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Payments on 2014 Term Loan</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(650)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Debt repurchases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Debt transaction costs</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(11)</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Contribution from noncontrolling interest, net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Distributions paid to noncontrolling interest holders</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Employee stock purchases and other</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Shares canceled for taxes</w:t>
            </w:r>
          </w:p>
        </w:tc>
        <w:tc>
          <w:tcPr>
            <w:tcW w:w="26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r>
      <w:tr>
        <w:trPr>
          <w:trHeight w:val="176"/>
        </w:trPr>
        <w:tc>
          <w:tcPr>
            <w:tcW w:w="7820" w:type="dxa"/>
            <w:vAlign w:val="bottom"/>
          </w:tcPr>
          <w:p>
            <w:pPr>
              <w:ind w:left="240"/>
              <w:spacing w:after="0"/>
              <w:rPr>
                <w:sz w:val="20"/>
                <w:szCs w:val="20"/>
                <w:color w:val="auto"/>
              </w:rPr>
            </w:pPr>
            <w:r>
              <w:rPr>
                <w:rFonts w:ascii="Arial" w:cs="Arial" w:eastAsia="Arial" w:hAnsi="Arial"/>
                <w:sz w:val="12"/>
                <w:szCs w:val="12"/>
                <w:color w:val="auto"/>
              </w:rPr>
              <w:t>Cash dividends paid</w:t>
            </w:r>
          </w:p>
        </w:tc>
        <w:tc>
          <w:tcPr>
            <w:tcW w:w="2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(12)</w:t>
            </w:r>
          </w:p>
        </w:tc>
      </w:tr>
      <w:tr>
        <w:trPr>
          <w:trHeight w:val="165"/>
        </w:trPr>
        <w:tc>
          <w:tcPr>
            <w:tcW w:w="782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2"/>
                <w:szCs w:val="12"/>
                <w:b w:val="1"/>
                <w:bCs w:val="1"/>
                <w:color w:val="auto"/>
              </w:rPr>
              <w:t>Net cash provided (used) by financing activities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352</w:t>
            </w:r>
          </w:p>
        </w:tc>
      </w:tr>
      <w:tr>
        <w:trPr>
          <w:trHeight w:val="156"/>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Increase (decrease) in cash</w:t>
            </w:r>
          </w:p>
        </w:tc>
        <w:tc>
          <w:tcPr>
            <w:tcW w:w="26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(2)</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Cash—beginning of year</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r>
      <w:tr>
        <w:trPr>
          <w:trHeight w:val="167"/>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Cash—end of year</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80"/>
          </w:cols>
          <w:pgMar w:left="220" w:top="287" w:right="199" w:bottom="1440" w:gutter="0" w:footer="0" w:header="0"/>
        </w:sectPr>
      </w:pPr>
    </w:p>
    <w:bookmarkStart w:id="81" w:name="page82"/>
    <w:bookmarkEnd w:id="81"/>
    <w:p>
      <w:pPr>
        <w:jc w:val="center"/>
        <w:spacing w:after="0"/>
        <w:rPr>
          <w:sz w:val="20"/>
          <w:szCs w:val="20"/>
          <w:color w:val="auto"/>
        </w:rPr>
      </w:pPr>
      <w:r>
        <w:rPr>
          <w:rFonts w:ascii="Arial" w:cs="Arial" w:eastAsia="Arial" w:hAnsi="Arial"/>
          <w:sz w:val="12"/>
          <w:szCs w:val="12"/>
          <w:b w:val="1"/>
          <w:bCs w:val="1"/>
          <w:color w:val="auto"/>
        </w:rPr>
        <w:t>CALIFORNIA RESOURCES CORPORATION AND SUBSIDIARIES</w:t>
      </w:r>
    </w:p>
    <w:p>
      <w:pPr>
        <w:spacing w:after="0" w:line="186" w:lineRule="exact"/>
        <w:rPr>
          <w:sz w:val="20"/>
          <w:szCs w:val="20"/>
          <w:color w:val="auto"/>
        </w:rPr>
      </w:pPr>
    </w:p>
    <w:p>
      <w:pPr>
        <w:ind w:left="44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1"/>
          <w:szCs w:val="11"/>
          <w:b w:val="1"/>
          <w:bCs w:val="1"/>
          <w:color w:val="auto"/>
        </w:rPr>
        <w:t>THE SPIN-OFF, SUMMARY OF SIGNIFICANT ACCOUNTING POLICIES AND OTHER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Separation and Spin-off</w:t>
      </w:r>
    </w:p>
    <w:p>
      <w:pPr>
        <w:spacing w:after="0" w:line="164" w:lineRule="exact"/>
        <w:rPr>
          <w:sz w:val="20"/>
          <w:szCs w:val="20"/>
          <w:color w:val="auto"/>
        </w:rPr>
      </w:pPr>
    </w:p>
    <w:p>
      <w:pPr>
        <w:ind w:right="140" w:firstLine="216"/>
        <w:spacing w:after="0" w:line="254" w:lineRule="auto"/>
        <w:rPr>
          <w:sz w:val="20"/>
          <w:szCs w:val="20"/>
          <w:color w:val="auto"/>
        </w:rPr>
      </w:pPr>
      <w:r>
        <w:rPr>
          <w:rFonts w:ascii="Arial" w:cs="Arial" w:eastAsia="Arial" w:hAnsi="Arial"/>
          <w:sz w:val="12"/>
          <w:szCs w:val="12"/>
          <w:color w:val="auto"/>
        </w:rPr>
        <w:t>We are an independent oil and natural gas exploration and production company operating properties within California. We were incorporated in Delaware as a wholly owned subsidiary of Occidental Petroleum Corporation (Occidental) on April 23, 2014, and remained a wholly owned subsidiary of Occidental until November 30, 2014. On November 30, 2014, Occidental distributed shares of our common stock on a pro-rata basis to Occidental stockholders. We became an independent, publicly traded company (the Spin-off) on December 1, 2014. Occidental initially retained approximately 18.5% of our outstanding shares of common stock, which it distributed to Occidental stockholders on March 24, 2016.</w:t>
      </w:r>
    </w:p>
    <w:p>
      <w:pPr>
        <w:spacing w:after="0" w:line="136" w:lineRule="exact"/>
        <w:rPr>
          <w:sz w:val="20"/>
          <w:szCs w:val="20"/>
          <w:color w:val="auto"/>
        </w:rPr>
      </w:pPr>
    </w:p>
    <w:p>
      <w:pPr>
        <w:ind w:right="240" w:firstLine="216"/>
        <w:spacing w:after="0" w:line="256" w:lineRule="auto"/>
        <w:rPr>
          <w:sz w:val="20"/>
          <w:szCs w:val="20"/>
          <w:color w:val="auto"/>
        </w:rPr>
      </w:pPr>
      <w:r>
        <w:rPr>
          <w:rFonts w:ascii="Arial" w:cs="Arial" w:eastAsia="Arial" w:hAnsi="Arial"/>
          <w:sz w:val="12"/>
          <w:szCs w:val="12"/>
          <w:color w:val="auto"/>
        </w:rPr>
        <w:t>Except when the context otherwise requires or where otherwise indicated, (1) all references to ‘‘CRC,’’ the ‘‘Company,’’ ‘‘we,’’ ‘‘us’’ and ‘‘our’’ refer to California Resources Corporation and its subsidiaries or the California business, (2) all references to the ‘‘California business’’ refer to Occidental’s California oil and gas exploration and production operations and related assets, liabilities and obligations, which we have assumed in connection with the Spin-off, and (3) all references to ‘‘Occidental’’ refer to Occidental Petroleum Corporation, our former parent, and its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6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All financial information presented consists of our consolidated results of operations, financial position and cash flows. The assets and liabilities in the consolidated financial statements are presented on a historical cost basis. We have eliminated all of our significant intercompany transactions and accounts. We account for our share of oil and gas exploration and production ventures, in which we have a direct working interest, by reporting our proportionate share of assets, liabilities, revenues, costs and cash flows within the relevant lines on the balance sheets and statements of operations and cash flows.</w:t>
      </w:r>
    </w:p>
    <w:p>
      <w:pPr>
        <w:spacing w:after="0" w:line="96" w:lineRule="exact"/>
        <w:rPr>
          <w:sz w:val="20"/>
          <w:szCs w:val="20"/>
          <w:color w:val="auto"/>
        </w:rPr>
      </w:pPr>
    </w:p>
    <w:p>
      <w:pPr>
        <w:ind w:right="100" w:firstLine="216"/>
        <w:spacing w:after="0" w:line="261" w:lineRule="auto"/>
        <w:rPr>
          <w:sz w:val="20"/>
          <w:szCs w:val="20"/>
          <w:color w:val="auto"/>
        </w:rPr>
      </w:pPr>
      <w:r>
        <w:rPr>
          <w:rFonts w:ascii="Arial" w:cs="Arial" w:eastAsia="Arial" w:hAnsi="Arial"/>
          <w:sz w:val="12"/>
          <w:szCs w:val="12"/>
          <w:color w:val="auto"/>
        </w:rPr>
        <w:t xml:space="preserve">As discussed more fully in </w:t>
      </w:r>
      <w:r>
        <w:rPr>
          <w:rFonts w:ascii="Arial" w:cs="Arial" w:eastAsia="Arial" w:hAnsi="Arial"/>
          <w:sz w:val="12"/>
          <w:szCs w:val="12"/>
          <w:i w:val="1"/>
          <w:iCs w:val="1"/>
          <w:color w:val="auto"/>
        </w:rPr>
        <w:t>Note 3 Acquisitions and Divestitures</w:t>
      </w:r>
      <w:r>
        <w:rPr>
          <w:rFonts w:ascii="Arial" w:cs="Arial" w:eastAsia="Arial" w:hAnsi="Arial"/>
          <w:sz w:val="12"/>
          <w:szCs w:val="12"/>
          <w:color w:val="auto"/>
        </w:rPr>
        <w:t>, we entered into a development joint venture with Benefit Street Partners (BSP) in 2017 in which we have a controlling financial interest. Therefore, the accounts of the BSP joint venture (BSP JV) are included in our accompanying consolidated financial statements beginning with the completion of the transaction. BSP's portion of net earnings and stockholders' equity is shown separately as a noncontrolling interest in the accompanying consolidated statements of operations and consolidated balance sheets, respectively. Our consolidated results reflect only our working interest share in our JV with Macquarie Infrastructure and Real Assets Inc. (MIRA JV).</w:t>
      </w:r>
    </w:p>
    <w:p>
      <w:pPr>
        <w:spacing w:after="0" w:line="105"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Certain prior year amounts have been reclassified to conform to the 2017 presentation. On the statement of operations, we reclassified gains on asset divestitures out of other non-operating income (expense). On the statement of cash flows, we also moved gains on asset divestitures out of other non-cash charges to income, net.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80"/>
          </w:cols>
          <w:pgMar w:left="220" w:top="377" w:right="199" w:bottom="1440" w:gutter="0" w:footer="0" w:header="0"/>
        </w:sectPr>
      </w:pPr>
    </w:p>
    <w:bookmarkStart w:id="82" w:name="page83"/>
    <w:bookmarkEnd w:id="82"/>
    <w:p>
      <w:pPr>
        <w:ind w:right="20" w:firstLine="216"/>
        <w:spacing w:after="0" w:line="254" w:lineRule="auto"/>
        <w:rPr>
          <w:sz w:val="20"/>
          <w:szCs w:val="20"/>
          <w:color w:val="auto"/>
        </w:rPr>
      </w:pPr>
      <w:r>
        <w:rPr>
          <w:rFonts w:ascii="Arial" w:cs="Arial" w:eastAsia="Arial" w:hAnsi="Arial"/>
          <w:sz w:val="12"/>
          <w:szCs w:val="12"/>
          <w:color w:val="auto"/>
        </w:rPr>
        <w:t>On May 31, 2016, we completed a reverse stock split using a ratio of one share of common stock for every ten shares then outstanding. Share and per share amounts included in this report have been restated to reflect this reverse stock split. The split proportionally decreased the number of authorized shares of common stock from 2.0 billion shares to 200 million shares and preferred stock from 200 million to 20 million shares. The Compensation Committee of our Board approved proportionate adjustments to the number of shares outstanding and available for issuance under our stock-based compensation plans and to the exercise price, grant price or purchase price relating to any award under the plans, using the same reverse-split ratio, pursuant to existing authority granted to the Committee under the plans.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and Uncertainties</w:t>
      </w:r>
    </w:p>
    <w:p>
      <w:pPr>
        <w:spacing w:after="0" w:line="200" w:lineRule="exact"/>
        <w:rPr>
          <w:sz w:val="20"/>
          <w:szCs w:val="20"/>
          <w:color w:val="auto"/>
        </w:rPr>
      </w:pPr>
    </w:p>
    <w:p>
      <w:pPr>
        <w:ind w:right="220" w:firstLine="216"/>
        <w:spacing w:after="0" w:line="253" w:lineRule="auto"/>
        <w:rPr>
          <w:sz w:val="20"/>
          <w:szCs w:val="20"/>
          <w:color w:val="auto"/>
        </w:rPr>
      </w:pPr>
      <w:r>
        <w:rPr>
          <w:rFonts w:ascii="Arial" w:cs="Arial" w:eastAsia="Arial" w:hAnsi="Arial"/>
          <w:sz w:val="12"/>
          <w:szCs w:val="12"/>
          <w:color w:val="auto"/>
        </w:rPr>
        <w:t>The process of preparing financial statements in conformity with United States generally accepted accounting principles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and actual results may differ from estimates upon settlement. Management believes that these estimates and judgments provide a reasonable basis for the fair presentation of our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Customers</w:t>
      </w:r>
    </w:p>
    <w:p>
      <w:pPr>
        <w:spacing w:after="0" w:line="200"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For the years ended December 31, 2017 and 2016, Phillips 66 Company, Andeavor (formerly Tesoro Refining &amp; Marketing Company LLC), Valero Marketing &amp; Supply Company and Shell Trading (US) Company each accounted for at least 10%, and, collectively, 67% of our revenue. For the year ended December 31, 2015, Phillips 66 Company, Tesoro Refining &amp; Marketing Company LLC and Valero Marketing &amp; Supply Company each accounted for more than 10%, and collectively, 64% of our revenue.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Critical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Property, Plant and Equipment</w:t>
      </w:r>
    </w:p>
    <w:p>
      <w:pPr>
        <w:spacing w:after="0" w:line="108" w:lineRule="exact"/>
        <w:rPr>
          <w:sz w:val="20"/>
          <w:szCs w:val="20"/>
          <w:color w:val="auto"/>
        </w:rPr>
      </w:pPr>
    </w:p>
    <w:p>
      <w:pPr>
        <w:ind w:right="60" w:firstLine="216"/>
        <w:spacing w:after="0" w:line="253" w:lineRule="auto"/>
        <w:rPr>
          <w:sz w:val="20"/>
          <w:szCs w:val="20"/>
          <w:color w:val="auto"/>
        </w:rPr>
      </w:pPr>
      <w:r>
        <w:rPr>
          <w:rFonts w:ascii="Arial" w:cs="Arial" w:eastAsia="Arial" w:hAnsi="Arial"/>
          <w:sz w:val="12"/>
          <w:szCs w:val="12"/>
          <w:color w:val="auto"/>
        </w:rPr>
        <w:t>We use the successful efforts method to account for our oil and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some cases, we cannot determine whether we have found proved reserves at the completion of exploration drilling, and must conduct additional testing and evaluation of the wells. We generally expense the costs of such exploratory wells if we do not determine we have found proved reserves within a 12-month period after drilling is complete.</w:t>
      </w:r>
    </w:p>
    <w:p>
      <w:pPr>
        <w:spacing w:after="0" w:line="83" w:lineRule="exact"/>
        <w:rPr>
          <w:sz w:val="20"/>
          <w:szCs w:val="20"/>
          <w:color w:val="auto"/>
        </w:rPr>
      </w:pPr>
    </w:p>
    <w:p>
      <w:pPr>
        <w:ind w:right="120" w:firstLine="216"/>
        <w:spacing w:after="0" w:line="254" w:lineRule="auto"/>
        <w:rPr>
          <w:sz w:val="20"/>
          <w:szCs w:val="20"/>
          <w:color w:val="auto"/>
        </w:rPr>
      </w:pPr>
      <w:r>
        <w:rPr>
          <w:rFonts w:ascii="Arial" w:cs="Arial" w:eastAsia="Arial" w:hAnsi="Arial"/>
          <w:sz w:val="12"/>
          <w:szCs w:val="12"/>
          <w:color w:val="auto"/>
        </w:rPr>
        <w:t>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gas reserves for which the determination of economic producibility is subject to the completion of major additional capital investments.</w:t>
      </w:r>
    </w:p>
    <w:p>
      <w:pPr>
        <w:spacing w:after="0" w:line="172"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Several factors could change our proved oil and gas reserves. For example, for long-lived properties, higher product prices typically result in additional reserves becoming economic and lower product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60"/>
          </w:cols>
          <w:pgMar w:left="220" w:top="445" w:right="219" w:bottom="1440" w:gutter="0" w:footer="0" w:header="0"/>
        </w:sectPr>
      </w:pPr>
    </w:p>
    <w:bookmarkStart w:id="83" w:name="page84"/>
    <w:bookmarkEnd w:id="83"/>
    <w:p>
      <w:pPr>
        <w:ind w:right="20" w:firstLine="216"/>
        <w:spacing w:after="0" w:line="253" w:lineRule="auto"/>
        <w:rPr>
          <w:sz w:val="20"/>
          <w:szCs w:val="20"/>
          <w:color w:val="auto"/>
        </w:rPr>
      </w:pPr>
      <w:r>
        <w:rPr>
          <w:rFonts w:ascii="Arial" w:cs="Arial" w:eastAsia="Arial" w:hAnsi="Arial"/>
          <w:sz w:val="12"/>
          <w:szCs w:val="12"/>
          <w:color w:val="auto"/>
        </w:rPr>
        <w:t>We perform impairment tests with respect to proved properties when product prices decline other than temporarily, reserves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173" w:lineRule="exact"/>
        <w:rPr>
          <w:sz w:val="20"/>
          <w:szCs w:val="20"/>
          <w:color w:val="auto"/>
        </w:rPr>
      </w:pPr>
    </w:p>
    <w:p>
      <w:pPr>
        <w:ind w:right="100" w:firstLine="216"/>
        <w:spacing w:after="0" w:line="252" w:lineRule="auto"/>
        <w:rPr>
          <w:sz w:val="20"/>
          <w:szCs w:val="20"/>
          <w:color w:val="auto"/>
        </w:rPr>
      </w:pPr>
      <w:r>
        <w:rPr>
          <w:rFonts w:ascii="Arial" w:cs="Arial" w:eastAsia="Arial" w:hAnsi="Arial"/>
          <w:sz w:val="12"/>
          <w:szCs w:val="12"/>
          <w:color w:val="auto"/>
        </w:rPr>
        <w:t>A portion of the carrying value of our oil and gas properties is attributable to unproved properties. At December 31, 2017, the net capitalized costs attributable to unproved properties were approximately $300 million. When we make acquisitions that include unproved properties, we assign values based on estimated reserves that we believe will ultimately be proved. As exploration and development work progresses and if reserves are proved, we transfer the book value from unproved based on the initially determined rate, not based on specific areas, leases or other units. If the exploration and development work were to be unsuccessful, or management decided not to pursue development of these properties as a result of lower commodity prices, higher development and operating costs, contractual conditions or other factors, the capitalized costs of the related properties would be expensed. The unproved amounts are not subject to DD&amp;A until they are classified as proved properties. As exploration and development work progresses, if reserves on these properties are proved, capitalized costs attributable to the properties become subject to DD&amp;A.</w:t>
      </w:r>
    </w:p>
    <w:p>
      <w:pPr>
        <w:spacing w:after="0" w:line="175" w:lineRule="exact"/>
        <w:rPr>
          <w:sz w:val="20"/>
          <w:szCs w:val="20"/>
          <w:color w:val="auto"/>
        </w:rPr>
      </w:pPr>
    </w:p>
    <w:p>
      <w:pPr>
        <w:jc w:val="both"/>
        <w:ind w:right="80" w:firstLine="216"/>
        <w:spacing w:after="0" w:line="256" w:lineRule="auto"/>
        <w:rPr>
          <w:sz w:val="20"/>
          <w:szCs w:val="20"/>
          <w:color w:val="auto"/>
        </w:rPr>
      </w:pPr>
      <w:r>
        <w:rPr>
          <w:rFonts w:ascii="Arial" w:cs="Arial" w:eastAsia="Arial" w:hAnsi="Arial"/>
          <w:sz w:val="12"/>
          <w:szCs w:val="12"/>
          <w:color w:val="auto"/>
        </w:rPr>
        <w:t>Impairments of unproved properties are primarily based on qualitative factors including intent of property development, primary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17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2"/>
          <w:szCs w:val="12"/>
          <w:color w:val="auto"/>
        </w:rPr>
        <w:t>We determine depreciation and depletion of oil and gas producing properties by the unit-of-production method. We amortize acquisition costs over total proved reserves, and capitalize development and successful exploration costs over proved developed reserves. Our remaining assets are depreciated on a straight-line basis.</w:t>
      </w:r>
    </w:p>
    <w:p>
      <w:pPr>
        <w:spacing w:after="0" w:line="7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most significant ongoing financial statement effect from a change in our proved oil and gas reserves or impairment of the carrying value of our proved properties would be to our DD&amp;A rate. For example, a 5% increase or decrease in the amount of oil and gas reserves would change our DD&amp;A rate by $0.61 per barrel, which would increase or decrease pre-tax income (loss) by $29 million annually based on production rates for the year ended December 31, 2017.</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Asset Retirement Obligations</w:t>
      </w:r>
    </w:p>
    <w:p>
      <w:pPr>
        <w:spacing w:after="0" w:line="198" w:lineRule="exact"/>
        <w:rPr>
          <w:sz w:val="20"/>
          <w:szCs w:val="20"/>
          <w:color w:val="auto"/>
        </w:rPr>
      </w:pPr>
    </w:p>
    <w:p>
      <w:pPr>
        <w:ind w:right="60" w:firstLine="216"/>
        <w:spacing w:after="0" w:line="253" w:lineRule="auto"/>
        <w:rPr>
          <w:sz w:val="20"/>
          <w:szCs w:val="20"/>
          <w:color w:val="auto"/>
        </w:rPr>
      </w:pPr>
      <w:r>
        <w:rPr>
          <w:rFonts w:ascii="Arial" w:cs="Arial" w:eastAsia="Arial" w:hAnsi="Arial"/>
          <w:sz w:val="12"/>
          <w:szCs w:val="12"/>
          <w:color w:val="auto"/>
        </w:rPr>
        <w:t>We recognize the fair value of asset retirement obligations in the period in which a determination is made that a legal obligation exists to dismantle an asset and reclaim or remediate the property at the end of its useful life and the cost of the obligation can be reasonably estimated. The liability amounts are based on future retirement cost estimates and incorporate many assumptions such as time of abandonment, technological changes, future inflation rates and the risk-adjusted discount rate. When the liability is initially recorded, we capitalize the cost by increasing the related PP&amp;E balances. If the estimated future cost of the asset retirement obligation changes, we record an adjustment to both the asset retirement obligation and PP&amp;E. Over time, the liability is increased and expense is recognized for accretion, and the capitalized cost is recovered over either the useful life of our facilities or the unit-of-production method for our minerals.</w:t>
      </w:r>
    </w:p>
    <w:p>
      <w:pPr>
        <w:spacing w:after="0" w:line="173" w:lineRule="exact"/>
        <w:rPr>
          <w:sz w:val="20"/>
          <w:szCs w:val="20"/>
          <w:color w:val="auto"/>
        </w:rPr>
      </w:pPr>
    </w:p>
    <w:p>
      <w:pPr>
        <w:ind w:firstLine="216"/>
        <w:spacing w:after="0" w:line="290" w:lineRule="auto"/>
        <w:rPr>
          <w:sz w:val="20"/>
          <w:szCs w:val="20"/>
          <w:color w:val="auto"/>
        </w:rPr>
      </w:pPr>
      <w:r>
        <w:rPr>
          <w:rFonts w:ascii="Arial" w:cs="Arial" w:eastAsia="Arial" w:hAnsi="Arial"/>
          <w:sz w:val="11"/>
          <w:szCs w:val="11"/>
          <w:color w:val="auto"/>
        </w:rPr>
        <w:t>At certain of our facilities, we have identified asset retirement obligations that are related mainly to plant and field decommissioning, including plugging and abandonment of wells. In certain cases, we do not know or cannot estimate when we may settle these obligations and, therefore, we cannot reasonably estimate the fair value of these liabilities. We will recognize these asset retirement obligations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60"/>
          </w:cols>
          <w:pgMar w:left="220" w:top="391" w:right="219" w:bottom="1440" w:gutter="0" w:footer="0" w:header="0"/>
        </w:sectPr>
      </w:pPr>
    </w:p>
    <w:bookmarkStart w:id="84" w:name="page85"/>
    <w:bookmarkEnd w:id="84"/>
    <w:p>
      <w:pPr>
        <w:ind w:right="140" w:firstLine="216"/>
        <w:spacing w:after="0" w:line="262" w:lineRule="auto"/>
        <w:rPr>
          <w:sz w:val="20"/>
          <w:szCs w:val="20"/>
          <w:color w:val="auto"/>
        </w:rPr>
      </w:pPr>
      <w:r>
        <w:rPr>
          <w:rFonts w:ascii="Arial" w:cs="Arial" w:eastAsia="Arial" w:hAnsi="Arial"/>
          <w:sz w:val="12"/>
          <w:szCs w:val="12"/>
          <w:color w:val="auto"/>
        </w:rPr>
        <w:t>The following table summarizes the activity of our asset retirement obligation, of which $403 million and $397 million is included in other long-term liabilities, with the remaining current portion in accrued liabilities at December 31, 2017 and 2016,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For the years ended</w:t>
            </w:r>
          </w:p>
        </w:tc>
        <w:tc>
          <w:tcPr>
            <w:tcW w:w="1160" w:type="dxa"/>
            <w:vAlign w:val="bottom"/>
          </w:tcPr>
          <w:p>
            <w:pPr>
              <w:spacing w:after="0"/>
              <w:rPr>
                <w:sz w:val="12"/>
                <w:szCs w:val="12"/>
                <w:color w:val="auto"/>
              </w:rPr>
            </w:pPr>
          </w:p>
        </w:tc>
      </w:tr>
      <w:tr>
        <w:trPr>
          <w:trHeight w:val="163"/>
        </w:trPr>
        <w:tc>
          <w:tcPr>
            <w:tcW w:w="78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9"/>
              </w:rPr>
              <w:t>December 31,</w:t>
            </w:r>
          </w:p>
        </w:tc>
        <w:tc>
          <w:tcPr>
            <w:tcW w:w="1160" w:type="dxa"/>
            <w:vAlign w:val="bottom"/>
            <w:tcBorders>
              <w:bottom w:val="single" w:sz="8" w:color="auto"/>
            </w:tcBorders>
          </w:tcPr>
          <w:p>
            <w:pPr>
              <w:spacing w:after="0"/>
              <w:rPr>
                <w:sz w:val="14"/>
                <w:szCs w:val="14"/>
                <w:color w:val="auto"/>
              </w:rPr>
            </w:pPr>
          </w:p>
        </w:tc>
      </w:tr>
      <w:tr>
        <w:trPr>
          <w:trHeight w:val="169"/>
        </w:trPr>
        <w:tc>
          <w:tcPr>
            <w:tcW w:w="7820" w:type="dxa"/>
            <w:vAlign w:val="bottom"/>
          </w:tcPr>
          <w:p>
            <w:pPr>
              <w:spacing w:after="0"/>
              <w:rPr>
                <w:sz w:val="14"/>
                <w:szCs w:val="1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2017</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2016</w:t>
            </w:r>
          </w:p>
        </w:tc>
      </w:tr>
      <w:tr>
        <w:trPr>
          <w:trHeight w:val="161"/>
        </w:trPr>
        <w:tc>
          <w:tcPr>
            <w:tcW w:w="7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gridSpan w:val="3"/>
          </w:tcPr>
          <w:p>
            <w:pPr>
              <w:jc w:val="center"/>
              <w:ind w:left="81"/>
              <w:spacing w:after="0"/>
              <w:rPr>
                <w:sz w:val="20"/>
                <w:szCs w:val="20"/>
                <w:color w:val="auto"/>
              </w:rPr>
            </w:pPr>
            <w:r>
              <w:rPr>
                <w:rFonts w:ascii="Arial" w:cs="Arial" w:eastAsia="Arial" w:hAnsi="Arial"/>
                <w:sz w:val="10"/>
                <w:szCs w:val="10"/>
                <w:color w:val="auto"/>
                <w:w w:val="94"/>
              </w:rPr>
              <w:t>(in millions)</w:t>
            </w:r>
          </w:p>
        </w:tc>
        <w:tc>
          <w:tcPr>
            <w:tcW w:w="1160" w:type="dxa"/>
            <w:vAlign w:val="bottom"/>
          </w:tcPr>
          <w:p>
            <w:pPr>
              <w:spacing w:after="0"/>
              <w:rPr>
                <w:sz w:val="13"/>
                <w:szCs w:val="13"/>
                <w:color w:val="auto"/>
              </w:rPr>
            </w:pPr>
          </w:p>
        </w:tc>
      </w:tr>
      <w:tr>
        <w:trPr>
          <w:trHeight w:val="184"/>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right="5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357</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Liabilities incurred - capitalized to PP&amp;E</w:t>
            </w:r>
          </w:p>
        </w:tc>
        <w:tc>
          <w:tcPr>
            <w:tcW w:w="1120" w:type="dxa"/>
            <w:vAlign w:val="bottom"/>
          </w:tcPr>
          <w:p>
            <w:pPr>
              <w:spacing w:after="0"/>
              <w:rPr>
                <w:sz w:val="15"/>
                <w:szCs w:val="15"/>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 settled and paid</w:t>
            </w:r>
          </w:p>
        </w:tc>
        <w:tc>
          <w:tcPr>
            <w:tcW w:w="1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Accretion expense</w:t>
            </w:r>
          </w:p>
        </w:tc>
        <w:tc>
          <w:tcPr>
            <w:tcW w:w="1120" w:type="dxa"/>
            <w:vAlign w:val="bottom"/>
          </w:tcPr>
          <w:p>
            <w:pPr>
              <w:spacing w:after="0"/>
              <w:rPr>
                <w:sz w:val="15"/>
                <w:szCs w:val="15"/>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22</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Disposition and other - changes in PP&amp;E</w:t>
            </w:r>
          </w:p>
        </w:tc>
        <w:tc>
          <w:tcPr>
            <w:tcW w:w="1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w:t>
            </w:r>
          </w:p>
        </w:tc>
      </w:tr>
      <w:tr>
        <w:trPr>
          <w:trHeight w:val="17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Revisions to estimated cash flows - changes in PP&amp;E</w:t>
            </w:r>
          </w:p>
        </w:tc>
        <w:tc>
          <w:tcPr>
            <w:tcW w:w="1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57</w:t>
            </w:r>
          </w:p>
        </w:tc>
      </w:tr>
      <w:tr>
        <w:trPr>
          <w:trHeight w:val="17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1120" w:type="dxa"/>
            <w:vAlign w:val="bottom"/>
            <w:tcBorders>
              <w:bottom w:val="single" w:sz="8" w:color="auto"/>
            </w:tcBorders>
            <w:shd w:val="clear" w:color="auto" w:fill="CCEEFF"/>
          </w:tcPr>
          <w:p>
            <w:pPr>
              <w:jc w:val="right"/>
              <w:ind w:right="98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422</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center"/>
              <w:ind w:right="5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411</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Pension and Postretirement Benefit Plans</w:t>
      </w:r>
    </w:p>
    <w:p>
      <w:pPr>
        <w:spacing w:after="0" w:line="198" w:lineRule="exact"/>
        <w:rPr>
          <w:sz w:val="20"/>
          <w:szCs w:val="20"/>
          <w:color w:val="auto"/>
        </w:rPr>
      </w:pPr>
    </w:p>
    <w:p>
      <w:pPr>
        <w:ind w:right="380" w:firstLine="216"/>
        <w:spacing w:after="0" w:line="262" w:lineRule="auto"/>
        <w:rPr>
          <w:sz w:val="20"/>
          <w:szCs w:val="20"/>
          <w:color w:val="auto"/>
        </w:rPr>
      </w:pPr>
      <w:r>
        <w:rPr>
          <w:rFonts w:ascii="Arial" w:cs="Arial" w:eastAsia="Arial" w:hAnsi="Arial"/>
          <w:sz w:val="12"/>
          <w:szCs w:val="12"/>
          <w:color w:val="auto"/>
        </w:rPr>
        <w:t>All of our employees participate in postretirement benefit plans sponsored by us. These plans are funded as benefits are paid. In addition, a small number of our employees also participate in defined benefit pension plans sponsored by us. We recognize the net overfunded or underfunded amounts in the financial statements using a December 31 measurement date.</w:t>
      </w:r>
    </w:p>
    <w:p>
      <w:pPr>
        <w:spacing w:after="0" w:line="167"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167" w:lineRule="exact"/>
        <w:rPr>
          <w:sz w:val="20"/>
          <w:szCs w:val="20"/>
          <w:color w:val="auto"/>
        </w:rPr>
      </w:pPr>
    </w:p>
    <w:p>
      <w:pPr>
        <w:ind w:right="240" w:firstLine="216"/>
        <w:spacing w:after="0" w:line="262" w:lineRule="auto"/>
        <w:rPr>
          <w:sz w:val="20"/>
          <w:szCs w:val="20"/>
          <w:color w:val="auto"/>
        </w:rPr>
      </w:pPr>
      <w:r>
        <w:rPr>
          <w:rFonts w:ascii="Arial" w:cs="Arial" w:eastAsia="Arial" w:hAnsi="Arial"/>
          <w:sz w:val="12"/>
          <w:szCs w:val="12"/>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 Guaranteed deposit accounts are valued at the book value provided by the issuer.</w:t>
      </w:r>
    </w:p>
    <w:p>
      <w:pPr>
        <w:spacing w:after="0" w:line="167" w:lineRule="exact"/>
        <w:rPr>
          <w:sz w:val="20"/>
          <w:szCs w:val="20"/>
          <w:color w:val="auto"/>
        </w:rPr>
      </w:pPr>
    </w:p>
    <w:p>
      <w:pPr>
        <w:ind w:right="140" w:firstLine="216"/>
        <w:spacing w:after="0" w:line="262" w:lineRule="auto"/>
        <w:rPr>
          <w:sz w:val="20"/>
          <w:szCs w:val="20"/>
          <w:color w:val="auto"/>
        </w:rPr>
      </w:pPr>
      <w:r>
        <w:rPr>
          <w:rFonts w:ascii="Arial" w:cs="Arial" w:eastAsia="Arial" w:hAnsi="Arial"/>
          <w:sz w:val="12"/>
          <w:szCs w:val="12"/>
          <w:color w:val="auto"/>
        </w:rPr>
        <w:t>Actuarial gains and losses that have not yet been recognized through income are recorded in accumulated other comprehensive income within equity, net of taxes, until they are amortized as a component of net periodic benefit cost.</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Fair Value Measurements</w:t>
      </w:r>
    </w:p>
    <w:p>
      <w:pPr>
        <w:spacing w:after="0" w:line="198"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We have categorized our assets and liabilities that are measured at fair value in a three-level fair value hierarchy, based on the inputs to the valuation techniques: Level 1—using quoted prices in active markets for the assets or liabilities; Level 2—using observable inputs other than quoted prices for the assets or liabilities; and Level 3—using unobservable inputs. 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using a risk-adjusted discount rate.</w:t>
      </w:r>
    </w:p>
    <w:p>
      <w:pPr>
        <w:spacing w:after="0" w:line="172" w:lineRule="exact"/>
        <w:rPr>
          <w:sz w:val="20"/>
          <w:szCs w:val="20"/>
          <w:color w:val="auto"/>
        </w:rPr>
      </w:pPr>
    </w:p>
    <w:p>
      <w:pPr>
        <w:ind w:right="80" w:firstLine="216"/>
        <w:spacing w:after="0" w:line="252" w:lineRule="auto"/>
        <w:rPr>
          <w:sz w:val="20"/>
          <w:szCs w:val="20"/>
          <w:color w:val="auto"/>
        </w:rPr>
      </w:pPr>
      <w:r>
        <w:rPr>
          <w:rFonts w:ascii="Arial" w:cs="Arial" w:eastAsia="Arial" w:hAnsi="Arial"/>
          <w:sz w:val="12"/>
          <w:szCs w:val="12"/>
          <w:color w:val="auto"/>
        </w:rPr>
        <w:t>Commodity derivatives are carried at fair value. We utilize the mid-point between bid and ask prices for valuing these instruments. In addition to using market data in determining these fair values, we make assumptions about the risks inherent in the inputs to the valuation technique. Our commodity derivatives comprise over-the-counter (OTC)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at which transactions are executed in the marketplace. We classify these measurements as Level 2. The most significant items on our balance sheet that would be affected by recurring fair value measurements are derivatives. Based on the $133 million net derivative liability as of December 31, 2017, a 10% increase or decrease in their fair value would affect pre-tax earnings by approximately $13 million.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80"/>
          </w:cols>
          <w:pgMar w:left="220" w:top="391" w:right="199" w:bottom="1440" w:gutter="0" w:footer="0" w:header="0"/>
        </w:sectPr>
      </w:pPr>
    </w:p>
    <w:bookmarkStart w:id="85" w:name="page86"/>
    <w:bookmarkEnd w:id="85"/>
    <w:p>
      <w:pPr>
        <w:ind w:right="120" w:firstLine="216"/>
        <w:spacing w:after="0" w:line="256" w:lineRule="auto"/>
        <w:rPr>
          <w:sz w:val="20"/>
          <w:szCs w:val="20"/>
          <w:color w:val="auto"/>
        </w:rPr>
      </w:pPr>
      <w:r>
        <w:rPr>
          <w:rFonts w:ascii="Arial" w:cs="Arial" w:eastAsia="Arial" w:hAnsi="Arial"/>
          <w:sz w:val="12"/>
          <w:szCs w:val="12"/>
          <w:color w:val="auto"/>
        </w:rPr>
        <w:t>Our property, plant and equipment is written down to fair value if we determine that there has been an impairment in its value. The fair value is determined as of the date of the assessment using discounted cash flow models based on management’s expectations for the future. Inputs include estimates of future production, prices based on commodity forward price curves as of the date of the estimate, estimated future operating and development costs and a risk-adjusted discount rate.</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carrying amounts of cash and other on-balance sheet financial instruments, other than fixed-rate debt, approximate fair value.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Revenue Recognition</w:t>
      </w:r>
    </w:p>
    <w:p>
      <w:pPr>
        <w:spacing w:after="0" w:line="198" w:lineRule="exact"/>
        <w:rPr>
          <w:sz w:val="20"/>
          <w:szCs w:val="20"/>
          <w:color w:val="auto"/>
        </w:rPr>
      </w:pPr>
    </w:p>
    <w:p>
      <w:pPr>
        <w:ind w:right="60" w:firstLine="216"/>
        <w:spacing w:after="0" w:line="262" w:lineRule="auto"/>
        <w:rPr>
          <w:sz w:val="20"/>
          <w:szCs w:val="20"/>
          <w:color w:val="auto"/>
        </w:rPr>
      </w:pPr>
      <w:r>
        <w:rPr>
          <w:rFonts w:ascii="Arial" w:cs="Arial" w:eastAsia="Arial" w:hAnsi="Arial"/>
          <w:sz w:val="12"/>
          <w:szCs w:val="12"/>
          <w:color w:val="auto"/>
        </w:rPr>
        <w:t>We recognize revenue from oil and natural gas production when delivery occurs and title has passed from us to the transportation company or the customer, as applicable. We recognize our share of revenues net of any royalties and other third-party share.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Inventories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Materials and supplies are valued at weighted-average cost and are reviewed periodically for obsolescence. Finished goods is primarily comprised of oil and NGLs, which are valued at the lower of cost or market.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Inventories as of December 31, 2017 and 2016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20" w:type="dxa"/>
            <w:vAlign w:val="bottom"/>
          </w:tcPr>
          <w:p>
            <w:pPr>
              <w:spacing w:after="0"/>
              <w:rPr>
                <w:sz w:val="14"/>
                <w:szCs w:val="14"/>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2017</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2016</w:t>
            </w:r>
          </w:p>
        </w:tc>
      </w:tr>
      <w:tr>
        <w:trPr>
          <w:trHeight w:val="161"/>
        </w:trPr>
        <w:tc>
          <w:tcPr>
            <w:tcW w:w="7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0"/>
                <w:szCs w:val="10"/>
                <w:color w:val="auto"/>
              </w:rPr>
              <w:t>(in millions)</w:t>
            </w:r>
          </w:p>
        </w:tc>
        <w:tc>
          <w:tcPr>
            <w:tcW w:w="1320" w:type="dxa"/>
            <w:vAlign w:val="bottom"/>
          </w:tcPr>
          <w:p>
            <w:pPr>
              <w:spacing w:after="0"/>
              <w:rPr>
                <w:sz w:val="13"/>
                <w:szCs w:val="13"/>
                <w:color w:val="auto"/>
              </w:rPr>
            </w:pPr>
          </w:p>
        </w:tc>
      </w:tr>
      <w:tr>
        <w:trPr>
          <w:trHeight w:val="184"/>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Materials and supplies</w:t>
            </w: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w:t>
            </w:r>
          </w:p>
        </w:tc>
      </w:tr>
      <w:tr>
        <w:trPr>
          <w:trHeight w:val="17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Finished goods</w:t>
            </w:r>
          </w:p>
        </w:tc>
        <w:tc>
          <w:tcPr>
            <w:tcW w:w="1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w:t>
            </w:r>
          </w:p>
        </w:tc>
      </w:tr>
      <w:tr>
        <w:trPr>
          <w:trHeight w:val="172"/>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Total</w:t>
            </w:r>
          </w:p>
        </w:tc>
        <w:tc>
          <w:tcPr>
            <w:tcW w:w="1220" w:type="dxa"/>
            <w:vAlign w:val="bottom"/>
            <w:tcBorders>
              <w:bottom w:val="single" w:sz="8" w:color="auto"/>
            </w:tcBorders>
            <w:shd w:val="clear" w:color="auto" w:fill="CCEEFF"/>
          </w:tcPr>
          <w:p>
            <w:pPr>
              <w:jc w:val="right"/>
              <w:ind w:right="108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56</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Derivative Instruments</w:t>
      </w:r>
    </w:p>
    <w:p>
      <w:pPr>
        <w:spacing w:after="0" w:line="198"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Our derivatives are carried at fair value and on a net basis when a legal right of offset exists with the same counterparty. Fair value gains and losses from derivative instruments are recognized on a net basis in our consolidated statements of operations. Unless otherwise indicated, we use the term "hedge" to describe derivative instruments that are designed to achieve our hedging program goals, even though they are not necessarily accounted for as cash-flow or fair-value hedges.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Stock-Based Incentive Plans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We have stockholder-approved stock-based incentive plans for certain employees and directors that are more fully described in </w:t>
      </w:r>
      <w:r>
        <w:rPr>
          <w:rFonts w:ascii="Arial" w:cs="Arial" w:eastAsia="Arial" w:hAnsi="Arial"/>
          <w:sz w:val="12"/>
          <w:szCs w:val="12"/>
          <w:i w:val="1"/>
          <w:iCs w:val="1"/>
          <w:color w:val="auto"/>
        </w:rPr>
        <w:t>Note 10 Stock Compensation</w:t>
      </w: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Earnings Per Share</w:t>
      </w:r>
    </w:p>
    <w:p>
      <w:pPr>
        <w:spacing w:after="0" w:line="108" w:lineRule="exact"/>
        <w:rPr>
          <w:sz w:val="20"/>
          <w:szCs w:val="20"/>
          <w:color w:val="auto"/>
        </w:rPr>
      </w:pPr>
    </w:p>
    <w:p>
      <w:pPr>
        <w:ind w:right="220" w:firstLine="216"/>
        <w:spacing w:after="0" w:line="262" w:lineRule="auto"/>
        <w:rPr>
          <w:sz w:val="20"/>
          <w:szCs w:val="20"/>
          <w:color w:val="auto"/>
        </w:rPr>
      </w:pPr>
      <w:r>
        <w:rPr>
          <w:rFonts w:ascii="Arial" w:cs="Arial" w:eastAsia="Arial" w:hAnsi="Arial"/>
          <w:sz w:val="12"/>
          <w:szCs w:val="12"/>
          <w:color w:val="auto"/>
        </w:rPr>
        <w:t>We compute basic and diluted earnings per share (EPS) using the two-class method required for participating securities. Certain restricted and performance stock awards are considered participating securities when such shares have non-forfeitable dividend rights at the same rate as common stock.</w:t>
      </w:r>
    </w:p>
    <w:p>
      <w:pPr>
        <w:spacing w:after="0" w:line="131"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the participating securities do not share in losses. For basic EPS, the weighted-average number of common shares outstanding excludes outstanding shares related to unvested restricted stock awards. For diluted EPS, the basic shares outstanding are adjusted by adding potentially dilutive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Other Loss Contingencies</w:t>
      </w:r>
    </w:p>
    <w:p>
      <w:pPr>
        <w:spacing w:after="0" w:line="162" w:lineRule="exact"/>
        <w:rPr>
          <w:sz w:val="20"/>
          <w:szCs w:val="20"/>
          <w:color w:val="auto"/>
        </w:rPr>
      </w:pPr>
    </w:p>
    <w:p>
      <w:pPr>
        <w:ind w:right="60" w:firstLine="216"/>
        <w:spacing w:after="0" w:line="256" w:lineRule="auto"/>
        <w:rPr>
          <w:sz w:val="20"/>
          <w:szCs w:val="20"/>
          <w:color w:val="auto"/>
        </w:rPr>
      </w:pPr>
      <w:r>
        <w:rPr>
          <w:rFonts w:ascii="Arial" w:cs="Arial" w:eastAsia="Arial" w:hAnsi="Arial"/>
          <w:sz w:val="12"/>
          <w:szCs w:val="12"/>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 in excess of the amount recorded on the balance sheet for these matters if it is reasonably possible that an additional material loss may be incurred. We review our loss contingencies on an ongoing basis.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80"/>
          </w:cols>
          <w:pgMar w:left="220" w:top="301" w:right="199" w:bottom="1440" w:gutter="0" w:footer="0" w:header="0"/>
        </w:sectPr>
      </w:pPr>
    </w:p>
    <w:bookmarkStart w:id="86" w:name="page87"/>
    <w:bookmarkEnd w:id="86"/>
    <w:p>
      <w:pPr>
        <w:ind w:left="8" w:right="260" w:firstLine="216"/>
        <w:spacing w:after="0" w:line="262" w:lineRule="auto"/>
        <w:rPr>
          <w:sz w:val="20"/>
          <w:szCs w:val="20"/>
          <w:color w:val="auto"/>
        </w:rPr>
      </w:pPr>
      <w:r>
        <w:rPr>
          <w:rFonts w:ascii="Arial" w:cs="Arial" w:eastAsia="Arial" w:hAnsi="Arial"/>
          <w:sz w:val="12"/>
          <w:szCs w:val="12"/>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Income Taxes</w:t>
      </w:r>
    </w:p>
    <w:p>
      <w:pPr>
        <w:spacing w:after="0" w:line="198" w:lineRule="exact"/>
        <w:rPr>
          <w:sz w:val="20"/>
          <w:szCs w:val="20"/>
          <w:color w:val="auto"/>
        </w:rPr>
      </w:pPr>
    </w:p>
    <w:p>
      <w:pPr>
        <w:jc w:val="both"/>
        <w:ind w:left="8" w:firstLine="216"/>
        <w:spacing w:after="0" w:line="256" w:lineRule="auto"/>
        <w:rPr>
          <w:sz w:val="20"/>
          <w:szCs w:val="20"/>
          <w:color w:val="auto"/>
        </w:rPr>
      </w:pPr>
      <w:r>
        <w:rPr>
          <w:rFonts w:ascii="Arial" w:cs="Arial" w:eastAsia="Arial" w:hAnsi="Arial"/>
          <w:sz w:val="12"/>
          <w:szCs w:val="12"/>
          <w:color w:val="auto"/>
        </w:rPr>
        <w:t>Deferred tax assets and liabilities are recognized for the estimated future tax consequences attributable to differences between the financial statement carrying amounts of assets and liabilities and their tax bases. Deferred tax assets are recognized when it is more-likely-than-not that they will be realized. We periodically assess our deferred tax assets and reduce such assets by a valuation allowance if we deem it is more likely than not that some portion or all of the deferred tax assets will not be realized.</w:t>
      </w:r>
    </w:p>
    <w:p>
      <w:pPr>
        <w:spacing w:after="0" w:line="171" w:lineRule="exact"/>
        <w:rPr>
          <w:sz w:val="20"/>
          <w:szCs w:val="20"/>
          <w:color w:val="auto"/>
        </w:rPr>
      </w:pPr>
    </w:p>
    <w:p>
      <w:pPr>
        <w:ind w:left="8" w:right="40" w:firstLine="216"/>
        <w:spacing w:after="0" w:line="256" w:lineRule="auto"/>
        <w:rPr>
          <w:sz w:val="20"/>
          <w:szCs w:val="20"/>
          <w:color w:val="auto"/>
        </w:rPr>
      </w:pPr>
      <w:r>
        <w:rPr>
          <w:rFonts w:ascii="Arial" w:cs="Arial" w:eastAsia="Arial" w:hAnsi="Arial"/>
          <w:sz w:val="12"/>
          <w:szCs w:val="12"/>
          <w:color w:val="auto"/>
        </w:rPr>
        <w:t>We recognize the financial statement effects of tax positions when it is more-likely-than-not,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Production Sharing Type Contracts</w:t>
      </w:r>
    </w:p>
    <w:p>
      <w:pPr>
        <w:spacing w:after="0" w:line="108" w:lineRule="exact"/>
        <w:rPr>
          <w:sz w:val="20"/>
          <w:szCs w:val="20"/>
          <w:color w:val="auto"/>
        </w:rPr>
      </w:pPr>
    </w:p>
    <w:p>
      <w:pPr>
        <w:ind w:left="8" w:right="20" w:firstLine="216"/>
        <w:spacing w:after="0" w:line="273" w:lineRule="auto"/>
        <w:rPr>
          <w:sz w:val="20"/>
          <w:szCs w:val="20"/>
          <w:color w:val="auto"/>
        </w:rPr>
      </w:pPr>
      <w:r>
        <w:rPr>
          <w:rFonts w:ascii="Arial" w:cs="Arial" w:eastAsia="Arial" w:hAnsi="Arial"/>
          <w:sz w:val="11"/>
          <w:szCs w:val="11"/>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w:t>
      </w:r>
    </w:p>
    <w:p>
      <w:pPr>
        <w:spacing w:after="0" w:line="1" w:lineRule="exact"/>
        <w:rPr>
          <w:sz w:val="20"/>
          <w:szCs w:val="20"/>
          <w:color w:val="auto"/>
        </w:rPr>
      </w:pPr>
    </w:p>
    <w:p>
      <w:pPr>
        <w:ind w:left="8" w:hanging="8"/>
        <w:spacing w:after="0" w:line="254" w:lineRule="auto"/>
        <w:tabs>
          <w:tab w:leader="none" w:pos="201" w:val="left"/>
        </w:tabs>
        <w:numPr>
          <w:ilvl w:val="0"/>
          <w:numId w:val="57"/>
        </w:numPr>
        <w:rPr>
          <w:rFonts w:ascii="Arial" w:cs="Arial" w:eastAsia="Arial" w:hAnsi="Arial"/>
          <w:sz w:val="12"/>
          <w:szCs w:val="12"/>
          <w:color w:val="auto"/>
        </w:rPr>
      </w:pPr>
      <w:r>
        <w:rPr>
          <w:rFonts w:ascii="Arial" w:cs="Arial" w:eastAsia="Arial" w:hAnsi="Arial"/>
          <w:sz w:val="12"/>
          <w:szCs w:val="12"/>
          <w:color w:val="auto"/>
        </w:rPr>
        <w:t>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 contracts represented approximately 20% of our production for the year ended December 31, 2017.</w:t>
      </w:r>
    </w:p>
    <w:p>
      <w:pPr>
        <w:spacing w:after="0" w:line="109" w:lineRule="exact"/>
        <w:rPr>
          <w:sz w:val="20"/>
          <w:szCs w:val="20"/>
          <w:color w:val="auto"/>
        </w:rPr>
      </w:pPr>
    </w:p>
    <w:p>
      <w:pPr>
        <w:ind w:left="8" w:right="20" w:firstLine="216"/>
        <w:spacing w:after="0" w:line="254" w:lineRule="auto"/>
        <w:rPr>
          <w:sz w:val="20"/>
          <w:szCs w:val="20"/>
          <w:color w:val="auto"/>
        </w:rPr>
      </w:pPr>
      <w:r>
        <w:rPr>
          <w:rFonts w:ascii="Arial" w:cs="Arial" w:eastAsia="Arial" w:hAnsi="Arial"/>
          <w:sz w:val="12"/>
          <w:szCs w:val="12"/>
          <w:color w:val="auto"/>
        </w:rPr>
        <w:t>In addition, in line with industry practice for reporting PSC-type contracts, we report 100% of operating costs under the PSCs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inflates our operating costs per barrel, with an equal corresponding increase in revenues, with no effect on our net results.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Cash</w:t>
      </w:r>
    </w:p>
    <w:p>
      <w:pPr>
        <w:spacing w:after="0" w:line="188" w:lineRule="exact"/>
        <w:rPr>
          <w:sz w:val="20"/>
          <w:szCs w:val="20"/>
          <w:color w:val="auto"/>
        </w:rPr>
      </w:pPr>
    </w:p>
    <w:p>
      <w:pPr>
        <w:ind w:left="8" w:firstLine="216"/>
        <w:spacing w:after="0" w:line="283" w:lineRule="auto"/>
        <w:rPr>
          <w:sz w:val="20"/>
          <w:szCs w:val="20"/>
          <w:color w:val="auto"/>
        </w:rPr>
      </w:pPr>
      <w:r>
        <w:rPr>
          <w:rFonts w:ascii="Arial" w:cs="Arial" w:eastAsia="Arial" w:hAnsi="Arial"/>
          <w:sz w:val="12"/>
          <w:szCs w:val="12"/>
          <w:color w:val="auto"/>
        </w:rPr>
        <w:t xml:space="preserve">Cash at December 31, 2017 included approximately $5 million that is restricted for distributions to BSP unless otherwise mutually agreed to by the parties. For more on this acquisition, see </w:t>
      </w:r>
      <w:r>
        <w:rPr>
          <w:rFonts w:ascii="Arial" w:cs="Arial" w:eastAsia="Arial" w:hAnsi="Arial"/>
          <w:sz w:val="12"/>
          <w:szCs w:val="12"/>
          <w:i w:val="1"/>
          <w:iCs w:val="1"/>
          <w:color w:val="auto"/>
        </w:rPr>
        <w:t>Note 3 Acquisitions and</w:t>
      </w:r>
      <w:r>
        <w:rPr>
          <w:rFonts w:ascii="Arial" w:cs="Arial" w:eastAsia="Arial" w:hAnsi="Arial"/>
          <w:sz w:val="12"/>
          <w:szCs w:val="12"/>
          <w:color w:val="auto"/>
        </w:rPr>
        <w:t xml:space="preserve"> </w:t>
      </w:r>
      <w:r>
        <w:rPr>
          <w:rFonts w:ascii="Arial" w:cs="Arial" w:eastAsia="Arial" w:hAnsi="Arial"/>
          <w:sz w:val="12"/>
          <w:szCs w:val="12"/>
          <w:i w:val="1"/>
          <w:iCs w:val="1"/>
          <w:color w:val="auto"/>
        </w:rPr>
        <w:t>Divestitures.</w:t>
      </w:r>
    </w:p>
    <w:p>
      <w:pPr>
        <w:spacing w:after="0" w:line="22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448"/>
          </w:cols>
          <w:pgMar w:left="212" w:top="445" w:right="23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i w:val="1"/>
          <w:iCs w:val="1"/>
          <w:color w:val="auto"/>
        </w:rPr>
        <w:t>Other Current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820" w:type="dxa"/>
            <w:vAlign w:val="bottom"/>
          </w:tcPr>
          <w:p>
            <w:pPr>
              <w:ind w:left="200"/>
              <w:spacing w:after="0"/>
              <w:rPr>
                <w:sz w:val="20"/>
                <w:szCs w:val="20"/>
                <w:color w:val="auto"/>
              </w:rPr>
            </w:pPr>
            <w:r>
              <w:rPr>
                <w:rFonts w:ascii="Arial" w:cs="Arial" w:eastAsia="Arial" w:hAnsi="Arial"/>
                <w:sz w:val="12"/>
                <w:szCs w:val="12"/>
                <w:color w:val="auto"/>
              </w:rPr>
              <w:t>Other current assets as of December 31, 2017 and 2016 consisted of the following:</w:t>
            </w: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446"/>
        </w:trPr>
        <w:tc>
          <w:tcPr>
            <w:tcW w:w="7820" w:type="dxa"/>
            <w:vAlign w:val="bottom"/>
          </w:tcPr>
          <w:p>
            <w:pPr>
              <w:spacing w:after="0"/>
              <w:rPr>
                <w:sz w:val="24"/>
                <w:szCs w:val="24"/>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2016</w:t>
            </w:r>
          </w:p>
        </w:tc>
      </w:tr>
      <w:tr>
        <w:trPr>
          <w:trHeight w:val="161"/>
        </w:trPr>
        <w:tc>
          <w:tcPr>
            <w:tcW w:w="7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0"/>
                <w:szCs w:val="10"/>
                <w:color w:val="auto"/>
                <w:w w:val="94"/>
              </w:rPr>
              <w:t>(in millions)</w:t>
            </w:r>
          </w:p>
        </w:tc>
        <w:tc>
          <w:tcPr>
            <w:tcW w:w="1300" w:type="dxa"/>
            <w:vAlign w:val="bottom"/>
          </w:tcPr>
          <w:p>
            <w:pPr>
              <w:spacing w:after="0"/>
              <w:rPr>
                <w:sz w:val="13"/>
                <w:szCs w:val="13"/>
                <w:color w:val="auto"/>
              </w:rPr>
            </w:pPr>
          </w:p>
        </w:tc>
      </w:tr>
      <w:tr>
        <w:trPr>
          <w:trHeight w:val="184"/>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Amounts due from joint interest partners</w:t>
            </w:r>
          </w:p>
        </w:tc>
        <w:tc>
          <w:tcPr>
            <w:tcW w:w="1200" w:type="dxa"/>
            <w:vAlign w:val="bottom"/>
            <w:shd w:val="clear" w:color="auto" w:fill="CCEEFF"/>
          </w:tcPr>
          <w:p>
            <w:pPr>
              <w:jc w:val="right"/>
              <w:ind w:right="106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740" w:type="dxa"/>
            <w:vAlign w:val="bottom"/>
            <w:gridSpan w:val="3"/>
            <w:shd w:val="clear" w:color="auto" w:fill="CCEEFF"/>
          </w:tcPr>
          <w:p>
            <w:pPr>
              <w:jc w:val="center"/>
              <w:ind w:right="2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Derivative assets from commodities contracts</w:t>
            </w:r>
          </w:p>
        </w:tc>
        <w:tc>
          <w:tcPr>
            <w:tcW w:w="1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39</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 held for sale</w:t>
            </w: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r>
      <w:tr>
        <w:trPr>
          <w:trHeight w:val="17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Prepaid expenses</w:t>
            </w:r>
          </w:p>
        </w:tc>
        <w:tc>
          <w:tcPr>
            <w:tcW w:w="1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w:t>
            </w:r>
          </w:p>
        </w:tc>
      </w:tr>
      <w:tr>
        <w:trPr>
          <w:trHeight w:val="185"/>
        </w:trPr>
        <w:tc>
          <w:tcPr>
            <w:tcW w:w="7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current assets</w:t>
            </w:r>
          </w:p>
        </w:tc>
        <w:tc>
          <w:tcPr>
            <w:tcW w:w="1200" w:type="dxa"/>
            <w:vAlign w:val="bottom"/>
            <w:shd w:val="clear" w:color="auto" w:fill="CCEEFF"/>
          </w:tcPr>
          <w:p>
            <w:pPr>
              <w:jc w:val="right"/>
              <w:ind w:right="106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740" w:type="dxa"/>
            <w:vAlign w:val="bottom"/>
            <w:gridSpan w:val="3"/>
            <w:shd w:val="clear" w:color="auto" w:fill="CCEEFF"/>
          </w:tcPr>
          <w:p>
            <w:pPr>
              <w:jc w:val="center"/>
              <w:ind w:right="20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w:t>
            </w:r>
          </w:p>
        </w:tc>
      </w:tr>
      <w:tr>
        <w:trPr>
          <w:trHeight w:val="311"/>
        </w:trPr>
        <w:tc>
          <w:tcPr>
            <w:tcW w:w="782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i w:val="1"/>
                <w:iCs w:val="1"/>
                <w:color w:val="auto"/>
              </w:rPr>
              <w:t>Accrued Liabilities</w:t>
            </w:r>
          </w:p>
        </w:tc>
        <w:tc>
          <w:tcPr>
            <w:tcW w:w="1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324"/>
        </w:trPr>
        <w:tc>
          <w:tcPr>
            <w:tcW w:w="7820" w:type="dxa"/>
            <w:vAlign w:val="bottom"/>
          </w:tcPr>
          <w:p>
            <w:pPr>
              <w:ind w:left="200"/>
              <w:spacing w:after="0"/>
              <w:rPr>
                <w:sz w:val="20"/>
                <w:szCs w:val="20"/>
                <w:color w:val="auto"/>
              </w:rPr>
            </w:pPr>
            <w:r>
              <w:rPr>
                <w:rFonts w:ascii="Arial" w:cs="Arial" w:eastAsia="Arial" w:hAnsi="Arial"/>
                <w:sz w:val="12"/>
                <w:szCs w:val="12"/>
                <w:color w:val="auto"/>
              </w:rPr>
              <w:t>Accrued liabilities as of December 31, 2017 and 2016 consisted of the following:</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20" w:type="dxa"/>
            <w:vAlign w:val="bottom"/>
          </w:tcPr>
          <w:p>
            <w:pPr>
              <w:spacing w:after="0"/>
              <w:rPr>
                <w:sz w:val="14"/>
                <w:szCs w:val="14"/>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2016</w:t>
            </w:r>
          </w:p>
        </w:tc>
      </w:tr>
      <w:tr>
        <w:trPr>
          <w:trHeight w:val="161"/>
        </w:trPr>
        <w:tc>
          <w:tcPr>
            <w:tcW w:w="7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0"/>
                <w:szCs w:val="10"/>
                <w:color w:val="auto"/>
                <w:w w:val="94"/>
              </w:rPr>
              <w:t>(in millions)</w:t>
            </w:r>
          </w:p>
        </w:tc>
        <w:tc>
          <w:tcPr>
            <w:tcW w:w="1300" w:type="dxa"/>
            <w:vAlign w:val="bottom"/>
          </w:tcPr>
          <w:p>
            <w:pPr>
              <w:spacing w:after="0"/>
              <w:rPr>
                <w:sz w:val="13"/>
                <w:szCs w:val="13"/>
                <w:color w:val="auto"/>
              </w:rPr>
            </w:pPr>
          </w:p>
        </w:tc>
      </w:tr>
      <w:tr>
        <w:trPr>
          <w:trHeight w:val="184"/>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Derivative liabilities from commodities contracts</w:t>
            </w:r>
          </w:p>
        </w:tc>
        <w:tc>
          <w:tcPr>
            <w:tcW w:w="1200" w:type="dxa"/>
            <w:vAlign w:val="bottom"/>
            <w:shd w:val="clear" w:color="auto" w:fill="CCEEFF"/>
          </w:tcPr>
          <w:p>
            <w:pPr>
              <w:jc w:val="right"/>
              <w:ind w:right="106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740" w:type="dxa"/>
            <w:vAlign w:val="bottom"/>
            <w:gridSpan w:val="3"/>
            <w:shd w:val="clear" w:color="auto" w:fill="CCEEFF"/>
          </w:tcPr>
          <w:p>
            <w:pPr>
              <w:jc w:val="center"/>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w:t>
            </w:r>
          </w:p>
        </w:tc>
      </w:tr>
      <w:tr>
        <w:trPr>
          <w:trHeight w:val="176"/>
        </w:trPr>
        <w:tc>
          <w:tcPr>
            <w:tcW w:w="7820" w:type="dxa"/>
            <w:vAlign w:val="bottom"/>
          </w:tcPr>
          <w:p>
            <w:pPr>
              <w:ind w:left="20"/>
              <w:spacing w:after="0"/>
              <w:rPr>
                <w:sz w:val="20"/>
                <w:szCs w:val="20"/>
                <w:color w:val="auto"/>
              </w:rPr>
            </w:pPr>
            <w:r>
              <w:rPr>
                <w:rFonts w:ascii="Arial" w:cs="Arial" w:eastAsia="Arial" w:hAnsi="Arial"/>
                <w:sz w:val="12"/>
                <w:szCs w:val="12"/>
                <w:color w:val="auto"/>
              </w:rPr>
              <w:t>Greenhouse gas obligations</w:t>
            </w:r>
          </w:p>
        </w:tc>
        <w:tc>
          <w:tcPr>
            <w:tcW w:w="1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89</w:t>
            </w:r>
          </w:p>
        </w:tc>
      </w:tr>
      <w:tr>
        <w:trPr>
          <w:trHeight w:val="18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employee-related costs</w:t>
            </w:r>
          </w:p>
        </w:tc>
        <w:tc>
          <w:tcPr>
            <w:tcW w:w="1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91</w:t>
            </w:r>
          </w:p>
        </w:tc>
      </w:tr>
      <w:tr>
        <w:trPr>
          <w:trHeight w:val="17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1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124</w:t>
            </w:r>
          </w:p>
        </w:tc>
      </w:tr>
      <w:tr>
        <w:trPr>
          <w:trHeight w:val="172"/>
        </w:trPr>
        <w:tc>
          <w:tcPr>
            <w:tcW w:w="7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Accrued liabilities</w:t>
            </w:r>
          </w:p>
        </w:tc>
        <w:tc>
          <w:tcPr>
            <w:tcW w:w="12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475</w:t>
            </w: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center"/>
              <w:ind w:right="3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Supplemental Cash Flow Information</w:t>
      </w:r>
    </w:p>
    <w:p>
      <w:pPr>
        <w:spacing w:after="0" w:line="200"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2"/>
          <w:szCs w:val="12"/>
          <w:color w:val="auto"/>
        </w:rPr>
        <w:t>We did not make U.S. federal and state income tax payments in 2017, 2016 or 2015. Interest paid, net of capitalized amounts, totaled approximately $393 million, $382 million and $350 million, respectively, for the years ended December 31, 2017, 2016 and 2015.</w:t>
      </w:r>
    </w:p>
    <w:p>
      <w:pPr>
        <w:spacing w:after="0" w:line="153"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1"/>
          <w:szCs w:val="11"/>
          <w:b w:val="1"/>
          <w:bCs w:val="1"/>
          <w:color w:val="auto"/>
        </w:rPr>
        <w:t>ACCOUNTING AND DISCLOSURE CHANGES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and Disclosure Changes</w:t>
      </w:r>
    </w:p>
    <w:p>
      <w:pPr>
        <w:spacing w:after="0" w:line="200" w:lineRule="exact"/>
        <w:rPr>
          <w:sz w:val="20"/>
          <w:szCs w:val="20"/>
          <w:color w:val="auto"/>
        </w:rPr>
      </w:pPr>
    </w:p>
    <w:p>
      <w:pPr>
        <w:ind w:right="100" w:firstLine="216"/>
        <w:spacing w:after="0" w:line="252" w:lineRule="auto"/>
        <w:rPr>
          <w:sz w:val="20"/>
          <w:szCs w:val="20"/>
          <w:color w:val="auto"/>
        </w:rPr>
      </w:pPr>
      <w:r>
        <w:rPr>
          <w:rFonts w:ascii="Arial" w:cs="Arial" w:eastAsia="Arial" w:hAnsi="Arial"/>
          <w:sz w:val="12"/>
          <w:szCs w:val="12"/>
          <w:color w:val="auto"/>
        </w:rPr>
        <w:t>In 2016, the Financial Accounting Standards Board (FASB) issued rules clarifying the revenue recognition standard issued in 2014. The new revenue recognition model is based on control, which differs from the previous model which was based on a transfer of risks and rewards. Under the new rules, revenue is recognized when a customer obtains control of promised goods or services in an amount that reflects the consideration the entity expects to receive in exchange for those goods or services. As a result, depending on where control transfers, certain fees for transportation, marketing and processing, which were previously netted against revenue, will prospectively be presented as expenses. We have not identified any changes to the timing of revenue recognition based on the requirements of the new rules. The new rules also require more detailed disclosures related to the nature, timing, amount and uncertainty of revenue and cash flows arising from contracts with customers. We will adopt these rules in the first quarter of 2018 and apply the modified retrospective approach.</w:t>
      </w:r>
    </w:p>
    <w:p>
      <w:pPr>
        <w:spacing w:after="0" w:line="175" w:lineRule="exact"/>
        <w:rPr>
          <w:sz w:val="20"/>
          <w:szCs w:val="20"/>
          <w:color w:val="auto"/>
        </w:rPr>
      </w:pPr>
    </w:p>
    <w:p>
      <w:pPr>
        <w:ind w:right="240" w:firstLine="216"/>
        <w:spacing w:after="0" w:line="256" w:lineRule="auto"/>
        <w:rPr>
          <w:sz w:val="20"/>
          <w:szCs w:val="20"/>
          <w:color w:val="auto"/>
        </w:rPr>
      </w:pPr>
      <w:r>
        <w:rPr>
          <w:rFonts w:ascii="Arial" w:cs="Arial" w:eastAsia="Arial" w:hAnsi="Arial"/>
          <w:sz w:val="12"/>
          <w:szCs w:val="12"/>
          <w:color w:val="auto"/>
        </w:rPr>
        <w:t>In February 2016, the FASB issued rules requiring lessees to recognize assets and liabilities on the balance sheet for the rights and obligations created by all leases with terms of more than 12 months and to include qualitative and quantitative disclosures with respect to the amount, timing, and uncertainty of cash flows arising from leases. These rules will be effective for fiscal years beginning after December 15, 2018, including interim periods within those fiscal years, with earlier application permitted. We are currently evaluating the impact of these rules on our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480"/>
          </w:cols>
          <w:pgMar w:left="220" w:top="377" w:right="199" w:bottom="1440" w:gutter="0" w:footer="0" w:header="0"/>
        </w:sectPr>
      </w:pPr>
    </w:p>
    <w:bookmarkStart w:id="88" w:name="page89"/>
    <w:bookmarkEnd w:id="88"/>
    <w:p>
      <w:pPr>
        <w:ind w:right="20" w:firstLine="216"/>
        <w:spacing w:after="0" w:line="256" w:lineRule="auto"/>
        <w:rPr>
          <w:sz w:val="20"/>
          <w:szCs w:val="20"/>
          <w:color w:val="auto"/>
        </w:rPr>
      </w:pPr>
      <w:r>
        <w:rPr>
          <w:rFonts w:ascii="Arial" w:cs="Arial" w:eastAsia="Arial" w:hAnsi="Arial"/>
          <w:sz w:val="12"/>
          <w:szCs w:val="12"/>
          <w:color w:val="auto"/>
        </w:rPr>
        <w:t>In January 2017, the FASB issued rules that changed the definition of a business to assist entities with evaluating when a set of transferred assets and activities is a business. The rules are effective for fiscal years beginning after December 15, 2017, including interim periods within those fiscal years, with early adoption permitted. We do not expect the adoption of these rules to have a significant impact on our financial statements.</w:t>
      </w:r>
    </w:p>
    <w:p>
      <w:pPr>
        <w:spacing w:after="0" w:line="171" w:lineRule="exact"/>
        <w:rPr>
          <w:sz w:val="20"/>
          <w:szCs w:val="20"/>
          <w:color w:val="auto"/>
        </w:rPr>
      </w:pPr>
    </w:p>
    <w:p>
      <w:pPr>
        <w:ind w:firstLine="216"/>
        <w:spacing w:after="0" w:line="284" w:lineRule="auto"/>
        <w:rPr>
          <w:sz w:val="20"/>
          <w:szCs w:val="20"/>
          <w:color w:val="auto"/>
        </w:rPr>
      </w:pPr>
      <w:r>
        <w:rPr>
          <w:rFonts w:ascii="Arial" w:cs="Arial" w:eastAsia="Arial" w:hAnsi="Arial"/>
          <w:sz w:val="11"/>
          <w:szCs w:val="11"/>
          <w:color w:val="auto"/>
        </w:rPr>
        <w:t>In March 2017, the FASB issued rules requiring employers that sponsor defined benefit plans for pensions and postretirement benefits to present the service cost component of net periodic benefit cost in the same income statement line item as other employee compensation costs arising from services rendered during the period. Only the service cost component will be eligible for capitalization in assets. Employers will present the other components of the net periodic benefit cost separately from the line item that includes the service cost and outside of any subtotal of operating income. The rules are effective for fiscal years beginning after December 15, 2017, including interim periods within those fiscal years, with early adoption permitted. We do not expect the adoption of these rules to have a significant impact on our financial statements.</w:t>
      </w:r>
    </w:p>
    <w:p>
      <w:pPr>
        <w:spacing w:after="0" w:line="158"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In May 2017, the FASB issued rules to simplify the guidance on the modification of share-based payment awards. The amendments provide clarity on which changes to the terms or conditions of a share-based payment award require an entity to apply modification accounting prospectively. The rules are effective for fiscal years beginning after December 15, 2017, including interim periods within those fiscal years, with early adoption permitted. The new rules will be applied prospectively to any awards modified on or after the adoption date.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and Disclosure Changes</w:t>
      </w:r>
    </w:p>
    <w:p>
      <w:pPr>
        <w:spacing w:after="0" w:line="200" w:lineRule="exact"/>
        <w:rPr>
          <w:sz w:val="20"/>
          <w:szCs w:val="20"/>
          <w:color w:val="auto"/>
        </w:rPr>
      </w:pPr>
    </w:p>
    <w:p>
      <w:pPr>
        <w:ind w:right="620" w:firstLine="216"/>
        <w:spacing w:after="0" w:line="262" w:lineRule="auto"/>
        <w:rPr>
          <w:sz w:val="20"/>
          <w:szCs w:val="20"/>
          <w:color w:val="auto"/>
        </w:rPr>
      </w:pPr>
      <w:r>
        <w:rPr>
          <w:rFonts w:ascii="Arial" w:cs="Arial" w:eastAsia="Arial" w:hAnsi="Arial"/>
          <w:sz w:val="12"/>
          <w:szCs w:val="12"/>
          <w:color w:val="auto"/>
        </w:rPr>
        <w:t>In July 2015, the FASB issued rules requiring entities to measure inventory at the lower of cost or net realizable value. We adopted these rules in the first quarter of 2017 with no changes to our financial statements.</w:t>
      </w:r>
    </w:p>
    <w:p>
      <w:pPr>
        <w:spacing w:after="0" w:line="153"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3</w:t>
      </w:r>
      <w:r>
        <w:rPr>
          <w:sz w:val="20"/>
          <w:szCs w:val="20"/>
          <w:color w:val="auto"/>
        </w:rPr>
        <w:tab/>
      </w:r>
      <w:r>
        <w:rPr>
          <w:rFonts w:ascii="Arial" w:cs="Arial" w:eastAsia="Arial" w:hAnsi="Arial"/>
          <w:sz w:val="11"/>
          <w:szCs w:val="11"/>
          <w:b w:val="1"/>
          <w:bCs w:val="1"/>
          <w:color w:val="auto"/>
        </w:rPr>
        <w:t>ACQUISITIONS AND DIVESTITURES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February 2017, we divested non-core assets resulting in $32 million of proceeds and a $21 million gain.</w:t>
      </w:r>
    </w:p>
    <w:p>
      <w:pPr>
        <w:spacing w:after="0" w:line="150"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In February 2017, we entered into a joint venture (JV) with BSP where BSP will contribute up to $250 million, subject to agreement of the parties, in exchange for a preferred interest in the BSP JV. The funds contributed by BSP are designated to be used to develop certain of our oil and gas properties. We contributed a net profits interest (NPI) in existing and future cash flow from such properties in exchange for a common interest in the JV. BSP is entitled to preferential distributions and, if BSP receives cash distributions equal to a predetermined threshold, the preferred interest is automatically redeemed in full with no additional payment. BSP funded two $50 million tranches in March and July 2017, which were net of a $2 million issuance fee. The $98 million net proceeds were used to fund capital investments of $96 million and the remainder for hedging activities. Proceeds from the NPI are used by the BSP JV to (1) pay quarterly minimum distributions to BSP, (2) pay for development costs within the project area, upon mutual agreement between members, and (3) make distributions to BSP until the predetermined threshold is achieved.</w:t>
      </w:r>
    </w:p>
    <w:p>
      <w:pPr>
        <w:spacing w:after="0" w:line="139" w:lineRule="exact"/>
        <w:rPr>
          <w:sz w:val="20"/>
          <w:szCs w:val="20"/>
          <w:color w:val="auto"/>
        </w:rPr>
      </w:pPr>
    </w:p>
    <w:p>
      <w:pPr>
        <w:jc w:val="both"/>
        <w:ind w:right="120" w:firstLine="216"/>
        <w:spacing w:after="0" w:line="254" w:lineRule="auto"/>
        <w:rPr>
          <w:sz w:val="20"/>
          <w:szCs w:val="20"/>
          <w:color w:val="auto"/>
        </w:rPr>
      </w:pPr>
      <w:r>
        <w:rPr>
          <w:rFonts w:ascii="Arial" w:cs="Arial" w:eastAsia="Arial" w:hAnsi="Arial"/>
          <w:sz w:val="12"/>
          <w:szCs w:val="12"/>
          <w:color w:val="auto"/>
        </w:rPr>
        <w:t>In April 2017, we entered into a JV with Macquarie Infrastructure and Real Assets Inc. (MIRA) under which MIRA will invest up to $300 million, subject to agreement of the parties, to develop certain of our oil and gas properties in exchange for a 90% working interest in the related properties (MIRA JV). MIRA will fund 100% of the development cost of such properties. Our 10% working interest reverts to 75% if MIRA receives cash distributions equal to a predetermined threshold return. MIRA initially committed $160 million, which is intended to be invested over two years. Of the committed amount, MIRA contributed $58 million for drilling projects in 2017, with additional funding of up to $96 million expected in 2018.</w:t>
      </w:r>
    </w:p>
    <w:p>
      <w:pPr>
        <w:spacing w:after="0" w:line="136" w:lineRule="exact"/>
        <w:rPr>
          <w:sz w:val="20"/>
          <w:szCs w:val="20"/>
          <w:color w:val="auto"/>
        </w:rPr>
      </w:pPr>
    </w:p>
    <w:p>
      <w:pPr>
        <w:ind w:right="220" w:firstLine="216"/>
        <w:spacing w:after="0" w:line="262" w:lineRule="auto"/>
        <w:rPr>
          <w:sz w:val="20"/>
          <w:szCs w:val="20"/>
          <w:color w:val="auto"/>
        </w:rPr>
      </w:pPr>
      <w:r>
        <w:rPr>
          <w:rFonts w:ascii="Arial" w:cs="Arial" w:eastAsia="Arial" w:hAnsi="Arial"/>
          <w:sz w:val="12"/>
          <w:szCs w:val="12"/>
          <w:color w:val="auto"/>
        </w:rPr>
        <w:t>Our consolidated results reflect the full operations of our BSP JV, with BSP's share of net income and stockholders' equity being shown separately as a noncontrolling interest in the accompanying consolidated statements of operations and consolidated balance sheets, respectively. Our consolidated results reflect only our working interest share in our MIRA JV.</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2016</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During the year ended December 31, 2016, we divested non-core assets resulting in $20 million of proceeds and a $30 million gain.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480"/>
          </w:cols>
          <w:pgMar w:left="220" w:top="391" w:right="199" w:bottom="1440" w:gutter="0" w:footer="0" w:header="0"/>
        </w:sectPr>
      </w:pPr>
    </w:p>
    <w:bookmarkStart w:id="89" w:name="page90"/>
    <w:bookmarkEnd w:id="89"/>
    <w:p>
      <w:pPr>
        <w:spacing w:after="0"/>
        <w:rPr>
          <w:sz w:val="20"/>
          <w:szCs w:val="20"/>
          <w:color w:val="auto"/>
        </w:rPr>
      </w:pPr>
      <w:r>
        <w:rPr>
          <w:rFonts w:ascii="Arial" w:cs="Arial" w:eastAsia="Arial" w:hAnsi="Arial"/>
          <w:sz w:val="12"/>
          <w:szCs w:val="12"/>
          <w:b w:val="1"/>
          <w:bCs w:val="1"/>
          <w:i w:val="1"/>
          <w:iCs w:val="1"/>
          <w:color w:val="auto"/>
        </w:rPr>
        <w:t>2015</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During the year ended December 31, 2015, we paid approximately $140 million to acquire certain producing and non-producing oil and gas properties, primarily in the San Joaquin basin.</w:t>
      </w:r>
    </w:p>
    <w:p>
      <w:pPr>
        <w:spacing w:after="0" w:line="82"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4</w:t>
      </w:r>
      <w:r>
        <w:rPr>
          <w:sz w:val="20"/>
          <w:szCs w:val="20"/>
          <w:color w:val="auto"/>
        </w:rPr>
        <w:tab/>
      </w:r>
      <w:r>
        <w:rPr>
          <w:rFonts w:ascii="Arial" w:cs="Arial" w:eastAsia="Arial" w:hAnsi="Arial"/>
          <w:sz w:val="11"/>
          <w:szCs w:val="11"/>
          <w:b w:val="1"/>
          <w:bCs w:val="1"/>
          <w:color w:val="auto"/>
        </w:rPr>
        <w:t>PROPERTY, PLANT AND EQUIPMENT</w:t>
      </w:r>
    </w:p>
    <w:p>
      <w:pPr>
        <w:spacing w:after="0" w:line="200" w:lineRule="exact"/>
        <w:rPr>
          <w:sz w:val="20"/>
          <w:szCs w:val="20"/>
          <w:color w:val="auto"/>
        </w:rPr>
      </w:pPr>
    </w:p>
    <w:p>
      <w:pPr>
        <w:ind w:right="80" w:firstLine="216"/>
        <w:spacing w:after="0" w:line="256" w:lineRule="auto"/>
        <w:rPr>
          <w:sz w:val="20"/>
          <w:szCs w:val="20"/>
          <w:color w:val="auto"/>
        </w:rPr>
      </w:pPr>
      <w:r>
        <w:rPr>
          <w:rFonts w:ascii="Arial" w:cs="Arial" w:eastAsia="Arial" w:hAnsi="Arial"/>
          <w:sz w:val="12"/>
          <w:szCs w:val="12"/>
          <w:color w:val="auto"/>
        </w:rPr>
        <w:t>The carrying value of our property, plant and equipment (PP&amp;E) represents the cost incurred to acquire or develop the asset, including any asset retirement obligations and capitalized interest, net of accumulated depreciation, depletion and amortization (DD&amp;A) and any impairment charges. For assets acquired, initial PP&amp;E cost is based on fair values at the acquisition date. Asset retirement obligations are capitalized and amortized over the lives of the related 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040" w:type="dxa"/>
            <w:vAlign w:val="bottom"/>
          </w:tcPr>
          <w:p>
            <w:pPr>
              <w:ind w:left="200"/>
              <w:spacing w:after="0"/>
              <w:rPr>
                <w:sz w:val="20"/>
                <w:szCs w:val="20"/>
                <w:color w:val="auto"/>
              </w:rPr>
            </w:pPr>
            <w:r>
              <w:rPr>
                <w:rFonts w:ascii="Arial" w:cs="Arial" w:eastAsia="Arial" w:hAnsi="Arial"/>
                <w:sz w:val="12"/>
                <w:szCs w:val="12"/>
                <w:color w:val="auto"/>
              </w:rPr>
              <w:t>The following table summarizes the activity of capitalized exploratory well costs for the years ended December 31:</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66"/>
        </w:trPr>
        <w:tc>
          <w:tcPr>
            <w:tcW w:w="8040" w:type="dxa"/>
            <w:vAlign w:val="bottom"/>
          </w:tcPr>
          <w:p>
            <w:pPr>
              <w:spacing w:after="0"/>
              <w:rPr>
                <w:sz w:val="23"/>
                <w:szCs w:val="23"/>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2015</w:t>
            </w:r>
          </w:p>
        </w:tc>
      </w:tr>
      <w:tr>
        <w:trPr>
          <w:trHeight w:val="161"/>
        </w:trPr>
        <w:tc>
          <w:tcPr>
            <w:tcW w:w="8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0"/>
                <w:szCs w:val="10"/>
                <w:color w:val="auto"/>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4"/>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 beginning of year</w:t>
            </w: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r>
      <w:tr>
        <w:trPr>
          <w:trHeight w:val="176"/>
        </w:trPr>
        <w:tc>
          <w:tcPr>
            <w:tcW w:w="8040" w:type="dxa"/>
            <w:vAlign w:val="bottom"/>
          </w:tcPr>
          <w:p>
            <w:pPr>
              <w:ind w:left="20"/>
              <w:spacing w:after="0"/>
              <w:rPr>
                <w:sz w:val="20"/>
                <w:szCs w:val="20"/>
                <w:color w:val="auto"/>
              </w:rPr>
            </w:pPr>
            <w:r>
              <w:rPr>
                <w:rFonts w:ascii="Arial" w:cs="Arial" w:eastAsia="Arial" w:hAnsi="Arial"/>
                <w:sz w:val="12"/>
                <w:szCs w:val="12"/>
                <w:color w:val="auto"/>
              </w:rPr>
              <w:t>Additions to capitalized exploratory well costs pending the determination of proved reserves</w:t>
            </w:r>
          </w:p>
        </w:tc>
        <w:tc>
          <w:tcPr>
            <w:tcW w:w="740" w:type="dxa"/>
            <w:vAlign w:val="bottom"/>
          </w:tcPr>
          <w:p>
            <w:pPr>
              <w:spacing w:after="0"/>
              <w:rPr>
                <w:sz w:val="15"/>
                <w:szCs w:val="15"/>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16</w:t>
            </w:r>
          </w:p>
        </w:tc>
      </w:tr>
      <w:tr>
        <w:trPr>
          <w:trHeight w:val="185"/>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Reclassification to property, plant and equipment based on the determination of proved reserves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w:t>
            </w:r>
          </w:p>
        </w:tc>
      </w:tr>
      <w:tr>
        <w:trPr>
          <w:trHeight w:val="17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Capitalized exploratory well costs charged to expense</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w:t>
            </w:r>
          </w:p>
        </w:tc>
      </w:tr>
      <w:tr>
        <w:trPr>
          <w:trHeight w:val="17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 end of year</w:t>
            </w: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r>
    </w:tbl>
    <w:p>
      <w:pPr>
        <w:spacing w:after="0" w:line="89"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gas reserves are capitalized.</w:t>
      </w:r>
    </w:p>
    <w:p>
      <w:pPr>
        <w:spacing w:after="0" w:line="167"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Our gas plant and power plant assets are depreciated over the estimated useful lives of the assets, using the straight-line method, with expected initial useful lives of the assets ranging from two to 30 years. Other non-producing property and equipment is depreciated using the straight-line method based on expected initial lives of the individual assets or group of assets ranging from two to 20 years.</w:t>
      </w:r>
    </w:p>
    <w:p>
      <w:pPr>
        <w:spacing w:after="0" w:line="77"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No impairment charges were recorded in 2017 or 2016. In 2015, we recorded impairment charges on our properties, in part, based on year-end forward price curves, as well as assessing projects we determined we would not pursue in the foreseeable future given the then current environment. As a result, in the fourth quarter of 2015, we recorded pre-tax asset impairment charges of $4.9 billion on certain proved and unproved properties throughout our asset base. Approximately $100 million of the charge was related to unproved properties.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480"/>
          </w:cols>
          <w:pgMar w:left="220" w:top="377" w:right="199" w:bottom="1440" w:gutter="0" w:footer="0" w:header="0"/>
        </w:sectPr>
      </w:pPr>
    </w:p>
    <w:bookmarkStart w:id="90" w:name="page91"/>
    <w:bookmarkEnd w:id="90"/>
    <w:p>
      <w:pPr>
        <w:spacing w:after="0"/>
        <w:tabs>
          <w:tab w:leader="none" w:pos="540" w:val="left"/>
        </w:tabs>
        <w:rPr>
          <w:sz w:val="20"/>
          <w:szCs w:val="20"/>
          <w:color w:val="auto"/>
        </w:rPr>
      </w:pPr>
      <w:r>
        <w:rPr>
          <w:rFonts w:ascii="Arial" w:cs="Arial" w:eastAsia="Arial" w:hAnsi="Arial"/>
          <w:sz w:val="12"/>
          <w:szCs w:val="12"/>
          <w:b w:val="1"/>
          <w:bCs w:val="1"/>
          <w:color w:val="auto"/>
        </w:rPr>
        <w:t>NOTE 5</w:t>
      </w:r>
      <w:r>
        <w:rPr>
          <w:sz w:val="20"/>
          <w:szCs w:val="20"/>
          <w:color w:val="auto"/>
        </w:rPr>
        <w:tab/>
      </w:r>
      <w:r>
        <w:rPr>
          <w:rFonts w:ascii="Arial" w:cs="Arial" w:eastAsia="Arial" w:hAnsi="Arial"/>
          <w:sz w:val="11"/>
          <w:szCs w:val="11"/>
          <w:b w:val="1"/>
          <w:bCs w:val="1"/>
          <w:color w:val="auto"/>
        </w:rPr>
        <w:t>DEBT</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December 31, 2017 and 2016, our debt consisted of the following credit agreements, second lien notes and senior notes: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rPr>
              <w:t>Outstanding Principal</w:t>
            </w:r>
          </w:p>
        </w:tc>
        <w:tc>
          <w:tcPr>
            <w:tcW w:w="100" w:type="dxa"/>
            <w:vAlign w:val="bottom"/>
          </w:tcPr>
          <w:p>
            <w:pPr>
              <w:spacing w:after="0"/>
              <w:rPr>
                <w:sz w:val="12"/>
                <w:szCs w:val="12"/>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Interest Rate</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Maturity</w:t>
            </w:r>
          </w:p>
        </w:tc>
        <w:tc>
          <w:tcPr>
            <w:tcW w:w="19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Security</w:t>
            </w: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color w:val="auto"/>
              </w:rPr>
              <w:t>(in millions)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060" w:type="dxa"/>
            <w:vAlign w:val="bottom"/>
            <w:tcBorders>
              <w:top w:val="single" w:sz="8" w:color="auto"/>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6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40" w:type="dxa"/>
            <w:vAlign w:val="bottom"/>
            <w:tcBorders>
              <w:top w:val="single" w:sz="8" w:color="auto"/>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Credit Agreements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340" w:type="dxa"/>
            <w:vAlign w:val="bottom"/>
            <w:vMerge w:val="restart"/>
          </w:tcPr>
          <w:p>
            <w:pPr>
              <w:ind w:left="100"/>
              <w:spacing w:after="0"/>
              <w:rPr>
                <w:sz w:val="20"/>
                <w:szCs w:val="20"/>
                <w:color w:val="auto"/>
              </w:rPr>
            </w:pPr>
            <w:r>
              <w:rPr>
                <w:rFonts w:ascii="Arial" w:cs="Arial" w:eastAsia="Arial" w:hAnsi="Arial"/>
                <w:sz w:val="11"/>
                <w:szCs w:val="11"/>
                <w:color w:val="auto"/>
              </w:rPr>
              <w:t>2014 Revolving Credit Facility</w:t>
            </w:r>
            <w:r>
              <w:rPr>
                <w:rFonts w:ascii="Arial" w:cs="Arial" w:eastAsia="Arial" w:hAnsi="Arial"/>
                <w:sz w:val="14"/>
                <w:szCs w:val="14"/>
                <w:color w:val="auto"/>
                <w:vertAlign w:val="superscript"/>
              </w:rPr>
              <w: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LIBOR plus 3.25%-4.00%</w:t>
            </w: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40" w:type="dxa"/>
            <w:vAlign w:val="bottom"/>
            <w:vMerge w:val="continue"/>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363</w:t>
            </w:r>
          </w:p>
        </w:tc>
        <w:tc>
          <w:tcPr>
            <w:tcW w:w="12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847</w:t>
            </w:r>
          </w:p>
        </w:tc>
        <w:tc>
          <w:tcPr>
            <w:tcW w:w="100" w:type="dxa"/>
            <w:vAlign w:val="bottom"/>
          </w:tcPr>
          <w:p>
            <w:pPr>
              <w:spacing w:after="0"/>
              <w:rPr>
                <w:sz w:val="12"/>
                <w:szCs w:val="12"/>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ABR plus 2.25%-3.00%</w:t>
            </w:r>
          </w:p>
        </w:tc>
        <w:tc>
          <w:tcPr>
            <w:tcW w:w="216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June 30, 2021</w:t>
            </w:r>
          </w:p>
        </w:tc>
        <w:tc>
          <w:tcPr>
            <w:tcW w:w="1940" w:type="dxa"/>
            <w:vAlign w:val="bottom"/>
          </w:tcPr>
          <w:p>
            <w:pPr>
              <w:jc w:val="center"/>
              <w:spacing w:after="0"/>
              <w:rPr>
                <w:sz w:val="20"/>
                <w:szCs w:val="20"/>
                <w:color w:val="auto"/>
              </w:rPr>
            </w:pPr>
            <w:r>
              <w:rPr>
                <w:rFonts w:ascii="Arial" w:cs="Arial" w:eastAsia="Arial" w:hAnsi="Arial"/>
                <w:sz w:val="11"/>
                <w:szCs w:val="11"/>
                <w:color w:val="auto"/>
                <w:w w:val="98"/>
              </w:rPr>
              <w:t>Shared First-Priority Lien</w:t>
            </w:r>
          </w:p>
        </w:tc>
        <w:tc>
          <w:tcPr>
            <w:tcW w:w="0" w:type="dxa"/>
            <w:vAlign w:val="bottom"/>
          </w:tcPr>
          <w:p>
            <w:pPr>
              <w:spacing w:after="0"/>
              <w:rPr>
                <w:sz w:val="1"/>
                <w:szCs w:val="1"/>
                <w:color w:val="auto"/>
              </w:rPr>
            </w:pPr>
          </w:p>
        </w:tc>
      </w:tr>
      <w:tr>
        <w:trPr>
          <w:trHeight w:val="145"/>
        </w:trPr>
        <w:tc>
          <w:tcPr>
            <w:tcW w:w="3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7"/>
              </w:rPr>
              <w:t>LIBOR plus 3.25%-4.00%</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2014 Term Loan</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650</w:t>
            </w:r>
          </w:p>
        </w:tc>
        <w:tc>
          <w:tcPr>
            <w:tcW w:w="1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9"/>
              </w:rPr>
              <w:t>ABR plus 2.25%-3.00%</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7"/>
              </w:rPr>
              <w:t>June 30, 2021</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Shared First-Priority Lien</w:t>
            </w:r>
          </w:p>
        </w:tc>
        <w:tc>
          <w:tcPr>
            <w:tcW w:w="0" w:type="dxa"/>
            <w:vAlign w:val="bottom"/>
          </w:tcPr>
          <w:p>
            <w:pPr>
              <w:spacing w:after="0"/>
              <w:rPr>
                <w:sz w:val="1"/>
                <w:szCs w:val="1"/>
                <w:color w:val="auto"/>
              </w:rPr>
            </w:pPr>
          </w:p>
        </w:tc>
      </w:tr>
      <w:tr>
        <w:trPr>
          <w:trHeight w:val="145"/>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1"/>
                <w:szCs w:val="11"/>
                <w:color w:val="auto"/>
                <w:w w:val="99"/>
              </w:rPr>
              <w:t>LIBOR plus 4.75%</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1"/>
                <w:szCs w:val="11"/>
                <w:color w:val="auto"/>
                <w:w w:val="96"/>
              </w:rPr>
              <w:t>December 31, 2022</w:t>
            </w:r>
            <w:r>
              <w:rPr>
                <w:rFonts w:ascii="Arial" w:cs="Arial" w:eastAsia="Arial" w:hAnsi="Arial"/>
                <w:sz w:val="14"/>
                <w:szCs w:val="14"/>
                <w:color w:val="auto"/>
                <w:w w:val="96"/>
                <w:vertAlign w:val="superscript"/>
              </w:rPr>
              <w:t>(b)</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40" w:type="dxa"/>
            <w:vAlign w:val="bottom"/>
          </w:tcPr>
          <w:p>
            <w:pPr>
              <w:ind w:left="100"/>
              <w:spacing w:after="0"/>
              <w:rPr>
                <w:sz w:val="20"/>
                <w:szCs w:val="20"/>
                <w:color w:val="auto"/>
              </w:rPr>
            </w:pPr>
            <w:r>
              <w:rPr>
                <w:rFonts w:ascii="Arial" w:cs="Arial" w:eastAsia="Arial" w:hAnsi="Arial"/>
                <w:sz w:val="11"/>
                <w:szCs w:val="11"/>
                <w:color w:val="auto"/>
              </w:rPr>
              <w:t>2017 Credit Agreement</w:t>
            </w:r>
          </w:p>
        </w:tc>
        <w:tc>
          <w:tcPr>
            <w:tcW w:w="18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1,300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ABR plus 3.75%</w:t>
            </w:r>
          </w:p>
        </w:tc>
        <w:tc>
          <w:tcPr>
            <w:tcW w:w="2160" w:type="dxa"/>
            <w:vAlign w:val="bottom"/>
            <w:gridSpan w:val="2"/>
            <w:vMerge w:val="continue"/>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1"/>
                <w:szCs w:val="11"/>
                <w:color w:val="auto"/>
                <w:w w:val="98"/>
              </w:rPr>
              <w:t>Shared First-Priority Lien</w:t>
            </w:r>
          </w:p>
        </w:tc>
        <w:tc>
          <w:tcPr>
            <w:tcW w:w="0" w:type="dxa"/>
            <w:vAlign w:val="bottom"/>
          </w:tcPr>
          <w:p>
            <w:pPr>
              <w:spacing w:after="0"/>
              <w:rPr>
                <w:sz w:val="1"/>
                <w:szCs w:val="1"/>
                <w:color w:val="auto"/>
              </w:rPr>
            </w:pPr>
          </w:p>
        </w:tc>
      </w:tr>
      <w:tr>
        <w:trPr>
          <w:trHeight w:val="145"/>
        </w:trPr>
        <w:tc>
          <w:tcPr>
            <w:tcW w:w="3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9"/>
              </w:rPr>
              <w:t>LIBOR plus 10.375%</w:t>
            </w: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2016 Credit Agreement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9"/>
              </w:rPr>
              <w:t>ABR plus 9.375%</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9"/>
              </w:rPr>
              <w:t>December 31, 2021</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First-Priority Lien</w:t>
            </w:r>
          </w:p>
        </w:tc>
        <w:tc>
          <w:tcPr>
            <w:tcW w:w="0" w:type="dxa"/>
            <w:vAlign w:val="bottom"/>
          </w:tcPr>
          <w:p>
            <w:pPr>
              <w:spacing w:after="0"/>
              <w:rPr>
                <w:sz w:val="1"/>
                <w:szCs w:val="1"/>
                <w:color w:val="auto"/>
              </w:rPr>
            </w:pPr>
          </w:p>
        </w:tc>
      </w:tr>
      <w:tr>
        <w:trPr>
          <w:trHeight w:val="174"/>
        </w:trPr>
        <w:tc>
          <w:tcPr>
            <w:tcW w:w="3340" w:type="dxa"/>
            <w:vAlign w:val="bottom"/>
          </w:tcPr>
          <w:p>
            <w:pPr>
              <w:ind w:left="20"/>
              <w:spacing w:after="0"/>
              <w:rPr>
                <w:sz w:val="20"/>
                <w:szCs w:val="20"/>
                <w:color w:val="auto"/>
              </w:rPr>
            </w:pPr>
            <w:r>
              <w:rPr>
                <w:rFonts w:ascii="Arial" w:cs="Arial" w:eastAsia="Arial" w:hAnsi="Arial"/>
                <w:sz w:val="11"/>
                <w:szCs w:val="11"/>
                <w:b w:val="1"/>
                <w:bCs w:val="1"/>
                <w:color w:val="auto"/>
              </w:rPr>
              <w:t>Second Lien Notes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Second Lien Notes</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2,250</w:t>
            </w:r>
          </w:p>
        </w:tc>
        <w:tc>
          <w:tcPr>
            <w:tcW w:w="2160" w:type="dxa"/>
            <w:vAlign w:val="bottom"/>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87"/>
              </w:rPr>
              <w:t>8%</w:t>
            </w:r>
          </w:p>
        </w:tc>
        <w:tc>
          <w:tcPr>
            <w:tcW w:w="1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9"/>
              </w:rPr>
              <w:t>December 15, 2022</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Second-Priority Lien</w:t>
            </w:r>
          </w:p>
        </w:tc>
        <w:tc>
          <w:tcPr>
            <w:tcW w:w="0" w:type="dxa"/>
            <w:vAlign w:val="bottom"/>
          </w:tcPr>
          <w:p>
            <w:pPr>
              <w:spacing w:after="0"/>
              <w:rPr>
                <w:sz w:val="1"/>
                <w:szCs w:val="1"/>
                <w:color w:val="auto"/>
              </w:rPr>
            </w:pPr>
          </w:p>
        </w:tc>
      </w:tr>
      <w:tr>
        <w:trPr>
          <w:trHeight w:val="174"/>
        </w:trPr>
        <w:tc>
          <w:tcPr>
            <w:tcW w:w="3340" w:type="dxa"/>
            <w:vAlign w:val="bottom"/>
          </w:tcPr>
          <w:p>
            <w:pPr>
              <w:ind w:left="20"/>
              <w:spacing w:after="0"/>
              <w:rPr>
                <w:sz w:val="20"/>
                <w:szCs w:val="20"/>
                <w:color w:val="auto"/>
              </w:rPr>
            </w:pPr>
            <w:r>
              <w:rPr>
                <w:rFonts w:ascii="Arial" w:cs="Arial" w:eastAsia="Arial" w:hAnsi="Arial"/>
                <w:sz w:val="11"/>
                <w:szCs w:val="11"/>
                <w:b w:val="1"/>
                <w:bCs w:val="1"/>
                <w:color w:val="auto"/>
              </w:rPr>
              <w:t>Senior Notes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5% Senior Notes due 2020</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2160" w:type="dxa"/>
            <w:vAlign w:val="bottom"/>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87"/>
              </w:rPr>
              <w:t>5%</w:t>
            </w:r>
          </w:p>
        </w:tc>
        <w:tc>
          <w:tcPr>
            <w:tcW w:w="1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8"/>
              </w:rPr>
              <w:t>January 15, 2020</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Unsecured</w:t>
            </w:r>
          </w:p>
        </w:tc>
        <w:tc>
          <w:tcPr>
            <w:tcW w:w="0" w:type="dxa"/>
            <w:vAlign w:val="bottom"/>
          </w:tcPr>
          <w:p>
            <w:pPr>
              <w:spacing w:after="0"/>
              <w:rPr>
                <w:sz w:val="1"/>
                <w:szCs w:val="1"/>
                <w:color w:val="auto"/>
              </w:rPr>
            </w:pPr>
          </w:p>
        </w:tc>
      </w:tr>
      <w:tr>
        <w:trPr>
          <w:trHeight w:val="174"/>
        </w:trPr>
        <w:tc>
          <w:tcPr>
            <w:tcW w:w="3340" w:type="dxa"/>
            <w:vAlign w:val="bottom"/>
          </w:tcPr>
          <w:p>
            <w:pPr>
              <w:ind w:left="100"/>
              <w:spacing w:after="0"/>
              <w:rPr>
                <w:sz w:val="20"/>
                <w:szCs w:val="20"/>
                <w:color w:val="auto"/>
              </w:rPr>
            </w:pPr>
            <w:r>
              <w:rPr>
                <w:rFonts w:ascii="Arial" w:cs="Arial" w:eastAsia="Arial" w:hAnsi="Arial"/>
                <w:sz w:val="11"/>
                <w:szCs w:val="11"/>
                <w:color w:val="auto"/>
              </w:rPr>
              <w:t>5½% Senior Notes due 2021</w:t>
            </w:r>
          </w:p>
        </w:tc>
        <w:tc>
          <w:tcPr>
            <w:tcW w:w="180" w:type="dxa"/>
            <w:vAlign w:val="bottom"/>
          </w:tcPr>
          <w:p>
            <w:pPr>
              <w:spacing w:after="0"/>
              <w:rPr>
                <w:sz w:val="15"/>
                <w:szCs w:val="15"/>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135</w:t>
            </w:r>
          </w:p>
        </w:tc>
        <w:tc>
          <w:tcPr>
            <w:tcW w:w="2160" w:type="dxa"/>
            <w:vAlign w:val="bottom"/>
            <w:gridSpan w:val="2"/>
          </w:tcPr>
          <w:p>
            <w:pPr>
              <w:jc w:val="center"/>
              <w:ind w:left="4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5"/>
                <w:szCs w:val="15"/>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1"/>
                <w:szCs w:val="11"/>
                <w:color w:val="auto"/>
                <w:w w:val="98"/>
              </w:rPr>
              <w:t>September 15, 2021</w:t>
            </w:r>
          </w:p>
        </w:tc>
        <w:tc>
          <w:tcPr>
            <w:tcW w:w="1940" w:type="dxa"/>
            <w:vAlign w:val="bottom"/>
          </w:tcPr>
          <w:p>
            <w:pPr>
              <w:jc w:val="center"/>
              <w:spacing w:after="0"/>
              <w:rPr>
                <w:sz w:val="20"/>
                <w:szCs w:val="20"/>
                <w:color w:val="auto"/>
              </w:rPr>
            </w:pPr>
            <w:r>
              <w:rPr>
                <w:rFonts w:ascii="Arial" w:cs="Arial" w:eastAsia="Arial" w:hAnsi="Arial"/>
                <w:sz w:val="11"/>
                <w:szCs w:val="11"/>
                <w:color w:val="auto"/>
                <w:w w:val="97"/>
              </w:rPr>
              <w:t>Unsecured</w:t>
            </w:r>
          </w:p>
        </w:tc>
        <w:tc>
          <w:tcPr>
            <w:tcW w:w="0" w:type="dxa"/>
            <w:vAlign w:val="bottom"/>
          </w:tcPr>
          <w:p>
            <w:pPr>
              <w:spacing w:after="0"/>
              <w:rPr>
                <w:sz w:val="1"/>
                <w:szCs w:val="1"/>
                <w:color w:val="auto"/>
              </w:rPr>
            </w:pPr>
          </w:p>
        </w:tc>
      </w:tr>
      <w:tr>
        <w:trPr>
          <w:trHeight w:val="187"/>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6% Senior Notes due 2024</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193</w:t>
            </w:r>
          </w:p>
        </w:tc>
        <w:tc>
          <w:tcPr>
            <w:tcW w:w="2160" w:type="dxa"/>
            <w:vAlign w:val="bottom"/>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87"/>
              </w:rPr>
              <w:t>6%</w:t>
            </w:r>
          </w:p>
        </w:tc>
        <w:tc>
          <w:tcPr>
            <w:tcW w:w="1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9"/>
              </w:rPr>
              <w:t>November 15, 2024</w:t>
            </w:r>
          </w:p>
        </w:tc>
        <w:tc>
          <w:tcPr>
            <w:tcW w:w="19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Unsecured</w:t>
            </w:r>
          </w:p>
        </w:tc>
        <w:tc>
          <w:tcPr>
            <w:tcW w:w="0" w:type="dxa"/>
            <w:vAlign w:val="bottom"/>
          </w:tcPr>
          <w:p>
            <w:pPr>
              <w:spacing w:after="0"/>
              <w:rPr>
                <w:sz w:val="1"/>
                <w:szCs w:val="1"/>
                <w:color w:val="auto"/>
              </w:rPr>
            </w:pPr>
          </w:p>
        </w:tc>
      </w:tr>
      <w:tr>
        <w:trPr>
          <w:trHeight w:val="154"/>
        </w:trPr>
        <w:tc>
          <w:tcPr>
            <w:tcW w:w="3340" w:type="dxa"/>
            <w:vAlign w:val="bottom"/>
          </w:tcPr>
          <w:p>
            <w:pPr>
              <w:ind w:left="20"/>
              <w:spacing w:after="0"/>
              <w:rPr>
                <w:sz w:val="20"/>
                <w:szCs w:val="20"/>
                <w:color w:val="auto"/>
              </w:rPr>
            </w:pPr>
            <w:r>
              <w:rPr>
                <w:rFonts w:ascii="Arial" w:cs="Arial" w:eastAsia="Arial" w:hAnsi="Arial"/>
                <w:sz w:val="11"/>
                <w:szCs w:val="11"/>
                <w:b w:val="1"/>
                <w:bCs w:val="1"/>
                <w:color w:val="auto"/>
              </w:rPr>
              <w:t>Total Debt - Principal Amount</w:t>
            </w:r>
          </w:p>
        </w:tc>
        <w:tc>
          <w:tcPr>
            <w:tcW w:w="180" w:type="dxa"/>
            <w:vAlign w:val="bottom"/>
          </w:tcPr>
          <w:p>
            <w:pPr>
              <w:spacing w:after="0"/>
              <w:rPr>
                <w:sz w:val="13"/>
                <w:szCs w:val="1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5,306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5,268</w:t>
            </w: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Current Maturities of Long-Term Debt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40" w:type="dxa"/>
            <w:vAlign w:val="bottom"/>
          </w:tcPr>
          <w:p>
            <w:pPr>
              <w:ind w:left="20"/>
              <w:spacing w:after="0"/>
              <w:rPr>
                <w:sz w:val="20"/>
                <w:szCs w:val="20"/>
                <w:color w:val="auto"/>
              </w:rPr>
            </w:pPr>
            <w:r>
              <w:rPr>
                <w:rFonts w:ascii="Arial" w:cs="Arial" w:eastAsia="Arial" w:hAnsi="Arial"/>
                <w:sz w:val="11"/>
                <w:szCs w:val="11"/>
                <w:b w:val="1"/>
                <w:bCs w:val="1"/>
                <w:color w:val="auto"/>
              </w:rPr>
              <w:t>Long-Term Debt - Principal Amount</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5,306</w:t>
            </w: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5,168</w:t>
            </w: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20" w:hanging="212"/>
        <w:spacing w:after="0"/>
        <w:tabs>
          <w:tab w:leader="none" w:pos="420" w:val="left"/>
        </w:tabs>
        <w:numPr>
          <w:ilvl w:val="0"/>
          <w:numId w:val="58"/>
        </w:numPr>
        <w:rPr>
          <w:rFonts w:ascii="Arial" w:cs="Arial" w:eastAsia="Arial" w:hAnsi="Arial"/>
          <w:sz w:val="10"/>
          <w:szCs w:val="10"/>
          <w:color w:val="auto"/>
        </w:rPr>
      </w:pPr>
      <w:r>
        <w:rPr>
          <w:rFonts w:ascii="Arial" w:cs="Arial" w:eastAsia="Arial" w:hAnsi="Arial"/>
          <w:sz w:val="10"/>
          <w:szCs w:val="10"/>
          <w:color w:val="auto"/>
        </w:rPr>
        <w:t xml:space="preserve">Following the Ares JV transaction in February 2018, we have no outstanding principal balance on our 2014 Revolving Credit Facility. See </w:t>
      </w:r>
      <w:r>
        <w:rPr>
          <w:rFonts w:ascii="Arial" w:cs="Arial" w:eastAsia="Arial" w:hAnsi="Arial"/>
          <w:sz w:val="10"/>
          <w:szCs w:val="10"/>
          <w:i w:val="1"/>
          <w:iCs w:val="1"/>
          <w:color w:val="auto"/>
        </w:rPr>
        <w:t>Note 14 Subsequent Event</w:t>
      </w:r>
      <w:r>
        <w:rPr>
          <w:rFonts w:ascii="Arial" w:cs="Arial" w:eastAsia="Arial" w:hAnsi="Arial"/>
          <w:sz w:val="10"/>
          <w:szCs w:val="10"/>
          <w:color w:val="auto"/>
        </w:rPr>
        <w:t xml:space="preserve"> for further information on the Ares JV.</w:t>
      </w:r>
    </w:p>
    <w:p>
      <w:pPr>
        <w:spacing w:after="0" w:line="39" w:lineRule="exact"/>
        <w:rPr>
          <w:rFonts w:ascii="Arial" w:cs="Arial" w:eastAsia="Arial" w:hAnsi="Arial"/>
          <w:sz w:val="10"/>
          <w:szCs w:val="10"/>
          <w:color w:val="auto"/>
        </w:rPr>
      </w:pPr>
    </w:p>
    <w:p>
      <w:pPr>
        <w:ind w:left="420" w:hanging="212"/>
        <w:spacing w:after="0"/>
        <w:tabs>
          <w:tab w:leader="none" w:pos="420"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 2017 Credit Agreement is subject to a springing maturity of 91 days prior to the maturity of our 2016 Credit Agreement if more than $100 million is outstanding at that time.</w:t>
      </w:r>
    </w:p>
    <w:p>
      <w:pPr>
        <w:spacing w:after="0" w:line="134" w:lineRule="exact"/>
        <w:rPr>
          <w:sz w:val="20"/>
          <w:szCs w:val="20"/>
          <w:color w:val="auto"/>
        </w:rPr>
      </w:pPr>
    </w:p>
    <w:p>
      <w:pPr>
        <w:ind w:right="360" w:firstLine="216"/>
        <w:spacing w:after="0" w:line="262" w:lineRule="auto"/>
        <w:rPr>
          <w:sz w:val="20"/>
          <w:szCs w:val="20"/>
          <w:color w:val="auto"/>
        </w:rPr>
      </w:pPr>
      <w:r>
        <w:rPr>
          <w:rFonts w:ascii="Arial" w:cs="Arial" w:eastAsia="Arial" w:hAnsi="Arial"/>
          <w:sz w:val="12"/>
          <w:szCs w:val="12"/>
          <w:color w:val="auto"/>
        </w:rPr>
        <w:t>At December 31, 2017, deferred gain and issuance costs were $287 million net, consisting of $415 million of deferred gains offset by $128 million of deferred issuance costs and original issue discounts. The December 31, 2016 deferred gain and issuance costs were $397 million net, consisting of $489 million of deferred gains offset by $92 million of deferred issuance costs and original issue discounts.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2014 Revolving Credit Facility</w:t>
      </w:r>
    </w:p>
    <w:p>
      <w:pPr>
        <w:spacing w:after="0" w:line="162"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In September 2014, we entered into a Credit Agreement with JPMorgan Chase Bank, N.A, as administrative agent, and certain other lenders. This credit agreement currently consists of a $1 billion senior revolving loan facility (2014 Revolving Credit Facility), which we are permitted to increase by up to $50 million if we obtain additional commitments from new or existing lenders. Previously this credit agreement included a term loan facility (2014 Term Loan) that was repaid in full in November 2017.</w:t>
      </w:r>
    </w:p>
    <w:p>
      <w:pPr>
        <w:spacing w:after="0" w:line="135" w:lineRule="exact"/>
        <w:rPr>
          <w:sz w:val="20"/>
          <w:szCs w:val="20"/>
          <w:color w:val="auto"/>
        </w:rPr>
      </w:pPr>
    </w:p>
    <w:p>
      <w:pPr>
        <w:jc w:val="both"/>
        <w:ind w:right="340" w:firstLine="216"/>
        <w:spacing w:after="0" w:line="256" w:lineRule="auto"/>
        <w:rPr>
          <w:sz w:val="20"/>
          <w:szCs w:val="20"/>
          <w:color w:val="auto"/>
        </w:rPr>
      </w:pPr>
      <w:r>
        <w:rPr>
          <w:rFonts w:ascii="Arial" w:cs="Arial" w:eastAsia="Arial" w:hAnsi="Arial"/>
          <w:sz w:val="12"/>
          <w:szCs w:val="12"/>
          <w:color w:val="auto"/>
        </w:rPr>
        <w:t>As of December 31, 2017, we had approximately $489 million of available borrowing capacity, before taking into account a $150 million month-end minimum liquidity requirement. Our 2014 Revolving Credit Facility also includes a sub-limit of $400 million for the issuance of letters of credit. As of December 31, 2017 and 2016, we had letters of credit of approximately $148 million and $130 million, respectively. These letters of credit were issued to support ordinary course marketing, insurance, regulatory and other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480"/>
          </w:cols>
          <w:pgMar w:left="220" w:top="377" w:right="199" w:bottom="1440" w:gutter="0" w:footer="0" w:header="0"/>
        </w:sectPr>
      </w:pPr>
    </w:p>
    <w:bookmarkStart w:id="91" w:name="page92"/>
    <w:bookmarkEnd w:id="91"/>
    <w:p>
      <w:pPr>
        <w:ind w:right="20" w:firstLine="216"/>
        <w:spacing w:after="0" w:line="283" w:lineRule="auto"/>
        <w:rPr>
          <w:sz w:val="20"/>
          <w:szCs w:val="20"/>
          <w:color w:val="auto"/>
        </w:rPr>
      </w:pPr>
      <w:r>
        <w:rPr>
          <w:rFonts w:ascii="Arial" w:cs="Arial" w:eastAsia="Arial" w:hAnsi="Arial"/>
          <w:sz w:val="12"/>
          <w:szCs w:val="12"/>
          <w:i w:val="1"/>
          <w:iCs w:val="1"/>
          <w:color w:val="auto"/>
        </w:rPr>
        <w:t xml:space="preserve">Security </w:t>
      </w:r>
      <w:r>
        <w:rPr>
          <w:rFonts w:ascii="Arial" w:cs="Arial" w:eastAsia="Arial" w:hAnsi="Arial"/>
          <w:sz w:val="12"/>
          <w:szCs w:val="12"/>
          <w:color w:val="auto"/>
        </w:rPr>
        <w:t>– As of December 31, 2017, the lenders had a shared first-priority lien on a substantial majority of our assets, including our Elk Hills power plant and midstream assets. Following the formation of the Ares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JV in February 2018, the Elk Hills power plant and certain other midstream assets are no longer subject to the shared first-priority lien. See </w:t>
      </w:r>
      <w:r>
        <w:rPr>
          <w:rFonts w:ascii="Arial" w:cs="Arial" w:eastAsia="Arial" w:hAnsi="Arial"/>
          <w:sz w:val="12"/>
          <w:szCs w:val="12"/>
          <w:i w:val="1"/>
          <w:iCs w:val="1"/>
          <w:color w:val="auto"/>
        </w:rPr>
        <w:t>Note 14 Subsequent Event</w:t>
      </w:r>
      <w:r>
        <w:rPr>
          <w:rFonts w:ascii="Arial" w:cs="Arial" w:eastAsia="Arial" w:hAnsi="Arial"/>
          <w:sz w:val="12"/>
          <w:szCs w:val="12"/>
          <w:color w:val="auto"/>
        </w:rPr>
        <w:t xml:space="preserve"> for further information on the Ares JV.</w:t>
      </w:r>
    </w:p>
    <w:p>
      <w:pPr>
        <w:spacing w:after="0" w:line="107" w:lineRule="exact"/>
        <w:rPr>
          <w:sz w:val="20"/>
          <w:szCs w:val="20"/>
          <w:color w:val="auto"/>
        </w:rPr>
      </w:pPr>
    </w:p>
    <w:p>
      <w:pPr>
        <w:ind w:right="40" w:firstLine="216"/>
        <w:spacing w:after="0" w:line="258" w:lineRule="auto"/>
        <w:rPr>
          <w:sz w:val="20"/>
          <w:szCs w:val="20"/>
          <w:color w:val="auto"/>
        </w:rPr>
      </w:pPr>
      <w:r>
        <w:rPr>
          <w:rFonts w:ascii="Arial" w:cs="Arial" w:eastAsia="Arial" w:hAnsi="Arial"/>
          <w:sz w:val="12"/>
          <w:szCs w:val="12"/>
          <w:i w:val="1"/>
          <w:iCs w:val="1"/>
          <w:color w:val="auto"/>
        </w:rPr>
        <w:t xml:space="preserve">Interest Rate </w:t>
      </w:r>
      <w:r>
        <w:rPr>
          <w:rFonts w:ascii="Arial" w:cs="Arial" w:eastAsia="Arial" w:hAnsi="Arial"/>
          <w:sz w:val="12"/>
          <w:szCs w:val="12"/>
          <w:color w:val="auto"/>
        </w:rPr>
        <w:t>– We can elect to borrow at either a London Interbank Offered Rate (LIBOR) rate or an alternate base rate (ABR), in each case plus an applicable margin. The ABR is equal to the highest of (i) the</w:t>
      </w:r>
      <w:r>
        <w:rPr>
          <w:rFonts w:ascii="Arial" w:cs="Arial" w:eastAsia="Arial" w:hAnsi="Arial"/>
          <w:sz w:val="12"/>
          <w:szCs w:val="12"/>
          <w:i w:val="1"/>
          <w:iCs w:val="1"/>
          <w:color w:val="auto"/>
        </w:rPr>
        <w:t xml:space="preserve"> </w:t>
      </w:r>
      <w:r>
        <w:rPr>
          <w:rFonts w:ascii="Arial" w:cs="Arial" w:eastAsia="Arial" w:hAnsi="Arial"/>
          <w:sz w:val="12"/>
          <w:szCs w:val="12"/>
          <w:color w:val="auto"/>
        </w:rPr>
        <w:t>federal funds effective rate plus 0.50%, (ii) the administrative agent’s prime rate and (iii) the one-month LIBOR rate plus 1.00%. The applicable margin is adjusted based on the borrowing base utilization percentage under the 2014 Revolving Credit Facility and will vary from (i) in the case of LIBOR loans, 3.25% to 4.00% and (ii) in the case of ABR loans, 2.25% to 3.00%. The unused portion of our commitments is subject to a commitment fee that ranges from 0.30% to 0.50% per annum. We also pay customary fees and expenses. Interest on ABR loans is payable quarterly in arrears. Interest on LIBOR loans is payable at the end of each LIBOR period, but not less than quarterly.</w:t>
      </w:r>
    </w:p>
    <w:p>
      <w:pPr>
        <w:spacing w:after="0" w:line="123" w:lineRule="exact"/>
        <w:rPr>
          <w:sz w:val="20"/>
          <w:szCs w:val="20"/>
          <w:color w:val="auto"/>
        </w:rPr>
      </w:pPr>
    </w:p>
    <w:p>
      <w:pPr>
        <w:ind w:right="200" w:firstLine="216"/>
        <w:spacing w:after="0" w:line="266" w:lineRule="auto"/>
        <w:rPr>
          <w:sz w:val="20"/>
          <w:szCs w:val="20"/>
          <w:color w:val="auto"/>
        </w:rPr>
      </w:pPr>
      <w:r>
        <w:rPr>
          <w:rFonts w:ascii="Arial" w:cs="Arial" w:eastAsia="Arial" w:hAnsi="Arial"/>
          <w:sz w:val="12"/>
          <w:szCs w:val="12"/>
          <w:i w:val="1"/>
          <w:iCs w:val="1"/>
          <w:color w:val="auto"/>
        </w:rPr>
        <w:t xml:space="preserve">Maturity Date </w:t>
      </w:r>
      <w:r>
        <w:rPr>
          <w:rFonts w:ascii="Arial" w:cs="Arial" w:eastAsia="Arial" w:hAnsi="Arial"/>
          <w:sz w:val="12"/>
          <w:szCs w:val="12"/>
          <w:color w:val="auto"/>
        </w:rPr>
        <w:t>– Our 2014 Revolving Credit Facility matures on June 30, 2021. Previously this facility was subject to a springing maturity of 273 days prior to the maturity of each of our 2020 Notes or our 2021</w:t>
      </w:r>
      <w:r>
        <w:rPr>
          <w:rFonts w:ascii="Arial" w:cs="Arial" w:eastAsia="Arial" w:hAnsi="Arial"/>
          <w:sz w:val="12"/>
          <w:szCs w:val="12"/>
          <w:i w:val="1"/>
          <w:iCs w:val="1"/>
          <w:color w:val="auto"/>
        </w:rPr>
        <w:t xml:space="preserve"> </w:t>
      </w:r>
      <w:r>
        <w:rPr>
          <w:rFonts w:ascii="Arial" w:cs="Arial" w:eastAsia="Arial" w:hAnsi="Arial"/>
          <w:sz w:val="12"/>
          <w:szCs w:val="12"/>
          <w:color w:val="auto"/>
        </w:rPr>
        <w:t>Notes if more than $100 million of such notes were outstanding on such date. During the fourth quarter of 2017, we repurchased $65 million in principal amount of 2020 Notes and $35 million in principal amount of 2021 Notes which eliminated this springing maturity feature.</w:t>
      </w:r>
    </w:p>
    <w:p>
      <w:pPr>
        <w:spacing w:after="0" w:line="118" w:lineRule="exact"/>
        <w:rPr>
          <w:sz w:val="20"/>
          <w:szCs w:val="20"/>
          <w:color w:val="auto"/>
        </w:rPr>
      </w:pPr>
    </w:p>
    <w:p>
      <w:pPr>
        <w:ind w:firstLine="216"/>
        <w:spacing w:after="0" w:line="261" w:lineRule="auto"/>
        <w:rPr>
          <w:sz w:val="20"/>
          <w:szCs w:val="20"/>
          <w:color w:val="auto"/>
        </w:rPr>
      </w:pPr>
      <w:r>
        <w:rPr>
          <w:rFonts w:ascii="Arial" w:cs="Arial" w:eastAsia="Arial" w:hAnsi="Arial"/>
          <w:sz w:val="12"/>
          <w:szCs w:val="12"/>
          <w:i w:val="1"/>
          <w:iCs w:val="1"/>
          <w:color w:val="auto"/>
        </w:rPr>
        <w:t xml:space="preserve">Amortization Payments </w:t>
      </w:r>
      <w:r>
        <w:rPr>
          <w:rFonts w:ascii="Arial" w:cs="Arial" w:eastAsia="Arial" w:hAnsi="Arial"/>
          <w:sz w:val="12"/>
          <w:szCs w:val="12"/>
          <w:color w:val="auto"/>
        </w:rPr>
        <w:t>– The 2014 Revolving Credit Facility does not include any obligation to make amortization payments. In November 2017, we paid the remaining balance of our 2014 Term Loan in the</w:t>
      </w:r>
      <w:r>
        <w:rPr>
          <w:rFonts w:ascii="Arial" w:cs="Arial" w:eastAsia="Arial" w:hAnsi="Arial"/>
          <w:sz w:val="12"/>
          <w:szCs w:val="12"/>
          <w:i w:val="1"/>
          <w:iCs w:val="1"/>
          <w:color w:val="auto"/>
        </w:rPr>
        <w:t xml:space="preserve"> </w:t>
      </w:r>
      <w:r>
        <w:rPr>
          <w:rFonts w:ascii="Arial" w:cs="Arial" w:eastAsia="Arial" w:hAnsi="Arial"/>
          <w:sz w:val="12"/>
          <w:szCs w:val="12"/>
          <w:color w:val="auto"/>
        </w:rPr>
        <w:t>amount of $559 million. Prior to that, we made a $16 million prepayment on our 2014 Term Loan from the proceeds of non-core asset sales in February 2017. In 2016 and through the nine months ended September 30, 2017, we made scheduled quarterly payments of $25 million on our 2014 Term Loan for an aggregate amount of $175 million. In August 2016, we made a $250 million prepayment on our 2014 Term Loan from the proceeds of our 2016 Credit Agreement.</w:t>
      </w:r>
    </w:p>
    <w:p>
      <w:pPr>
        <w:spacing w:after="0" w:line="120" w:lineRule="exact"/>
        <w:rPr>
          <w:sz w:val="20"/>
          <w:szCs w:val="20"/>
          <w:color w:val="auto"/>
        </w:rPr>
      </w:pPr>
    </w:p>
    <w:p>
      <w:pPr>
        <w:ind w:right="80" w:firstLine="216"/>
        <w:spacing w:after="0" w:line="258" w:lineRule="auto"/>
        <w:rPr>
          <w:sz w:val="20"/>
          <w:szCs w:val="20"/>
          <w:color w:val="auto"/>
        </w:rPr>
      </w:pPr>
      <w:r>
        <w:rPr>
          <w:rFonts w:ascii="Arial" w:cs="Arial" w:eastAsia="Arial" w:hAnsi="Arial"/>
          <w:sz w:val="12"/>
          <w:szCs w:val="12"/>
          <w:i w:val="1"/>
          <w:iCs w:val="1"/>
          <w:color w:val="auto"/>
        </w:rPr>
        <w:t xml:space="preserve">Borrowing Base </w:t>
      </w:r>
      <w:r>
        <w:rPr>
          <w:rFonts w:ascii="Arial" w:cs="Arial" w:eastAsia="Arial" w:hAnsi="Arial"/>
          <w:sz w:val="12"/>
          <w:szCs w:val="12"/>
          <w:color w:val="auto"/>
        </w:rPr>
        <w:t>– The borrowing base is redetermined each May 1 and November 1, and was mostly recently reaffirmed at $2.3 billion on November 1, 2017. The borrowing base is based upon a number of</w:t>
      </w:r>
      <w:r>
        <w:rPr>
          <w:rFonts w:ascii="Arial" w:cs="Arial" w:eastAsia="Arial" w:hAnsi="Arial"/>
          <w:sz w:val="12"/>
          <w:szCs w:val="12"/>
          <w:i w:val="1"/>
          <w:iCs w:val="1"/>
          <w:color w:val="auto"/>
        </w:rPr>
        <w:t xml:space="preserve"> </w:t>
      </w:r>
      <w:r>
        <w:rPr>
          <w:rFonts w:ascii="Arial" w:cs="Arial" w:eastAsia="Arial" w:hAnsi="Arial"/>
          <w:sz w:val="12"/>
          <w:szCs w:val="12"/>
          <w:color w:val="auto"/>
        </w:rPr>
        <w:t>factors, including commodity prices and reserves, declines in which could cause our borrowing base to be reduced. Increases in our borrowing base require approval of at least 80% of our lenders while decreases or affirmations require a two-thirds approval, in each case as measured by relative commitment amount. We and the lenders (requiring a request from the lenders holding two-thirds of the commitments) each may request a special redetermination once in any period between three consecutive scheduled redeterminations. We will be permitted to have collateral released when both (i) our credit ratings are at least Baa3 from Moody's and BBB- from S&amp;P, in each case with a stable or better outlook, and (ii) certain permitted liens securing other debt are released.</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Financial Covenants </w:t>
      </w:r>
      <w:r>
        <w:rPr>
          <w:rFonts w:ascii="Arial" w:cs="Arial" w:eastAsia="Arial" w:hAnsi="Arial"/>
          <w:sz w:val="12"/>
          <w:szCs w:val="12"/>
          <w:color w:val="auto"/>
        </w:rPr>
        <w:t>– As of December 31, 2017, our financial performance covenants included a monthly minimum liquidity requirement of not less than $150 million and the following:</w:t>
      </w:r>
    </w:p>
    <w:p>
      <w:pPr>
        <w:sectPr>
          <w:pgSz w:w="11900" w:h="16838" w:orient="portrait"/>
          <w:cols w:equalWidth="0" w:num="1">
            <w:col w:w="11440"/>
          </w:cols>
          <w:pgMar w:left="220" w:top="289" w:right="239" w:bottom="1440" w:gutter="0" w:footer="0" w:header="0"/>
        </w:sectPr>
      </w:pPr>
    </w:p>
    <w:p>
      <w:pPr>
        <w:spacing w:after="0" w:line="121" w:lineRule="exact"/>
        <w:rPr>
          <w:sz w:val="20"/>
          <w:szCs w:val="20"/>
          <w:color w:val="auto"/>
        </w:rPr>
      </w:pPr>
    </w:p>
    <w:p>
      <w:pPr>
        <w:ind w:left="880"/>
        <w:spacing w:after="0"/>
        <w:tabs>
          <w:tab w:leader="none" w:pos="3540" w:val="left"/>
          <w:tab w:leader="none" w:pos="6760" w:val="left"/>
        </w:tabs>
        <w:rPr>
          <w:sz w:val="20"/>
          <w:szCs w:val="20"/>
          <w:color w:val="auto"/>
        </w:rPr>
      </w:pPr>
      <w:r>
        <w:rPr>
          <w:rFonts w:ascii="Arial" w:cs="Arial" w:eastAsia="Arial" w:hAnsi="Arial"/>
          <w:sz w:val="12"/>
          <w:szCs w:val="12"/>
          <w:b w:val="1"/>
          <w:bCs w:val="1"/>
          <w:color w:val="auto"/>
        </w:rPr>
        <w:t>Ratio</w:t>
      </w:r>
      <w:r>
        <w:rPr>
          <w:sz w:val="20"/>
          <w:szCs w:val="20"/>
          <w:color w:val="auto"/>
        </w:rPr>
        <w:tab/>
      </w:r>
      <w:r>
        <w:rPr>
          <w:rFonts w:ascii="Arial" w:cs="Arial" w:eastAsia="Arial" w:hAnsi="Arial"/>
          <w:sz w:val="12"/>
          <w:szCs w:val="12"/>
          <w:b w:val="1"/>
          <w:bCs w:val="1"/>
          <w:color w:val="auto"/>
        </w:rPr>
        <w:t>Components</w:t>
      </w:r>
      <w:r>
        <w:rPr>
          <w:rFonts w:ascii="Arial" w:cs="Arial" w:eastAsia="Arial" w:hAnsi="Arial"/>
          <w:sz w:val="14"/>
          <w:szCs w:val="14"/>
          <w:b w:val="1"/>
          <w:bCs w:val="1"/>
          <w:color w:val="auto"/>
          <w:vertAlign w:val="superscript"/>
        </w:rPr>
        <w:t>(a)</w:t>
      </w:r>
      <w:r>
        <w:rPr>
          <w:sz w:val="20"/>
          <w:szCs w:val="20"/>
          <w:color w:val="auto"/>
        </w:rPr>
        <w:tab/>
      </w:r>
      <w:r>
        <w:rPr>
          <w:rFonts w:ascii="Arial" w:cs="Arial" w:eastAsia="Arial" w:hAnsi="Arial"/>
          <w:sz w:val="11"/>
          <w:szCs w:val="11"/>
          <w:b w:val="1"/>
          <w:bCs w:val="1"/>
          <w:color w:val="auto"/>
        </w:rPr>
        <w:t>Required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280910" cy="200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0910" cy="200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Tested</w:t>
      </w:r>
    </w:p>
    <w:p>
      <w:pPr>
        <w:spacing w:after="0" w:line="41" w:lineRule="exact"/>
        <w:rPr>
          <w:sz w:val="20"/>
          <w:szCs w:val="20"/>
          <w:color w:val="auto"/>
        </w:rPr>
      </w:pPr>
    </w:p>
    <w:p>
      <w:pPr>
        <w:sectPr>
          <w:pgSz w:w="11900" w:h="16838" w:orient="portrait"/>
          <w:cols w:equalWidth="0" w:num="2">
            <w:col w:w="9180" w:space="720"/>
            <w:col w:w="1540"/>
          </w:cols>
          <w:pgMar w:left="220" w:top="289" w:right="239" w:bottom="1440" w:gutter="0" w:footer="0" w:header="0"/>
          <w:type w:val="continuous"/>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2"/>
          <w:szCs w:val="12"/>
          <w:color w:val="auto"/>
        </w:rPr>
        <w:t>Maximum leverage ratio</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1"/>
          <w:szCs w:val="11"/>
          <w:color w:val="auto"/>
        </w:rPr>
        <w:t>Minimum interest coverage ratio</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Minimum asset coverage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35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Ratio of indebtedness under our 2014 Revolving Credit Facility to</w:t>
            </w:r>
          </w:p>
        </w:tc>
        <w:tc>
          <w:tcPr>
            <w:tcW w:w="120" w:type="dxa"/>
            <w:vAlign w:val="bottom"/>
          </w:tcPr>
          <w:p>
            <w:pPr>
              <w:spacing w:after="0"/>
              <w:rPr>
                <w:sz w:val="12"/>
                <w:szCs w:val="12"/>
                <w:color w:val="auto"/>
              </w:rPr>
            </w:pPr>
          </w:p>
        </w:tc>
        <w:tc>
          <w:tcPr>
            <w:tcW w:w="27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Not greater than 1.90 to 1.00 through 2019</w:t>
            </w:r>
          </w:p>
        </w:tc>
      </w:tr>
      <w:tr>
        <w:trPr>
          <w:trHeight w:val="145"/>
        </w:trPr>
        <w:tc>
          <w:tcPr>
            <w:tcW w:w="3680" w:type="dxa"/>
            <w:vAlign w:val="bottom"/>
            <w:gridSpan w:val="2"/>
          </w:tcPr>
          <w:p>
            <w:pPr>
              <w:ind w:left="20"/>
              <w:spacing w:after="0"/>
              <w:rPr>
                <w:sz w:val="20"/>
                <w:szCs w:val="20"/>
                <w:color w:val="auto"/>
              </w:rPr>
            </w:pPr>
            <w:r>
              <w:rPr>
                <w:rFonts w:ascii="Arial" w:cs="Arial" w:eastAsia="Arial" w:hAnsi="Arial"/>
                <w:sz w:val="12"/>
                <w:szCs w:val="12"/>
                <w:color w:val="auto"/>
              </w:rPr>
              <w:t>trailing four-quarter Adjusted EBITDAX</w:t>
            </w:r>
          </w:p>
        </w:tc>
        <w:tc>
          <w:tcPr>
            <w:tcW w:w="2760" w:type="dxa"/>
            <w:vAlign w:val="bottom"/>
          </w:tcPr>
          <w:p>
            <w:pPr>
              <w:ind w:left="20"/>
              <w:spacing w:after="0"/>
              <w:rPr>
                <w:sz w:val="20"/>
                <w:szCs w:val="20"/>
                <w:color w:val="auto"/>
              </w:rPr>
            </w:pPr>
            <w:r>
              <w:rPr>
                <w:rFonts w:ascii="Arial" w:cs="Arial" w:eastAsia="Arial" w:hAnsi="Arial"/>
                <w:sz w:val="12"/>
                <w:szCs w:val="12"/>
                <w:color w:val="auto"/>
              </w:rPr>
              <w:t>Not greater than 1.50 to 1.00 after 2019</w:t>
            </w:r>
          </w:p>
        </w:tc>
      </w:tr>
      <w:tr>
        <w:trPr>
          <w:trHeight w:val="171"/>
        </w:trPr>
        <w:tc>
          <w:tcPr>
            <w:tcW w:w="3680" w:type="dxa"/>
            <w:vAlign w:val="bottom"/>
            <w:gridSpan w:val="2"/>
          </w:tcPr>
          <w:p>
            <w:pPr>
              <w:ind w:left="20"/>
              <w:spacing w:after="0"/>
              <w:rPr>
                <w:sz w:val="20"/>
                <w:szCs w:val="20"/>
                <w:color w:val="auto"/>
              </w:rPr>
            </w:pPr>
            <w:r>
              <w:rPr>
                <w:rFonts w:ascii="Arial" w:cs="Arial" w:eastAsia="Arial" w:hAnsi="Arial"/>
                <w:sz w:val="12"/>
                <w:szCs w:val="12"/>
                <w:color w:val="auto"/>
              </w:rPr>
              <w:t>Ratio of Adjusted EBITDAX to consolidated cash interest charges</w:t>
            </w:r>
          </w:p>
        </w:tc>
        <w:tc>
          <w:tcPr>
            <w:tcW w:w="2760" w:type="dxa"/>
            <w:vAlign w:val="bottom"/>
          </w:tcPr>
          <w:p>
            <w:pPr>
              <w:ind w:left="20"/>
              <w:spacing w:after="0"/>
              <w:rPr>
                <w:sz w:val="20"/>
                <w:szCs w:val="20"/>
                <w:color w:val="auto"/>
              </w:rPr>
            </w:pPr>
            <w:r>
              <w:rPr>
                <w:rFonts w:ascii="Arial" w:cs="Arial" w:eastAsia="Arial" w:hAnsi="Arial"/>
                <w:sz w:val="12"/>
                <w:szCs w:val="12"/>
                <w:color w:val="auto"/>
              </w:rPr>
              <w:t>Not less than 1.20 to 1.00</w:t>
            </w:r>
          </w:p>
        </w:tc>
      </w:tr>
      <w:tr>
        <w:trPr>
          <w:trHeight w:val="180"/>
        </w:trPr>
        <w:tc>
          <w:tcPr>
            <w:tcW w:w="3680" w:type="dxa"/>
            <w:vAlign w:val="bottom"/>
            <w:gridSpan w:val="2"/>
          </w:tcPr>
          <w:p>
            <w:pPr>
              <w:ind w:left="20"/>
              <w:spacing w:after="0"/>
              <w:rPr>
                <w:sz w:val="20"/>
                <w:szCs w:val="20"/>
                <w:color w:val="auto"/>
              </w:rPr>
            </w:pPr>
            <w:r>
              <w:rPr>
                <w:rFonts w:ascii="Arial" w:cs="Arial" w:eastAsia="Arial" w:hAnsi="Arial"/>
                <w:sz w:val="12"/>
                <w:szCs w:val="12"/>
                <w:color w:val="auto"/>
              </w:rPr>
              <w:t>Ratio of PV-10 to first lien indebtedness</w:t>
            </w:r>
          </w:p>
        </w:tc>
        <w:tc>
          <w:tcPr>
            <w:tcW w:w="2760" w:type="dxa"/>
            <w:vAlign w:val="bottom"/>
          </w:tcPr>
          <w:p>
            <w:pPr>
              <w:ind w:left="20"/>
              <w:spacing w:after="0"/>
              <w:rPr>
                <w:sz w:val="20"/>
                <w:szCs w:val="20"/>
                <w:color w:val="auto"/>
              </w:rPr>
            </w:pPr>
            <w:r>
              <w:rPr>
                <w:rFonts w:ascii="Arial" w:cs="Arial" w:eastAsia="Arial" w:hAnsi="Arial"/>
                <w:sz w:val="12"/>
                <w:szCs w:val="12"/>
                <w:color w:val="auto"/>
              </w:rPr>
              <w:t>Not less than 1.20 to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-102235</wp:posOffset>
            </wp:positionV>
            <wp:extent cx="728091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91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Quarterly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Quarterly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Quarterly</w:t>
      </w:r>
    </w:p>
    <w:p>
      <w:pPr>
        <w:spacing w:after="0" w:line="63" w:lineRule="exact"/>
        <w:rPr>
          <w:sz w:val="20"/>
          <w:szCs w:val="20"/>
          <w:color w:val="auto"/>
        </w:rPr>
      </w:pPr>
    </w:p>
    <w:p>
      <w:pPr>
        <w:sectPr>
          <w:pgSz w:w="11900" w:h="16838" w:orient="portrait"/>
          <w:cols w:equalWidth="0" w:num="3">
            <w:col w:w="1720" w:space="460"/>
            <w:col w:w="6440" w:space="120"/>
            <w:col w:w="2700"/>
          </w:cols>
          <w:pgMar w:left="220" w:top="289" w:right="239" w:bottom="1440" w:gutter="0" w:footer="0" w:header="0"/>
          <w:type w:val="continuous"/>
        </w:sectPr>
      </w:pPr>
    </w:p>
    <w:p>
      <w:pPr>
        <w:ind w:left="420" w:hanging="212"/>
        <w:spacing w:after="0"/>
        <w:tabs>
          <w:tab w:leader="none" w:pos="420" w:val="left"/>
        </w:tabs>
        <w:numPr>
          <w:ilvl w:val="0"/>
          <w:numId w:val="59"/>
        </w:numPr>
        <w:rPr>
          <w:rFonts w:ascii="Arial" w:cs="Arial" w:eastAsia="Arial" w:hAnsi="Arial"/>
          <w:sz w:val="10"/>
          <w:szCs w:val="10"/>
          <w:color w:val="auto"/>
        </w:rPr>
      </w:pPr>
      <w:r>
        <w:rPr>
          <w:rFonts w:ascii="Arial" w:cs="Arial" w:eastAsia="Arial" w:hAnsi="Arial"/>
          <w:sz w:val="10"/>
          <w:szCs w:val="10"/>
          <w:color w:val="auto"/>
        </w:rPr>
        <w:t>Refer to the terms of our credit agreements for more detailed descriptions of the components of our financial covenants.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440"/>
          </w:cols>
          <w:pgMar w:left="220" w:top="289" w:right="239" w:bottom="1440" w:gutter="0" w:footer="0" w:header="0"/>
          <w:type w:val="continuous"/>
        </w:sectPr>
      </w:pPr>
    </w:p>
    <w:bookmarkStart w:id="92" w:name="page93"/>
    <w:bookmarkEnd w:id="92"/>
    <w:p>
      <w:pPr>
        <w:ind w:right="120" w:firstLine="216"/>
        <w:spacing w:after="0" w:line="266" w:lineRule="auto"/>
        <w:rPr>
          <w:sz w:val="20"/>
          <w:szCs w:val="20"/>
          <w:color w:val="auto"/>
        </w:rPr>
      </w:pPr>
      <w:r>
        <w:rPr>
          <w:rFonts w:ascii="Arial" w:cs="Arial" w:eastAsia="Arial" w:hAnsi="Arial"/>
          <w:sz w:val="12"/>
          <w:szCs w:val="12"/>
          <w:i w:val="1"/>
          <w:iCs w:val="1"/>
          <w:color w:val="auto"/>
        </w:rPr>
        <w:t xml:space="preserve">Other Covenants </w:t>
      </w:r>
      <w:r>
        <w:rPr>
          <w:rFonts w:ascii="Arial" w:cs="Arial" w:eastAsia="Arial" w:hAnsi="Arial"/>
          <w:sz w:val="12"/>
          <w:szCs w:val="12"/>
          <w:color w:val="auto"/>
        </w:rPr>
        <w:t>– Our 2014 Revolving Credit Facility includes covenants that, among other things, restrict our ability to incur additional indebtedness, grant liens, make asset sales and investments, repay</w:t>
      </w:r>
      <w:r>
        <w:rPr>
          <w:rFonts w:ascii="Arial" w:cs="Arial" w:eastAsia="Arial" w:hAnsi="Arial"/>
          <w:sz w:val="12"/>
          <w:szCs w:val="12"/>
          <w:i w:val="1"/>
          <w:iCs w:val="1"/>
          <w:color w:val="auto"/>
        </w:rPr>
        <w:t xml:space="preserve"> </w:t>
      </w:r>
      <w:r>
        <w:rPr>
          <w:rFonts w:ascii="Arial" w:cs="Arial" w:eastAsia="Arial" w:hAnsi="Arial"/>
          <w:sz w:val="12"/>
          <w:szCs w:val="12"/>
          <w:color w:val="auto"/>
        </w:rPr>
        <w:t>existing indebtedness, pay dividends to common stockholders, make subsidiary distributions and enter into transactions that would result in fundamental changes. Generally, these covenants include exceptions that allow us to pursue some of these activities in certain circumstances. In addition to these covenants, we must also apply cash on hand in excess of $150 million daily to repay amounts outstanding.</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Except for dispositions to development JVs, we must generally apply all of the proceeds from the sale of assets included in our borrowing base to repay loans outstanding under our 2014 Revolving Credit Facility.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the sale of non-borrowing base assets (other than the Elk Hills power plant), we must apply the net cash proceeds to repay outstanding loans as follows:</w:t>
      </w:r>
    </w:p>
    <w:p>
      <w:pPr>
        <w:spacing w:after="0" w:line="168" w:lineRule="exact"/>
        <w:rPr>
          <w:sz w:val="20"/>
          <w:szCs w:val="20"/>
          <w:color w:val="auto"/>
        </w:rPr>
      </w:pPr>
    </w:p>
    <w:p>
      <w:pPr>
        <w:ind w:left="460" w:hanging="252"/>
        <w:spacing w:after="0"/>
        <w:tabs>
          <w:tab w:leader="none" w:pos="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25% of such proceeds for all net cash proceeds received up to $500 million</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50% of such proceeds for all net cash proceeds received between $500 million and $1 billion</w:t>
      </w:r>
    </w:p>
    <w:p>
      <w:pPr>
        <w:spacing w:after="0" w:line="33" w:lineRule="exact"/>
        <w:rPr>
          <w:rFonts w:ascii="Arial" w:cs="Arial" w:eastAsia="Arial" w:hAnsi="Arial"/>
          <w:sz w:val="12"/>
          <w:szCs w:val="12"/>
          <w:color w:val="auto"/>
        </w:rPr>
      </w:pPr>
    </w:p>
    <w:p>
      <w:pPr>
        <w:ind w:left="460" w:hanging="252"/>
        <w:spacing w:after="0"/>
        <w:tabs>
          <w:tab w:leader="none" w:pos="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75% of such proceeds for all net cash proceeds received in excess of $1 billion.</w:t>
      </w:r>
    </w:p>
    <w:p>
      <w:pPr>
        <w:spacing w:after="0" w:line="159" w:lineRule="exact"/>
        <w:rPr>
          <w:sz w:val="20"/>
          <w:szCs w:val="20"/>
          <w:color w:val="auto"/>
        </w:rPr>
      </w:pPr>
    </w:p>
    <w:p>
      <w:pPr>
        <w:ind w:right="80" w:firstLine="216"/>
        <w:spacing w:after="0" w:line="262" w:lineRule="auto"/>
        <w:rPr>
          <w:sz w:val="20"/>
          <w:szCs w:val="20"/>
          <w:color w:val="auto"/>
        </w:rPr>
      </w:pPr>
      <w:r>
        <w:rPr>
          <w:rFonts w:ascii="Arial" w:cs="Arial" w:eastAsia="Arial" w:hAnsi="Arial"/>
          <w:sz w:val="12"/>
          <w:szCs w:val="12"/>
          <w:color w:val="auto"/>
        </w:rPr>
        <w:t>We are permitted to use the balance of the proceeds for general corporate purposes including acquisitions and to repurchase our Second Lien Notes and Senior Notes subject to certain conditions, including that any repurchase be at a 20% minimum discount to par, pro-forma compliance with our financial performance covenants and that we maintain minimum liquidity of $250 million following such repurchase.</w:t>
      </w:r>
    </w:p>
    <w:p>
      <w:pPr>
        <w:spacing w:after="0" w:line="131"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2"/>
          <w:szCs w:val="12"/>
          <w:color w:val="auto"/>
        </w:rPr>
        <w:t xml:space="preserve">Consistent with the terms of the 2014 Credit Facility, 50% of the proceeds of an Elk Hills power plant sale are required to be used to repay outstanding loans with the balance of the funds used as described above for non-borrowing base assets. In connection with the February 2018 Ares JV transaction, we used $297 million of the net proceeds to repay all of the then outstanding loans under our 2014 Revolving Credit Facility. See </w:t>
      </w:r>
      <w:r>
        <w:rPr>
          <w:rFonts w:ascii="Arial" w:cs="Arial" w:eastAsia="Arial" w:hAnsi="Arial"/>
          <w:sz w:val="12"/>
          <w:szCs w:val="12"/>
          <w:i w:val="1"/>
          <w:iCs w:val="1"/>
          <w:color w:val="auto"/>
        </w:rPr>
        <w:t>Note 14 Subsequent Event</w:t>
      </w:r>
      <w:r>
        <w:rPr>
          <w:rFonts w:ascii="Arial" w:cs="Arial" w:eastAsia="Arial" w:hAnsi="Arial"/>
          <w:sz w:val="12"/>
          <w:szCs w:val="12"/>
          <w:color w:val="auto"/>
        </w:rPr>
        <w:t xml:space="preserve"> for further information on the Ares JV.</w:t>
      </w:r>
    </w:p>
    <w:p>
      <w:pPr>
        <w:spacing w:after="0" w:line="123" w:lineRule="exact"/>
        <w:rPr>
          <w:sz w:val="20"/>
          <w:szCs w:val="20"/>
          <w:color w:val="auto"/>
        </w:rPr>
      </w:pPr>
    </w:p>
    <w:p>
      <w:pPr>
        <w:ind w:right="180" w:firstLine="216"/>
        <w:spacing w:after="0" w:line="283" w:lineRule="auto"/>
        <w:rPr>
          <w:sz w:val="20"/>
          <w:szCs w:val="20"/>
          <w:color w:val="auto"/>
        </w:rPr>
      </w:pPr>
      <w:r>
        <w:rPr>
          <w:rFonts w:ascii="Arial" w:cs="Arial" w:eastAsia="Arial" w:hAnsi="Arial"/>
          <w:sz w:val="12"/>
          <w:szCs w:val="12"/>
          <w:i w:val="1"/>
          <w:iCs w:val="1"/>
          <w:color w:val="auto"/>
        </w:rPr>
        <w:t xml:space="preserve">Prior Amendments </w:t>
      </w:r>
      <w:r>
        <w:rPr>
          <w:rFonts w:ascii="Arial" w:cs="Arial" w:eastAsia="Arial" w:hAnsi="Arial"/>
          <w:sz w:val="12"/>
          <w:szCs w:val="12"/>
          <w:color w:val="auto"/>
        </w:rPr>
        <w:t>– Our 2014 Revolving Credit Facility was most recently amended in November 2017. As part of that amendment, we repaid the $559 million balance of our 2014 Term Loan and modified the</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and other covenants of our 2014 Revolving Credit Facility.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2017 Credit Agreement</w:t>
      </w:r>
    </w:p>
    <w:p>
      <w:pPr>
        <w:spacing w:after="0" w:line="162"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In November 2017, we entered into a $1.3 billion credit agreement with The Bank of New York Mellon Trust Company, N.A., as administrative agent, and certain other lenders (2017 Credit Agreement). The net proceeds were used to pay the $559 million remaining balance of our 2014 Term Loan, resulting in a loss on the early extinguishment of debt of $8 million, reduce the balance of our 2014 Revolving Credit Facility and pay accrued interest. The proceeds received were net of a $26 million original issue discount and $38 million in transaction costs. As of December 31, 2017, we had a $1.3 billion term loan outstanding under our 2017 Credit Agreement.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Security </w:t>
      </w:r>
      <w:r>
        <w:rPr>
          <w:rFonts w:ascii="Arial" w:cs="Arial" w:eastAsia="Arial" w:hAnsi="Arial"/>
          <w:sz w:val="12"/>
          <w:szCs w:val="12"/>
          <w:color w:val="auto"/>
        </w:rPr>
        <w:t>– Our 2017 Credit Agreement is secured by the same shared first-priority lien used to secure our 2014 Revolving Credit Facility.</w:t>
      </w:r>
    </w:p>
    <w:p>
      <w:pPr>
        <w:spacing w:after="0" w:line="150" w:lineRule="exact"/>
        <w:rPr>
          <w:sz w:val="20"/>
          <w:szCs w:val="20"/>
          <w:color w:val="auto"/>
        </w:rPr>
      </w:pPr>
    </w:p>
    <w:p>
      <w:pPr>
        <w:ind w:right="40" w:firstLine="216"/>
        <w:spacing w:after="0" w:line="261" w:lineRule="auto"/>
        <w:rPr>
          <w:sz w:val="20"/>
          <w:szCs w:val="20"/>
          <w:color w:val="auto"/>
        </w:rPr>
      </w:pPr>
      <w:r>
        <w:rPr>
          <w:rFonts w:ascii="Arial" w:cs="Arial" w:eastAsia="Arial" w:hAnsi="Arial"/>
          <w:sz w:val="12"/>
          <w:szCs w:val="12"/>
          <w:i w:val="1"/>
          <w:iCs w:val="1"/>
          <w:color w:val="auto"/>
        </w:rPr>
        <w:t xml:space="preserve">Maturity Date </w:t>
      </w:r>
      <w:r>
        <w:rPr>
          <w:rFonts w:ascii="Arial" w:cs="Arial" w:eastAsia="Arial" w:hAnsi="Arial"/>
          <w:sz w:val="12"/>
          <w:szCs w:val="12"/>
          <w:color w:val="auto"/>
        </w:rPr>
        <w:t>– The loans mature on December 31, 2022, subject to a springing maturity of 91 days prior to the maturity of our 2016 Credit Agreement if more than $100 million is outstanding at that time.</w:t>
      </w:r>
      <w:r>
        <w:rPr>
          <w:rFonts w:ascii="Arial" w:cs="Arial" w:eastAsia="Arial" w:hAnsi="Arial"/>
          <w:sz w:val="12"/>
          <w:szCs w:val="12"/>
          <w:i w:val="1"/>
          <w:iCs w:val="1"/>
          <w:color w:val="auto"/>
        </w:rPr>
        <w:t xml:space="preserve"> </w:t>
      </w:r>
      <w:r>
        <w:rPr>
          <w:rFonts w:ascii="Arial" w:cs="Arial" w:eastAsia="Arial" w:hAnsi="Arial"/>
          <w:sz w:val="12"/>
          <w:szCs w:val="12"/>
          <w:color w:val="auto"/>
        </w:rPr>
        <w:t>Previously these loans included a springing maturity of 91 days prior to the maturity of our 2020 Notes or our 2021 Notes if more than $100 million of such notes were outstanding on such date. During the fourth quarter of 2017, we repurchased $65 million in principal amount of 2020 Notes and $35 million in principal amount of 2021 Notes which eliminated the springing maturity feature in the 2017 Credit Agreement that was tied to those notes. Prepayment more than 90 days prior to maturity is subject to a 2% premium.</w:t>
      </w:r>
    </w:p>
    <w:p>
      <w:pPr>
        <w:spacing w:after="0" w:line="120" w:lineRule="exact"/>
        <w:rPr>
          <w:sz w:val="20"/>
          <w:szCs w:val="20"/>
          <w:color w:val="auto"/>
        </w:rPr>
      </w:pPr>
    </w:p>
    <w:p>
      <w:pPr>
        <w:ind w:right="20" w:firstLine="216"/>
        <w:spacing w:after="0" w:line="266" w:lineRule="auto"/>
        <w:rPr>
          <w:sz w:val="20"/>
          <w:szCs w:val="20"/>
          <w:color w:val="auto"/>
        </w:rPr>
      </w:pPr>
      <w:r>
        <w:rPr>
          <w:rFonts w:ascii="Arial" w:cs="Arial" w:eastAsia="Arial" w:hAnsi="Arial"/>
          <w:sz w:val="12"/>
          <w:szCs w:val="12"/>
          <w:i w:val="1"/>
          <w:iCs w:val="1"/>
          <w:color w:val="auto"/>
        </w:rPr>
        <w:t xml:space="preserve">Financial and Other Covenants </w:t>
      </w:r>
      <w:r>
        <w:rPr>
          <w:rFonts w:ascii="Arial" w:cs="Arial" w:eastAsia="Arial" w:hAnsi="Arial"/>
          <w:sz w:val="12"/>
          <w:szCs w:val="12"/>
          <w:color w:val="auto"/>
        </w:rPr>
        <w:t>– We are required to maintain a first-lien asset coverage ratio of not less than 1.20 to 1.00 as of any June 30 and December 31. In addition, our 2017 Credit Agreement provides for</w:t>
      </w:r>
      <w:r>
        <w:rPr>
          <w:rFonts w:ascii="Arial" w:cs="Arial" w:eastAsia="Arial" w:hAnsi="Arial"/>
          <w:sz w:val="12"/>
          <w:szCs w:val="12"/>
          <w:i w:val="1"/>
          <w:iCs w:val="1"/>
          <w:color w:val="auto"/>
        </w:rPr>
        <w:t xml:space="preserve"> </w:t>
      </w:r>
      <w:r>
        <w:rPr>
          <w:rFonts w:ascii="Arial" w:cs="Arial" w:eastAsia="Arial" w:hAnsi="Arial"/>
          <w:sz w:val="12"/>
          <w:szCs w:val="12"/>
          <w:color w:val="auto"/>
        </w:rPr>
        <w:t>customary covenants and events of default consistent with, or generally less restrictive than, the covenants in our 2014 Revolving Credit Facility, including limitations on additional indebtedness, liens, asset dispositions, investments and restricted payments and other negative covenants, in each case subject to certain limitations and exceptions.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440"/>
          </w:cols>
          <w:pgMar w:left="220" w:top="289" w:right="239" w:bottom="1440" w:gutter="0" w:footer="0" w:header="0"/>
        </w:sectPr>
      </w:pPr>
    </w:p>
    <w:bookmarkStart w:id="93" w:name="page94"/>
    <w:bookmarkEnd w:id="93"/>
    <w:p>
      <w:pPr>
        <w:spacing w:after="0"/>
        <w:rPr>
          <w:sz w:val="20"/>
          <w:szCs w:val="20"/>
          <w:color w:val="auto"/>
        </w:rPr>
      </w:pPr>
      <w:r>
        <w:rPr>
          <w:rFonts w:ascii="Arial" w:cs="Arial" w:eastAsia="Arial" w:hAnsi="Arial"/>
          <w:sz w:val="12"/>
          <w:szCs w:val="12"/>
          <w:i w:val="1"/>
          <w:iCs w:val="1"/>
          <w:u w:val="single" w:color="auto"/>
          <w:color w:val="auto"/>
        </w:rPr>
        <w:t>2016 Credit Agreement</w:t>
      </w:r>
    </w:p>
    <w:p>
      <w:pPr>
        <w:spacing w:after="0" w:line="162" w:lineRule="exact"/>
        <w:rPr>
          <w:sz w:val="20"/>
          <w:szCs w:val="20"/>
          <w:color w:val="auto"/>
        </w:rPr>
      </w:pPr>
    </w:p>
    <w:p>
      <w:pPr>
        <w:ind w:right="340" w:firstLine="216"/>
        <w:spacing w:after="0" w:line="256" w:lineRule="auto"/>
        <w:rPr>
          <w:sz w:val="20"/>
          <w:szCs w:val="20"/>
          <w:color w:val="auto"/>
        </w:rPr>
      </w:pPr>
      <w:r>
        <w:rPr>
          <w:rFonts w:ascii="Arial" w:cs="Arial" w:eastAsia="Arial" w:hAnsi="Arial"/>
          <w:sz w:val="12"/>
          <w:szCs w:val="12"/>
          <w:color w:val="auto"/>
        </w:rPr>
        <w:t>In August 2016, we entered into a $1 billion credit agreement with The Bank of New York Mellon Trust Company, N.A., as administrative agent, and certain other lenders (2016 Credit Agreement). The net proceeds from the 2016 Credit Agreement were used to (i) prepay $250 million of our 2014 Term Loan and (ii) reduce our 2014 Revolving Credit Facility by $740 million. The proceeds received were net of a $10 million original issue discount. As of December 31, 2017, we had a $1 billion term loan outstanding under our 2016 Credit Agreement.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Security </w:t>
      </w:r>
      <w:r>
        <w:rPr>
          <w:rFonts w:ascii="Arial" w:cs="Arial" w:eastAsia="Arial" w:hAnsi="Arial"/>
          <w:sz w:val="12"/>
          <w:szCs w:val="12"/>
          <w:color w:val="auto"/>
        </w:rPr>
        <w:t>– Our 2016 Credit Agreement is secured by a first-priority lien on a substantial majority of our assets but is second in collateral recovery to our 2014 Revolving Credit Facility and 2017 Credit Agreement.</w:t>
      </w:r>
    </w:p>
    <w:p>
      <w:pPr>
        <w:spacing w:after="0" w:line="150" w:lineRule="exact"/>
        <w:rPr>
          <w:sz w:val="20"/>
          <w:szCs w:val="20"/>
          <w:color w:val="auto"/>
        </w:rPr>
      </w:pPr>
    </w:p>
    <w:p>
      <w:pPr>
        <w:ind w:firstLine="216"/>
        <w:spacing w:after="0" w:line="261" w:lineRule="auto"/>
        <w:rPr>
          <w:sz w:val="20"/>
          <w:szCs w:val="20"/>
          <w:color w:val="auto"/>
        </w:rPr>
      </w:pPr>
      <w:r>
        <w:rPr>
          <w:rFonts w:ascii="Arial" w:cs="Arial" w:eastAsia="Arial" w:hAnsi="Arial"/>
          <w:sz w:val="12"/>
          <w:szCs w:val="12"/>
          <w:i w:val="1"/>
          <w:iCs w:val="1"/>
          <w:color w:val="auto"/>
        </w:rPr>
        <w:t xml:space="preserve">Maturity Date </w:t>
      </w:r>
      <w:r>
        <w:rPr>
          <w:rFonts w:ascii="Arial" w:cs="Arial" w:eastAsia="Arial" w:hAnsi="Arial"/>
          <w:sz w:val="12"/>
          <w:szCs w:val="12"/>
          <w:color w:val="auto"/>
        </w:rPr>
        <w:t>– The loans mature on December 31, 2021. Previously these loans included a springing maturity of 91 days prior to the maturity of our 2020 Notes or our 2021 Notes if more than $100 million of such</w:t>
      </w:r>
      <w:r>
        <w:rPr>
          <w:rFonts w:ascii="Arial" w:cs="Arial" w:eastAsia="Arial" w:hAnsi="Arial"/>
          <w:sz w:val="12"/>
          <w:szCs w:val="12"/>
          <w:i w:val="1"/>
          <w:iCs w:val="1"/>
          <w:color w:val="auto"/>
        </w:rPr>
        <w:t xml:space="preserve"> </w:t>
      </w:r>
      <w:r>
        <w:rPr>
          <w:rFonts w:ascii="Arial" w:cs="Arial" w:eastAsia="Arial" w:hAnsi="Arial"/>
          <w:sz w:val="12"/>
          <w:szCs w:val="12"/>
          <w:color w:val="auto"/>
        </w:rPr>
        <w:t>notes were outstanding on such date. During the fourth quarter of 2017, we repurchased $ 65 million in principal amount of 2020 Notes and $35 million in principal amount of 2021 Notes which eliminated the springing maturity feature in the 2016 Credit Agreement that was tied to those notes. Prepayment is subject to a variable make-whole amount prior to the fourth anniversary. Following the fourth anniversary, we may redeem at par.</w:t>
      </w:r>
    </w:p>
    <w:p>
      <w:pPr>
        <w:spacing w:after="0" w:line="120" w:lineRule="exact"/>
        <w:rPr>
          <w:sz w:val="20"/>
          <w:szCs w:val="20"/>
          <w:color w:val="auto"/>
        </w:rPr>
      </w:pPr>
    </w:p>
    <w:p>
      <w:pPr>
        <w:ind w:right="220" w:firstLine="216"/>
        <w:spacing w:after="0" w:line="283" w:lineRule="auto"/>
        <w:rPr>
          <w:sz w:val="20"/>
          <w:szCs w:val="20"/>
          <w:color w:val="auto"/>
        </w:rPr>
      </w:pPr>
      <w:r>
        <w:rPr>
          <w:rFonts w:ascii="Arial" w:cs="Arial" w:eastAsia="Arial" w:hAnsi="Arial"/>
          <w:sz w:val="12"/>
          <w:szCs w:val="12"/>
          <w:i w:val="1"/>
          <w:iCs w:val="1"/>
          <w:color w:val="auto"/>
        </w:rPr>
        <w:t xml:space="preserve">Financial and Other Covenants </w:t>
      </w:r>
      <w:r>
        <w:rPr>
          <w:rFonts w:ascii="Arial" w:cs="Arial" w:eastAsia="Arial" w:hAnsi="Arial"/>
          <w:sz w:val="12"/>
          <w:szCs w:val="12"/>
          <w:color w:val="auto"/>
        </w:rPr>
        <w:t>– We are required to maintain a first–lien asset coverage ratio of not less than 1.20 to 1.00 as of any June 30 and December 31. Our 2016 Credit Agreement also includes other</w:t>
      </w:r>
      <w:r>
        <w:rPr>
          <w:rFonts w:ascii="Arial" w:cs="Arial" w:eastAsia="Arial" w:hAnsi="Arial"/>
          <w:sz w:val="12"/>
          <w:szCs w:val="12"/>
          <w:i w:val="1"/>
          <w:iCs w:val="1"/>
          <w:color w:val="auto"/>
        </w:rPr>
        <w:t xml:space="preserve"> </w:t>
      </w:r>
      <w:r>
        <w:rPr>
          <w:rFonts w:ascii="Arial" w:cs="Arial" w:eastAsia="Arial" w:hAnsi="Arial"/>
          <w:sz w:val="12"/>
          <w:szCs w:val="12"/>
          <w:color w:val="auto"/>
        </w:rPr>
        <w:t>covenants that are substantially similar to our 2017 Credit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Second Lien Notes</w:t>
      </w:r>
    </w:p>
    <w:p>
      <w:pPr>
        <w:spacing w:after="0" w:line="162" w:lineRule="exact"/>
        <w:rPr>
          <w:sz w:val="20"/>
          <w:szCs w:val="20"/>
          <w:color w:val="auto"/>
        </w:rPr>
      </w:pPr>
    </w:p>
    <w:p>
      <w:pPr>
        <w:ind w:firstLine="216"/>
        <w:spacing w:after="0" w:line="256" w:lineRule="auto"/>
        <w:rPr>
          <w:sz w:val="20"/>
          <w:szCs w:val="20"/>
          <w:color w:val="auto"/>
        </w:rPr>
      </w:pPr>
      <w:r>
        <w:rPr>
          <w:rFonts w:ascii="Arial" w:cs="Arial" w:eastAsia="Arial" w:hAnsi="Arial"/>
          <w:sz w:val="12"/>
          <w:szCs w:val="12"/>
          <w:color w:val="auto"/>
        </w:rPr>
        <w:t>In December 2015, we issued $2.25 billion in aggregate principal amount of 8% senior secured second-lien notes due December 15, 2022 (Second Lien Notes). The Second Lien Notes were issued in exchange for $2.8 billion of our then outstanding Senior Notes. We recorded a deferred gain of approximately $560 million on the debt exchange, which is being amortized using the effective interest rate method over the term of our Second Lien Notes. We pay cash interest semiannually in arrears on June 15 and December 15.</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Security </w:t>
      </w:r>
      <w:r>
        <w:rPr>
          <w:rFonts w:ascii="Arial" w:cs="Arial" w:eastAsia="Arial" w:hAnsi="Arial"/>
          <w:sz w:val="12"/>
          <w:szCs w:val="12"/>
          <w:color w:val="auto"/>
        </w:rPr>
        <w:t>– Our Second Lien Notes are secured on a junior-priority basis to the first-priority liens that secure the loans under our 2014 Revolving Credit Facility, 2017 Credit Agreement and 2016 Credit Agreement.</w:t>
      </w:r>
    </w:p>
    <w:p>
      <w:pPr>
        <w:spacing w:after="0" w:line="15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2"/>
          <w:szCs w:val="12"/>
          <w:i w:val="1"/>
          <w:iCs w:val="1"/>
          <w:color w:val="auto"/>
        </w:rPr>
        <w:t xml:space="preserve">Financial and Other Covenants </w:t>
      </w:r>
      <w:r>
        <w:rPr>
          <w:rFonts w:ascii="Arial" w:cs="Arial" w:eastAsia="Arial" w:hAnsi="Arial"/>
          <w:sz w:val="12"/>
          <w:szCs w:val="12"/>
          <w:color w:val="auto"/>
        </w:rPr>
        <w:t>– The indenture includes covenants that, among other things, limit our ability to grant liens securing borrowed money (subject to certain exceptions) and restrict our ability to merge</w:t>
      </w:r>
      <w:r>
        <w:rPr>
          <w:rFonts w:ascii="Arial" w:cs="Arial" w:eastAsia="Arial" w:hAnsi="Arial"/>
          <w:sz w:val="12"/>
          <w:szCs w:val="12"/>
          <w:i w:val="1"/>
          <w:iCs w:val="1"/>
          <w:color w:val="auto"/>
        </w:rPr>
        <w:t xml:space="preserve"> </w:t>
      </w:r>
      <w:r>
        <w:rPr>
          <w:rFonts w:ascii="Arial" w:cs="Arial" w:eastAsia="Arial" w:hAnsi="Arial"/>
          <w:sz w:val="12"/>
          <w:szCs w:val="12"/>
          <w:color w:val="auto"/>
        </w:rPr>
        <w:t>or consolidate with, or transfer all or substantially all of our assets to, another entity. The covenants are not, however, directly linked to measures of our financial performance. In addition, if we experience a “change of control triggering event” (as defined in the indenture), we will be required, unless we have exercised our right to redeem our Second Lien Notes, to offer to purchase our Second Lien Notes at a purchase price equal to 101% of their principal amount, plus accrued and unpaid interest. The indenture also restricts our ability to sell certain assets and to release collateral from liens securing our Second Lien Notes, unless the collateral is also released in compliance with our senior credit facilities.</w:t>
      </w:r>
    </w:p>
    <w:p>
      <w:pPr>
        <w:spacing w:after="0" w:line="123" w:lineRule="exact"/>
        <w:rPr>
          <w:sz w:val="20"/>
          <w:szCs w:val="20"/>
          <w:color w:val="auto"/>
        </w:rPr>
      </w:pPr>
    </w:p>
    <w:p>
      <w:pPr>
        <w:ind w:right="100" w:firstLine="216"/>
        <w:spacing w:after="0" w:line="266" w:lineRule="auto"/>
        <w:rPr>
          <w:sz w:val="20"/>
          <w:szCs w:val="20"/>
          <w:color w:val="auto"/>
        </w:rPr>
      </w:pPr>
      <w:r>
        <w:rPr>
          <w:rFonts w:ascii="Arial" w:cs="Arial" w:eastAsia="Arial" w:hAnsi="Arial"/>
          <w:sz w:val="12"/>
          <w:szCs w:val="12"/>
          <w:i w:val="1"/>
          <w:iCs w:val="1"/>
          <w:color w:val="auto"/>
        </w:rPr>
        <w:t xml:space="preserve">Redemption </w:t>
      </w:r>
      <w:r>
        <w:rPr>
          <w:rFonts w:ascii="Arial" w:cs="Arial" w:eastAsia="Arial" w:hAnsi="Arial"/>
          <w:sz w:val="12"/>
          <w:szCs w:val="12"/>
          <w:color w:val="auto"/>
        </w:rPr>
        <w:t>– We may redeem our Second Lien Notes (i) prior to December 15, 2018, in whole or in part at a redemption price equal to 100% of the principal amount redeemed plus a make-whole amount and</w:t>
      </w:r>
      <w:r>
        <w:rPr>
          <w:rFonts w:ascii="Arial" w:cs="Arial" w:eastAsia="Arial" w:hAnsi="Arial"/>
          <w:sz w:val="12"/>
          <w:szCs w:val="12"/>
          <w:i w:val="1"/>
          <w:iCs w:val="1"/>
          <w:color w:val="auto"/>
        </w:rPr>
        <w:t xml:space="preserve"> </w:t>
      </w:r>
      <w:r>
        <w:rPr>
          <w:rFonts w:ascii="Arial" w:cs="Arial" w:eastAsia="Arial" w:hAnsi="Arial"/>
          <w:sz w:val="12"/>
          <w:szCs w:val="12"/>
          <w:color w:val="auto"/>
        </w:rPr>
        <w:t>accrued and unpaid interest, (ii) between December 15, 2018 and 2020, in whole or in part at a fixed redemption price ranging from 104% to 102% of the principal amount redeemed plus accrued and unpaid interest and (iii) thereafter in whole or in part at a redemption price equal to 100% of the principal amount redeemed plus accrued and unpaid interest.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Senior Notes</w:t>
      </w:r>
    </w:p>
    <w:p>
      <w:pPr>
        <w:spacing w:after="0" w:line="162" w:lineRule="exact"/>
        <w:rPr>
          <w:sz w:val="20"/>
          <w:szCs w:val="20"/>
          <w:color w:val="auto"/>
        </w:rPr>
      </w:pPr>
    </w:p>
    <w:p>
      <w:pPr>
        <w:ind w:right="40" w:firstLine="216"/>
        <w:spacing w:after="0" w:line="256" w:lineRule="auto"/>
        <w:rPr>
          <w:sz w:val="20"/>
          <w:szCs w:val="20"/>
          <w:color w:val="auto"/>
        </w:rPr>
      </w:pPr>
      <w:r>
        <w:rPr>
          <w:rFonts w:ascii="Arial" w:cs="Arial" w:eastAsia="Arial" w:hAnsi="Arial"/>
          <w:sz w:val="12"/>
          <w:szCs w:val="12"/>
          <w:color w:val="auto"/>
        </w:rPr>
        <w:t>In October 2014, we issued $ 5 billion in aggregate principal amount of our senior unsecured notes, including $1 billion of 5% notes due January 15, 2020 (2020 Notes), $1.75 billion of 5 ½% notes due September 15, 2021 (2021 Notes) and $2.25 billion of 6% notes due November 15, 2024 (2024 Notes and, collectively, Senior Notes). We used the net proceeds from the issuance of our Senior Notes to make a $4.95 billion cash distribution to Occidental in October 2014.</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460"/>
          </w:cols>
          <w:pgMar w:left="220" w:top="433" w:right="219" w:bottom="1440" w:gutter="0" w:footer="0" w:header="0"/>
        </w:sectPr>
      </w:pPr>
    </w:p>
    <w:bookmarkStart w:id="94" w:name="page95"/>
    <w:bookmarkEnd w:id="94"/>
    <w:p>
      <w:pPr>
        <w:ind w:right="100" w:firstLine="216"/>
        <w:spacing w:after="0" w:line="258" w:lineRule="auto"/>
        <w:rPr>
          <w:sz w:val="20"/>
          <w:szCs w:val="20"/>
          <w:color w:val="auto"/>
        </w:rPr>
      </w:pPr>
      <w:r>
        <w:rPr>
          <w:rFonts w:ascii="Arial" w:cs="Arial" w:eastAsia="Arial" w:hAnsi="Arial"/>
          <w:sz w:val="12"/>
          <w:szCs w:val="12"/>
          <w:i w:val="1"/>
          <w:iCs w:val="1"/>
          <w:color w:val="auto"/>
        </w:rPr>
        <w:t xml:space="preserve">Repurchases and Exchanges </w:t>
      </w:r>
      <w:r>
        <w:rPr>
          <w:rFonts w:ascii="Arial" w:cs="Arial" w:eastAsia="Arial" w:hAnsi="Arial"/>
          <w:sz w:val="12"/>
          <w:szCs w:val="12"/>
          <w:color w:val="auto"/>
        </w:rPr>
        <w:t>– In 2015, we repurchased approximately $33 million in principal amount of our 2020 Notes for $13 million in cash. We also exchanged a substantial majority of our Senior Notes for</w:t>
      </w:r>
      <w:r>
        <w:rPr>
          <w:rFonts w:ascii="Arial" w:cs="Arial" w:eastAsia="Arial" w:hAnsi="Arial"/>
          <w:sz w:val="12"/>
          <w:szCs w:val="12"/>
          <w:i w:val="1"/>
          <w:iCs w:val="1"/>
          <w:color w:val="auto"/>
        </w:rPr>
        <w:t xml:space="preserve"> </w:t>
      </w:r>
      <w:r>
        <w:rPr>
          <w:rFonts w:ascii="Arial" w:cs="Arial" w:eastAsia="Arial" w:hAnsi="Arial"/>
          <w:sz w:val="12"/>
          <w:szCs w:val="12"/>
          <w:color w:val="auto"/>
        </w:rPr>
        <w:t>our Second Lien Notes in December 2015 as described above. In 2016, we repurchased over $1.5 billion in principal amount of our outstanding Senior Notes, primarily using drawings of $750 million on our 2014 Revolving Credit Facility and cash from operations. We also exchanged approximately 3.4 million shares of our common stock for $100 million in aggregate principal amount of our Senior Notes. In the first quarter of 2017, we purchased $28 million in aggregate principal amount of our 2020 Notes for $24 million in cash, resulting in a $4 million pre-tax gain. As described above, in the fourth quarter of 2017, we also repurchased $65 million and $35 million in aggregate principal amount of our 2020 Notes and our 2021 Notes, respectively, for $92 million in cash, resulting in an $8 million pre-tax gain.</w:t>
      </w:r>
    </w:p>
    <w:p>
      <w:pPr>
        <w:spacing w:after="0" w:line="123" w:lineRule="exact"/>
        <w:rPr>
          <w:sz w:val="20"/>
          <w:szCs w:val="20"/>
          <w:color w:val="auto"/>
        </w:rPr>
      </w:pPr>
    </w:p>
    <w:p>
      <w:pPr>
        <w:ind w:right="20" w:firstLine="216"/>
        <w:spacing w:after="0" w:line="261" w:lineRule="auto"/>
        <w:rPr>
          <w:sz w:val="20"/>
          <w:szCs w:val="20"/>
          <w:color w:val="auto"/>
        </w:rPr>
      </w:pPr>
      <w:r>
        <w:rPr>
          <w:rFonts w:ascii="Arial" w:cs="Arial" w:eastAsia="Arial" w:hAnsi="Arial"/>
          <w:sz w:val="12"/>
          <w:szCs w:val="12"/>
          <w:i w:val="1"/>
          <w:iCs w:val="1"/>
          <w:color w:val="auto"/>
        </w:rPr>
        <w:t xml:space="preserve">Financial and Other Covenants </w:t>
      </w:r>
      <w:r>
        <w:rPr>
          <w:rFonts w:ascii="Arial" w:cs="Arial" w:eastAsia="Arial" w:hAnsi="Arial"/>
          <w:sz w:val="12"/>
          <w:szCs w:val="12"/>
          <w:color w:val="auto"/>
        </w:rPr>
        <w:t>– The indenture includes covenants that, among other things, limits our ability to grant liens securing borrowed money subject to certain exceptions and restricts our ability to merge</w:t>
      </w:r>
      <w:r>
        <w:rPr>
          <w:rFonts w:ascii="Arial" w:cs="Arial" w:eastAsia="Arial" w:hAnsi="Arial"/>
          <w:sz w:val="12"/>
          <w:szCs w:val="12"/>
          <w:i w:val="1"/>
          <w:iCs w:val="1"/>
          <w:color w:val="auto"/>
        </w:rPr>
        <w:t xml:space="preserve"> </w:t>
      </w:r>
      <w:r>
        <w:rPr>
          <w:rFonts w:ascii="Arial" w:cs="Arial" w:eastAsia="Arial" w:hAnsi="Arial"/>
          <w:sz w:val="12"/>
          <w:szCs w:val="12"/>
          <w:color w:val="auto"/>
        </w:rPr>
        <w:t>or consolidate with, or transfer all or substantially all of our assets to, another entity. The covenants are not, however, directly linked to measures of our financial performance. In addition, if we experience a “change of control triggering event” (as defined in the indenture), we will be required, unless we have exercised our right to redeem our Senior Notes, to offer to purchase our Senior Notes at a purchase price equal to 101% of their principal amount, plus accrued and unpaid interest.</w:t>
      </w:r>
    </w:p>
    <w:p>
      <w:pPr>
        <w:spacing w:after="0" w:line="120" w:lineRule="exact"/>
        <w:rPr>
          <w:sz w:val="20"/>
          <w:szCs w:val="20"/>
          <w:color w:val="auto"/>
        </w:rPr>
      </w:pPr>
    </w:p>
    <w:p>
      <w:pPr>
        <w:ind w:right="340" w:firstLine="216"/>
        <w:spacing w:after="0" w:line="283" w:lineRule="auto"/>
        <w:rPr>
          <w:sz w:val="20"/>
          <w:szCs w:val="20"/>
          <w:color w:val="auto"/>
        </w:rPr>
      </w:pPr>
      <w:r>
        <w:rPr>
          <w:rFonts w:ascii="Arial" w:cs="Arial" w:eastAsia="Arial" w:hAnsi="Arial"/>
          <w:sz w:val="12"/>
          <w:szCs w:val="12"/>
          <w:i w:val="1"/>
          <w:iCs w:val="1"/>
          <w:color w:val="auto"/>
        </w:rPr>
        <w:t xml:space="preserve">Redemption </w:t>
      </w:r>
      <w:r>
        <w:rPr>
          <w:rFonts w:ascii="Arial" w:cs="Arial" w:eastAsia="Arial" w:hAnsi="Arial"/>
          <w:sz w:val="12"/>
          <w:szCs w:val="12"/>
          <w:color w:val="auto"/>
        </w:rPr>
        <w:t>– We may redeem our Senior Notes prior to their maturity dates, in whole or in part, at a redemption price equal to 100% of the principal amount redeemed plus accrued and unpaid interest and,</w:t>
      </w:r>
      <w:r>
        <w:rPr>
          <w:rFonts w:ascii="Arial" w:cs="Arial" w:eastAsia="Arial" w:hAnsi="Arial"/>
          <w:sz w:val="12"/>
          <w:szCs w:val="12"/>
          <w:i w:val="1"/>
          <w:iCs w:val="1"/>
          <w:color w:val="auto"/>
        </w:rPr>
        <w:t xml:space="preserve"> </w:t>
      </w:r>
      <w:r>
        <w:rPr>
          <w:rFonts w:ascii="Arial" w:cs="Arial" w:eastAsia="Arial" w:hAnsi="Arial"/>
          <w:sz w:val="12"/>
          <w:szCs w:val="12"/>
          <w:color w:val="auto"/>
        </w:rPr>
        <w:t>generally, a make-whole amount.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At December 31, 2017, we were in compliance with all financial and other debt covenants.</w:t>
      </w:r>
    </w:p>
    <w:p>
      <w:pPr>
        <w:spacing w:after="0" w:line="150" w:lineRule="exact"/>
        <w:rPr>
          <w:sz w:val="20"/>
          <w:szCs w:val="20"/>
          <w:color w:val="auto"/>
        </w:rPr>
      </w:pPr>
    </w:p>
    <w:p>
      <w:pPr>
        <w:ind w:right="560" w:firstLine="216"/>
        <w:spacing w:after="0" w:line="262" w:lineRule="auto"/>
        <w:rPr>
          <w:sz w:val="20"/>
          <w:szCs w:val="20"/>
          <w:color w:val="auto"/>
        </w:rPr>
      </w:pPr>
      <w:r>
        <w:rPr>
          <w:rFonts w:ascii="Arial" w:cs="Arial" w:eastAsia="Arial" w:hAnsi="Arial"/>
          <w:sz w:val="12"/>
          <w:szCs w:val="12"/>
          <w:color w:val="auto"/>
        </w:rPr>
        <w:t>All obligations under our 2014 Revolving Credit Facility, 2017 Credit Agreement and 2016 Credit Agreement (collectively, Credit Facilities) as well as our Second Lien Notes are guaranteed both fully and unconditionally and jointly and severally by all of our material wholly owned subsidiaries.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980" w:type="dxa"/>
            <w:vAlign w:val="bottom"/>
          </w:tcPr>
          <w:p>
            <w:pPr>
              <w:ind w:left="200"/>
              <w:spacing w:after="0"/>
              <w:rPr>
                <w:sz w:val="20"/>
                <w:szCs w:val="20"/>
                <w:color w:val="auto"/>
              </w:rPr>
            </w:pPr>
            <w:r>
              <w:rPr>
                <w:rFonts w:ascii="Arial" w:cs="Arial" w:eastAsia="Arial" w:hAnsi="Arial"/>
                <w:sz w:val="12"/>
                <w:szCs w:val="12"/>
                <w:color w:val="auto"/>
              </w:rPr>
              <w:t>The terms and conditions of all of our indebtedness are subject to additional qualifications and limitations that are set forth in the relevant governing documents.</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88"/>
        </w:trPr>
        <w:tc>
          <w:tcPr>
            <w:tcW w:w="9980" w:type="dxa"/>
            <w:vAlign w:val="bottom"/>
          </w:tcPr>
          <w:p>
            <w:pPr>
              <w:ind w:left="200"/>
              <w:spacing w:after="0"/>
              <w:rPr>
                <w:sz w:val="20"/>
                <w:szCs w:val="20"/>
                <w:color w:val="auto"/>
              </w:rPr>
            </w:pPr>
            <w:r>
              <w:rPr>
                <w:rFonts w:ascii="Arial" w:cs="Arial" w:eastAsia="Arial" w:hAnsi="Arial"/>
                <w:sz w:val="12"/>
                <w:szCs w:val="12"/>
                <w:color w:val="auto"/>
              </w:rPr>
              <w:t>Principal maturities of long-term debt outstanding at December 31, 2017 are as follows (in millions):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0"/>
        </w:trPr>
        <w:tc>
          <w:tcPr>
            <w:tcW w:w="9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71"/>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67"/>
        </w:trPr>
        <w:tc>
          <w:tcPr>
            <w:tcW w:w="9980" w:type="dxa"/>
            <w:vAlign w:val="bottom"/>
          </w:tcPr>
          <w:p>
            <w:pPr>
              <w:ind w:left="20"/>
              <w:spacing w:after="0"/>
              <w:rPr>
                <w:sz w:val="20"/>
                <w:szCs w:val="20"/>
                <w:color w:val="auto"/>
              </w:rPr>
            </w:pPr>
            <w:r>
              <w:rPr>
                <w:rFonts w:ascii="Arial" w:cs="Arial" w:eastAsia="Arial" w:hAnsi="Arial"/>
                <w:sz w:val="12"/>
                <w:szCs w:val="12"/>
                <w:color w:val="auto"/>
              </w:rPr>
              <w:t>2019</w:t>
            </w:r>
          </w:p>
        </w:tc>
        <w:tc>
          <w:tcPr>
            <w:tcW w:w="58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76"/>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r>
      <w:tr>
        <w:trPr>
          <w:trHeight w:val="167"/>
        </w:trPr>
        <w:tc>
          <w:tcPr>
            <w:tcW w:w="9980" w:type="dxa"/>
            <w:vAlign w:val="bottom"/>
          </w:tcPr>
          <w:p>
            <w:pPr>
              <w:ind w:left="20"/>
              <w:spacing w:after="0"/>
              <w:rPr>
                <w:sz w:val="20"/>
                <w:szCs w:val="20"/>
                <w:color w:val="auto"/>
              </w:rPr>
            </w:pPr>
            <w:r>
              <w:rPr>
                <w:rFonts w:ascii="Arial" w:cs="Arial" w:eastAsia="Arial" w:hAnsi="Arial"/>
                <w:sz w:val="12"/>
                <w:szCs w:val="12"/>
                <w:color w:val="auto"/>
              </w:rPr>
              <w:t>2021</w:t>
            </w:r>
          </w:p>
        </w:tc>
        <w:tc>
          <w:tcPr>
            <w:tcW w:w="58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1,890</w:t>
            </w:r>
          </w:p>
        </w:tc>
      </w:tr>
      <w:tr>
        <w:trPr>
          <w:trHeight w:val="176"/>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3,123</w:t>
            </w:r>
          </w:p>
        </w:tc>
      </w:tr>
      <w:tr>
        <w:trPr>
          <w:trHeight w:val="167"/>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Thereafter</w:t>
            </w: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193</w:t>
            </w:r>
          </w:p>
        </w:tc>
      </w:tr>
      <w:tr>
        <w:trPr>
          <w:trHeight w:val="172"/>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5,306</w:t>
            </w:r>
          </w:p>
        </w:tc>
      </w:tr>
    </w:tbl>
    <w:p>
      <w:pPr>
        <w:spacing w:after="0" w:line="144" w:lineRule="exact"/>
        <w:rPr>
          <w:sz w:val="20"/>
          <w:szCs w:val="20"/>
          <w:color w:val="auto"/>
        </w:rPr>
      </w:pPr>
    </w:p>
    <w:p>
      <w:pPr>
        <w:jc w:val="both"/>
        <w:ind w:right="240" w:firstLine="216"/>
        <w:spacing w:after="0" w:line="256" w:lineRule="auto"/>
        <w:rPr>
          <w:sz w:val="20"/>
          <w:szCs w:val="20"/>
          <w:color w:val="auto"/>
        </w:rPr>
      </w:pPr>
      <w:r>
        <w:rPr>
          <w:rFonts w:ascii="Arial" w:cs="Arial" w:eastAsia="Arial" w:hAnsi="Arial"/>
          <w:sz w:val="12"/>
          <w:szCs w:val="12"/>
          <w:color w:val="auto"/>
        </w:rPr>
        <w:t>We estimate the fair value of fixed-rate debt, which is classified as Level 1, based on prices from known market transactions for our instruments. The estimated fair value of our debt at December 31, 2017 and 2016, including the fair value of the variable-rate portion, was approximately $4.8 billion and $4.9 billion, respectively, compared to a carrying value of approximately $5.3 billion in both years. A one-eighth percent change in the variable interest rates on the borrowings under our Credit Facilities on December 31, 2017 would result in a $3 million change in annual interest expense.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460"/>
          </w:cols>
          <w:pgMar w:left="220" w:top="289" w:right="219" w:bottom="1440" w:gutter="0" w:footer="0" w:header="0"/>
        </w:sectPr>
      </w:pPr>
    </w:p>
    <w:bookmarkStart w:id="95" w:name="page96"/>
    <w:bookmarkEnd w:id="95"/>
    <w:p>
      <w:pPr>
        <w:spacing w:after="0"/>
        <w:tabs>
          <w:tab w:leader="none" w:pos="540" w:val="left"/>
        </w:tabs>
        <w:rPr>
          <w:sz w:val="20"/>
          <w:szCs w:val="20"/>
          <w:color w:val="auto"/>
        </w:rPr>
      </w:pPr>
      <w:r>
        <w:rPr>
          <w:rFonts w:ascii="Arial" w:cs="Arial" w:eastAsia="Arial" w:hAnsi="Arial"/>
          <w:sz w:val="12"/>
          <w:szCs w:val="12"/>
          <w:b w:val="1"/>
          <w:bCs w:val="1"/>
          <w:color w:val="auto"/>
        </w:rPr>
        <w:t>NOTE 6</w:t>
      </w:r>
      <w:r>
        <w:rPr>
          <w:sz w:val="20"/>
          <w:szCs w:val="20"/>
          <w:color w:val="auto"/>
        </w:rPr>
        <w:tab/>
      </w:r>
      <w:r>
        <w:rPr>
          <w:rFonts w:ascii="Arial" w:cs="Arial" w:eastAsia="Arial" w:hAnsi="Arial"/>
          <w:sz w:val="11"/>
          <w:szCs w:val="11"/>
          <w:b w:val="1"/>
          <w:bCs w:val="1"/>
          <w:color w:val="auto"/>
        </w:rPr>
        <w:t>LEASE COMMITMENTS</w:t>
      </w:r>
    </w:p>
    <w:p>
      <w:pPr>
        <w:spacing w:after="0" w:line="200" w:lineRule="exact"/>
        <w:rPr>
          <w:sz w:val="20"/>
          <w:szCs w:val="20"/>
          <w:color w:val="auto"/>
        </w:rPr>
      </w:pPr>
    </w:p>
    <w:p>
      <w:pPr>
        <w:ind w:right="160" w:firstLine="216"/>
        <w:spacing w:after="0" w:line="256" w:lineRule="auto"/>
        <w:rPr>
          <w:sz w:val="20"/>
          <w:szCs w:val="20"/>
          <w:color w:val="auto"/>
        </w:rPr>
      </w:pPr>
      <w:r>
        <w:rPr>
          <w:rFonts w:ascii="Arial" w:cs="Arial" w:eastAsia="Arial" w:hAnsi="Arial"/>
          <w:sz w:val="12"/>
          <w:szCs w:val="12"/>
          <w:color w:val="auto"/>
        </w:rPr>
        <w:t>We have entered into various operating lease agreements, mainly for office space, office equipment and field equipment. We lease assets when leasing offers greater operating flexibility. Lease payments are generally expensed as part of production costs or general and administrative expenses. At December 31, 2017, future net minimum lease payments for noncancelable operating leases (excluding oil and natural gas and other mineral leases, utilities, taxes, insurance and maintenance expense) totaled: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Amount</w:t>
            </w:r>
          </w:p>
        </w:tc>
      </w:tr>
      <w:tr>
        <w:trPr>
          <w:trHeight w:val="161"/>
        </w:trPr>
        <w:tc>
          <w:tcPr>
            <w:tcW w:w="9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441"/>
              <w:spacing w:after="0"/>
              <w:rPr>
                <w:sz w:val="20"/>
                <w:szCs w:val="20"/>
                <w:color w:val="auto"/>
              </w:rPr>
            </w:pPr>
            <w:r>
              <w:rPr>
                <w:rFonts w:ascii="Arial" w:cs="Arial" w:eastAsia="Arial" w:hAnsi="Arial"/>
                <w:sz w:val="10"/>
                <w:szCs w:val="10"/>
                <w:color w:val="auto"/>
              </w:rPr>
              <w:t>(in millions)</w:t>
            </w:r>
          </w:p>
        </w:tc>
      </w:tr>
      <w:tr>
        <w:trPr>
          <w:trHeight w:val="175"/>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w:t>
            </w:r>
          </w:p>
        </w:tc>
      </w:tr>
      <w:tr>
        <w:trPr>
          <w:trHeight w:val="167"/>
        </w:trPr>
        <w:tc>
          <w:tcPr>
            <w:tcW w:w="9980" w:type="dxa"/>
            <w:vAlign w:val="bottom"/>
          </w:tcPr>
          <w:p>
            <w:pPr>
              <w:ind w:left="20"/>
              <w:spacing w:after="0"/>
              <w:rPr>
                <w:sz w:val="20"/>
                <w:szCs w:val="20"/>
                <w:color w:val="auto"/>
              </w:rPr>
            </w:pPr>
            <w:r>
              <w:rPr>
                <w:rFonts w:ascii="Arial" w:cs="Arial" w:eastAsia="Arial" w:hAnsi="Arial"/>
                <w:sz w:val="12"/>
                <w:szCs w:val="12"/>
                <w:color w:val="auto"/>
              </w:rPr>
              <w:t>2019</w:t>
            </w:r>
          </w:p>
        </w:tc>
        <w:tc>
          <w:tcPr>
            <w:tcW w:w="3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11</w:t>
            </w:r>
          </w:p>
        </w:tc>
      </w:tr>
      <w:tr>
        <w:trPr>
          <w:trHeight w:val="176"/>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r>
      <w:tr>
        <w:trPr>
          <w:trHeight w:val="167"/>
        </w:trPr>
        <w:tc>
          <w:tcPr>
            <w:tcW w:w="9980" w:type="dxa"/>
            <w:vAlign w:val="bottom"/>
          </w:tcPr>
          <w:p>
            <w:pPr>
              <w:ind w:left="20"/>
              <w:spacing w:after="0"/>
              <w:rPr>
                <w:sz w:val="20"/>
                <w:szCs w:val="20"/>
                <w:color w:val="auto"/>
              </w:rPr>
            </w:pPr>
            <w:r>
              <w:rPr>
                <w:rFonts w:ascii="Arial" w:cs="Arial" w:eastAsia="Arial" w:hAnsi="Arial"/>
                <w:sz w:val="12"/>
                <w:szCs w:val="12"/>
                <w:color w:val="auto"/>
              </w:rPr>
              <w:t>2021</w:t>
            </w:r>
          </w:p>
        </w:tc>
        <w:tc>
          <w:tcPr>
            <w:tcW w:w="3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4</w:t>
            </w:r>
          </w:p>
        </w:tc>
      </w:tr>
      <w:tr>
        <w:trPr>
          <w:trHeight w:val="176"/>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r>
      <w:tr>
        <w:trPr>
          <w:trHeight w:val="167"/>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Thereafter</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w:t>
            </w:r>
          </w:p>
        </w:tc>
      </w:tr>
      <w:tr>
        <w:trPr>
          <w:trHeight w:val="172"/>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minimum lease payments</w:t>
            </w: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43</w:t>
            </w:r>
          </w:p>
        </w:tc>
      </w:tr>
    </w:tbl>
    <w:p>
      <w:pPr>
        <w:spacing w:after="0" w:line="8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Rental expense for operating leases was $13 million in both 2017 and 2016 and $11 million in 2015. Minimum future lease payments and rental income from subleases was immaterial in 2017, 2016 and 2015.</w:t>
      </w:r>
    </w:p>
    <w:p>
      <w:pPr>
        <w:spacing w:after="0" w:line="172"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1"/>
          <w:szCs w:val="11"/>
          <w:b w:val="1"/>
          <w:bCs w:val="1"/>
          <w:color w:val="auto"/>
        </w:rPr>
        <w:t>LAWSUITS, CLAIMS, COMMITMENTS AND CONTINGENCIES</w:t>
      </w:r>
    </w:p>
    <w:p>
      <w:pPr>
        <w:spacing w:after="0" w:line="200" w:lineRule="exact"/>
        <w:rPr>
          <w:sz w:val="20"/>
          <w:szCs w:val="20"/>
          <w:color w:val="auto"/>
        </w:rPr>
      </w:pPr>
    </w:p>
    <w:p>
      <w:pPr>
        <w:ind w:right="320" w:firstLine="216"/>
        <w:spacing w:after="0" w:line="262" w:lineRule="auto"/>
        <w:rPr>
          <w:sz w:val="20"/>
          <w:szCs w:val="20"/>
          <w:color w:val="auto"/>
        </w:rPr>
      </w:pPr>
      <w:r>
        <w:rPr>
          <w:rFonts w:ascii="Arial" w:cs="Arial" w:eastAsia="Arial" w:hAnsi="Arial"/>
          <w:sz w:val="12"/>
          <w:szCs w:val="12"/>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67" w:lineRule="exact"/>
        <w:rPr>
          <w:sz w:val="20"/>
          <w:szCs w:val="20"/>
          <w:color w:val="auto"/>
        </w:rPr>
      </w:pPr>
    </w:p>
    <w:p>
      <w:pPr>
        <w:ind w:right="220" w:firstLine="216"/>
        <w:spacing w:after="0" w:line="256" w:lineRule="auto"/>
        <w:rPr>
          <w:sz w:val="20"/>
          <w:szCs w:val="20"/>
          <w:color w:val="auto"/>
        </w:rPr>
      </w:pPr>
      <w:r>
        <w:rPr>
          <w:rFonts w:ascii="Arial" w:cs="Arial" w:eastAsia="Arial" w:hAnsi="Arial"/>
          <w:sz w:val="12"/>
          <w:szCs w:val="12"/>
          <w:color w:val="auto"/>
        </w:rPr>
        <w:t>We accrue reserves for currently outstanding lawsuits, claims and proceedings when it is probable that a liability has been incurred and the liability can be reasonably estimated. Reserve balances at December 31, 2017 and 2016 were not material to our balance sheets as of such dates. We also evaluate the amount of reasonably possible losses that we could incur as a result of these matters. We believe that reasonably possible losses that we could incur in excess of reserves accrued on our balance sheet would not be material to our consolidated financial position or results of operations.</w:t>
      </w:r>
    </w:p>
    <w:p>
      <w:pPr>
        <w:spacing w:after="0" w:line="171" w:lineRule="exact"/>
        <w:rPr>
          <w:sz w:val="20"/>
          <w:szCs w:val="20"/>
          <w:color w:val="auto"/>
        </w:rPr>
      </w:pPr>
    </w:p>
    <w:p>
      <w:pPr>
        <w:ind w:right="140" w:firstLine="216"/>
        <w:spacing w:after="0" w:line="253" w:lineRule="auto"/>
        <w:rPr>
          <w:sz w:val="20"/>
          <w:szCs w:val="20"/>
          <w:color w:val="auto"/>
        </w:rPr>
      </w:pPr>
      <w:r>
        <w:rPr>
          <w:rFonts w:ascii="Arial" w:cs="Arial" w:eastAsia="Arial" w:hAnsi="Arial"/>
          <w:sz w:val="12"/>
          <w:szCs w:val="12"/>
          <w:color w:val="auto"/>
        </w:rPr>
        <w:t>We have certain commitments under contracts, including purchase commitments for goods and services used in the normal course of business including pipeline capacity and rig termination costs. At December 31, 2017, total purchase obligations on a discounted basis were approximately $215 million, which included approximately $129 million, $33 million, $18 million, $4 million and $ 3 million that will be paid in 2018, 2019, 2020, 2021 and 2022, respectively. Included in these obligations is a commitment to invest approximately $84 million in evaluation and development activities for one of our oil and gas properties prior to the end of 2018. Any deficiency in meeting this capital investment obligation would need to be paid in cash. Our 2018 capital program includes development plans for these properties, and we expect to fulfill the minimum investment requirement.</w:t>
      </w:r>
    </w:p>
    <w:p>
      <w:pPr>
        <w:spacing w:after="0" w:line="173" w:lineRule="exact"/>
        <w:rPr>
          <w:sz w:val="20"/>
          <w:szCs w:val="20"/>
          <w:color w:val="auto"/>
        </w:rPr>
      </w:pPr>
    </w:p>
    <w:p>
      <w:pPr>
        <w:ind w:right="160" w:firstLine="216"/>
        <w:spacing w:after="0" w:line="256" w:lineRule="auto"/>
        <w:rPr>
          <w:sz w:val="20"/>
          <w:szCs w:val="20"/>
          <w:color w:val="auto"/>
        </w:rPr>
      </w:pPr>
      <w:r>
        <w:rPr>
          <w:rFonts w:ascii="Arial" w:cs="Arial" w:eastAsia="Arial" w:hAnsi="Arial"/>
          <w:sz w:val="12"/>
          <w:szCs w:val="12"/>
          <w:color w:val="auto"/>
        </w:rPr>
        <w:t>We, our subsidiaries, or both, have indemnified various parties against specific liabilities those parties might incur in the future in connection with the Spin-off, purchases and other transactions that they have entered into with us. These indemnities include indemnities made to Occidental against certain tax-related liabilities that may be incurred by Occidental relating to the Spin-off and liabilities related to operation of our business while it was still owned by Occidental. As of December 31, 2017, we are not aware of material indemnity claims pending or threatened against us.</w:t>
      </w:r>
    </w:p>
    <w:p>
      <w:pPr>
        <w:spacing w:after="0" w:line="81" w:lineRule="exact"/>
        <w:rPr>
          <w:sz w:val="20"/>
          <w:szCs w:val="20"/>
          <w:color w:val="auto"/>
        </w:rPr>
      </w:pPr>
    </w:p>
    <w:p>
      <w:pPr>
        <w:ind w:right="140" w:firstLine="216"/>
        <w:spacing w:after="0" w:line="262" w:lineRule="auto"/>
        <w:rPr>
          <w:sz w:val="20"/>
          <w:szCs w:val="20"/>
          <w:color w:val="auto"/>
        </w:rPr>
      </w:pPr>
      <w:r>
        <w:rPr>
          <w:rFonts w:ascii="Arial" w:cs="Arial" w:eastAsia="Arial" w:hAnsi="Arial"/>
          <w:sz w:val="12"/>
          <w:szCs w:val="12"/>
          <w:color w:val="auto"/>
        </w:rPr>
        <w:t>We are currently under examination by the Internal Revenue Service for our U.S. federal income tax returns for the post-Spin-off period in 2014 and calendar year 2015. No significant issues have been raised to date. The U.S. federal income tax return for 2016 and the California franchise tax returns for 2014 through 2016 remain subject to examination.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480"/>
          </w:cols>
          <w:pgMar w:left="220" w:top="377" w:right="199" w:bottom="1440" w:gutter="0" w:footer="0" w:header="0"/>
        </w:sectPr>
      </w:pPr>
    </w:p>
    <w:bookmarkStart w:id="96" w:name="page97"/>
    <w:bookmarkEnd w:id="96"/>
    <w:p>
      <w:pPr>
        <w:spacing w:after="0"/>
        <w:tabs>
          <w:tab w:leader="none" w:pos="540" w:val="left"/>
        </w:tabs>
        <w:rPr>
          <w:sz w:val="20"/>
          <w:szCs w:val="20"/>
          <w:color w:val="auto"/>
        </w:rPr>
      </w:pPr>
      <w:r>
        <w:rPr>
          <w:rFonts w:ascii="Arial" w:cs="Arial" w:eastAsia="Arial" w:hAnsi="Arial"/>
          <w:sz w:val="12"/>
          <w:szCs w:val="12"/>
          <w:b w:val="1"/>
          <w:bCs w:val="1"/>
          <w:color w:val="auto"/>
        </w:rPr>
        <w:t>NOTE 8</w:t>
      </w:r>
      <w:r>
        <w:rPr>
          <w:sz w:val="20"/>
          <w:szCs w:val="20"/>
          <w:color w:val="auto"/>
        </w:rPr>
        <w:tab/>
      </w:r>
      <w:r>
        <w:rPr>
          <w:rFonts w:ascii="Arial" w:cs="Arial" w:eastAsia="Arial" w:hAnsi="Arial"/>
          <w:sz w:val="11"/>
          <w:szCs w:val="11"/>
          <w:b w:val="1"/>
          <w:bCs w:val="1"/>
          <w:color w:val="auto"/>
        </w:rPr>
        <w:t>DERIVATIVES</w:t>
      </w:r>
    </w:p>
    <w:p>
      <w:pPr>
        <w:spacing w:after="0" w:line="110" w:lineRule="exact"/>
        <w:rPr>
          <w:sz w:val="20"/>
          <w:szCs w:val="20"/>
          <w:color w:val="auto"/>
        </w:rPr>
      </w:pPr>
    </w:p>
    <w:p>
      <w:pPr>
        <w:ind w:right="240" w:firstLine="216"/>
        <w:spacing w:after="0" w:line="262" w:lineRule="auto"/>
        <w:rPr>
          <w:sz w:val="20"/>
          <w:szCs w:val="20"/>
          <w:color w:val="auto"/>
        </w:rPr>
      </w:pPr>
      <w:r>
        <w:rPr>
          <w:rFonts w:ascii="Arial" w:cs="Arial" w:eastAsia="Arial" w:hAnsi="Arial"/>
          <w:sz w:val="12"/>
          <w:szCs w:val="12"/>
          <w:color w:val="auto"/>
        </w:rPr>
        <w:t>We maintain a commodity hedging program to help protect our cash flows, margins and capital program from the volatility of commodity prices and to improve our ability to comply with the covenants under our credit facilities. We will continue to be strategic and opportunistic in implementing our hedging program as market conditions permit.</w:t>
      </w:r>
    </w:p>
    <w:p>
      <w:pPr>
        <w:spacing w:after="0" w:line="131" w:lineRule="exact"/>
        <w:rPr>
          <w:sz w:val="20"/>
          <w:szCs w:val="20"/>
          <w:color w:val="auto"/>
        </w:rPr>
      </w:pPr>
    </w:p>
    <w:p>
      <w:pPr>
        <w:ind w:right="340" w:firstLine="216"/>
        <w:spacing w:after="0" w:line="307" w:lineRule="auto"/>
        <w:rPr>
          <w:sz w:val="20"/>
          <w:szCs w:val="20"/>
          <w:color w:val="auto"/>
        </w:rPr>
      </w:pPr>
      <w:r>
        <w:rPr>
          <w:rFonts w:ascii="Arial" w:cs="Arial" w:eastAsia="Arial" w:hAnsi="Arial"/>
          <w:sz w:val="11"/>
          <w:szCs w:val="11"/>
          <w:color w:val="auto"/>
        </w:rPr>
        <w:t>Derivatives are carried at fair value and on a net basis when a legal right of offset exists with the same counterparty. We apply hedge accounting when transactions meet specified criteria for cash-flow hedge treatment and management elects and documents such treatment. Otherwise, we recognize any fair value gains or losses, over the remaining term of the hedge instrument, in earnings in the current period.</w:t>
      </w:r>
    </w:p>
    <w:p>
      <w:pPr>
        <w:spacing w:after="0" w:line="109" w:lineRule="exact"/>
        <w:rPr>
          <w:sz w:val="20"/>
          <w:szCs w:val="20"/>
          <w:color w:val="auto"/>
        </w:rPr>
      </w:pPr>
    </w:p>
    <w:p>
      <w:pPr>
        <w:jc w:val="both"/>
        <w:ind w:right="60" w:firstLine="216"/>
        <w:spacing w:after="0" w:line="256" w:lineRule="auto"/>
        <w:rPr>
          <w:sz w:val="20"/>
          <w:szCs w:val="20"/>
          <w:color w:val="auto"/>
        </w:rPr>
      </w:pPr>
      <w:r>
        <w:rPr>
          <w:rFonts w:ascii="Arial" w:cs="Arial" w:eastAsia="Arial" w:hAnsi="Arial"/>
          <w:sz w:val="12"/>
          <w:szCs w:val="12"/>
          <w:color w:val="auto"/>
        </w:rPr>
        <w:t>As of December 31, 2017, we did not have any derivatives designated as hedges. Unless otherwise indicated, we use the term "hedge" to describe derivative instruments that are designed to achieve our hedging program goals, even though they are not necessarily accounted for as cash-flow or fair-value hedges. As part of our hedging program, we entered into a number of derivative transactions that resulted in the following Brent-based crude oil contracts as of December 31,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Q1</w:t>
            </w:r>
          </w:p>
        </w:tc>
        <w:tc>
          <w:tcPr>
            <w:tcW w:w="24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Q2</w:t>
            </w:r>
          </w:p>
        </w:tc>
        <w:tc>
          <w:tcPr>
            <w:tcW w:w="280" w:type="dxa"/>
            <w:vAlign w:val="bottom"/>
          </w:tcPr>
          <w:p>
            <w:pPr>
              <w:spacing w:after="0"/>
              <w:rPr>
                <w:sz w:val="12"/>
                <w:szCs w:val="12"/>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Q3</w:t>
            </w:r>
          </w:p>
        </w:tc>
        <w:tc>
          <w:tcPr>
            <w:tcW w:w="26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Q4</w:t>
            </w:r>
          </w:p>
        </w:tc>
        <w:tc>
          <w:tcPr>
            <w:tcW w:w="200" w:type="dxa"/>
            <w:vAlign w:val="bottom"/>
          </w:tcPr>
          <w:p>
            <w:pPr>
              <w:spacing w:after="0"/>
              <w:rPr>
                <w:sz w:val="12"/>
                <w:szCs w:val="12"/>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FY</w:t>
            </w:r>
          </w:p>
        </w:tc>
        <w:tc>
          <w:tcPr>
            <w:tcW w:w="200" w:type="dxa"/>
            <w:vAlign w:val="bottom"/>
          </w:tcPr>
          <w:p>
            <w:pPr>
              <w:spacing w:after="0"/>
              <w:rPr>
                <w:sz w:val="12"/>
                <w:szCs w:val="12"/>
                <w:color w:val="auto"/>
              </w:rPr>
            </w:pPr>
          </w:p>
        </w:tc>
        <w:tc>
          <w:tcPr>
            <w:tcW w:w="700" w:type="dxa"/>
            <w:vAlign w:val="bottom"/>
          </w:tcPr>
          <w:p>
            <w:pPr>
              <w:jc w:val="right"/>
              <w:ind w:right="320"/>
              <w:spacing w:after="0"/>
              <w:rPr>
                <w:sz w:val="20"/>
                <w:szCs w:val="20"/>
                <w:color w:val="auto"/>
              </w:rPr>
            </w:pPr>
            <w:r>
              <w:rPr>
                <w:rFonts w:ascii="Arial" w:cs="Arial" w:eastAsia="Arial" w:hAnsi="Arial"/>
                <w:sz w:val="12"/>
                <w:szCs w:val="12"/>
                <w:b w:val="1"/>
                <w:bCs w:val="1"/>
                <w:color w:val="auto"/>
              </w:rPr>
              <w:t>FY</w:t>
            </w:r>
          </w:p>
        </w:tc>
      </w:tr>
      <w:tr>
        <w:trPr>
          <w:trHeight w:val="163"/>
        </w:trPr>
        <w:tc>
          <w:tcPr>
            <w:tcW w:w="4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2020</w:t>
            </w:r>
          </w:p>
        </w:tc>
      </w:tr>
      <w:tr>
        <w:trPr>
          <w:trHeight w:val="174"/>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Sold Calls: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10,400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10,400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16,100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16,100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500</w:t>
            </w:r>
          </w:p>
        </w:tc>
      </w:tr>
      <w:tr>
        <w:trPr>
          <w:trHeight w:val="185"/>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58.91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60.00</w:t>
            </w:r>
          </w:p>
        </w:tc>
      </w:tr>
      <w:tr>
        <w:trPr>
          <w:trHeight w:val="189"/>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Purchased Puts: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1,100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1,100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500</w:t>
            </w:r>
          </w:p>
        </w:tc>
      </w:tr>
      <w:tr>
        <w:trPr>
          <w:trHeight w:val="185"/>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45.82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45.83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45.83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45.84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43.91</w:t>
            </w:r>
          </w:p>
        </w:tc>
      </w:tr>
      <w:tr>
        <w:trPr>
          <w:trHeight w:val="189"/>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Sold Puts: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6"/>
        </w:trPr>
        <w:tc>
          <w:tcPr>
            <w:tcW w:w="482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29,000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29,000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19,000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19,000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Swaps: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0"/>
        </w:trPr>
        <w:tc>
          <w:tcPr>
            <w:tcW w:w="4820" w:type="dxa"/>
            <w:vAlign w:val="bottom"/>
          </w:tcPr>
          <w:p>
            <w:pPr>
              <w:ind w:left="100"/>
              <w:spacing w:after="0"/>
              <w:rPr>
                <w:sz w:val="20"/>
                <w:szCs w:val="20"/>
                <w:color w:val="auto"/>
              </w:rPr>
            </w:pPr>
            <w:r>
              <w:rPr>
                <w:rFonts w:ascii="Arial" w:cs="Arial" w:eastAsia="Arial" w:hAnsi="Arial"/>
                <w:sz w:val="12"/>
                <w:szCs w:val="12"/>
                <w:color w:val="auto"/>
              </w:rPr>
              <w:t>Barrels per day</w:t>
            </w:r>
          </w:p>
        </w:tc>
        <w:tc>
          <w:tcPr>
            <w:tcW w:w="20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38,300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 xml:space="preserve">34,000 </w:t>
            </w:r>
            <w:r>
              <w:rPr>
                <w:rFonts w:ascii="Arial" w:cs="Arial" w:eastAsia="Arial" w:hAnsi="Arial"/>
                <w:sz w:val="14"/>
                <w:szCs w:val="14"/>
                <w:color w:val="auto"/>
                <w:vertAlign w:val="superscript"/>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 xml:space="preserve">19,000 </w:t>
            </w:r>
            <w:r>
              <w:rPr>
                <w:rFonts w:ascii="Arial" w:cs="Arial" w:eastAsia="Arial" w:hAnsi="Arial"/>
                <w:sz w:val="14"/>
                <w:szCs w:val="14"/>
                <w:color w:val="auto"/>
                <w:vertAlign w:val="superscript"/>
              </w:rPr>
              <w:t>(2)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 xml:space="preserve">19,000 </w:t>
            </w:r>
            <w:r>
              <w:rPr>
                <w:rFonts w:ascii="Arial" w:cs="Arial" w:eastAsia="Arial" w:hAnsi="Arial"/>
                <w:sz w:val="14"/>
                <w:szCs w:val="14"/>
                <w:color w:val="auto"/>
                <w:vertAlign w:val="superscript"/>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4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Weighted-average price per barrel</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60.03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bl>
    <w:p>
      <w:pPr>
        <w:ind w:left="160"/>
        <w:spacing w:after="0" w:line="232" w:lineRule="auto"/>
        <w:rPr>
          <w:sz w:val="20"/>
          <w:szCs w:val="20"/>
          <w:color w:val="auto"/>
        </w:rPr>
      </w:pPr>
      <w:r>
        <w:rPr>
          <w:rFonts w:ascii="Arial" w:cs="Arial" w:eastAsia="Arial" w:hAnsi="Arial"/>
          <w:sz w:val="10"/>
          <w:szCs w:val="10"/>
          <w:color w:val="auto"/>
        </w:rPr>
        <w:t>Note: Additional hedges for 2018 and 2019 were put in place after December 31, 2017 that are not included in the table above.</w:t>
      </w:r>
    </w:p>
    <w:p>
      <w:pPr>
        <w:ind w:left="420" w:hanging="212"/>
        <w:spacing w:after="0" w:line="225" w:lineRule="auto"/>
        <w:tabs>
          <w:tab w:leader="none" w:pos="420" w:val="left"/>
        </w:tabs>
        <w:numPr>
          <w:ilvl w:val="0"/>
          <w:numId w:val="61"/>
        </w:numPr>
        <w:rPr>
          <w:rFonts w:ascii="Arial" w:cs="Arial" w:eastAsia="Arial" w:hAnsi="Arial"/>
          <w:sz w:val="10"/>
          <w:szCs w:val="10"/>
          <w:color w:val="auto"/>
        </w:rPr>
      </w:pPr>
      <w:r>
        <w:rPr>
          <w:rFonts w:ascii="Arial" w:cs="Arial" w:eastAsia="Arial" w:hAnsi="Arial"/>
          <w:sz w:val="10"/>
          <w:szCs w:val="10"/>
          <w:color w:val="auto"/>
        </w:rPr>
        <w:t>Certain of our counterparties have options to increase swap volumes by up to 19,000 barrels per day at a weighted-average price of $60.00 for the second quarter of 2018.</w:t>
      </w:r>
    </w:p>
    <w:p>
      <w:pPr>
        <w:ind w:left="420" w:hanging="212"/>
        <w:spacing w:after="0"/>
        <w:tabs>
          <w:tab w:leader="none" w:pos="420" w:val="left"/>
        </w:tabs>
        <w:numPr>
          <w:ilvl w:val="0"/>
          <w:numId w:val="61"/>
        </w:numPr>
        <w:rPr>
          <w:rFonts w:ascii="Arial" w:cs="Arial" w:eastAsia="Arial" w:hAnsi="Arial"/>
          <w:sz w:val="10"/>
          <w:szCs w:val="10"/>
          <w:color w:val="auto"/>
        </w:rPr>
      </w:pPr>
      <w:r>
        <w:rPr>
          <w:rFonts w:ascii="Arial" w:cs="Arial" w:eastAsia="Arial" w:hAnsi="Arial"/>
          <w:sz w:val="10"/>
          <w:szCs w:val="10"/>
          <w:color w:val="auto"/>
        </w:rPr>
        <w:t>Certain of our counterparties have options to increase swap volumes by up to 29,000 barrels per day at a weighted-average price of $60.50 for the second half of 2018.</w:t>
      </w:r>
    </w:p>
    <w:p>
      <w:pPr>
        <w:spacing w:after="0" w:line="133"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As of December 31, 2017, a small portion of the crude oil derivatives in the table above were entered into by our BSP joint venture entity, including all of the 2019 and 2020 positions. This joint venture also entered into natural gas swaps for insignificant volumes for the period of February 2018 to July 2020.</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outcomes of the derivative positions are as follows:</w:t>
      </w:r>
    </w:p>
    <w:p>
      <w:pPr>
        <w:spacing w:after="0" w:line="150" w:lineRule="exact"/>
        <w:rPr>
          <w:sz w:val="20"/>
          <w:szCs w:val="20"/>
          <w:color w:val="auto"/>
        </w:rPr>
      </w:pPr>
    </w:p>
    <w:p>
      <w:pPr>
        <w:ind w:left="420" w:hanging="212"/>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Sold calls – we make settlement payments for prices above the indicated weighted-average price per barrel.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Purchased calls – we receive settlement payments for prices above the indicated weighted-average price per barrel.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Purchased puts – we receive settlement payments for prices below the indicated weighted-average price per barrel.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Sold puts – we make settlement payments for prices below the indicated weighted-average price per barrel.</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From time to time, we may use combinations of these positions to increase the efficacy of our hedging program.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480"/>
          </w:cols>
          <w:pgMar w:left="220" w:top="377" w:right="199" w:bottom="1440" w:gutter="0" w:footer="0" w:header="0"/>
        </w:sectPr>
      </w:pPr>
    </w:p>
    <w:bookmarkStart w:id="97" w:name="page98"/>
    <w:bookmarkEnd w:id="97"/>
    <w:p>
      <w:pPr>
        <w:ind w:right="20" w:firstLine="216"/>
        <w:spacing w:after="0" w:line="262" w:lineRule="auto"/>
        <w:rPr>
          <w:sz w:val="20"/>
          <w:szCs w:val="20"/>
          <w:color w:val="auto"/>
        </w:rPr>
      </w:pPr>
      <w:r>
        <w:rPr>
          <w:rFonts w:ascii="Arial" w:cs="Arial" w:eastAsia="Arial" w:hAnsi="Arial"/>
          <w:sz w:val="12"/>
          <w:szCs w:val="12"/>
          <w:color w:val="auto"/>
        </w:rPr>
        <w:t>For the years ended December 31, 2017, 2016 and 2015, we recognized non-cash derivative (losses) gains of approximately $(83) million, $(283) million and $52 million, respectively, from marking these contracts to market, which were included in revenues.</w:t>
      </w:r>
    </w:p>
    <w:p>
      <w:pPr>
        <w:spacing w:after="0" w:line="131" w:lineRule="exact"/>
        <w:rPr>
          <w:sz w:val="20"/>
          <w:szCs w:val="20"/>
          <w:color w:val="auto"/>
        </w:rPr>
      </w:pPr>
    </w:p>
    <w:p>
      <w:pPr>
        <w:ind w:right="260" w:firstLine="216"/>
        <w:spacing w:after="0" w:line="256" w:lineRule="auto"/>
        <w:rPr>
          <w:sz w:val="20"/>
          <w:szCs w:val="20"/>
          <w:color w:val="auto"/>
        </w:rPr>
      </w:pPr>
      <w:r>
        <w:rPr>
          <w:rFonts w:ascii="Arial" w:cs="Arial" w:eastAsia="Arial" w:hAnsi="Arial"/>
          <w:sz w:val="12"/>
          <w:szCs w:val="12"/>
          <w:color w:val="auto"/>
        </w:rPr>
        <w:t>We did not have any cash-flow hedges in 2017 and 2016. The after-tax gains and losses recognized in, and reclassified to income from accumulated other comprehensive income (AOCI), for derivative instruments classified as cash-flow hedges for the year ended December 31, 2015, and the ending AOCI balances for each period were not material. The amount of the ineffective portion of cash-flow hedges was immaterial for the year ended December 31, 2015.</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had no fair-value hedges as of and during the years ended December 31, 2017, 2016 and 2015.</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Derivatives</w:t>
      </w:r>
    </w:p>
    <w:p>
      <w:pPr>
        <w:spacing w:after="0" w:line="164"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Our commodity derivatives are measured at fair value using industry-standard models with various inputs, including quoted forward prices, and are all classified as Level 2 in the required fair value hierarchy for the periods presented. The following table presents the fair values (at gross and net) of our outstanding derivatives as of December 31, 2017 and 2016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480"/>
              <w:spacing w:after="0"/>
              <w:rPr>
                <w:sz w:val="20"/>
                <w:szCs w:val="20"/>
                <w:color w:val="auto"/>
              </w:rPr>
            </w:pPr>
            <w:r>
              <w:rPr>
                <w:rFonts w:ascii="Arial" w:cs="Arial" w:eastAsia="Arial" w:hAnsi="Arial"/>
                <w:sz w:val="12"/>
                <w:szCs w:val="12"/>
                <w:b w:val="1"/>
                <w:bCs w:val="1"/>
                <w:color w:val="auto"/>
                <w:w w:val="98"/>
              </w:rPr>
              <w:t>December 31, 2017</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32"/>
        </w:trPr>
        <w:tc>
          <w:tcPr>
            <w:tcW w:w="3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99"/>
              </w:rPr>
              <w:t>Gross Amounts Recognized</w:t>
            </w:r>
          </w:p>
        </w:tc>
        <w:tc>
          <w:tcPr>
            <w:tcW w:w="184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rPr>
              <w:t>Gross Amounts Offset in the</w:t>
            </w:r>
          </w:p>
        </w:tc>
        <w:tc>
          <w:tcPr>
            <w:tcW w:w="1700" w:type="dxa"/>
            <w:vAlign w:val="bottom"/>
            <w:gridSpan w:val="2"/>
          </w:tcPr>
          <w:p>
            <w:pPr>
              <w:jc w:val="right"/>
              <w:ind w:right="20"/>
              <w:spacing w:after="0" w:line="132" w:lineRule="exact"/>
              <w:rPr>
                <w:sz w:val="20"/>
                <w:szCs w:val="20"/>
                <w:color w:val="auto"/>
              </w:rPr>
            </w:pPr>
            <w:r>
              <w:rPr>
                <w:rFonts w:ascii="Arial" w:cs="Arial" w:eastAsia="Arial" w:hAnsi="Arial"/>
                <w:sz w:val="12"/>
                <w:szCs w:val="12"/>
                <w:b w:val="1"/>
                <w:bCs w:val="1"/>
                <w:color w:val="auto"/>
              </w:rPr>
              <w:t>Net Fair Value Presented in</w:t>
            </w:r>
          </w:p>
        </w:tc>
      </w:tr>
      <w:tr>
        <w:trPr>
          <w:trHeight w:val="163"/>
        </w:trPr>
        <w:tc>
          <w:tcPr>
            <w:tcW w:w="3320" w:type="dxa"/>
            <w:vAlign w:val="bottom"/>
          </w:tcPr>
          <w:p>
            <w:pPr>
              <w:spacing w:after="0"/>
              <w:rPr>
                <w:sz w:val="14"/>
                <w:szCs w:val="14"/>
                <w:color w:val="auto"/>
              </w:rPr>
            </w:pPr>
          </w:p>
        </w:tc>
        <w:tc>
          <w:tcPr>
            <w:tcW w:w="2760" w:type="dxa"/>
            <w:vAlign w:val="bottom"/>
            <w:gridSpan w:val="2"/>
          </w:tcPr>
          <w:p>
            <w:pPr>
              <w:ind w:left="520"/>
              <w:spacing w:after="0"/>
              <w:rPr>
                <w:sz w:val="20"/>
                <w:szCs w:val="20"/>
                <w:color w:val="auto"/>
              </w:rPr>
            </w:pPr>
            <w:r>
              <w:rPr>
                <w:rFonts w:ascii="Arial" w:cs="Arial" w:eastAsia="Arial" w:hAnsi="Arial"/>
                <w:sz w:val="12"/>
                <w:szCs w:val="12"/>
                <w:b w:val="1"/>
                <w:bCs w:val="1"/>
                <w:color w:val="auto"/>
              </w:rPr>
              <w:t>Balance Sheet Classification</w:t>
            </w:r>
          </w:p>
        </w:tc>
        <w:tc>
          <w:tcPr>
            <w:tcW w:w="30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at Fair Value</w:t>
            </w:r>
          </w:p>
        </w:tc>
        <w:tc>
          <w:tcPr>
            <w:tcW w:w="2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Balance Sheet</w:t>
            </w:r>
          </w:p>
        </w:tc>
        <w:tc>
          <w:tcPr>
            <w:tcW w:w="200" w:type="dxa"/>
            <w:vAlign w:val="bottom"/>
          </w:tcPr>
          <w:p>
            <w:pPr>
              <w:spacing w:after="0"/>
              <w:rPr>
                <w:sz w:val="14"/>
                <w:szCs w:val="14"/>
                <w:color w:val="auto"/>
              </w:rPr>
            </w:pPr>
          </w:p>
        </w:tc>
        <w:tc>
          <w:tcPr>
            <w:tcW w:w="1500" w:type="dxa"/>
            <w:vAlign w:val="bottom"/>
          </w:tcPr>
          <w:p>
            <w:pPr>
              <w:jc w:val="right"/>
              <w:ind w:right="280"/>
              <w:spacing w:after="0"/>
              <w:rPr>
                <w:sz w:val="20"/>
                <w:szCs w:val="20"/>
                <w:color w:val="auto"/>
              </w:rPr>
            </w:pPr>
            <w:r>
              <w:rPr>
                <w:rFonts w:ascii="Arial" w:cs="Arial" w:eastAsia="Arial" w:hAnsi="Arial"/>
                <w:sz w:val="12"/>
                <w:szCs w:val="12"/>
                <w:b w:val="1"/>
                <w:bCs w:val="1"/>
                <w:color w:val="auto"/>
              </w:rPr>
              <w:t>the Balance Sheet</w:t>
            </w:r>
          </w:p>
        </w:tc>
      </w:tr>
      <w:tr>
        <w:trPr>
          <w:trHeight w:val="17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2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76"/>
        </w:trPr>
        <w:tc>
          <w:tcPr>
            <w:tcW w:w="3320" w:type="dxa"/>
            <w:vAlign w:val="bottom"/>
          </w:tcPr>
          <w:p>
            <w:pPr>
              <w:ind w:left="100"/>
              <w:spacing w:after="0"/>
              <w:rPr>
                <w:sz w:val="20"/>
                <w:szCs w:val="20"/>
                <w:color w:val="auto"/>
              </w:rPr>
            </w:pPr>
            <w:r>
              <w:rPr>
                <w:rFonts w:ascii="Arial" w:cs="Arial" w:eastAsia="Arial" w:hAnsi="Arial"/>
                <w:sz w:val="12"/>
                <w:szCs w:val="12"/>
                <w:color w:val="auto"/>
              </w:rPr>
              <w:t>Commodity Contracts</w:t>
            </w:r>
          </w:p>
        </w:tc>
        <w:tc>
          <w:tcPr>
            <w:tcW w:w="2760" w:type="dxa"/>
            <w:vAlign w:val="bottom"/>
            <w:gridSpan w:val="2"/>
          </w:tcPr>
          <w:p>
            <w:pPr>
              <w:ind w:left="20"/>
              <w:spacing w:after="0"/>
              <w:rPr>
                <w:sz w:val="20"/>
                <w:szCs w:val="20"/>
                <w:color w:val="auto"/>
              </w:rPr>
            </w:pPr>
            <w:r>
              <w:rPr>
                <w:rFonts w:ascii="Arial" w:cs="Arial" w:eastAsia="Arial" w:hAnsi="Arial"/>
                <w:sz w:val="12"/>
                <w:szCs w:val="12"/>
                <w:color w:val="auto"/>
              </w:rPr>
              <w:t>Other current assets</w:t>
            </w: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23</w:t>
            </w:r>
          </w:p>
        </w:tc>
      </w:tr>
      <w:tr>
        <w:trPr>
          <w:trHeight w:val="185"/>
        </w:trPr>
        <w:tc>
          <w:tcPr>
            <w:tcW w:w="3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Commodity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r>
      <w:tr>
        <w:trPr>
          <w:trHeight w:val="189"/>
        </w:trPr>
        <w:tc>
          <w:tcPr>
            <w:tcW w:w="33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w:t>
            </w:r>
          </w:p>
        </w:tc>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6"/>
        </w:trPr>
        <w:tc>
          <w:tcPr>
            <w:tcW w:w="3320" w:type="dxa"/>
            <w:vAlign w:val="bottom"/>
          </w:tcPr>
          <w:p>
            <w:pPr>
              <w:ind w:left="100"/>
              <w:spacing w:after="0"/>
              <w:rPr>
                <w:sz w:val="20"/>
                <w:szCs w:val="20"/>
                <w:color w:val="auto"/>
              </w:rPr>
            </w:pPr>
            <w:r>
              <w:rPr>
                <w:rFonts w:ascii="Arial" w:cs="Arial" w:eastAsia="Arial" w:hAnsi="Arial"/>
                <w:sz w:val="12"/>
                <w:szCs w:val="12"/>
                <w:color w:val="auto"/>
              </w:rPr>
              <w:t>Commodity Contracts</w:t>
            </w:r>
          </w:p>
        </w:tc>
        <w:tc>
          <w:tcPr>
            <w:tcW w:w="2760" w:type="dxa"/>
            <w:vAlign w:val="bottom"/>
            <w:gridSpan w:val="2"/>
          </w:tcPr>
          <w:p>
            <w:pPr>
              <w:ind w:left="20"/>
              <w:spacing w:after="0"/>
              <w:rPr>
                <w:sz w:val="20"/>
                <w:szCs w:val="20"/>
                <w:color w:val="auto"/>
              </w:rPr>
            </w:pPr>
            <w:r>
              <w:rPr>
                <w:rFonts w:ascii="Arial" w:cs="Arial" w:eastAsia="Arial" w:hAnsi="Arial"/>
                <w:sz w:val="12"/>
                <w:szCs w:val="12"/>
                <w:color w:val="auto"/>
              </w:rPr>
              <w:t>Accrued liabilities</w:t>
            </w:r>
          </w:p>
        </w:tc>
        <w:tc>
          <w:tcPr>
            <w:tcW w:w="300" w:type="dxa"/>
            <w:vAlign w:val="bottom"/>
          </w:tcPr>
          <w:p>
            <w:pPr>
              <w:spacing w:after="0"/>
              <w:rPr>
                <w:sz w:val="15"/>
                <w:szCs w:val="15"/>
                <w:color w:val="auto"/>
              </w:rPr>
            </w:pPr>
          </w:p>
        </w:tc>
        <w:tc>
          <w:tcPr>
            <w:tcW w:w="1440" w:type="dxa"/>
            <w:vAlign w:val="bottom"/>
          </w:tcPr>
          <w:p>
            <w:pPr>
              <w:jc w:val="right"/>
              <w:ind w:right="20"/>
              <w:spacing w:after="0"/>
              <w:rPr>
                <w:sz w:val="20"/>
                <w:szCs w:val="20"/>
                <w:color w:val="auto"/>
              </w:rPr>
            </w:pPr>
            <w:r>
              <w:rPr>
                <w:rFonts w:ascii="Arial" w:cs="Arial" w:eastAsia="Arial" w:hAnsi="Arial"/>
                <w:sz w:val="12"/>
                <w:szCs w:val="12"/>
                <w:color w:val="auto"/>
              </w:rPr>
              <w:t>(170)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20"/>
              <w:spacing w:after="0"/>
              <w:rPr>
                <w:sz w:val="20"/>
                <w:szCs w:val="20"/>
                <w:color w:val="auto"/>
              </w:rPr>
            </w:pPr>
            <w:r>
              <w:rPr>
                <w:rFonts w:ascii="Arial" w:cs="Arial" w:eastAsia="Arial" w:hAnsi="Arial"/>
                <w:sz w:val="12"/>
                <w:szCs w:val="12"/>
                <w:color w:val="auto"/>
              </w:rPr>
              <w:t>(154)</w:t>
            </w:r>
          </w:p>
        </w:tc>
      </w:tr>
      <w:tr>
        <w:trPr>
          <w:trHeight w:val="180"/>
        </w:trPr>
        <w:tc>
          <w:tcPr>
            <w:tcW w:w="3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Commodity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r>
      <w:tr>
        <w:trPr>
          <w:trHeight w:val="172"/>
        </w:trPr>
        <w:tc>
          <w:tcPr>
            <w:tcW w:w="3320" w:type="dxa"/>
            <w:vAlign w:val="bottom"/>
          </w:tcPr>
          <w:p>
            <w:pPr>
              <w:ind w:left="20"/>
              <w:spacing w:after="0"/>
              <w:rPr>
                <w:sz w:val="20"/>
                <w:szCs w:val="20"/>
                <w:color w:val="auto"/>
              </w:rPr>
            </w:pPr>
            <w:r>
              <w:rPr>
                <w:rFonts w:ascii="Arial" w:cs="Arial" w:eastAsia="Arial" w:hAnsi="Arial"/>
                <w:sz w:val="12"/>
                <w:szCs w:val="12"/>
                <w:color w:val="auto"/>
              </w:rPr>
              <w:t>Total derivatives</w:t>
            </w: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(133)</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480"/>
              <w:spacing w:after="0"/>
              <w:rPr>
                <w:sz w:val="20"/>
                <w:szCs w:val="20"/>
                <w:color w:val="auto"/>
              </w:rPr>
            </w:pPr>
            <w:r>
              <w:rPr>
                <w:rFonts w:ascii="Arial" w:cs="Arial" w:eastAsia="Arial" w:hAnsi="Arial"/>
                <w:sz w:val="12"/>
                <w:szCs w:val="12"/>
                <w:b w:val="1"/>
                <w:bCs w:val="1"/>
                <w:color w:val="auto"/>
                <w:w w:val="98"/>
              </w:rPr>
              <w:t>December 31, 2016</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32"/>
        </w:trPr>
        <w:tc>
          <w:tcPr>
            <w:tcW w:w="3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99"/>
              </w:rPr>
              <w:t>Gross Amounts Recognized</w:t>
            </w:r>
          </w:p>
        </w:tc>
        <w:tc>
          <w:tcPr>
            <w:tcW w:w="184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rPr>
              <w:t>Gross Amounts Offset in the</w:t>
            </w:r>
          </w:p>
        </w:tc>
        <w:tc>
          <w:tcPr>
            <w:tcW w:w="1700" w:type="dxa"/>
            <w:vAlign w:val="bottom"/>
            <w:gridSpan w:val="2"/>
          </w:tcPr>
          <w:p>
            <w:pPr>
              <w:jc w:val="right"/>
              <w:ind w:right="20"/>
              <w:spacing w:after="0" w:line="132" w:lineRule="exact"/>
              <w:rPr>
                <w:sz w:val="20"/>
                <w:szCs w:val="20"/>
                <w:color w:val="auto"/>
              </w:rPr>
            </w:pPr>
            <w:r>
              <w:rPr>
                <w:rFonts w:ascii="Arial" w:cs="Arial" w:eastAsia="Arial" w:hAnsi="Arial"/>
                <w:sz w:val="12"/>
                <w:szCs w:val="12"/>
                <w:b w:val="1"/>
                <w:bCs w:val="1"/>
                <w:color w:val="auto"/>
              </w:rPr>
              <w:t>Net Fair Value Presented in</w:t>
            </w:r>
          </w:p>
        </w:tc>
      </w:tr>
      <w:tr>
        <w:trPr>
          <w:trHeight w:val="163"/>
        </w:trPr>
        <w:tc>
          <w:tcPr>
            <w:tcW w:w="3320" w:type="dxa"/>
            <w:vAlign w:val="bottom"/>
          </w:tcPr>
          <w:p>
            <w:pPr>
              <w:spacing w:after="0"/>
              <w:rPr>
                <w:sz w:val="14"/>
                <w:szCs w:val="14"/>
                <w:color w:val="auto"/>
              </w:rPr>
            </w:pPr>
          </w:p>
        </w:tc>
        <w:tc>
          <w:tcPr>
            <w:tcW w:w="2760" w:type="dxa"/>
            <w:vAlign w:val="bottom"/>
            <w:gridSpan w:val="2"/>
          </w:tcPr>
          <w:p>
            <w:pPr>
              <w:ind w:left="520"/>
              <w:spacing w:after="0"/>
              <w:rPr>
                <w:sz w:val="20"/>
                <w:szCs w:val="20"/>
                <w:color w:val="auto"/>
              </w:rPr>
            </w:pPr>
            <w:r>
              <w:rPr>
                <w:rFonts w:ascii="Arial" w:cs="Arial" w:eastAsia="Arial" w:hAnsi="Arial"/>
                <w:sz w:val="12"/>
                <w:szCs w:val="12"/>
                <w:b w:val="1"/>
                <w:bCs w:val="1"/>
                <w:color w:val="auto"/>
              </w:rPr>
              <w:t>Balance Sheet Classification</w:t>
            </w:r>
          </w:p>
        </w:tc>
        <w:tc>
          <w:tcPr>
            <w:tcW w:w="30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8"/>
              </w:rPr>
              <w:t>at Fair Value</w:t>
            </w:r>
          </w:p>
        </w:tc>
        <w:tc>
          <w:tcPr>
            <w:tcW w:w="2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Balance Sheet</w:t>
            </w:r>
          </w:p>
        </w:tc>
        <w:tc>
          <w:tcPr>
            <w:tcW w:w="200" w:type="dxa"/>
            <w:vAlign w:val="bottom"/>
          </w:tcPr>
          <w:p>
            <w:pPr>
              <w:spacing w:after="0"/>
              <w:rPr>
                <w:sz w:val="14"/>
                <w:szCs w:val="14"/>
                <w:color w:val="auto"/>
              </w:rPr>
            </w:pPr>
          </w:p>
        </w:tc>
        <w:tc>
          <w:tcPr>
            <w:tcW w:w="1500" w:type="dxa"/>
            <w:vAlign w:val="bottom"/>
          </w:tcPr>
          <w:p>
            <w:pPr>
              <w:jc w:val="right"/>
              <w:ind w:right="280"/>
              <w:spacing w:after="0"/>
              <w:rPr>
                <w:sz w:val="20"/>
                <w:szCs w:val="20"/>
                <w:color w:val="auto"/>
              </w:rPr>
            </w:pPr>
            <w:r>
              <w:rPr>
                <w:rFonts w:ascii="Arial" w:cs="Arial" w:eastAsia="Arial" w:hAnsi="Arial"/>
                <w:sz w:val="12"/>
                <w:szCs w:val="12"/>
                <w:b w:val="1"/>
                <w:bCs w:val="1"/>
                <w:color w:val="auto"/>
              </w:rPr>
              <w:t>the Balance Sheet</w:t>
            </w:r>
          </w:p>
        </w:tc>
      </w:tr>
      <w:tr>
        <w:trPr>
          <w:trHeight w:val="17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2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76"/>
        </w:trPr>
        <w:tc>
          <w:tcPr>
            <w:tcW w:w="3320" w:type="dxa"/>
            <w:vAlign w:val="bottom"/>
          </w:tcPr>
          <w:p>
            <w:pPr>
              <w:ind w:left="100"/>
              <w:spacing w:after="0"/>
              <w:rPr>
                <w:sz w:val="20"/>
                <w:szCs w:val="20"/>
                <w:color w:val="auto"/>
              </w:rPr>
            </w:pPr>
            <w:r>
              <w:rPr>
                <w:rFonts w:ascii="Arial" w:cs="Arial" w:eastAsia="Arial" w:hAnsi="Arial"/>
                <w:sz w:val="12"/>
                <w:szCs w:val="12"/>
                <w:color w:val="auto"/>
              </w:rPr>
              <w:t>Commodity Contracts</w:t>
            </w:r>
          </w:p>
        </w:tc>
        <w:tc>
          <w:tcPr>
            <w:tcW w:w="2760" w:type="dxa"/>
            <w:vAlign w:val="bottom"/>
            <w:gridSpan w:val="2"/>
          </w:tcPr>
          <w:p>
            <w:pPr>
              <w:ind w:left="20"/>
              <w:spacing w:after="0"/>
              <w:rPr>
                <w:sz w:val="20"/>
                <w:szCs w:val="20"/>
                <w:color w:val="auto"/>
              </w:rPr>
            </w:pPr>
            <w:r>
              <w:rPr>
                <w:rFonts w:ascii="Arial" w:cs="Arial" w:eastAsia="Arial" w:hAnsi="Arial"/>
                <w:sz w:val="12"/>
                <w:szCs w:val="12"/>
                <w:color w:val="auto"/>
              </w:rPr>
              <w:t>Other current assets</w:t>
            </w: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60"/>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39</w:t>
            </w:r>
          </w:p>
        </w:tc>
      </w:tr>
      <w:tr>
        <w:trPr>
          <w:trHeight w:val="185"/>
        </w:trPr>
        <w:tc>
          <w:tcPr>
            <w:tcW w:w="3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Commodity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r>
      <w:tr>
        <w:trPr>
          <w:trHeight w:val="189"/>
        </w:trPr>
        <w:tc>
          <w:tcPr>
            <w:tcW w:w="33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w:t>
            </w:r>
          </w:p>
        </w:tc>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6"/>
        </w:trPr>
        <w:tc>
          <w:tcPr>
            <w:tcW w:w="3320" w:type="dxa"/>
            <w:vAlign w:val="bottom"/>
          </w:tcPr>
          <w:p>
            <w:pPr>
              <w:ind w:left="100"/>
              <w:spacing w:after="0"/>
              <w:rPr>
                <w:sz w:val="20"/>
                <w:szCs w:val="20"/>
                <w:color w:val="auto"/>
              </w:rPr>
            </w:pPr>
            <w:r>
              <w:rPr>
                <w:rFonts w:ascii="Arial" w:cs="Arial" w:eastAsia="Arial" w:hAnsi="Arial"/>
                <w:sz w:val="12"/>
                <w:szCs w:val="12"/>
                <w:color w:val="auto"/>
              </w:rPr>
              <w:t>Commodity Contracts</w:t>
            </w:r>
          </w:p>
        </w:tc>
        <w:tc>
          <w:tcPr>
            <w:tcW w:w="2760" w:type="dxa"/>
            <w:vAlign w:val="bottom"/>
            <w:gridSpan w:val="2"/>
          </w:tcPr>
          <w:p>
            <w:pPr>
              <w:ind w:left="20"/>
              <w:spacing w:after="0"/>
              <w:rPr>
                <w:sz w:val="20"/>
                <w:szCs w:val="20"/>
                <w:color w:val="auto"/>
              </w:rPr>
            </w:pPr>
            <w:r>
              <w:rPr>
                <w:rFonts w:ascii="Arial" w:cs="Arial" w:eastAsia="Arial" w:hAnsi="Arial"/>
                <w:sz w:val="12"/>
                <w:szCs w:val="12"/>
                <w:color w:val="auto"/>
              </w:rPr>
              <w:t>Accrued liabilities</w:t>
            </w:r>
          </w:p>
        </w:tc>
        <w:tc>
          <w:tcPr>
            <w:tcW w:w="300" w:type="dxa"/>
            <w:vAlign w:val="bottom"/>
          </w:tcPr>
          <w:p>
            <w:pPr>
              <w:spacing w:after="0"/>
              <w:rPr>
                <w:sz w:val="15"/>
                <w:szCs w:val="15"/>
                <w:color w:val="auto"/>
              </w:rPr>
            </w:pPr>
          </w:p>
        </w:tc>
        <w:tc>
          <w:tcPr>
            <w:tcW w:w="1440" w:type="dxa"/>
            <w:vAlign w:val="bottom"/>
          </w:tcPr>
          <w:p>
            <w:pPr>
              <w:jc w:val="right"/>
              <w:ind w:right="20"/>
              <w:spacing w:after="0"/>
              <w:rPr>
                <w:sz w:val="20"/>
                <w:szCs w:val="20"/>
                <w:color w:val="auto"/>
              </w:rPr>
            </w:pPr>
            <w:r>
              <w:rPr>
                <w:rFonts w:ascii="Arial" w:cs="Arial" w:eastAsia="Arial" w:hAnsi="Arial"/>
                <w:sz w:val="12"/>
                <w:szCs w:val="12"/>
                <w:color w:val="auto"/>
              </w:rPr>
              <w:t>(152)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20"/>
              <w:spacing w:after="0"/>
              <w:rPr>
                <w:sz w:val="20"/>
                <w:szCs w:val="20"/>
                <w:color w:val="auto"/>
              </w:rPr>
            </w:pPr>
            <w:r>
              <w:rPr>
                <w:rFonts w:ascii="Arial" w:cs="Arial" w:eastAsia="Arial" w:hAnsi="Arial"/>
                <w:sz w:val="12"/>
                <w:szCs w:val="12"/>
                <w:color w:val="auto"/>
              </w:rPr>
              <w:t>(103)</w:t>
            </w:r>
          </w:p>
        </w:tc>
      </w:tr>
      <w:tr>
        <w:trPr>
          <w:trHeight w:val="180"/>
        </w:trPr>
        <w:tc>
          <w:tcPr>
            <w:tcW w:w="3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Commodity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r>
      <w:tr>
        <w:trPr>
          <w:trHeight w:val="172"/>
        </w:trPr>
        <w:tc>
          <w:tcPr>
            <w:tcW w:w="3320" w:type="dxa"/>
            <w:vAlign w:val="bottom"/>
          </w:tcPr>
          <w:p>
            <w:pPr>
              <w:ind w:left="20"/>
              <w:spacing w:after="0"/>
              <w:rPr>
                <w:sz w:val="20"/>
                <w:szCs w:val="20"/>
                <w:color w:val="auto"/>
              </w:rPr>
            </w:pPr>
            <w:r>
              <w:rPr>
                <w:rFonts w:ascii="Arial" w:cs="Arial" w:eastAsia="Arial" w:hAnsi="Arial"/>
                <w:sz w:val="12"/>
                <w:szCs w:val="12"/>
                <w:color w:val="auto"/>
              </w:rPr>
              <w:t>Total derivatives</w:t>
            </w: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(97)</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Counterparty Credit Risk</w:t>
      </w:r>
    </w:p>
    <w:p>
      <w:pPr>
        <w:spacing w:after="0" w:line="137" w:lineRule="exact"/>
        <w:rPr>
          <w:sz w:val="20"/>
          <w:szCs w:val="20"/>
          <w:color w:val="auto"/>
        </w:rPr>
      </w:pPr>
    </w:p>
    <w:p>
      <w:pPr>
        <w:ind w:right="280" w:firstLine="216"/>
        <w:spacing w:after="0" w:line="254" w:lineRule="auto"/>
        <w:rPr>
          <w:sz w:val="20"/>
          <w:szCs w:val="20"/>
          <w:color w:val="auto"/>
        </w:rPr>
      </w:pPr>
      <w:r>
        <w:rPr>
          <w:rFonts w:ascii="Arial" w:cs="Arial" w:eastAsia="Arial" w:hAnsi="Arial"/>
          <w:sz w:val="12"/>
          <w:szCs w:val="12"/>
          <w:color w:val="auto"/>
        </w:rPr>
        <w:t>Our credit risk relates primarily to trade receivables and derivative financial instruments. Credit exposure for each customer is monitored for outstanding balances and current activity. For derivative swaps and options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480"/>
          </w:cols>
          <w:pgMar w:left="220" w:top="301" w:right="199" w:bottom="1440" w:gutter="0" w:footer="0" w:header="0"/>
        </w:sectPr>
      </w:pPr>
    </w:p>
    <w:bookmarkStart w:id="98" w:name="page99"/>
    <w:bookmarkEnd w:id="98"/>
    <w:p>
      <w:pPr>
        <w:ind w:right="140" w:firstLine="216"/>
        <w:spacing w:after="0" w:line="262" w:lineRule="auto"/>
        <w:rPr>
          <w:sz w:val="20"/>
          <w:szCs w:val="20"/>
          <w:color w:val="auto"/>
        </w:rPr>
      </w:pPr>
      <w:r>
        <w:rPr>
          <w:rFonts w:ascii="Arial" w:cs="Arial" w:eastAsia="Arial" w:hAnsi="Arial"/>
          <w:sz w:val="12"/>
          <w:szCs w:val="12"/>
          <w:color w:val="auto"/>
        </w:rPr>
        <w:t>As of December 31, 2017, the substantial majority of the credit exposures related to our derivative financial instruments was with investment-grade counterparties. We believe exposure to credit-related losses at December 31, 2017 was not material and losses associated with credit risk have been insignificant for all years presented.</w:t>
      </w:r>
    </w:p>
    <w:p>
      <w:pPr>
        <w:spacing w:after="0" w:line="63"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NOTE 9</w:t>
      </w:r>
      <w:r>
        <w:rPr>
          <w:sz w:val="20"/>
          <w:szCs w:val="20"/>
          <w:color w:val="auto"/>
        </w:rPr>
        <w:tab/>
      </w:r>
      <w:r>
        <w:rPr>
          <w:rFonts w:ascii="Arial" w:cs="Arial" w:eastAsia="Arial" w:hAnsi="Arial"/>
          <w:sz w:val="11"/>
          <w:szCs w:val="11"/>
          <w:b w:val="1"/>
          <w:bCs w:val="1"/>
          <w:color w:val="auto"/>
        </w:rPr>
        <w:t>INCOME TAXES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Income (loss) before income taxes, which is all domestic, was $(262) million, $201 million and $(5,476) million for the years ended December 31, 2017, 2016 and 2015, respectively. The provision (benefit) for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080" w:type="dxa"/>
            <w:vAlign w:val="bottom"/>
          </w:tcPr>
          <w:p>
            <w:pPr>
              <w:spacing w:after="0"/>
              <w:rPr>
                <w:sz w:val="20"/>
                <w:szCs w:val="20"/>
                <w:color w:val="auto"/>
              </w:rPr>
            </w:pPr>
            <w:r>
              <w:rPr>
                <w:rFonts w:ascii="Arial" w:cs="Arial" w:eastAsia="Arial" w:hAnsi="Arial"/>
                <w:sz w:val="12"/>
                <w:szCs w:val="12"/>
                <w:color w:val="auto"/>
              </w:rPr>
              <w:t>federal, state and local income taxes consisted of the following:</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319"/>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9"/>
              </w:rPr>
              <w:t>United States</w:t>
            </w:r>
          </w:p>
        </w:tc>
        <w:tc>
          <w:tcPr>
            <w:tcW w:w="42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State</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3"/>
        </w:trPr>
        <w:tc>
          <w:tcPr>
            <w:tcW w:w="6080" w:type="dxa"/>
            <w:vAlign w:val="bottom"/>
          </w:tcPr>
          <w:p>
            <w:pPr>
              <w:ind w:left="20"/>
              <w:spacing w:after="0"/>
              <w:rPr>
                <w:sz w:val="20"/>
                <w:szCs w:val="20"/>
                <w:color w:val="auto"/>
              </w:rPr>
            </w:pPr>
            <w:r>
              <w:rPr>
                <w:rFonts w:ascii="Arial" w:cs="Arial" w:eastAsia="Arial" w:hAnsi="Arial"/>
                <w:sz w:val="12"/>
                <w:szCs w:val="12"/>
                <w:b w:val="1"/>
                <w:bCs w:val="1"/>
                <w:color w:val="auto"/>
              </w:rPr>
              <w:t>For the years ended December 31,</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98"/>
              </w:rPr>
              <w:t>Federal</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2"/>
                <w:szCs w:val="12"/>
                <w:b w:val="1"/>
                <w:bCs w:val="1"/>
                <w:color w:val="auto"/>
                <w:w w:val="99"/>
              </w:rPr>
              <w:t>and Local</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Total</w:t>
            </w:r>
          </w:p>
        </w:tc>
      </w:tr>
      <w:tr>
        <w:trPr>
          <w:trHeight w:val="152"/>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color w:val="auto"/>
                <w:w w:val="98"/>
              </w:rPr>
              <w:t>(in millions)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5"/>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7"/>
        </w:trPr>
        <w:tc>
          <w:tcPr>
            <w:tcW w:w="6080" w:type="dxa"/>
            <w:vAlign w:val="bottom"/>
          </w:tcPr>
          <w:p>
            <w:pPr>
              <w:ind w:left="100"/>
              <w:spacing w:after="0"/>
              <w:rPr>
                <w:sz w:val="20"/>
                <w:szCs w:val="20"/>
                <w:color w:val="auto"/>
              </w:rPr>
            </w:pPr>
            <w:r>
              <w:rPr>
                <w:rFonts w:ascii="Arial" w:cs="Arial" w:eastAsia="Arial" w:hAnsi="Arial"/>
                <w:sz w:val="12"/>
                <w:szCs w:val="12"/>
                <w:color w:val="auto"/>
              </w:rPr>
              <w:t>Current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w:t>
            </w:r>
          </w:p>
        </w:tc>
        <w:tc>
          <w:tcPr>
            <w:tcW w:w="2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608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2016</w:t>
            </w:r>
          </w:p>
        </w:tc>
        <w:tc>
          <w:tcPr>
            <w:tcW w:w="2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67"/>
        </w:trPr>
        <w:tc>
          <w:tcPr>
            <w:tcW w:w="6080" w:type="dxa"/>
            <w:vAlign w:val="bottom"/>
          </w:tcPr>
          <w:p>
            <w:pPr>
              <w:ind w:left="100"/>
              <w:spacing w:after="0"/>
              <w:rPr>
                <w:sz w:val="20"/>
                <w:szCs w:val="20"/>
                <w:color w:val="auto"/>
              </w:rPr>
            </w:pPr>
            <w:r>
              <w:rPr>
                <w:rFonts w:ascii="Arial" w:cs="Arial" w:eastAsia="Arial" w:hAnsi="Arial"/>
                <w:sz w:val="12"/>
                <w:szCs w:val="12"/>
                <w:color w:val="auto"/>
              </w:rPr>
              <w:t>Current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w:t>
            </w:r>
          </w:p>
        </w:tc>
        <w:tc>
          <w:tcPr>
            <w:tcW w:w="2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(78)</w:t>
            </w:r>
          </w:p>
        </w:tc>
      </w:tr>
      <w:tr>
        <w:trPr>
          <w:trHeight w:val="172"/>
        </w:trPr>
        <w:tc>
          <w:tcPr>
            <w:tcW w:w="60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(78)</w:t>
            </w:r>
          </w:p>
        </w:tc>
      </w:tr>
      <w:tr>
        <w:trPr>
          <w:trHeight w:val="171"/>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2015</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7"/>
        </w:trPr>
        <w:tc>
          <w:tcPr>
            <w:tcW w:w="6080" w:type="dxa"/>
            <w:vAlign w:val="bottom"/>
          </w:tcPr>
          <w:p>
            <w:pPr>
              <w:ind w:left="100"/>
              <w:spacing w:after="0"/>
              <w:rPr>
                <w:sz w:val="20"/>
                <w:szCs w:val="20"/>
                <w:color w:val="auto"/>
              </w:rPr>
            </w:pPr>
            <w:r>
              <w:rPr>
                <w:rFonts w:ascii="Arial" w:cs="Arial" w:eastAsia="Arial" w:hAnsi="Arial"/>
                <w:sz w:val="12"/>
                <w:szCs w:val="12"/>
                <w:color w:val="auto"/>
              </w:rPr>
              <w:t>Current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255</w:t>
            </w:r>
          </w:p>
        </w:tc>
        <w:tc>
          <w:tcPr>
            <w:tcW w:w="100" w:type="dxa"/>
            <w:vAlign w:val="bottom"/>
          </w:tcPr>
          <w:p>
            <w:pPr>
              <w:spacing w:after="0"/>
              <w:rPr>
                <w:sz w:val="14"/>
                <w:szCs w:val="14"/>
                <w:color w:val="auto"/>
              </w:rPr>
            </w:pPr>
          </w:p>
        </w:tc>
        <w:tc>
          <w:tcPr>
            <w:tcW w:w="4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1"/>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336</w:t>
            </w:r>
          </w:p>
        </w:tc>
      </w:tr>
      <w:tr>
        <w:trPr>
          <w:trHeight w:val="171"/>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w:t>
            </w:r>
          </w:p>
        </w:tc>
        <w:tc>
          <w:tcPr>
            <w:tcW w:w="2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(1,961)</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(297)</w:t>
            </w: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(2,258)</w:t>
            </w:r>
          </w:p>
        </w:tc>
      </w:tr>
      <w:tr>
        <w:trPr>
          <w:trHeight w:val="183"/>
        </w:trPr>
        <w:tc>
          <w:tcPr>
            <w:tcW w:w="608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(1,706)</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(216)</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(1,922)</w:t>
            </w:r>
          </w:p>
        </w:tc>
      </w:tr>
      <w:tr>
        <w:trPr>
          <w:trHeight w:val="223"/>
        </w:trPr>
        <w:tc>
          <w:tcPr>
            <w:tcW w:w="8340" w:type="dxa"/>
            <w:vAlign w:val="bottom"/>
            <w:gridSpan w:val="5"/>
          </w:tcPr>
          <w:p>
            <w:pPr>
              <w:ind w:left="200"/>
              <w:spacing w:after="0"/>
              <w:rPr>
                <w:sz w:val="20"/>
                <w:szCs w:val="20"/>
                <w:color w:val="auto"/>
              </w:rPr>
            </w:pPr>
            <w:r>
              <w:rPr>
                <w:rFonts w:ascii="Arial" w:cs="Arial" w:eastAsia="Arial" w:hAnsi="Arial"/>
                <w:sz w:val="12"/>
                <w:szCs w:val="12"/>
                <w:color w:val="auto"/>
              </w:rPr>
              <w:t>Total income tax expense (benefit) differs from the amounts computed by applying the U.S. federal income tax rate to pre-tax income (loss) as follows: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74" w:lineRule="exact"/>
        <w:rPr>
          <w:sz w:val="20"/>
          <w:szCs w:val="20"/>
          <w:color w:val="auto"/>
        </w:rPr>
      </w:pPr>
    </w:p>
    <w:p>
      <w:pPr>
        <w:jc w:val="center"/>
        <w:ind w:left="6020"/>
        <w:spacing w:after="0"/>
        <w:rPr>
          <w:sz w:val="20"/>
          <w:szCs w:val="20"/>
          <w:color w:val="auto"/>
        </w:rPr>
      </w:pPr>
      <w:r>
        <w:rPr>
          <w:rFonts w:ascii="Arial" w:cs="Arial" w:eastAsia="Arial" w:hAnsi="Arial"/>
          <w:sz w:val="12"/>
          <w:szCs w:val="12"/>
          <w:b w:val="1"/>
          <w:bCs w:val="1"/>
          <w:color w:val="auto"/>
        </w:rPr>
        <w:t>For the years ended</w:t>
      </w:r>
    </w:p>
    <w:p>
      <w:pPr>
        <w:spacing w:after="0" w:line="11" w:lineRule="exact"/>
        <w:rPr>
          <w:sz w:val="20"/>
          <w:szCs w:val="20"/>
          <w:color w:val="auto"/>
        </w:rPr>
      </w:pPr>
    </w:p>
    <w:p>
      <w:pPr>
        <w:jc w:val="center"/>
        <w:ind w:left="602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wp:posOffset>
            </wp:positionV>
            <wp:extent cx="348297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82975" cy="571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2017</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2015</w:t>
            </w:r>
          </w:p>
        </w:tc>
      </w:tr>
      <w:tr>
        <w:trPr>
          <w:trHeight w:val="165"/>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federal statutory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35 %</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76"/>
        </w:trPr>
        <w:tc>
          <w:tcPr>
            <w:tcW w:w="7200" w:type="dxa"/>
            <w:vAlign w:val="bottom"/>
            <w:gridSpan w:val="2"/>
          </w:tcPr>
          <w:p>
            <w:pPr>
              <w:ind w:left="20"/>
              <w:spacing w:after="0"/>
              <w:rPr>
                <w:sz w:val="20"/>
                <w:szCs w:val="20"/>
                <w:color w:val="auto"/>
              </w:rPr>
            </w:pPr>
            <w:r>
              <w:rPr>
                <w:rFonts w:ascii="Arial" w:cs="Arial" w:eastAsia="Arial" w:hAnsi="Arial"/>
                <w:sz w:val="12"/>
                <w:szCs w:val="12"/>
                <w:color w:val="auto"/>
              </w:rPr>
              <w:t>State income taxes, net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5"/>
                <w:szCs w:val="15"/>
                <w:color w:val="auto"/>
              </w:rPr>
            </w:pPr>
          </w:p>
        </w:tc>
        <w:tc>
          <w:tcPr>
            <w:tcW w:w="1760" w:type="dxa"/>
            <w:vAlign w:val="bottom"/>
          </w:tcPr>
          <w:p>
            <w:pPr>
              <w:jc w:val="right"/>
              <w:ind w:right="12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1760" w:type="dxa"/>
            <w:vAlign w:val="bottom"/>
          </w:tcPr>
          <w:p>
            <w:pPr>
              <w:jc w:val="right"/>
              <w:ind w:right="80"/>
              <w:spacing w:after="0"/>
              <w:rPr>
                <w:sz w:val="20"/>
                <w:szCs w:val="20"/>
                <w:color w:val="auto"/>
              </w:rPr>
            </w:pPr>
            <w:r>
              <w:rPr>
                <w:rFonts w:ascii="Arial" w:cs="Arial" w:eastAsia="Arial" w:hAnsi="Arial"/>
                <w:sz w:val="12"/>
                <w:szCs w:val="12"/>
                <w:color w:val="auto"/>
              </w:rPr>
              <w:t>(5)</w:t>
            </w:r>
          </w:p>
        </w:tc>
      </w:tr>
      <w:tr>
        <w:trPr>
          <w:trHeight w:val="185"/>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Decrease in U.S. federal corporate tax rate</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6"/>
        </w:trPr>
        <w:tc>
          <w:tcPr>
            <w:tcW w:w="7200" w:type="dxa"/>
            <w:vAlign w:val="bottom"/>
            <w:gridSpan w:val="2"/>
          </w:tcPr>
          <w:p>
            <w:pPr>
              <w:ind w:left="20"/>
              <w:spacing w:after="0"/>
              <w:rPr>
                <w:sz w:val="20"/>
                <w:szCs w:val="20"/>
                <w:color w:val="auto"/>
              </w:rPr>
            </w:pPr>
            <w:r>
              <w:rPr>
                <w:rFonts w:ascii="Arial" w:cs="Arial" w:eastAsia="Arial" w:hAnsi="Arial"/>
                <w:sz w:val="12"/>
                <w:szCs w:val="12"/>
                <w:color w:val="auto"/>
              </w:rPr>
              <w:t>Changes in tax attributes, net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5"/>
                <w:szCs w:val="15"/>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760" w:type="dxa"/>
            <w:vAlign w:val="bottom"/>
          </w:tcPr>
          <w:p>
            <w:pPr>
              <w:jc w:val="right"/>
              <w:ind w:right="120"/>
              <w:spacing w:after="0"/>
              <w:rPr>
                <w:sz w:val="20"/>
                <w:szCs w:val="20"/>
                <w:color w:val="auto"/>
              </w:rPr>
            </w:pPr>
            <w:r>
              <w:rPr>
                <w:rFonts w:ascii="Arial" w:cs="Arial" w:eastAsia="Arial" w:hAnsi="Arial"/>
                <w:sz w:val="12"/>
                <w:szCs w:val="12"/>
                <w:color w:val="auto"/>
              </w:rPr>
              <w:t>—</w:t>
            </w:r>
          </w:p>
        </w:tc>
      </w:tr>
      <w:tr>
        <w:trPr>
          <w:trHeight w:val="185"/>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Cancellation of debt income, net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(275)</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6"/>
        </w:trPr>
        <w:tc>
          <w:tcPr>
            <w:tcW w:w="7200" w:type="dxa"/>
            <w:vAlign w:val="bottom"/>
            <w:gridSpan w:val="2"/>
          </w:tcPr>
          <w:p>
            <w:pPr>
              <w:ind w:left="20"/>
              <w:spacing w:after="0"/>
              <w:rPr>
                <w:sz w:val="20"/>
                <w:szCs w:val="20"/>
                <w:color w:val="auto"/>
              </w:rPr>
            </w:pPr>
            <w:r>
              <w:rPr>
                <w:rFonts w:ascii="Arial" w:cs="Arial" w:eastAsia="Arial" w:hAnsi="Arial"/>
                <w:sz w:val="12"/>
                <w:szCs w:val="12"/>
                <w:color w:val="auto"/>
              </w:rPr>
              <w:t>Stock-based compensation, net</w:t>
            </w:r>
          </w:p>
        </w:tc>
        <w:tc>
          <w:tcPr>
            <w:tcW w:w="540" w:type="dxa"/>
            <w:vAlign w:val="bottom"/>
          </w:tcPr>
          <w:p>
            <w:pPr>
              <w:jc w:val="right"/>
              <w:ind w:right="10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760" w:type="dxa"/>
            <w:vAlign w:val="bottom"/>
          </w:tcPr>
          <w:p>
            <w:pPr>
              <w:jc w:val="right"/>
              <w:ind w:right="12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1760" w:type="dxa"/>
            <w:vAlign w:val="bottom"/>
          </w:tcPr>
          <w:p>
            <w:pPr>
              <w:jc w:val="right"/>
              <w:ind w:right="120"/>
              <w:spacing w:after="0"/>
              <w:rPr>
                <w:sz w:val="20"/>
                <w:szCs w:val="20"/>
                <w:color w:val="auto"/>
              </w:rPr>
            </w:pPr>
            <w:r>
              <w:rPr>
                <w:rFonts w:ascii="Arial" w:cs="Arial" w:eastAsia="Arial" w:hAnsi="Arial"/>
                <w:sz w:val="12"/>
                <w:szCs w:val="12"/>
                <w:color w:val="auto"/>
              </w:rPr>
              <w:t>—</w:t>
            </w:r>
          </w:p>
        </w:tc>
      </w:tr>
      <w:tr>
        <w:trPr>
          <w:trHeight w:val="185"/>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Valuation allowance, net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192</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r>
      <w:tr>
        <w:trPr>
          <w:trHeight w:val="176"/>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1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r>
      <w:tr>
        <w:trPr>
          <w:trHeight w:val="172"/>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Effective tax rate</w:t>
            </w:r>
          </w:p>
        </w:tc>
        <w:tc>
          <w:tcPr>
            <w:tcW w:w="12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2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r>
    </w:tbl>
    <w:p>
      <w:pPr>
        <w:spacing w:after="0" w:line="89" w:lineRule="exact"/>
        <w:rPr>
          <w:sz w:val="20"/>
          <w:szCs w:val="20"/>
          <w:color w:val="auto"/>
        </w:rPr>
      </w:pPr>
    </w:p>
    <w:p>
      <w:pPr>
        <w:ind w:right="200" w:firstLine="216"/>
        <w:spacing w:after="0" w:line="253" w:lineRule="auto"/>
        <w:rPr>
          <w:sz w:val="20"/>
          <w:szCs w:val="20"/>
          <w:color w:val="auto"/>
        </w:rPr>
      </w:pPr>
      <w:r>
        <w:rPr>
          <w:rFonts w:ascii="Arial" w:cs="Arial" w:eastAsia="Arial" w:hAnsi="Arial"/>
          <w:sz w:val="12"/>
          <w:szCs w:val="12"/>
          <w:color w:val="auto"/>
        </w:rPr>
        <w:t>The Tax Cuts and Jobs Act (the Tax Act) was enacted on December 22, 2017. The Tax Act includes significant changes to U.S. income tax and related laws. In addition to the reduction in the top corporate tax rate, other provisions of the Tax Act include, but are not limited to, fully expensing the cost of acquired qualified property, subject to certain phase-out provisions, and limiting the interest expense deduction. We evaluated the provisions of the Tax Act, most of which are effective January 1, 2018, and determined that because of our tax-loss and valuation allowance position there will be no net current impact on our financial statements. Over the long term, the provisions are expected to be favorable to us when we begin to generate taxable income and should result in the deferral of cash tax payments from when they otherwise would have been due.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480"/>
          </w:cols>
          <w:pgMar w:left="220" w:top="301" w:right="199" w:bottom="1440" w:gutter="0" w:footer="0" w:header="0"/>
        </w:sectPr>
      </w:pPr>
    </w:p>
    <w:bookmarkStart w:id="99" w:name="page100"/>
    <w:bookmarkEnd w:id="99"/>
    <w:p>
      <w:pPr>
        <w:ind w:right="140" w:firstLine="216"/>
        <w:spacing w:after="0" w:line="256" w:lineRule="auto"/>
        <w:rPr>
          <w:sz w:val="20"/>
          <w:szCs w:val="20"/>
          <w:color w:val="auto"/>
        </w:rPr>
      </w:pPr>
      <w:r>
        <w:rPr>
          <w:rFonts w:ascii="Arial" w:cs="Arial" w:eastAsia="Arial" w:hAnsi="Arial"/>
          <w:sz w:val="12"/>
          <w:szCs w:val="12"/>
          <w:color w:val="auto"/>
        </w:rPr>
        <w:t>During 2017, our effective tax rate differed from the statutory tax rate of 35% due to (1) a 91% decrease related to a one-time adjustment of $240 million for the remeasurement of our net deferred tax asset as a result of the Tax Act, (2) a 19% increase related to enhanced oil recovery (EOR) tax credits, marginal well tax credits and other items and (3) a 6% increase related to state taxes. All of these items resulted in a corresponding change to our valuation allowance increasing our effective tax rate by 33%, because it is not more-likely-than-not that our net deferred tax asset is realizable.</w:t>
      </w:r>
    </w:p>
    <w:p>
      <w:pPr>
        <w:spacing w:after="0" w:line="135"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In the first quarter of 2016, we reduced our valuation allowance due to our evaluation of our assets and liabilities at the time of our 2015 debt exchange, which generated $1.4 billion of cancellation of debt income (CODI) for tax purposes. Our evaluation indicated that our liabilities exceeded the value of our assets, both calculated in accordance with tax rules, enabling us to move the liability related to CODI to deferred tax liabilities. The resulting increase of our deferred tax liabilities that could be offset against deferred tax assets caused an $ 82 million reduction in the valuation allowance and resulted in a benefit of $78 million, net of $4 million in state tax. During the rest of 2016, we increased the valuation allowance by $480 million, which resulted in a net increase of the allowance by $398 million for the year. The net change in the valuation allowance had the effect of increasing our provision by $384 million, after $14 million in state taxes, which increased our effective tax rate by 192%. We concluded, on a more-likely-than-not basis, that we could not realize any of the deferred tax assets generated during 2016.</w:t>
      </w:r>
    </w:p>
    <w:p>
      <w:pPr>
        <w:spacing w:after="0" w:line="139"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Management assesses the available positive and negative evidence to estimate whether sufficient future taxable income will be generated to permit use of existing deferred tax assets. A significant piece of evidence evaluated is a history of operating losses. Such evidence limits our ability to consider other evidence such as projections for growth. As of December 31, 2017, we concluded that we could not realize, on a more-likely-than-not basis, any of our deferred tax assets and there is not sufficient evidence to support the reversal of all or any portion of this allowance. Given our recent and anticipated future earnings trends, we do not believe any of the valuation allowance will be released within the next 12 months. The amount of the deferred tax assets considered realizable could however be adjusted if estimates or amounts of deferred tax liabilities change.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Cancellation of debt income</w:t>
      </w:r>
    </w:p>
    <w:p>
      <w:pPr>
        <w:spacing w:after="0" w:line="227" w:lineRule="exact"/>
        <w:rPr>
          <w:sz w:val="20"/>
          <w:szCs w:val="20"/>
          <w:color w:val="auto"/>
        </w:rPr>
      </w:pPr>
    </w:p>
    <w:p>
      <w:pPr>
        <w:ind w:right="40" w:firstLine="216"/>
        <w:spacing w:after="0" w:line="252" w:lineRule="auto"/>
        <w:rPr>
          <w:sz w:val="20"/>
          <w:szCs w:val="20"/>
          <w:color w:val="auto"/>
        </w:rPr>
      </w:pPr>
      <w:r>
        <w:rPr>
          <w:rFonts w:ascii="Arial" w:cs="Arial" w:eastAsia="Arial" w:hAnsi="Arial"/>
          <w:sz w:val="12"/>
          <w:szCs w:val="12"/>
          <w:color w:val="auto"/>
        </w:rPr>
        <w:t>As a result of our 2015, 2016 and 2017 debt transactions and amendments, we generated CODI of $1.4 billion, $1.3 billion and $13 million, respectively ($2.7 billion in the aggregate), for both U.S. federal and California state tax purposes. These respective amounts were excluded from taxable income because we determined, in 2016, that our liabilities exceeded the value of our assets for tax purposes immediately prior to each of the deleveraging transactions. In exchange for this exclusion, tax rules require us to reduce the tax basis of our assets. Accordingly, we have reduced our net operating losses and the basis of property, plant and equipment by $1.2 billion for U.S. federal tax purposes and $1.9 billion for California tax purposes. We were not required to make any further reductions in those assets because, beyond this point, our liabilities would have exceeded the tax basis of our assets. Accordingly, any tax liability attributable to the remaining approximately $1.5 billion of federal and $800 million of California CODI was relieved without any future tax liability, which reduced our effective rate by 275%.</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440"/>
          </w:cols>
          <w:pgMar w:left="220" w:top="301" w:right="239" w:bottom="1440" w:gutter="0" w:footer="0" w:header="0"/>
        </w:sectPr>
      </w:pPr>
    </w:p>
    <w:bookmarkStart w:id="100" w:name="page101"/>
    <w:bookmarkEnd w:id="100"/>
    <w:p>
      <w:pPr>
        <w:ind w:left="200"/>
        <w:spacing w:after="0"/>
        <w:rPr>
          <w:sz w:val="20"/>
          <w:szCs w:val="20"/>
          <w:color w:val="auto"/>
        </w:rPr>
      </w:pPr>
      <w:r>
        <w:rPr>
          <w:rFonts w:ascii="Arial" w:cs="Arial" w:eastAsia="Arial" w:hAnsi="Arial"/>
          <w:sz w:val="12"/>
          <w:szCs w:val="12"/>
          <w:color w:val="auto"/>
        </w:rPr>
        <w:t>The tax effects of temporary differences resulting in deferred income taxes at December 31, 2017 and 2016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89"/>
              </w:rPr>
              <w:t>2017</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2016</w:t>
            </w:r>
          </w:p>
        </w:tc>
        <w:tc>
          <w:tcPr>
            <w:tcW w:w="1340" w:type="dxa"/>
            <w:vAlign w:val="bottom"/>
            <w:tcBorders>
              <w:bottom w:val="single" w:sz="8" w:color="auto"/>
            </w:tcBorders>
          </w:tcPr>
          <w:p>
            <w:pPr>
              <w:spacing w:after="0"/>
              <w:rPr>
                <w:sz w:val="14"/>
                <w:szCs w:val="14"/>
                <w:color w:val="auto"/>
              </w:rPr>
            </w:pPr>
          </w:p>
        </w:tc>
      </w:tr>
      <w:tr>
        <w:trPr>
          <w:trHeight w:val="132"/>
        </w:trPr>
        <w:tc>
          <w:tcPr>
            <w:tcW w:w="4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320"/>
              <w:spacing w:after="0" w:line="132" w:lineRule="exact"/>
              <w:rPr>
                <w:sz w:val="20"/>
                <w:szCs w:val="20"/>
                <w:color w:val="auto"/>
              </w:rPr>
            </w:pPr>
            <w:r>
              <w:rPr>
                <w:rFonts w:ascii="Arial" w:cs="Arial" w:eastAsia="Arial" w:hAnsi="Arial"/>
                <w:sz w:val="12"/>
                <w:szCs w:val="12"/>
                <w:b w:val="1"/>
                <w:bCs w:val="1"/>
                <w:color w:val="auto"/>
              </w:rPr>
              <w:t>Deferred Tax</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jc w:val="center"/>
              <w:ind w:right="380"/>
              <w:spacing w:after="0" w:line="132" w:lineRule="exact"/>
              <w:rPr>
                <w:sz w:val="20"/>
                <w:szCs w:val="20"/>
                <w:color w:val="auto"/>
              </w:rPr>
            </w:pPr>
            <w:r>
              <w:rPr>
                <w:rFonts w:ascii="Arial" w:cs="Arial" w:eastAsia="Arial" w:hAnsi="Arial"/>
                <w:sz w:val="12"/>
                <w:szCs w:val="12"/>
                <w:b w:val="1"/>
                <w:bCs w:val="1"/>
                <w:color w:val="auto"/>
              </w:rPr>
              <w:t>Deferred Tax</w:t>
            </w:r>
          </w:p>
        </w:tc>
        <w:tc>
          <w:tcPr>
            <w:tcW w:w="300" w:type="dxa"/>
            <w:vAlign w:val="bottom"/>
          </w:tcPr>
          <w:p>
            <w:pPr>
              <w:spacing w:after="0"/>
              <w:rPr>
                <w:sz w:val="11"/>
                <w:szCs w:val="11"/>
                <w:color w:val="auto"/>
              </w:rPr>
            </w:pPr>
          </w:p>
        </w:tc>
        <w:tc>
          <w:tcPr>
            <w:tcW w:w="1200" w:type="dxa"/>
            <w:vAlign w:val="bottom"/>
          </w:tcPr>
          <w:p>
            <w:pPr>
              <w:jc w:val="right"/>
              <w:ind w:right="280"/>
              <w:spacing w:after="0" w:line="132" w:lineRule="exact"/>
              <w:rPr>
                <w:sz w:val="20"/>
                <w:szCs w:val="20"/>
                <w:color w:val="auto"/>
              </w:rPr>
            </w:pPr>
            <w:r>
              <w:rPr>
                <w:rFonts w:ascii="Arial" w:cs="Arial" w:eastAsia="Arial" w:hAnsi="Arial"/>
                <w:sz w:val="12"/>
                <w:szCs w:val="12"/>
                <w:b w:val="1"/>
                <w:bCs w:val="1"/>
                <w:color w:val="auto"/>
              </w:rPr>
              <w:t>Deferred 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380"/>
              <w:spacing w:after="0" w:line="132" w:lineRule="exact"/>
              <w:rPr>
                <w:sz w:val="20"/>
                <w:szCs w:val="20"/>
                <w:color w:val="auto"/>
              </w:rPr>
            </w:pPr>
            <w:r>
              <w:rPr>
                <w:rFonts w:ascii="Arial" w:cs="Arial" w:eastAsia="Arial" w:hAnsi="Arial"/>
                <w:sz w:val="12"/>
                <w:szCs w:val="12"/>
                <w:b w:val="1"/>
                <w:bCs w:val="1"/>
                <w:color w:val="auto"/>
              </w:rPr>
              <w:t>Deferred Tax</w:t>
            </w:r>
          </w:p>
        </w:tc>
      </w:tr>
      <w:tr>
        <w:trPr>
          <w:trHeight w:val="163"/>
        </w:trPr>
        <w:tc>
          <w:tcPr>
            <w:tcW w:w="4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Assets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Liabilities</w:t>
            </w:r>
          </w:p>
        </w:tc>
      </w:tr>
      <w:tr>
        <w:trPr>
          <w:trHeight w:val="152"/>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0"/>
                <w:szCs w:val="10"/>
                <w:color w:val="auto"/>
              </w:rPr>
              <w:t>(in millions)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4"/>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693</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Property, plant and equipment differences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21"/>
              <w:spacing w:after="0"/>
              <w:rPr>
                <w:sz w:val="20"/>
                <w:szCs w:val="20"/>
                <w:color w:val="auto"/>
              </w:rPr>
            </w:pPr>
            <w:r>
              <w:rPr>
                <w:rFonts w:ascii="Arial" w:cs="Arial" w:eastAsia="Arial" w:hAnsi="Arial"/>
                <w:sz w:val="12"/>
                <w:szCs w:val="12"/>
                <w:color w:val="auto"/>
              </w:rPr>
              <w:t>(261)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(335)</w:t>
            </w:r>
          </w:p>
        </w:tc>
      </w:tr>
      <w:tr>
        <w:trPr>
          <w:trHeight w:val="185"/>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Postretirement benefit accruals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Deferred compensation and benefits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 retirement obligations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Pr>
          <w:p>
            <w:pPr>
              <w:ind w:left="20"/>
              <w:spacing w:after="0"/>
              <w:rPr>
                <w:sz w:val="20"/>
                <w:szCs w:val="20"/>
                <w:color w:val="auto"/>
              </w:rPr>
            </w:pPr>
            <w:r>
              <w:rPr>
                <w:rFonts w:ascii="Arial" w:cs="Arial" w:eastAsia="Arial" w:hAnsi="Arial"/>
                <w:sz w:val="12"/>
                <w:szCs w:val="12"/>
                <w:color w:val="auto"/>
              </w:rPr>
              <w:t>Federal effect of state income taxes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operating loss carryforwards and credits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All other</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(40)</w:t>
            </w:r>
          </w:p>
        </w:tc>
      </w:tr>
      <w:tr>
        <w:trPr>
          <w:trHeight w:val="165"/>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Subtotal</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(302)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(375)</w:t>
            </w:r>
          </w:p>
        </w:tc>
      </w:tr>
      <w:tr>
        <w:trPr>
          <w:trHeight w:val="176"/>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Valuation allowance</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(780)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net deferred taxes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(302)</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(375)</w:t>
            </w:r>
          </w:p>
        </w:tc>
      </w:tr>
    </w:tbl>
    <w:p>
      <w:pPr>
        <w:spacing w:after="0" w:line="180" w:lineRule="exact"/>
        <w:rPr>
          <w:sz w:val="20"/>
          <w:szCs w:val="20"/>
          <w:color w:val="auto"/>
        </w:rPr>
      </w:pPr>
    </w:p>
    <w:p>
      <w:pPr>
        <w:ind w:right="220" w:firstLine="216"/>
        <w:spacing w:after="0" w:line="262" w:lineRule="auto"/>
        <w:rPr>
          <w:sz w:val="20"/>
          <w:szCs w:val="20"/>
          <w:color w:val="auto"/>
        </w:rPr>
      </w:pPr>
      <w:r>
        <w:rPr>
          <w:rFonts w:ascii="Arial" w:cs="Arial" w:eastAsia="Arial" w:hAnsi="Arial"/>
          <w:sz w:val="12"/>
          <w:szCs w:val="12"/>
          <w:color w:val="auto"/>
        </w:rPr>
        <w:t>Prior to the Spin-off date, we were included in the Occidental income tax returns for all applicable years. Under the tax sharing agreement, Occidental controls tax examinations for the periods in which we were included in a consolidated or combined income tax return filed by Occidental. There were no amounts due to Occidental as of December 31, 2017 and 2016 under the tax sharing agreement.</w:t>
      </w:r>
    </w:p>
    <w:p>
      <w:pPr>
        <w:spacing w:after="0" w:line="167"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Tax benefits are recognized only for tax positions that are more-likely-than-not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2017 and 2016, we recorded a $25 million liability for tax positions taken in prior periods which has been classified as a deferred tax liability. This amount of unrecognized tax benefit, if recognized, would affect the effective tax rate positively. We believe there will not be significant increases or decreases to our unrecognized tax benefits within the next 12 months.</w:t>
      </w:r>
    </w:p>
    <w:p>
      <w:pPr>
        <w:spacing w:after="0" w:line="172"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As of December 31, 2017, we had a U.S. federal net operating loss carryforward of $1.1 billion and $1.9 billion of net operating loss carryforwards in California. The U.S. federal net operating loss carryforward expires in 2037. The California net operating loss carryforwards began expiring in 2026. A portion of the California net operating loss carryforwards resulted from acquisitions in prior years and is subject to an annual limitation. Accordingly, no financial statement benefit has been recognized for $88 million of the California net operating loss carryforwards. The deduction and carryforward period for the U.S. federal net operating loss generated in 2017 are unchanged by the Tax Act.</w:t>
      </w:r>
    </w:p>
    <w:p>
      <w:pPr>
        <w:spacing w:after="0" w:line="172" w:lineRule="exact"/>
        <w:rPr>
          <w:sz w:val="20"/>
          <w:szCs w:val="20"/>
          <w:color w:val="auto"/>
        </w:rPr>
      </w:pPr>
    </w:p>
    <w:p>
      <w:pPr>
        <w:ind w:right="80" w:firstLine="216"/>
        <w:spacing w:after="0" w:line="262" w:lineRule="auto"/>
        <w:rPr>
          <w:sz w:val="20"/>
          <w:szCs w:val="20"/>
          <w:color w:val="auto"/>
        </w:rPr>
      </w:pPr>
      <w:r>
        <w:rPr>
          <w:rFonts w:ascii="Arial" w:cs="Arial" w:eastAsia="Arial" w:hAnsi="Arial"/>
          <w:sz w:val="12"/>
          <w:szCs w:val="12"/>
          <w:color w:val="auto"/>
        </w:rPr>
        <w:t>During 2017, we generated $27 million of U.S federal credits primarily related to EOR projects and marginal well credits. We also generated an $8 million California credit related to EOR projects. The U.S. federal and California credits begin expiring in 2037.</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NOTE 10</w:t>
      </w:r>
      <w:r>
        <w:rPr>
          <w:sz w:val="20"/>
          <w:szCs w:val="20"/>
          <w:color w:val="auto"/>
        </w:rPr>
        <w:tab/>
      </w:r>
      <w:r>
        <w:rPr>
          <w:rFonts w:ascii="Arial" w:cs="Arial" w:eastAsia="Arial" w:hAnsi="Arial"/>
          <w:sz w:val="11"/>
          <w:szCs w:val="11"/>
          <w:b w:val="1"/>
          <w:bCs w:val="1"/>
          <w:color w:val="auto"/>
        </w:rPr>
        <w:t>STOCK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w:t>
      </w:r>
    </w:p>
    <w:p>
      <w:pPr>
        <w:spacing w:after="0" w:line="110" w:lineRule="exact"/>
        <w:rPr>
          <w:sz w:val="20"/>
          <w:szCs w:val="20"/>
          <w:color w:val="auto"/>
        </w:rPr>
      </w:pPr>
    </w:p>
    <w:p>
      <w:pPr>
        <w:ind w:right="180" w:firstLine="216"/>
        <w:spacing w:after="0" w:line="254" w:lineRule="auto"/>
        <w:rPr>
          <w:sz w:val="20"/>
          <w:szCs w:val="20"/>
          <w:color w:val="auto"/>
        </w:rPr>
      </w:pPr>
      <w:r>
        <w:rPr>
          <w:rFonts w:ascii="Arial" w:cs="Arial" w:eastAsia="Arial" w:hAnsi="Arial"/>
          <w:sz w:val="12"/>
          <w:szCs w:val="12"/>
          <w:color w:val="auto"/>
        </w:rPr>
        <w:t>Effective May 2016, our stockholders approved the California Resources Corporation Long-Term Incentive Plan (the Plan), which provides for the issuance of incentive and non-qualified stock options, restricted stock awards, restricted stock units, stock appreciation rights, stock bonuses, performance-based awards and other awards to officers, employees and non-employee directors. The maximum number of authorized shares of our common stock that may be issued pursuant to our long-term incentive plan is 4.7 million shares. As of December 31, 2017, 3.6 million shares were issued or reserved under the Plan and 1.1 million shares were available for future issuance of awards under the Plan. Our incentive compensation program is administered by the Compensation Committee of our Board of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1480"/>
          </w:cols>
          <w:pgMar w:left="220" w:top="391" w:right="199" w:bottom="1440" w:gutter="0" w:footer="0" w:header="0"/>
        </w:sectPr>
      </w:pPr>
    </w:p>
    <w:bookmarkStart w:id="101" w:name="page102"/>
    <w:bookmarkEnd w:id="101"/>
    <w:p>
      <w:pPr>
        <w:ind w:right="40" w:firstLine="216"/>
        <w:spacing w:after="0" w:line="252" w:lineRule="auto"/>
        <w:rPr>
          <w:sz w:val="20"/>
          <w:szCs w:val="20"/>
          <w:color w:val="auto"/>
        </w:rPr>
      </w:pPr>
      <w:r>
        <w:rPr>
          <w:rFonts w:ascii="Arial" w:cs="Arial" w:eastAsia="Arial" w:hAnsi="Arial"/>
          <w:sz w:val="12"/>
          <w:szCs w:val="12"/>
          <w:color w:val="auto"/>
        </w:rPr>
        <w:t>Compensation expense for stock-based awards for the year ended December 31, 2017 was $29 million, of which $22 million was included in general and administrative expenses and $7 million was included in production costs in our consolidated statement of operations. Compensation expense for stock-based awards for the year ended December 31, 2016 was $34 million, of which $27 million was included in general and administrative expenses and $7 million was included in production costs in our consolidated statement of operations. Compensation expense for stock-based awards for the year ended December 31, 2015 was $37 million, of which $ 28 million was included in general and administrative expenses and $9 million was included in production costs in our consolidated statement of operations. For the years ended December 31, 2017 and 2016, we did not recognize any income tax benefit related to our stock-based compensation. For the year ended December 31, 2015, we recognized income tax expense of approximately $2 million. For the years ended December 31, 2017, 2016 and 2015, we made cash payments of $6 million, $5 million and $10 million for the cash-settled portion of our awards, respectively.</w:t>
      </w:r>
    </w:p>
    <w:p>
      <w:pPr>
        <w:spacing w:after="0" w:line="175"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As of December 31, 2017, unrecognized compensation expense for all our unvested stock-based incentive awards, based on the year-end value of our common stock, was $40 million. This expense is expected to be recognized over a weighted-average period of two years.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Stock</w:t>
      </w:r>
    </w:p>
    <w:p>
      <w:pPr>
        <w:spacing w:after="0" w:line="200" w:lineRule="exact"/>
        <w:rPr>
          <w:sz w:val="20"/>
          <w:szCs w:val="20"/>
          <w:color w:val="auto"/>
        </w:rPr>
      </w:pPr>
    </w:p>
    <w:p>
      <w:pPr>
        <w:ind w:right="140" w:firstLine="216"/>
        <w:spacing w:after="0" w:line="254" w:lineRule="auto"/>
        <w:rPr>
          <w:sz w:val="20"/>
          <w:szCs w:val="20"/>
          <w:color w:val="auto"/>
        </w:rPr>
      </w:pPr>
      <w:r>
        <w:rPr>
          <w:rFonts w:ascii="Arial" w:cs="Arial" w:eastAsia="Arial" w:hAnsi="Arial"/>
          <w:sz w:val="12"/>
          <w:szCs w:val="12"/>
          <w:color w:val="auto"/>
        </w:rPr>
        <w:t>Certain employees and non-employee directors are granted restricted stock units (RSUs) or restricted stock awards (RSAs) which are in the form of, or equivalent in value to, actual shares of our common stock. Restricted stock is service-based and, depending on the terms of the grants, is settled in cash or stock at the time of vesting. The service-based awards vest ratably over three years or at the end of three years for employees and one year for directors following the date of grant. Our RSUs and RSAs have nonforfeitable dividend rights, and any dividends or dividend equivalents declared during the vesting period are paid as declared.</w:t>
      </w:r>
    </w:p>
    <w:p>
      <w:pPr>
        <w:spacing w:after="0" w:line="172" w:lineRule="exact"/>
        <w:rPr>
          <w:sz w:val="20"/>
          <w:szCs w:val="20"/>
          <w:color w:val="auto"/>
        </w:rPr>
      </w:pPr>
    </w:p>
    <w:p>
      <w:pPr>
        <w:ind w:right="340" w:firstLine="216"/>
        <w:spacing w:after="0" w:line="256" w:lineRule="auto"/>
        <w:rPr>
          <w:sz w:val="20"/>
          <w:szCs w:val="20"/>
          <w:color w:val="auto"/>
        </w:rPr>
      </w:pPr>
      <w:r>
        <w:rPr>
          <w:rFonts w:ascii="Arial" w:cs="Arial" w:eastAsia="Arial" w:hAnsi="Arial"/>
          <w:sz w:val="12"/>
          <w:szCs w:val="12"/>
          <w:color w:val="auto"/>
        </w:rPr>
        <w:t>For cash- and stock-settled RSUs and RSAs, compensation value is initially measured on the grant date using the quoted market price of our common stock. Compensation expense for cash-settled RSUs is adjusted on a quarterly basis for the cumulative change in the value of the underlying stock. Compensation expense for the stock-settled RSUs and RSAs is recognized on a straight-line basis over the requisite service periods, adjusted for actual forfeitures.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summarizes our restricted stock activity for the year ended December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4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Stock-Settled</w:t>
            </w:r>
          </w:p>
        </w:tc>
        <w:tc>
          <w:tcPr>
            <w:tcW w:w="14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Cash-Settled</w:t>
            </w:r>
          </w:p>
        </w:tc>
      </w:tr>
      <w:tr>
        <w:trPr>
          <w:trHeight w:val="147"/>
        </w:trPr>
        <w:tc>
          <w:tcPr>
            <w:tcW w:w="4940" w:type="dxa"/>
            <w:vAlign w:val="bottom"/>
          </w:tcPr>
          <w:p>
            <w:pPr>
              <w:spacing w:after="0"/>
              <w:rPr>
                <w:sz w:val="12"/>
                <w:szCs w:val="12"/>
                <w:color w:val="auto"/>
              </w:rPr>
            </w:pPr>
          </w:p>
        </w:tc>
        <w:tc>
          <w:tcPr>
            <w:tcW w:w="2060" w:type="dxa"/>
            <w:vAlign w:val="bottom"/>
          </w:tcPr>
          <w:p>
            <w:pPr>
              <w:jc w:val="right"/>
              <w:ind w:right="141"/>
              <w:spacing w:after="0"/>
              <w:rPr>
                <w:sz w:val="20"/>
                <w:szCs w:val="20"/>
                <w:color w:val="auto"/>
              </w:rPr>
            </w:pPr>
            <w:r>
              <w:rPr>
                <w:rFonts w:ascii="Arial" w:cs="Arial" w:eastAsia="Arial" w:hAnsi="Arial"/>
                <w:sz w:val="12"/>
                <w:szCs w:val="12"/>
                <w:b w:val="1"/>
                <w:bCs w:val="1"/>
                <w:color w:val="auto"/>
              </w:rPr>
              <w:t>Number of Awards and Units</w:t>
            </w:r>
          </w:p>
        </w:tc>
        <w:tc>
          <w:tcPr>
            <w:tcW w:w="120" w:type="dxa"/>
            <w:vAlign w:val="bottom"/>
          </w:tcPr>
          <w:p>
            <w:pPr>
              <w:spacing w:after="0"/>
              <w:rPr>
                <w:sz w:val="12"/>
                <w:szCs w:val="12"/>
                <w:color w:val="auto"/>
              </w:rPr>
            </w:pPr>
          </w:p>
        </w:tc>
        <w:tc>
          <w:tcPr>
            <w:tcW w:w="2300" w:type="dxa"/>
            <w:vAlign w:val="bottom"/>
            <w:gridSpan w:val="3"/>
          </w:tcPr>
          <w:p>
            <w:pPr>
              <w:ind w:left="80"/>
              <w:spacing w:after="0"/>
              <w:rPr>
                <w:sz w:val="20"/>
                <w:szCs w:val="20"/>
                <w:color w:val="auto"/>
              </w:rPr>
            </w:pPr>
            <w:r>
              <w:rPr>
                <w:rFonts w:ascii="Arial" w:cs="Arial" w:eastAsia="Arial" w:hAnsi="Arial"/>
                <w:sz w:val="12"/>
                <w:szCs w:val="12"/>
                <w:b w:val="1"/>
                <w:bCs w:val="1"/>
                <w:color w:val="auto"/>
              </w:rPr>
              <w:t>Weighted-Average Grant-Date</w:t>
            </w: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rPr>
              <w:t>Number of Units</w:t>
            </w:r>
          </w:p>
        </w:tc>
      </w:tr>
      <w:tr>
        <w:trPr>
          <w:trHeight w:val="153"/>
        </w:trPr>
        <w:tc>
          <w:tcPr>
            <w:tcW w:w="494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Fair Value</w:t>
            </w:r>
          </w:p>
        </w:tc>
        <w:tc>
          <w:tcPr>
            <w:tcW w:w="46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(in thousands)</w:t>
            </w:r>
          </w:p>
        </w:tc>
      </w:tr>
      <w:tr>
        <w:trPr>
          <w:trHeight w:val="160"/>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Unvested at January 1</w:t>
            </w:r>
          </w:p>
        </w:tc>
        <w:tc>
          <w:tcPr>
            <w:tcW w:w="2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682</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20.90</w:t>
            </w: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1,580</w:t>
            </w:r>
          </w:p>
        </w:tc>
      </w:tr>
      <w:tr>
        <w:trPr>
          <w:trHeight w:val="176"/>
        </w:trPr>
        <w:tc>
          <w:tcPr>
            <w:tcW w:w="4940" w:type="dxa"/>
            <w:vAlign w:val="bottom"/>
          </w:tcPr>
          <w:p>
            <w:pPr>
              <w:ind w:left="20"/>
              <w:spacing w:after="0"/>
              <w:rPr>
                <w:sz w:val="20"/>
                <w:szCs w:val="20"/>
                <w:color w:val="auto"/>
              </w:rPr>
            </w:pPr>
            <w:r>
              <w:rPr>
                <w:rFonts w:ascii="Arial" w:cs="Arial" w:eastAsia="Arial" w:hAnsi="Arial"/>
                <w:sz w:val="12"/>
                <w:szCs w:val="12"/>
                <w:color w:val="auto"/>
              </w:rPr>
              <w:t>Granted</w:t>
            </w:r>
          </w:p>
        </w:tc>
        <w:tc>
          <w:tcPr>
            <w:tcW w:w="2060" w:type="dxa"/>
            <w:vAlign w:val="bottom"/>
          </w:tcPr>
          <w:p>
            <w:pPr>
              <w:jc w:val="right"/>
              <w:ind w:right="41"/>
              <w:spacing w:after="0"/>
              <w:rPr>
                <w:sz w:val="20"/>
                <w:szCs w:val="20"/>
                <w:color w:val="auto"/>
              </w:rPr>
            </w:pPr>
            <w:r>
              <w:rPr>
                <w:rFonts w:ascii="Arial" w:cs="Arial" w:eastAsia="Arial" w:hAnsi="Arial"/>
                <w:sz w:val="12"/>
                <w:szCs w:val="12"/>
                <w:color w:val="auto"/>
              </w:rPr>
              <w:t>718</w:t>
            </w: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16.20</w:t>
            </w:r>
          </w:p>
        </w:tc>
        <w:tc>
          <w:tcPr>
            <w:tcW w:w="460" w:type="dxa"/>
            <w:vAlign w:val="bottom"/>
          </w:tcPr>
          <w:p>
            <w:pPr>
              <w:spacing w:after="0"/>
              <w:rPr>
                <w:sz w:val="15"/>
                <w:szCs w:val="15"/>
                <w:color w:val="auto"/>
              </w:rPr>
            </w:pPr>
          </w:p>
        </w:tc>
        <w:tc>
          <w:tcPr>
            <w:tcW w:w="2060" w:type="dxa"/>
            <w:vAlign w:val="bottom"/>
          </w:tcPr>
          <w:p>
            <w:pPr>
              <w:jc w:val="right"/>
              <w:ind w:right="61"/>
              <w:spacing w:after="0"/>
              <w:rPr>
                <w:sz w:val="20"/>
                <w:szCs w:val="20"/>
                <w:color w:val="auto"/>
              </w:rPr>
            </w:pPr>
            <w:r>
              <w:rPr>
                <w:rFonts w:ascii="Arial" w:cs="Arial" w:eastAsia="Arial" w:hAnsi="Arial"/>
                <w:sz w:val="12"/>
                <w:szCs w:val="12"/>
                <w:color w:val="auto"/>
              </w:rPr>
              <w:t>1,184</w:t>
            </w:r>
          </w:p>
        </w:tc>
      </w:tr>
      <w:tr>
        <w:trPr>
          <w:trHeight w:val="185"/>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Vested</w:t>
            </w:r>
          </w:p>
        </w:tc>
        <w:tc>
          <w:tcPr>
            <w:tcW w:w="2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(337)</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25.97</w:t>
            </w:r>
          </w:p>
        </w:tc>
        <w:tc>
          <w:tcPr>
            <w:tcW w:w="46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(597)</w:t>
            </w:r>
          </w:p>
        </w:tc>
      </w:tr>
      <w:tr>
        <w:trPr>
          <w:trHeight w:val="17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Forfeited</w:t>
            </w: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w:t>
            </w:r>
          </w:p>
        </w:tc>
        <w:tc>
          <w:tcPr>
            <w:tcW w:w="5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CCEEFF"/>
            </w:tcBorders>
          </w:tcPr>
          <w:p>
            <w:pPr>
              <w:jc w:val="right"/>
              <w:ind w:right="40"/>
              <w:spacing w:after="0"/>
              <w:rPr>
                <w:sz w:val="20"/>
                <w:szCs w:val="20"/>
                <w:color w:val="auto"/>
              </w:rPr>
            </w:pPr>
            <w:r>
              <w:rPr>
                <w:rFonts w:ascii="Arial" w:cs="Arial" w:eastAsia="Arial" w:hAnsi="Arial"/>
                <w:sz w:val="12"/>
                <w:szCs w:val="12"/>
                <w:color w:val="auto"/>
              </w:rPr>
              <w:t>18.41</w:t>
            </w:r>
          </w:p>
        </w:tc>
        <w:tc>
          <w:tcPr>
            <w:tcW w:w="46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(101)</w:t>
            </w:r>
          </w:p>
        </w:tc>
      </w:tr>
      <w:tr>
        <w:trPr>
          <w:trHeight w:val="172"/>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Unvested at December 31</w:t>
            </w:r>
          </w:p>
        </w:tc>
        <w:tc>
          <w:tcPr>
            <w:tcW w:w="2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1,035</w:t>
            </w:r>
          </w:p>
        </w:tc>
        <w:tc>
          <w:tcPr>
            <w:tcW w:w="5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16.04</w:t>
            </w:r>
          </w:p>
        </w:tc>
        <w:tc>
          <w:tcPr>
            <w:tcW w:w="46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2,066</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Note: During 2017 and 2016, our directors were granted stock-settled RSUs representing approximately 98,000 shares and 77,000 shares,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Performance Stock Unit Awards</w:t>
      </w:r>
    </w:p>
    <w:p>
      <w:pPr>
        <w:spacing w:after="0" w:line="200"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Our performance stock units (PSUs) granted prior to 2015 are RSAs with a performance target based on cumulative earnings before interest, taxes and depreciation. The units vest at the later of the three years following the grant date or when the performance target is met, if prior to seven years following the grant date. Fair value was based on Occidental's stock price on the grant date divided by a conversion factor used at the time of the Spin-off. The resulting fair value was recognized as compensation expense on a straight-line basis over the three-year service period, adjusted for actual forfeitures. These awards have nonforfeitable dividend rights with any dividends or dividend equivalents declared during the vesting period paid as declared.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480"/>
          </w:cols>
          <w:pgMar w:left="220" w:top="391" w:right="199" w:bottom="1440" w:gutter="0" w:footer="0" w:header="0"/>
        </w:sectPr>
      </w:pPr>
    </w:p>
    <w:bookmarkStart w:id="102" w:name="page103"/>
    <w:bookmarkEnd w:id="102"/>
    <w:p>
      <w:pPr>
        <w:ind w:right="20" w:firstLine="216"/>
        <w:spacing w:after="0" w:line="254" w:lineRule="auto"/>
        <w:rPr>
          <w:sz w:val="20"/>
          <w:szCs w:val="20"/>
          <w:color w:val="auto"/>
        </w:rPr>
      </w:pPr>
      <w:r>
        <w:rPr>
          <w:rFonts w:ascii="Arial" w:cs="Arial" w:eastAsia="Arial" w:hAnsi="Arial"/>
          <w:sz w:val="12"/>
          <w:szCs w:val="12"/>
          <w:color w:val="auto"/>
        </w:rPr>
        <w:t>The PSUs granted in 2015 are RSUs based 50% on achievement of specified Value Creation Index (VCI) results and 50% on total stockholder return (TSR) relative to a selected peer group of companies over specified multi-year performance periods, with payouts ranging from 0% to 200% of the target award. The awards were originally granted as cash-settled awards accounted for as liability awards until they were modified in May 2016 and became stock-settled awards accounted for as equity awards from that point forward. Less than 50 people were impacted by this modification, which resulted in no incremental compensation cost.</w:t>
      </w:r>
    </w:p>
    <w:p>
      <w:pPr>
        <w:spacing w:after="0" w:line="172" w:lineRule="exact"/>
        <w:rPr>
          <w:sz w:val="20"/>
          <w:szCs w:val="20"/>
          <w:color w:val="auto"/>
        </w:rPr>
      </w:pPr>
    </w:p>
    <w:p>
      <w:pPr>
        <w:ind w:right="20" w:firstLine="216"/>
        <w:spacing w:after="0" w:line="252" w:lineRule="auto"/>
        <w:rPr>
          <w:sz w:val="20"/>
          <w:szCs w:val="20"/>
          <w:color w:val="auto"/>
        </w:rPr>
      </w:pPr>
      <w:r>
        <w:rPr>
          <w:rFonts w:ascii="Arial" w:cs="Arial" w:eastAsia="Arial" w:hAnsi="Arial"/>
          <w:sz w:val="12"/>
          <w:szCs w:val="12"/>
          <w:color w:val="auto"/>
        </w:rPr>
        <w:t>Prior to the modification, the fair value of the VCI-based portions of the PSUs was determined on the grant date based on an estimated performance achievement at the target level. Additionally, the fair value of the TSR-based portions of the PSUs was determined on the grant date using a Monte Carlo simulation model based on applicable assumptions. The volatility is derived from corresponding peer group companies, which we used in the absence of adequate stock price history for our common stock at the date of grant. The expected life is based on the vesting period of the award. The risk-free rate is the implied yield available on zero-coupon U.S. Treasury notes at the time of grant and subsequent measurement periods with a remaining term equal to the remaining term of the awards. The dividend yield is the expected annual dividend yield over the term, expressed as a percentage of the stock price on the valuation date. The fair values were then recognized on a straight-line basis over the requisite service period, adjusted for actual forfeitures. Compensation expense was adjusted quarterly, on a cumulative basis, for any changes in the number of share equivalents expected to be paid based on the relevant performance criteria.</w:t>
      </w:r>
    </w:p>
    <w:p>
      <w:pPr>
        <w:spacing w:after="0" w:line="175" w:lineRule="exact"/>
        <w:rPr>
          <w:sz w:val="20"/>
          <w:szCs w:val="20"/>
          <w:color w:val="auto"/>
        </w:rPr>
      </w:pPr>
    </w:p>
    <w:p>
      <w:pPr>
        <w:ind w:right="20" w:firstLine="216"/>
        <w:spacing w:after="0" w:line="256" w:lineRule="auto"/>
        <w:rPr>
          <w:sz w:val="20"/>
          <w:szCs w:val="20"/>
          <w:color w:val="auto"/>
        </w:rPr>
      </w:pPr>
      <w:r>
        <w:rPr>
          <w:rFonts w:ascii="Arial" w:cs="Arial" w:eastAsia="Arial" w:hAnsi="Arial"/>
          <w:sz w:val="12"/>
          <w:szCs w:val="12"/>
          <w:color w:val="auto"/>
        </w:rPr>
        <w:t>On the modification date, the fair value of the PSUs was redetermined based on target-level VCI and TSR Monte Carlo results as of that date. The resulting fair value is being recognized as compensation expense on a straight-line basis over the remaining requisite service period, adjusted for actual forfeitures. Dividend equivalents, if any, declared during the vesting period are accumulated and paid upon certification for the number of vested shares.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modification and grant date assumptions used in the Monte Carlo valuation for the TSR-based portion of the outstanding PSU awards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0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center"/>
              <w:ind w:left="463"/>
              <w:spacing w:after="0"/>
              <w:rPr>
                <w:sz w:val="20"/>
                <w:szCs w:val="20"/>
                <w:color w:val="auto"/>
              </w:rPr>
            </w:pPr>
            <w:r>
              <w:rPr>
                <w:rFonts w:ascii="Arial" w:cs="Arial" w:eastAsia="Arial" w:hAnsi="Arial"/>
                <w:sz w:val="12"/>
                <w:szCs w:val="12"/>
                <w:b w:val="1"/>
                <w:bCs w:val="1"/>
                <w:color w:val="auto"/>
                <w:w w:val="99"/>
              </w:rPr>
              <w:t>Modification Date</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500"/>
              <w:spacing w:after="0"/>
              <w:rPr>
                <w:sz w:val="20"/>
                <w:szCs w:val="20"/>
                <w:color w:val="auto"/>
              </w:rPr>
            </w:pPr>
            <w:r>
              <w:rPr>
                <w:rFonts w:ascii="Arial" w:cs="Arial" w:eastAsia="Arial" w:hAnsi="Arial"/>
                <w:sz w:val="12"/>
                <w:szCs w:val="12"/>
                <w:b w:val="1"/>
                <w:bCs w:val="1"/>
                <w:color w:val="auto"/>
              </w:rPr>
              <w:t>Grant Date</w:t>
            </w:r>
          </w:p>
        </w:tc>
      </w:tr>
      <w:tr>
        <w:trPr>
          <w:trHeight w:val="16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Risk-free interest rate</w:t>
            </w: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0.77%</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r>
      <w:tr>
        <w:trPr>
          <w:trHeight w:val="176"/>
        </w:trPr>
        <w:tc>
          <w:tcPr>
            <w:tcW w:w="7000" w:type="dxa"/>
            <w:vAlign w:val="bottom"/>
          </w:tcPr>
          <w:p>
            <w:pPr>
              <w:ind w:left="20"/>
              <w:spacing w:after="0"/>
              <w:rPr>
                <w:sz w:val="20"/>
                <w:szCs w:val="20"/>
                <w:color w:val="auto"/>
              </w:rPr>
            </w:pPr>
            <w:r>
              <w:rPr>
                <w:rFonts w:ascii="Arial" w:cs="Arial" w:eastAsia="Arial" w:hAnsi="Arial"/>
                <w:sz w:val="12"/>
                <w:szCs w:val="12"/>
                <w:color w:val="auto"/>
              </w:rPr>
              <w:t>Dividend yield</w:t>
            </w:r>
          </w:p>
        </w:tc>
        <w:tc>
          <w:tcPr>
            <w:tcW w:w="1680" w:type="dxa"/>
            <w:vAlign w:val="bottom"/>
          </w:tcPr>
          <w:p>
            <w:pPr>
              <w:spacing w:after="0"/>
              <w:rPr>
                <w:sz w:val="15"/>
                <w:szCs w:val="15"/>
                <w:color w:val="auto"/>
              </w:rPr>
            </w:pPr>
          </w:p>
        </w:tc>
        <w:tc>
          <w:tcPr>
            <w:tcW w:w="6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0.95%</w:t>
            </w: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Volatility factor</w:t>
            </w:r>
          </w:p>
        </w:tc>
        <w:tc>
          <w:tcPr>
            <w:tcW w:w="16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43.63%</w:t>
            </w:r>
          </w:p>
        </w:tc>
      </w:tr>
      <w:tr>
        <w:trPr>
          <w:trHeight w:val="176"/>
        </w:trPr>
        <w:tc>
          <w:tcPr>
            <w:tcW w:w="7000" w:type="dxa"/>
            <w:vAlign w:val="bottom"/>
          </w:tcPr>
          <w:p>
            <w:pPr>
              <w:ind w:left="20"/>
              <w:spacing w:after="0"/>
              <w:rPr>
                <w:sz w:val="20"/>
                <w:szCs w:val="20"/>
                <w:color w:val="auto"/>
              </w:rPr>
            </w:pPr>
            <w:r>
              <w:rPr>
                <w:rFonts w:ascii="Arial" w:cs="Arial" w:eastAsia="Arial" w:hAnsi="Arial"/>
                <w:sz w:val="12"/>
                <w:szCs w:val="12"/>
                <w:color w:val="auto"/>
              </w:rPr>
              <w:t>Expected life (years)</w:t>
            </w:r>
          </w:p>
        </w:tc>
        <w:tc>
          <w:tcPr>
            <w:tcW w:w="1680" w:type="dxa"/>
            <w:vAlign w:val="bottom"/>
          </w:tcPr>
          <w:p>
            <w:pPr>
              <w:spacing w:after="0"/>
              <w:rPr>
                <w:sz w:val="15"/>
                <w:szCs w:val="15"/>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2.16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2.9</w:t>
            </w: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Fair value of underlying common stock</w:t>
            </w:r>
          </w:p>
        </w:tc>
        <w:tc>
          <w:tcPr>
            <w:tcW w:w="1680" w:type="dxa"/>
            <w:vAlign w:val="bottom"/>
            <w:shd w:val="clear" w:color="auto" w:fill="CCEEFF"/>
          </w:tcPr>
          <w:p>
            <w:pPr>
              <w:jc w:val="right"/>
              <w:ind w:right="154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42.00</w:t>
            </w:r>
          </w:p>
        </w:tc>
      </w:tr>
      <w:tr>
        <w:trPr>
          <w:trHeight w:val="324"/>
        </w:trPr>
        <w:tc>
          <w:tcPr>
            <w:tcW w:w="7000" w:type="dxa"/>
            <w:vAlign w:val="bottom"/>
          </w:tcPr>
          <w:p>
            <w:pPr>
              <w:ind w:left="200"/>
              <w:spacing w:after="0"/>
              <w:rPr>
                <w:sz w:val="20"/>
                <w:szCs w:val="20"/>
                <w:color w:val="auto"/>
              </w:rPr>
            </w:pPr>
            <w:r>
              <w:rPr>
                <w:rFonts w:ascii="Arial" w:cs="Arial" w:eastAsia="Arial" w:hAnsi="Arial"/>
                <w:sz w:val="12"/>
                <w:szCs w:val="12"/>
                <w:color w:val="auto"/>
              </w:rPr>
              <w:t>The following summarizes our PSU activity for the year ended December 31, 2017:</w:t>
            </w: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46"/>
        </w:trPr>
        <w:tc>
          <w:tcPr>
            <w:tcW w:w="70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Stock-Settled</w:t>
            </w:r>
          </w:p>
        </w:tc>
        <w:tc>
          <w:tcPr>
            <w:tcW w:w="1620" w:type="dxa"/>
            <w:vAlign w:val="bottom"/>
            <w:tcBorders>
              <w:bottom w:val="single" w:sz="8" w:color="auto"/>
            </w:tcBorders>
          </w:tcPr>
          <w:p>
            <w:pPr>
              <w:spacing w:after="0"/>
              <w:rPr>
                <w:sz w:val="24"/>
                <w:szCs w:val="24"/>
                <w:color w:val="auto"/>
              </w:rPr>
            </w:pPr>
          </w:p>
        </w:tc>
      </w:tr>
      <w:tr>
        <w:trPr>
          <w:trHeight w:val="147"/>
        </w:trPr>
        <w:tc>
          <w:tcPr>
            <w:tcW w:w="7000" w:type="dxa"/>
            <w:vAlign w:val="bottom"/>
          </w:tcPr>
          <w:p>
            <w:pPr>
              <w:spacing w:after="0"/>
              <w:rPr>
                <w:sz w:val="12"/>
                <w:szCs w:val="12"/>
                <w:color w:val="auto"/>
              </w:rPr>
            </w:pPr>
          </w:p>
        </w:tc>
        <w:tc>
          <w:tcPr>
            <w:tcW w:w="1680" w:type="dxa"/>
            <w:vAlign w:val="bottom"/>
          </w:tcPr>
          <w:p>
            <w:pPr>
              <w:jc w:val="center"/>
              <w:ind w:left="403"/>
              <w:spacing w:after="0"/>
              <w:rPr>
                <w:sz w:val="20"/>
                <w:szCs w:val="20"/>
                <w:color w:val="auto"/>
              </w:rPr>
            </w:pPr>
            <w:r>
              <w:rPr>
                <w:rFonts w:ascii="Arial" w:cs="Arial" w:eastAsia="Arial" w:hAnsi="Arial"/>
                <w:sz w:val="12"/>
                <w:szCs w:val="12"/>
                <w:b w:val="1"/>
                <w:bCs w:val="1"/>
                <w:color w:val="auto"/>
                <w:w w:val="99"/>
              </w:rPr>
              <w:t>Number of Awards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Weighted-Average Grant-Date Fair</w:t>
            </w:r>
          </w:p>
        </w:tc>
      </w:tr>
      <w:tr>
        <w:trPr>
          <w:trHeight w:val="153"/>
        </w:trPr>
        <w:tc>
          <w:tcPr>
            <w:tcW w:w="700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jc w:val="center"/>
              <w:ind w:left="443"/>
              <w:spacing w:after="0"/>
              <w:rPr>
                <w:sz w:val="20"/>
                <w:szCs w:val="20"/>
                <w:color w:val="auto"/>
              </w:rPr>
            </w:pPr>
            <w:r>
              <w:rPr>
                <w:rFonts w:ascii="Arial" w:cs="Arial" w:eastAsia="Arial" w:hAnsi="Arial"/>
                <w:sz w:val="10"/>
                <w:szCs w:val="10"/>
                <w:b w:val="1"/>
                <w:bCs w:val="1"/>
                <w:color w:val="auto"/>
                <w:w w:val="95"/>
              </w:rPr>
              <w:t>(in thousands)</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center"/>
              <w:ind w:right="500"/>
              <w:spacing w:after="0"/>
              <w:rPr>
                <w:sz w:val="20"/>
                <w:szCs w:val="20"/>
                <w:color w:val="auto"/>
              </w:rPr>
            </w:pPr>
            <w:r>
              <w:rPr>
                <w:rFonts w:ascii="Arial" w:cs="Arial" w:eastAsia="Arial" w:hAnsi="Arial"/>
                <w:sz w:val="12"/>
                <w:szCs w:val="12"/>
                <w:b w:val="1"/>
                <w:bCs w:val="1"/>
                <w:color w:val="auto"/>
                <w:w w:val="93"/>
              </w:rPr>
              <w:t>Value</w:t>
            </w:r>
          </w:p>
        </w:tc>
      </w:tr>
      <w:tr>
        <w:trPr>
          <w:trHeight w:val="160"/>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Unvested at January 1</w:t>
            </w:r>
          </w:p>
        </w:tc>
        <w:tc>
          <w:tcPr>
            <w:tcW w:w="16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459</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44.34</w:t>
            </w:r>
          </w:p>
        </w:tc>
      </w:tr>
      <w:tr>
        <w:trPr>
          <w:trHeight w:val="176"/>
        </w:trPr>
        <w:tc>
          <w:tcPr>
            <w:tcW w:w="7000" w:type="dxa"/>
            <w:vAlign w:val="bottom"/>
          </w:tcPr>
          <w:p>
            <w:pPr>
              <w:ind w:left="20"/>
              <w:spacing w:after="0"/>
              <w:rPr>
                <w:sz w:val="20"/>
                <w:szCs w:val="20"/>
                <w:color w:val="auto"/>
              </w:rPr>
            </w:pPr>
            <w:r>
              <w:rPr>
                <w:rFonts w:ascii="Arial" w:cs="Arial" w:eastAsia="Arial" w:hAnsi="Arial"/>
                <w:sz w:val="12"/>
                <w:szCs w:val="12"/>
                <w:color w:val="auto"/>
              </w:rPr>
              <w:t>Granted</w:t>
            </w:r>
          </w:p>
        </w:tc>
        <w:tc>
          <w:tcPr>
            <w:tcW w:w="168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Vested</w:t>
            </w:r>
          </w:p>
        </w:tc>
        <w:tc>
          <w:tcPr>
            <w:tcW w:w="16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73.70</w:t>
            </w:r>
          </w:p>
        </w:tc>
      </w:tr>
      <w:tr>
        <w:trPr>
          <w:trHeight w:val="17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Forfeited</w:t>
            </w:r>
          </w:p>
        </w:tc>
        <w:tc>
          <w:tcPr>
            <w:tcW w:w="1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jc w:val="right"/>
              <w:ind w:right="400"/>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18.50</w:t>
            </w:r>
          </w:p>
        </w:tc>
      </w:tr>
      <w:tr>
        <w:trPr>
          <w:trHeight w:val="17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Unvested at December 31</w:t>
            </w:r>
          </w:p>
        </w:tc>
        <w:tc>
          <w:tcPr>
            <w:tcW w:w="16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384</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b w:val="1"/>
                <w:bCs w:val="1"/>
                <w:color w:val="auto"/>
              </w:rPr>
              <w:t>$</w:t>
            </w:r>
          </w:p>
        </w:tc>
        <w:tc>
          <w:tcPr>
            <w:tcW w:w="1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39.05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Options</w:t>
      </w:r>
    </w:p>
    <w:p>
      <w:pPr>
        <w:spacing w:after="0" w:line="200" w:lineRule="exact"/>
        <w:rPr>
          <w:sz w:val="20"/>
          <w:szCs w:val="20"/>
          <w:color w:val="auto"/>
        </w:rPr>
      </w:pPr>
    </w:p>
    <w:p>
      <w:pPr>
        <w:jc w:val="both"/>
        <w:ind w:right="80" w:firstLine="216"/>
        <w:spacing w:after="0" w:line="256" w:lineRule="auto"/>
        <w:rPr>
          <w:sz w:val="20"/>
          <w:szCs w:val="20"/>
          <w:color w:val="auto"/>
        </w:rPr>
      </w:pPr>
      <w:r>
        <w:rPr>
          <w:rFonts w:ascii="Arial" w:cs="Arial" w:eastAsia="Arial" w:hAnsi="Arial"/>
          <w:sz w:val="12"/>
          <w:szCs w:val="12"/>
          <w:color w:val="auto"/>
        </w:rPr>
        <w:t>In 2014 and 2015, we granted stock options to certain executives under our long-term incentive plan. The options permit purchase of our common stock at exercise prices no less than the fair market value of the stock on the date the options were granted. The options have terms of seven years and vest ratably over three years, with one third of the granted shares becoming exercisable on each anniversary date following the date of grant, subject to certain restrictions including continued employment. No stock options were issued during 2017 and 2016.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480"/>
          </w:cols>
          <w:pgMar w:left="220" w:top="391" w:right="199" w:bottom="1440" w:gutter="0" w:footer="0" w:header="0"/>
        </w:sectPr>
      </w:pPr>
    </w:p>
    <w:bookmarkStart w:id="103" w:name="page104"/>
    <w:bookmarkEnd w:id="103"/>
    <w:p>
      <w:pPr>
        <w:ind w:right="80" w:firstLine="216"/>
        <w:spacing w:after="0" w:line="252" w:lineRule="auto"/>
        <w:rPr>
          <w:sz w:val="20"/>
          <w:szCs w:val="20"/>
          <w:color w:val="auto"/>
        </w:rPr>
      </w:pPr>
      <w:r>
        <w:rPr>
          <w:rFonts w:ascii="Arial" w:cs="Arial" w:eastAsia="Arial" w:hAnsi="Arial"/>
          <w:sz w:val="12"/>
          <w:szCs w:val="12"/>
          <w:color w:val="auto"/>
        </w:rPr>
        <w:t>The fair value of stock options is measured on the grant date using the Black-Scholes option valuation model and expensed on a straight-line basis over the vesting period. The model uses various assumptions, based on management's estimates at the time of grant, which impact the calculation of fair value and ultimately the amount of expense recognized over the vesting period of the stock option award. The expected life of stock options is calculated based on the simplified method and represents the period of time that options granted are expected to be held prior to exercise. In the absence of adequate stock price history of our common stock at the time of grant, the volatility factor was based on the average volatilities of the stocks of a select group of peer companies. The risk-free interest rate is the implied yield available on zero-coupon United States (U.S.) Treasury notes at the grant date with a remaining term approximating the expected life. The dividend yield is the expected annual dividend yield over the expected life, expressed as a percentage of the stock price on the grant date. Of the required assumptions, the expected life of the stock option award and the expected volatility have the most significant impact on the fair value calculation.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grant date assumptions used in the Black-Scholes valuation for options granted during 2015 and 2014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2015</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2014</w:t>
            </w:r>
          </w:p>
        </w:tc>
      </w:tr>
      <w:tr>
        <w:trPr>
          <w:trHeight w:val="16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 price per share</w:t>
            </w:r>
          </w:p>
        </w:tc>
        <w:tc>
          <w:tcPr>
            <w:tcW w:w="1500" w:type="dxa"/>
            <w:vAlign w:val="bottom"/>
            <w:shd w:val="clear" w:color="auto" w:fill="CCEEFF"/>
          </w:tcPr>
          <w:p>
            <w:pPr>
              <w:jc w:val="right"/>
              <w:ind w:right="136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42.00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81.10</w:t>
            </w:r>
          </w:p>
        </w:tc>
      </w:tr>
      <w:tr>
        <w:trPr>
          <w:trHeight w:val="176"/>
        </w:trPr>
        <w:tc>
          <w:tcPr>
            <w:tcW w:w="7000" w:type="dxa"/>
            <w:vAlign w:val="bottom"/>
          </w:tcPr>
          <w:p>
            <w:pPr>
              <w:ind w:left="20"/>
              <w:spacing w:after="0"/>
              <w:rPr>
                <w:sz w:val="20"/>
                <w:szCs w:val="20"/>
                <w:color w:val="auto"/>
              </w:rPr>
            </w:pPr>
            <w:r>
              <w:rPr>
                <w:rFonts w:ascii="Arial" w:cs="Arial" w:eastAsia="Arial" w:hAnsi="Arial"/>
                <w:sz w:val="12"/>
                <w:szCs w:val="12"/>
                <w:color w:val="auto"/>
              </w:rPr>
              <w:t>Expected life (in years)</w:t>
            </w:r>
          </w:p>
        </w:tc>
        <w:tc>
          <w:tcPr>
            <w:tcW w:w="1500" w:type="dxa"/>
            <w:vAlign w:val="bottom"/>
          </w:tcPr>
          <w:p>
            <w:pPr>
              <w:spacing w:after="0"/>
              <w:rPr>
                <w:sz w:val="15"/>
                <w:szCs w:val="15"/>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jc w:val="right"/>
              <w:ind w:right="60"/>
              <w:spacing w:after="0"/>
              <w:rPr>
                <w:sz w:val="20"/>
                <w:szCs w:val="20"/>
                <w:color w:val="auto"/>
              </w:rPr>
            </w:pPr>
            <w:r>
              <w:rPr>
                <w:rFonts w:ascii="Arial" w:cs="Arial" w:eastAsia="Arial" w:hAnsi="Arial"/>
                <w:sz w:val="12"/>
                <w:szCs w:val="12"/>
                <w:color w:val="auto"/>
              </w:rPr>
              <w:t>4.5</w:t>
            </w: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volatility</w:t>
            </w:r>
          </w:p>
        </w:tc>
        <w:tc>
          <w:tcPr>
            <w:tcW w:w="15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w:t>
            </w:r>
          </w:p>
        </w:tc>
      </w:tr>
      <w:tr>
        <w:trPr>
          <w:trHeight w:val="176"/>
        </w:trPr>
        <w:tc>
          <w:tcPr>
            <w:tcW w:w="700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1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1.40%</w:t>
            </w: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 yield</w:t>
            </w:r>
          </w:p>
        </w:tc>
        <w:tc>
          <w:tcPr>
            <w:tcW w:w="15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0.50%</w:t>
            </w:r>
          </w:p>
        </w:tc>
      </w:tr>
      <w:tr>
        <w:trPr>
          <w:trHeight w:val="171"/>
        </w:trPr>
        <w:tc>
          <w:tcPr>
            <w:tcW w:w="7000" w:type="dxa"/>
            <w:vAlign w:val="bottom"/>
          </w:tcPr>
          <w:p>
            <w:pPr>
              <w:ind w:left="20"/>
              <w:spacing w:after="0"/>
              <w:rPr>
                <w:sz w:val="20"/>
                <w:szCs w:val="20"/>
                <w:color w:val="auto"/>
              </w:rPr>
            </w:pPr>
            <w:r>
              <w:rPr>
                <w:rFonts w:ascii="Arial" w:cs="Arial" w:eastAsia="Arial" w:hAnsi="Arial"/>
                <w:sz w:val="12"/>
                <w:szCs w:val="12"/>
                <w:color w:val="auto"/>
              </w:rPr>
              <w:t>Grant date fair value of stock option awards granted</w:t>
            </w:r>
          </w:p>
        </w:tc>
        <w:tc>
          <w:tcPr>
            <w:tcW w:w="1500" w:type="dxa"/>
            <w:vAlign w:val="bottom"/>
          </w:tcPr>
          <w:p>
            <w:pPr>
              <w:jc w:val="right"/>
              <w:ind w:right="136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15.00</w:t>
            </w:r>
          </w:p>
        </w:tc>
        <w:tc>
          <w:tcPr>
            <w:tcW w:w="120" w:type="dxa"/>
            <w:vAlign w:val="bottom"/>
          </w:tcPr>
          <w:p>
            <w:pPr>
              <w:spacing w:after="0"/>
              <w:rPr>
                <w:sz w:val="14"/>
                <w:szCs w:val="14"/>
                <w:color w:val="auto"/>
              </w:rPr>
            </w:pPr>
          </w:p>
        </w:tc>
        <w:tc>
          <w:tcPr>
            <w:tcW w:w="520" w:type="dxa"/>
            <w:vAlign w:val="bottom"/>
          </w:tcPr>
          <w:p>
            <w:pPr>
              <w:jc w:val="right"/>
              <w:ind w:right="380"/>
              <w:spacing w:after="0"/>
              <w:rPr>
                <w:sz w:val="20"/>
                <w:szCs w:val="20"/>
                <w:color w:val="auto"/>
              </w:rPr>
            </w:pPr>
            <w:r>
              <w:rPr>
                <w:rFonts w:ascii="Arial" w:cs="Arial" w:eastAsia="Arial" w:hAnsi="Arial"/>
                <w:sz w:val="12"/>
                <w:szCs w:val="12"/>
                <w:color w:val="auto"/>
                <w:w w:val="89"/>
              </w:rPr>
              <w:t>$</w:t>
            </w:r>
          </w:p>
        </w:tc>
        <w:tc>
          <w:tcPr>
            <w:tcW w:w="1660" w:type="dxa"/>
            <w:vAlign w:val="bottom"/>
          </w:tcPr>
          <w:p>
            <w:pPr>
              <w:jc w:val="right"/>
              <w:ind w:right="60"/>
              <w:spacing w:after="0"/>
              <w:rPr>
                <w:sz w:val="20"/>
                <w:szCs w:val="20"/>
                <w:color w:val="auto"/>
              </w:rPr>
            </w:pPr>
            <w:r>
              <w:rPr>
                <w:rFonts w:ascii="Arial" w:cs="Arial" w:eastAsia="Arial" w:hAnsi="Arial"/>
                <w:sz w:val="12"/>
                <w:szCs w:val="12"/>
                <w:color w:val="auto"/>
              </w:rPr>
              <w:t>19.80</w:t>
            </w:r>
          </w:p>
        </w:tc>
      </w:tr>
      <w:tr>
        <w:trPr>
          <w:trHeight w:val="333"/>
        </w:trPr>
        <w:tc>
          <w:tcPr>
            <w:tcW w:w="7000" w:type="dxa"/>
            <w:vAlign w:val="bottom"/>
          </w:tcPr>
          <w:p>
            <w:pPr>
              <w:ind w:left="200"/>
              <w:spacing w:after="0"/>
              <w:rPr>
                <w:sz w:val="20"/>
                <w:szCs w:val="20"/>
                <w:color w:val="auto"/>
              </w:rPr>
            </w:pPr>
            <w:r>
              <w:rPr>
                <w:rFonts w:ascii="Arial" w:cs="Arial" w:eastAsia="Arial" w:hAnsi="Arial"/>
                <w:sz w:val="12"/>
                <w:szCs w:val="12"/>
                <w:color w:val="auto"/>
              </w:rPr>
              <w:t>The following table summarizes our option activity during the year ended December 31, 2017:</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1040" w:type="dxa"/>
            <w:vAlign w:val="bottom"/>
          </w:tcPr>
          <w:p>
            <w:pPr>
              <w:jc w:val="center"/>
              <w:ind w:left="400"/>
              <w:spacing w:after="0"/>
              <w:rPr>
                <w:sz w:val="20"/>
                <w:szCs w:val="20"/>
                <w:color w:val="auto"/>
              </w:rPr>
            </w:pPr>
            <w:r>
              <w:rPr>
                <w:rFonts w:ascii="Arial" w:cs="Arial" w:eastAsia="Arial" w:hAnsi="Arial"/>
                <w:sz w:val="12"/>
                <w:szCs w:val="12"/>
                <w:b w:val="1"/>
                <w:bCs w:val="1"/>
                <w:color w:val="auto"/>
              </w:rPr>
              <w:t>Options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80"/>
              <w:spacing w:after="0"/>
              <w:rPr>
                <w:sz w:val="20"/>
                <w:szCs w:val="20"/>
                <w:color w:val="auto"/>
              </w:rPr>
            </w:pPr>
            <w:r>
              <w:rPr>
                <w:rFonts w:ascii="Arial" w:cs="Arial" w:eastAsia="Arial" w:hAnsi="Arial"/>
                <w:sz w:val="12"/>
                <w:szCs w:val="12"/>
                <w:b w:val="1"/>
                <w:bCs w:val="1"/>
                <w:color w:val="auto"/>
              </w:rPr>
              <w:t>Weighted-Average</w:t>
            </w:r>
          </w:p>
        </w:tc>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Weighted-Average Grant-</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3"/>
        </w:trPr>
        <w:tc>
          <w:tcPr>
            <w:tcW w:w="5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ind w:left="400"/>
              <w:spacing w:after="0"/>
              <w:rPr>
                <w:sz w:val="20"/>
                <w:szCs w:val="20"/>
                <w:color w:val="auto"/>
              </w:rPr>
            </w:pPr>
            <w:r>
              <w:rPr>
                <w:rFonts w:ascii="Arial" w:cs="Arial" w:eastAsia="Arial" w:hAnsi="Arial"/>
                <w:sz w:val="12"/>
                <w:szCs w:val="12"/>
                <w:b w:val="1"/>
                <w:bCs w:val="1"/>
                <w:color w:val="auto"/>
              </w:rPr>
              <w:t>(000's)</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Exercise Price</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Date Fair Value</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9"/>
              </w:rPr>
              <w:t>Aggregate Intrinsic Value</w:t>
            </w:r>
          </w:p>
        </w:tc>
      </w:tr>
      <w:tr>
        <w:trPr>
          <w:trHeight w:val="165"/>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Beginning balance, January 1</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1,109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69.89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18.42</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r>
      <w:tr>
        <w:trPr>
          <w:trHeight w:val="176"/>
        </w:trPr>
        <w:tc>
          <w:tcPr>
            <w:tcW w:w="6200" w:type="dxa"/>
            <w:vAlign w:val="bottom"/>
            <w:gridSpan w:val="2"/>
          </w:tcPr>
          <w:p>
            <w:pPr>
              <w:ind w:left="20"/>
              <w:spacing w:after="0"/>
              <w:rPr>
                <w:sz w:val="20"/>
                <w:szCs w:val="20"/>
                <w:color w:val="auto"/>
              </w:rPr>
            </w:pPr>
            <w:r>
              <w:rPr>
                <w:rFonts w:ascii="Arial" w:cs="Arial" w:eastAsia="Arial" w:hAnsi="Arial"/>
                <w:sz w:val="12"/>
                <w:szCs w:val="12"/>
                <w:color w:val="auto"/>
              </w:rPr>
              <w:t>Granted</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ind w:left="20"/>
              <w:spacing w:after="0"/>
              <w:rPr>
                <w:sz w:val="20"/>
                <w:szCs w:val="20"/>
                <w:color w:val="auto"/>
              </w:rPr>
            </w:pPr>
            <w:r>
              <w:rPr>
                <w:rFonts w:ascii="Arial" w:cs="Arial" w:eastAsia="Arial" w:hAnsi="Arial"/>
                <w:sz w:val="12"/>
                <w:szCs w:val="12"/>
                <w:color w:val="auto"/>
              </w:rPr>
              <w:t>$</w:t>
            </w:r>
          </w:p>
        </w:tc>
        <w:tc>
          <w:tcPr>
            <w:tcW w:w="820" w:type="dxa"/>
            <w:vAlign w:val="bottom"/>
          </w:tcPr>
          <w:p>
            <w:pPr>
              <w:ind w:left="580"/>
              <w:spacing w:after="0"/>
              <w:rPr>
                <w:sz w:val="20"/>
                <w:szCs w:val="20"/>
                <w:color w:val="auto"/>
              </w:rPr>
            </w:pPr>
            <w:r>
              <w:rPr>
                <w:rFonts w:ascii="Arial" w:cs="Arial" w:eastAsia="Arial" w:hAnsi="Arial"/>
                <w:sz w:val="12"/>
                <w:szCs w:val="12"/>
                <w:color w:val="auto"/>
              </w:rPr>
              <w:t>—</w:t>
            </w:r>
          </w:p>
        </w:tc>
      </w:tr>
      <w:tr>
        <w:trPr>
          <w:trHeight w:val="185"/>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Exercised</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r>
      <w:tr>
        <w:trPr>
          <w:trHeight w:val="17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Forfeited</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54.12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16.49</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rPr>
              <w:t>—</w:t>
            </w:r>
          </w:p>
        </w:tc>
      </w:tr>
      <w:tr>
        <w:trPr>
          <w:trHeight w:val="17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Ending balance, December 31</w:t>
            </w:r>
          </w:p>
        </w:tc>
        <w:tc>
          <w:tcPr>
            <w:tcW w:w="10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1,105</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69.95</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18.43</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2"/>
                <w:szCs w:val="12"/>
                <w:b w:val="1"/>
                <w:bCs w:val="1"/>
                <w:color w:val="auto"/>
              </w:rPr>
              <w:t>—</w:t>
            </w:r>
          </w:p>
        </w:tc>
      </w:tr>
      <w:tr>
        <w:trPr>
          <w:trHeight w:val="178"/>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Exercisable at December 31</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1,013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72.47</w:t>
            </w:r>
          </w:p>
        </w:tc>
        <w:tc>
          <w:tcPr>
            <w:tcW w:w="12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18.74</w:t>
            </w: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64" w:lineRule="exact"/>
        <w:rPr>
          <w:sz w:val="20"/>
          <w:szCs w:val="20"/>
          <w:color w:val="auto"/>
        </w:rPr>
      </w:pPr>
    </w:p>
    <w:p>
      <w:pPr>
        <w:jc w:val="both"/>
        <w:ind w:right="60" w:firstLine="216"/>
        <w:spacing w:after="0" w:line="307" w:lineRule="auto"/>
        <w:rPr>
          <w:sz w:val="20"/>
          <w:szCs w:val="20"/>
          <w:color w:val="auto"/>
        </w:rPr>
      </w:pPr>
      <w:r>
        <w:rPr>
          <w:rFonts w:ascii="Arial" w:cs="Arial" w:eastAsia="Arial" w:hAnsi="Arial"/>
          <w:sz w:val="11"/>
          <w:szCs w:val="11"/>
          <w:color w:val="auto"/>
        </w:rPr>
        <w:t>Effective January 1, 2015, we adopted the California Resources Corporation 2014 Employee Stock Purchase Plan (ESPP), which was subsequently amended in May 2016. The ESPP provides our employees the ability to purchase shares of our common stock at a price equal to 85% of the closing price of a share of our common stock as of the first or last day of each offering period (a fiscal quarter), whichever amount is less.</w:t>
      </w:r>
    </w:p>
    <w:p>
      <w:pPr>
        <w:spacing w:after="0" w:line="55" w:lineRule="exact"/>
        <w:rPr>
          <w:sz w:val="20"/>
          <w:szCs w:val="20"/>
          <w:color w:val="auto"/>
        </w:rPr>
      </w:pPr>
    </w:p>
    <w:p>
      <w:pPr>
        <w:ind w:right="20" w:firstLine="216"/>
        <w:spacing w:after="0" w:line="262" w:lineRule="auto"/>
        <w:rPr>
          <w:sz w:val="20"/>
          <w:szCs w:val="20"/>
          <w:color w:val="auto"/>
        </w:rPr>
      </w:pPr>
      <w:r>
        <w:rPr>
          <w:rFonts w:ascii="Arial" w:cs="Arial" w:eastAsia="Arial" w:hAnsi="Arial"/>
          <w:sz w:val="12"/>
          <w:szCs w:val="12"/>
          <w:color w:val="auto"/>
        </w:rPr>
        <w:t>The maximum number of shares of our common stock that may be issued pursuant to the ESPP is subject to certain annual limits and has a cumulative limit of one million shares, subject to adjustment pursuant to the terms of the ESPP. For the year ended December 31, 2017, we issued approximately 0.2 million shares of common stock in connection with our ESPP.</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480"/>
          </w:cols>
          <w:pgMar w:left="220" w:top="391" w:right="199" w:bottom="1440" w:gutter="0" w:footer="0" w:header="0"/>
        </w:sectPr>
      </w:pPr>
    </w:p>
    <w:bookmarkStart w:id="104" w:name="page105"/>
    <w:bookmarkEnd w:id="104"/>
    <w:p>
      <w:pPr>
        <w:spacing w:after="0"/>
        <w:tabs>
          <w:tab w:leader="none" w:pos="600" w:val="left"/>
        </w:tabs>
        <w:rPr>
          <w:sz w:val="20"/>
          <w:szCs w:val="20"/>
          <w:color w:val="auto"/>
        </w:rPr>
      </w:pPr>
      <w:r>
        <w:rPr>
          <w:rFonts w:ascii="Arial" w:cs="Arial" w:eastAsia="Arial" w:hAnsi="Arial"/>
          <w:sz w:val="12"/>
          <w:szCs w:val="12"/>
          <w:b w:val="1"/>
          <w:bCs w:val="1"/>
          <w:color w:val="auto"/>
        </w:rPr>
        <w:t>NOTE 11</w:t>
        <w:tab/>
        <w:t>EQUITY</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is a summary of common stock issuances on a post-split basis: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640" w:type="dxa"/>
            <w:vAlign w:val="bottom"/>
          </w:tcPr>
          <w:p>
            <w:pPr>
              <w:spacing w:after="0"/>
              <w:rPr>
                <w:sz w:val="14"/>
                <w:szCs w:val="14"/>
                <w:color w:val="auto"/>
              </w:rPr>
            </w:pPr>
          </w:p>
        </w:tc>
        <w:tc>
          <w:tcPr>
            <w:tcW w:w="1840" w:type="dxa"/>
            <w:vAlign w:val="bottom"/>
            <w:tcBorders>
              <w:bottom w:val="single" w:sz="8" w:color="auto"/>
            </w:tcBorders>
          </w:tcPr>
          <w:p>
            <w:pPr>
              <w:jc w:val="right"/>
              <w:ind w:right="422"/>
              <w:spacing w:after="0"/>
              <w:rPr>
                <w:sz w:val="20"/>
                <w:szCs w:val="20"/>
                <w:color w:val="auto"/>
              </w:rPr>
            </w:pPr>
            <w:r>
              <w:rPr>
                <w:rFonts w:ascii="Arial" w:cs="Arial" w:eastAsia="Arial" w:hAnsi="Arial"/>
                <w:sz w:val="12"/>
                <w:szCs w:val="12"/>
                <w:b w:val="1"/>
                <w:bCs w:val="1"/>
                <w:color w:val="auto"/>
              </w:rPr>
              <w:t>Common Stock</w:t>
            </w:r>
          </w:p>
        </w:tc>
      </w:tr>
      <w:tr>
        <w:trPr>
          <w:trHeight w:val="161"/>
        </w:trPr>
        <w:tc>
          <w:tcPr>
            <w:tcW w:w="9640" w:type="dxa"/>
            <w:vAlign w:val="bottom"/>
          </w:tcPr>
          <w:p>
            <w:pPr>
              <w:spacing w:after="0"/>
              <w:rPr>
                <w:sz w:val="13"/>
                <w:szCs w:val="13"/>
                <w:color w:val="auto"/>
              </w:rPr>
            </w:pPr>
          </w:p>
        </w:tc>
        <w:tc>
          <w:tcPr>
            <w:tcW w:w="1840" w:type="dxa"/>
            <w:vAlign w:val="bottom"/>
          </w:tcPr>
          <w:p>
            <w:pPr>
              <w:jc w:val="right"/>
              <w:ind w:right="562"/>
              <w:spacing w:after="0"/>
              <w:rPr>
                <w:sz w:val="20"/>
                <w:szCs w:val="20"/>
                <w:color w:val="auto"/>
              </w:rPr>
            </w:pPr>
            <w:r>
              <w:rPr>
                <w:rFonts w:ascii="Arial" w:cs="Arial" w:eastAsia="Arial" w:hAnsi="Arial"/>
                <w:sz w:val="10"/>
                <w:szCs w:val="10"/>
                <w:color w:val="auto"/>
              </w:rPr>
              <w:t>(in thousands)</w:t>
            </w:r>
          </w:p>
        </w:tc>
      </w:tr>
      <w:tr>
        <w:trPr>
          <w:trHeight w:val="175"/>
        </w:trPr>
        <w:tc>
          <w:tcPr>
            <w:tcW w:w="9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2015</w:t>
            </w:r>
          </w:p>
        </w:tc>
        <w:tc>
          <w:tcPr>
            <w:tcW w:w="1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38,818</w:t>
            </w:r>
          </w:p>
        </w:tc>
      </w:tr>
      <w:tr>
        <w:trPr>
          <w:trHeight w:val="167"/>
        </w:trPr>
        <w:tc>
          <w:tcPr>
            <w:tcW w:w="96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Issued</w:t>
            </w:r>
          </w:p>
        </w:tc>
        <w:tc>
          <w:tcPr>
            <w:tcW w:w="1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3,725</w:t>
            </w:r>
          </w:p>
        </w:tc>
      </w:tr>
      <w:tr>
        <w:trPr>
          <w:trHeight w:val="165"/>
        </w:trPr>
        <w:tc>
          <w:tcPr>
            <w:tcW w:w="9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2016</w:t>
            </w:r>
          </w:p>
        </w:tc>
        <w:tc>
          <w:tcPr>
            <w:tcW w:w="1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42,543</w:t>
            </w:r>
          </w:p>
        </w:tc>
      </w:tr>
      <w:tr>
        <w:trPr>
          <w:trHeight w:val="167"/>
        </w:trPr>
        <w:tc>
          <w:tcPr>
            <w:tcW w:w="96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Issued</w:t>
            </w:r>
          </w:p>
        </w:tc>
        <w:tc>
          <w:tcPr>
            <w:tcW w:w="1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359</w:t>
            </w:r>
          </w:p>
        </w:tc>
      </w:tr>
      <w:tr>
        <w:trPr>
          <w:trHeight w:val="172"/>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2017</w:t>
            </w:r>
          </w:p>
        </w:tc>
        <w:tc>
          <w:tcPr>
            <w:tcW w:w="1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42,902</w:t>
            </w:r>
          </w:p>
        </w:tc>
      </w:tr>
    </w:tbl>
    <w:p>
      <w:pPr>
        <w:spacing w:after="0" w:line="144" w:lineRule="exact"/>
        <w:rPr>
          <w:sz w:val="20"/>
          <w:szCs w:val="20"/>
          <w:color w:val="auto"/>
        </w:rPr>
      </w:pPr>
    </w:p>
    <w:p>
      <w:pPr>
        <w:ind w:right="160" w:firstLine="216"/>
        <w:spacing w:after="0" w:line="262" w:lineRule="auto"/>
        <w:rPr>
          <w:sz w:val="20"/>
          <w:szCs w:val="20"/>
          <w:color w:val="auto"/>
        </w:rPr>
      </w:pPr>
      <w:r>
        <w:rPr>
          <w:rFonts w:ascii="Arial" w:cs="Arial" w:eastAsia="Arial" w:hAnsi="Arial"/>
          <w:sz w:val="12"/>
          <w:szCs w:val="12"/>
          <w:color w:val="auto"/>
        </w:rPr>
        <w:t>At December 31, 2017 and 2016, we had 200 million authorized shares of common stock and 20 million authorized shares of preferred stock, both with a $0.01 par value per share, and no outstanding shares of preferred stock on either date.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Accumulated Other Comprehensive Income (Loss)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Accumulated other comprehensive income (loss) consisted of pension and post-retirement losses of $23 million and $14 million, at December 31, 2017 and 2016,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80" w:type="dxa"/>
            <w:vAlign w:val="bottom"/>
          </w:tcPr>
          <w:p>
            <w:pPr>
              <w:spacing w:after="0"/>
              <w:rPr>
                <w:sz w:val="20"/>
                <w:szCs w:val="20"/>
                <w:color w:val="auto"/>
              </w:rPr>
            </w:pPr>
            <w:r>
              <w:rPr>
                <w:rFonts w:ascii="Arial" w:cs="Arial" w:eastAsia="Arial" w:hAnsi="Arial"/>
                <w:sz w:val="12"/>
                <w:szCs w:val="12"/>
                <w:b w:val="1"/>
                <w:bCs w:val="1"/>
                <w:color w:val="auto"/>
              </w:rPr>
              <w:t>NOTE 12  EARNINGS PER SHARE</w:t>
            </w: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88"/>
        </w:trPr>
        <w:tc>
          <w:tcPr>
            <w:tcW w:w="6080" w:type="dxa"/>
            <w:vAlign w:val="bottom"/>
          </w:tcPr>
          <w:p>
            <w:pPr>
              <w:ind w:left="200"/>
              <w:spacing w:after="0"/>
              <w:rPr>
                <w:sz w:val="20"/>
                <w:szCs w:val="20"/>
                <w:color w:val="auto"/>
              </w:rPr>
            </w:pPr>
            <w:r>
              <w:rPr>
                <w:rFonts w:ascii="Arial" w:cs="Arial" w:eastAsia="Arial" w:hAnsi="Arial"/>
                <w:sz w:val="12"/>
                <w:szCs w:val="12"/>
                <w:color w:val="auto"/>
              </w:rPr>
              <w:t>The following table presents the calculation of basic and diluted EPS for the years ended December 31:</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6"/>
        </w:trPr>
        <w:tc>
          <w:tcPr>
            <w:tcW w:w="6080" w:type="dxa"/>
            <w:vAlign w:val="bottom"/>
          </w:tcPr>
          <w:p>
            <w:pPr>
              <w:spacing w:after="0"/>
              <w:rPr>
                <w:sz w:val="23"/>
                <w:szCs w:val="23"/>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2017</w:t>
            </w: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2015</w:t>
            </w:r>
          </w:p>
        </w:tc>
      </w:tr>
      <w:tr>
        <w:trPr>
          <w:trHeight w:val="161"/>
        </w:trPr>
        <w:tc>
          <w:tcPr>
            <w:tcW w:w="6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color w:val="auto"/>
              </w:rPr>
              <w:t>(in millions, except per-share amounts)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Basic EPS calculation</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6"/>
        </w:trPr>
        <w:tc>
          <w:tcPr>
            <w:tcW w:w="6080" w:type="dxa"/>
            <w:vAlign w:val="bottom"/>
          </w:tcPr>
          <w:p>
            <w:pPr>
              <w:ind w:left="100"/>
              <w:spacing w:after="0"/>
              <w:rPr>
                <w:sz w:val="20"/>
                <w:szCs w:val="20"/>
                <w:color w:val="auto"/>
              </w:rPr>
            </w:pPr>
            <w:r>
              <w:rPr>
                <w:rFonts w:ascii="Arial" w:cs="Arial" w:eastAsia="Arial" w:hAnsi="Arial"/>
                <w:sz w:val="12"/>
                <w:szCs w:val="12"/>
                <w:color w:val="auto"/>
              </w:rPr>
              <w:t>Net (loss) income</w:t>
            </w:r>
          </w:p>
        </w:tc>
        <w:tc>
          <w:tcPr>
            <w:tcW w:w="1160" w:type="dxa"/>
            <w:vAlign w:val="bottom"/>
          </w:tcPr>
          <w:p>
            <w:pPr>
              <w:jc w:val="right"/>
              <w:ind w:right="102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(262)</w:t>
            </w:r>
          </w:p>
        </w:tc>
        <w:tc>
          <w:tcPr>
            <w:tcW w:w="10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279</w:t>
            </w:r>
          </w:p>
        </w:tc>
        <w:tc>
          <w:tcPr>
            <w:tcW w:w="120" w:type="dxa"/>
            <w:vAlign w:val="bottom"/>
          </w:tcPr>
          <w:p>
            <w:pPr>
              <w:spacing w:after="0"/>
              <w:rPr>
                <w:sz w:val="15"/>
                <w:szCs w:val="15"/>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(3,554)</w:t>
            </w:r>
          </w:p>
        </w:tc>
      </w:tr>
      <w:tr>
        <w:trPr>
          <w:trHeight w:val="180"/>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net income attributable to noncontrolling interest</w:t>
            </w:r>
          </w:p>
        </w:tc>
        <w:tc>
          <w:tcPr>
            <w:tcW w:w="1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6080" w:type="dxa"/>
            <w:vAlign w:val="bottom"/>
          </w:tcPr>
          <w:p>
            <w:pPr>
              <w:ind w:left="100"/>
              <w:spacing w:after="0"/>
              <w:rPr>
                <w:sz w:val="20"/>
                <w:szCs w:val="20"/>
                <w:color w:val="auto"/>
              </w:rPr>
            </w:pPr>
            <w:r>
              <w:rPr>
                <w:rFonts w:ascii="Arial" w:cs="Arial" w:eastAsia="Arial" w:hAnsi="Arial"/>
                <w:sz w:val="12"/>
                <w:szCs w:val="12"/>
                <w:color w:val="auto"/>
              </w:rPr>
              <w:t>Net (loss) income attributable to common stock</w:t>
            </w:r>
          </w:p>
        </w:tc>
        <w:tc>
          <w:tcPr>
            <w:tcW w:w="1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279</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(3,554)</w:t>
            </w:r>
          </w:p>
        </w:tc>
      </w:tr>
      <w:tr>
        <w:trPr>
          <w:trHeight w:val="180"/>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net income allocated to participating securities</w:t>
            </w:r>
          </w:p>
        </w:tc>
        <w:tc>
          <w:tcPr>
            <w:tcW w:w="1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Net (loss) income available to common stockholders</w:t>
            </w:r>
          </w:p>
        </w:tc>
        <w:tc>
          <w:tcPr>
            <w:tcW w:w="1160" w:type="dxa"/>
            <w:vAlign w:val="bottom"/>
            <w:tcBorders>
              <w:top w:val="single" w:sz="8" w:color="auto"/>
              <w:bottom w:val="single" w:sz="8" w:color="auto"/>
            </w:tcBorders>
          </w:tcPr>
          <w:p>
            <w:pPr>
              <w:jc w:val="right"/>
              <w:ind w:right="102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(266)</w:t>
            </w:r>
          </w:p>
        </w:tc>
        <w:tc>
          <w:tcPr>
            <w:tcW w:w="10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273</w:t>
            </w:r>
          </w:p>
        </w:tc>
        <w:tc>
          <w:tcPr>
            <w:tcW w:w="1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(3,554)</w:t>
            </w:r>
          </w:p>
        </w:tc>
      </w:tr>
      <w:tr>
        <w:trPr>
          <w:trHeight w:val="191"/>
        </w:trPr>
        <w:tc>
          <w:tcPr>
            <w:tcW w:w="6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Weighted-average common shares outstanding - basic</w:t>
            </w:r>
          </w:p>
        </w:tc>
        <w:tc>
          <w:tcPr>
            <w:tcW w:w="1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42.5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38.3</w:t>
            </w:r>
          </w:p>
        </w:tc>
      </w:tr>
      <w:tr>
        <w:trPr>
          <w:trHeight w:val="16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Basic EPS</w:t>
            </w:r>
          </w:p>
        </w:tc>
        <w:tc>
          <w:tcPr>
            <w:tcW w:w="1160" w:type="dxa"/>
            <w:vAlign w:val="bottom"/>
            <w:tcBorders>
              <w:bottom w:val="single" w:sz="8" w:color="auto"/>
            </w:tcBorders>
          </w:tcPr>
          <w:p>
            <w:pPr>
              <w:jc w:val="right"/>
              <w:ind w:right="10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(6.26)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6.76</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(92.79)</w:t>
            </w:r>
          </w:p>
        </w:tc>
      </w:tr>
      <w:tr>
        <w:trPr>
          <w:trHeight w:val="189"/>
        </w:trPr>
        <w:tc>
          <w:tcPr>
            <w:tcW w:w="60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6"/>
        </w:trPr>
        <w:tc>
          <w:tcPr>
            <w:tcW w:w="6080" w:type="dxa"/>
            <w:vAlign w:val="bottom"/>
          </w:tcPr>
          <w:p>
            <w:pPr>
              <w:ind w:left="20"/>
              <w:spacing w:after="0"/>
              <w:rPr>
                <w:sz w:val="20"/>
                <w:szCs w:val="20"/>
                <w:color w:val="auto"/>
              </w:rPr>
            </w:pPr>
            <w:r>
              <w:rPr>
                <w:rFonts w:ascii="Arial" w:cs="Arial" w:eastAsia="Arial" w:hAnsi="Arial"/>
                <w:sz w:val="12"/>
                <w:szCs w:val="12"/>
                <w:b w:val="1"/>
                <w:bCs w:val="1"/>
                <w:color w:val="auto"/>
              </w:rPr>
              <w:t>Diluted EPS calculation</w:t>
            </w: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5"/>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income (loss)</w:t>
            </w:r>
          </w:p>
        </w:tc>
        <w:tc>
          <w:tcPr>
            <w:tcW w:w="1160" w:type="dxa"/>
            <w:vAlign w:val="bottom"/>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(3,554)</w:t>
            </w:r>
          </w:p>
        </w:tc>
      </w:tr>
      <w:tr>
        <w:trPr>
          <w:trHeight w:val="176"/>
        </w:trPr>
        <w:tc>
          <w:tcPr>
            <w:tcW w:w="6080" w:type="dxa"/>
            <w:vAlign w:val="bottom"/>
          </w:tcPr>
          <w:p>
            <w:pPr>
              <w:ind w:left="100"/>
              <w:spacing w:after="0"/>
              <w:rPr>
                <w:sz w:val="20"/>
                <w:szCs w:val="20"/>
                <w:color w:val="auto"/>
              </w:rPr>
            </w:pPr>
            <w:r>
              <w:rPr>
                <w:rFonts w:ascii="Arial" w:cs="Arial" w:eastAsia="Arial" w:hAnsi="Arial"/>
                <w:sz w:val="12"/>
                <w:szCs w:val="12"/>
                <w:color w:val="auto"/>
              </w:rPr>
              <w:t>Less: net income attributable to noncontrolling interest</w:t>
            </w:r>
          </w:p>
        </w:tc>
        <w:tc>
          <w:tcPr>
            <w:tcW w:w="1160" w:type="dxa"/>
            <w:vAlign w:val="bottom"/>
          </w:tcPr>
          <w:p>
            <w:pPr>
              <w:spacing w:after="0"/>
              <w:rPr>
                <w:sz w:val="15"/>
                <w:szCs w:val="15"/>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60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Net (loss) income attributable to common stock</w:t>
            </w:r>
          </w:p>
        </w:tc>
        <w:tc>
          <w:tcPr>
            <w:tcW w:w="1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(266)</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(3,554)</w:t>
            </w:r>
          </w:p>
        </w:tc>
      </w:tr>
      <w:tr>
        <w:trPr>
          <w:trHeight w:val="176"/>
        </w:trPr>
        <w:tc>
          <w:tcPr>
            <w:tcW w:w="6080" w:type="dxa"/>
            <w:vAlign w:val="bottom"/>
          </w:tcPr>
          <w:p>
            <w:pPr>
              <w:ind w:left="100"/>
              <w:spacing w:after="0"/>
              <w:rPr>
                <w:sz w:val="20"/>
                <w:szCs w:val="20"/>
                <w:color w:val="auto"/>
              </w:rPr>
            </w:pPr>
            <w:r>
              <w:rPr>
                <w:rFonts w:ascii="Arial" w:cs="Arial" w:eastAsia="Arial" w:hAnsi="Arial"/>
                <w:sz w:val="12"/>
                <w:szCs w:val="12"/>
                <w:color w:val="auto"/>
              </w:rPr>
              <w:t>Less: net income allocated to participating securities</w:t>
            </w:r>
          </w:p>
        </w:tc>
        <w:tc>
          <w:tcPr>
            <w:tcW w:w="11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5"/>
                <w:szCs w:val="15"/>
                <w:color w:val="auto"/>
              </w:rPr>
            </w:pP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6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Net (loss) income available to common stockholders</w:t>
            </w:r>
          </w:p>
        </w:tc>
        <w:tc>
          <w:tcPr>
            <w:tcW w:w="1160" w:type="dxa"/>
            <w:vAlign w:val="bottom"/>
            <w:tcBorders>
              <w:top w:val="single" w:sz="8" w:color="auto"/>
              <w:bottom w:val="single" w:sz="8" w:color="auto"/>
            </w:tcBorders>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(3,554)</w:t>
            </w:r>
          </w:p>
        </w:tc>
      </w:tr>
      <w:tr>
        <w:trPr>
          <w:trHeight w:val="167"/>
        </w:trPr>
        <w:tc>
          <w:tcPr>
            <w:tcW w:w="6080" w:type="dxa"/>
            <w:vAlign w:val="bottom"/>
          </w:tcPr>
          <w:p>
            <w:pPr>
              <w:ind w:left="100"/>
              <w:spacing w:after="0"/>
              <w:rPr>
                <w:sz w:val="20"/>
                <w:szCs w:val="20"/>
                <w:color w:val="auto"/>
              </w:rPr>
            </w:pPr>
            <w:r>
              <w:rPr>
                <w:rFonts w:ascii="Arial" w:cs="Arial" w:eastAsia="Arial" w:hAnsi="Arial"/>
                <w:sz w:val="12"/>
                <w:szCs w:val="12"/>
                <w:color w:val="auto"/>
              </w:rPr>
              <w:t>Weighted-average common shares outstanding - basic</w:t>
            </w:r>
          </w:p>
        </w:tc>
        <w:tc>
          <w:tcPr>
            <w:tcW w:w="116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42.5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40.4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38.3</w:t>
            </w:r>
          </w:p>
        </w:tc>
      </w:tr>
      <w:tr>
        <w:trPr>
          <w:trHeight w:val="180"/>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Dilutive effect of potentially dilutive securities</w:t>
            </w:r>
          </w:p>
        </w:tc>
        <w:tc>
          <w:tcPr>
            <w:tcW w:w="1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Weighted-average common shares outstanding - diluted</w:t>
            </w:r>
          </w:p>
        </w:tc>
        <w:tc>
          <w:tcPr>
            <w:tcW w:w="1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42.5</w:t>
            </w:r>
          </w:p>
        </w:tc>
        <w:tc>
          <w:tcPr>
            <w:tcW w:w="1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40.4</w:t>
            </w:r>
          </w:p>
        </w:tc>
        <w:tc>
          <w:tcPr>
            <w:tcW w:w="1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38.3</w:t>
            </w:r>
          </w:p>
        </w:tc>
      </w:tr>
      <w:tr>
        <w:trPr>
          <w:trHeight w:val="18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Diluted EPS</w:t>
            </w: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(6.26)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6.76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(92.79)</w:t>
            </w:r>
          </w:p>
        </w:tc>
      </w:tr>
      <w:tr>
        <w:trPr>
          <w:trHeight w:val="161"/>
        </w:trPr>
        <w:tc>
          <w:tcPr>
            <w:tcW w:w="6080" w:type="dxa"/>
            <w:vAlign w:val="bottom"/>
          </w:tcPr>
          <w:p>
            <w:pPr>
              <w:ind w:left="100"/>
              <w:spacing w:after="0"/>
              <w:rPr>
                <w:sz w:val="20"/>
                <w:szCs w:val="20"/>
                <w:color w:val="auto"/>
              </w:rPr>
            </w:pPr>
            <w:r>
              <w:rPr>
                <w:rFonts w:ascii="Arial" w:cs="Arial" w:eastAsia="Arial" w:hAnsi="Arial"/>
                <w:sz w:val="12"/>
                <w:szCs w:val="12"/>
                <w:color w:val="auto"/>
              </w:rPr>
              <w:t>Weighted-average anti-dilutive shares</w:t>
            </w:r>
            <w:r>
              <w:rPr>
                <w:rFonts w:ascii="Arial" w:cs="Arial" w:eastAsia="Arial" w:hAnsi="Arial"/>
                <w:sz w:val="14"/>
                <w:szCs w:val="14"/>
                <w:color w:val="auto"/>
                <w:vertAlign w:val="superscript"/>
              </w:rPr>
              <w:t>(a)</w:t>
            </w:r>
          </w:p>
        </w:tc>
        <w:tc>
          <w:tcPr>
            <w:tcW w:w="116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1.3</w:t>
            </w:r>
          </w:p>
        </w:tc>
      </w:tr>
    </w:tbl>
    <w:p>
      <w:pPr>
        <w:ind w:left="480" w:right="220" w:hanging="218"/>
        <w:spacing w:after="0" w:line="232" w:lineRule="auto"/>
        <w:tabs>
          <w:tab w:leader="none" w:pos="480" w:val="left"/>
        </w:tabs>
        <w:numPr>
          <w:ilvl w:val="0"/>
          <w:numId w:val="63"/>
        </w:numPr>
        <w:rPr>
          <w:rFonts w:ascii="Arial" w:cs="Arial" w:eastAsia="Arial" w:hAnsi="Arial"/>
          <w:sz w:val="10"/>
          <w:szCs w:val="10"/>
          <w:color w:val="auto"/>
        </w:rPr>
      </w:pPr>
      <w:r>
        <w:rPr>
          <w:rFonts w:ascii="Arial" w:cs="Arial" w:eastAsia="Arial" w:hAnsi="Arial"/>
          <w:sz w:val="10"/>
          <w:szCs w:val="10"/>
          <w:color w:val="auto"/>
        </w:rPr>
        <w:t>Anti-dilutive shares represent potentially dilutive securities that are excluded from the computation of diluted EPS due to our net loss position. Anti-dilutive shares include the effect of out-of-the-money stock options and exclude the performance stock units issued in 2015.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1480"/>
          </w:cols>
          <w:pgMar w:left="220" w:top="377" w:right="199" w:bottom="1440" w:gutter="0" w:footer="0" w:header="0"/>
        </w:sectPr>
      </w:pPr>
    </w:p>
    <w:bookmarkStart w:id="105" w:name="page106"/>
    <w:bookmarkEnd w:id="105"/>
    <w:p>
      <w:pPr>
        <w:spacing w:after="0"/>
        <w:tabs>
          <w:tab w:leader="none" w:pos="60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1"/>
          <w:szCs w:val="11"/>
          <w:b w:val="1"/>
          <w:bCs w:val="1"/>
          <w:color w:val="auto"/>
        </w:rPr>
        <w:t>PENSION AND POSTRETIREMENT BENEFIT PLANS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have various qualified and non-qualified benefit plans for our salaried and union and nonunion hourly employees.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Defined Contribution Plans</w:t>
      </w:r>
    </w:p>
    <w:p>
      <w:pPr>
        <w:spacing w:after="0" w:line="110" w:lineRule="exact"/>
        <w:rPr>
          <w:sz w:val="20"/>
          <w:szCs w:val="20"/>
          <w:color w:val="auto"/>
        </w:rPr>
      </w:pPr>
    </w:p>
    <w:p>
      <w:pPr>
        <w:ind w:right="620" w:firstLine="216"/>
        <w:spacing w:after="0" w:line="262" w:lineRule="auto"/>
        <w:rPr>
          <w:sz w:val="20"/>
          <w:szCs w:val="20"/>
          <w:color w:val="auto"/>
        </w:rPr>
      </w:pPr>
      <w:r>
        <w:rPr>
          <w:rFonts w:ascii="Arial" w:cs="Arial" w:eastAsia="Arial" w:hAnsi="Arial"/>
          <w:sz w:val="12"/>
          <w:szCs w:val="12"/>
          <w:color w:val="auto"/>
        </w:rPr>
        <w:t>All of our employees are eligible to participate in our defined contribution retirement plan that provides for periodic contributions by us based on plan-specific criteria, such as eligible pay and employee contributions.</w:t>
      </w:r>
    </w:p>
    <w:p>
      <w:pPr>
        <w:spacing w:after="0" w:line="77" w:lineRule="exact"/>
        <w:rPr>
          <w:sz w:val="20"/>
          <w:szCs w:val="20"/>
          <w:color w:val="auto"/>
        </w:rPr>
      </w:pPr>
    </w:p>
    <w:p>
      <w:pPr>
        <w:ind w:right="100" w:firstLine="216"/>
        <w:spacing w:after="0" w:line="262" w:lineRule="auto"/>
        <w:rPr>
          <w:sz w:val="20"/>
          <w:szCs w:val="20"/>
          <w:color w:val="auto"/>
        </w:rPr>
      </w:pPr>
      <w:r>
        <w:rPr>
          <w:rFonts w:ascii="Arial" w:cs="Arial" w:eastAsia="Arial" w:hAnsi="Arial"/>
          <w:sz w:val="12"/>
          <w:szCs w:val="12"/>
          <w:color w:val="auto"/>
        </w:rPr>
        <w:t>Certain salaried employees participate in supplemental plans that restore benefits lost due to governmental limitations on qualified plans. As of December 31, 2017 and 2016, we recognized $32 million and $31 million in other long-term liabilities for these supplemental plans.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expensed $33 million in 2017, $32 million in 2016 and $39 million in 2015 under the provisions of these defined contribution and supplemental plans.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Defined Benefit Plans</w:t>
      </w:r>
    </w:p>
    <w:p>
      <w:pPr>
        <w:spacing w:after="0" w:line="110" w:lineRule="exact"/>
        <w:rPr>
          <w:sz w:val="20"/>
          <w:szCs w:val="20"/>
          <w:color w:val="auto"/>
        </w:rPr>
      </w:pPr>
    </w:p>
    <w:p>
      <w:pPr>
        <w:ind w:right="80" w:firstLine="216"/>
        <w:spacing w:after="0" w:line="262" w:lineRule="auto"/>
        <w:rPr>
          <w:sz w:val="20"/>
          <w:szCs w:val="20"/>
          <w:color w:val="auto"/>
        </w:rPr>
      </w:pPr>
      <w:r>
        <w:rPr>
          <w:rFonts w:ascii="Arial" w:cs="Arial" w:eastAsia="Arial" w:hAnsi="Arial"/>
          <w:sz w:val="12"/>
          <w:szCs w:val="12"/>
          <w:color w:val="auto"/>
        </w:rPr>
        <w:t>Participation in defined benefit pension plans sponsored by us is limited. During 2017, approximately 70 employees accrued benefits under these plans, all of whom were union employees. Effective December 31, 2015, the plans were amended such that participants other than union employees no longer earn benefits for service after December 31, 2015.</w:t>
      </w:r>
    </w:p>
    <w:p>
      <w:pPr>
        <w:spacing w:after="0" w:line="77" w:lineRule="exact"/>
        <w:rPr>
          <w:sz w:val="20"/>
          <w:szCs w:val="20"/>
          <w:color w:val="auto"/>
        </w:rPr>
      </w:pPr>
    </w:p>
    <w:p>
      <w:pPr>
        <w:ind w:right="560" w:firstLine="216"/>
        <w:spacing w:after="0" w:line="407" w:lineRule="auto"/>
        <w:rPr>
          <w:sz w:val="20"/>
          <w:szCs w:val="20"/>
          <w:color w:val="auto"/>
        </w:rPr>
      </w:pPr>
      <w:r>
        <w:rPr>
          <w:rFonts w:ascii="Arial" w:cs="Arial" w:eastAsia="Arial" w:hAnsi="Arial"/>
          <w:sz w:val="12"/>
          <w:szCs w:val="12"/>
          <w:color w:val="auto"/>
        </w:rPr>
        <w:t xml:space="preserve">Pension costs for the defined benefit pension plans, determined by independent actuarial valuations, are funded by us through payments to trust funds, which are administered by independent trustees. </w:t>
      </w:r>
      <w:r>
        <w:rPr>
          <w:rFonts w:ascii="Arial" w:cs="Arial" w:eastAsia="Arial" w:hAnsi="Arial"/>
          <w:sz w:val="12"/>
          <w:szCs w:val="12"/>
          <w:b w:val="1"/>
          <w:bCs w:val="1"/>
          <w:i w:val="1"/>
          <w:iCs w:val="1"/>
          <w:color w:val="auto"/>
        </w:rPr>
        <w:t>Postretirement Benefit Plans</w:t>
      </w:r>
    </w:p>
    <w:p>
      <w:pPr>
        <w:ind w:firstLine="216"/>
        <w:spacing w:after="0" w:line="262" w:lineRule="auto"/>
        <w:rPr>
          <w:sz w:val="20"/>
          <w:szCs w:val="20"/>
          <w:color w:val="auto"/>
        </w:rPr>
      </w:pPr>
      <w:r>
        <w:rPr>
          <w:rFonts w:ascii="Arial" w:cs="Arial" w:eastAsia="Arial" w:hAnsi="Arial"/>
          <w:sz w:val="12"/>
          <w:szCs w:val="12"/>
          <w:color w:val="auto"/>
        </w:rPr>
        <w:t>We provide postretirement medical and dental benefits for our eligible former employees and their dependents. The benefits are funded by us and required contributions from former employees as claims are paid during the year.</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1400"/>
          </w:cols>
          <w:pgMar w:left="220" w:top="377" w:right="279"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b w:val="1"/>
          <w:bCs w:val="1"/>
          <w:i w:val="1"/>
          <w:iCs w:val="1"/>
          <w:color w:val="auto"/>
        </w:rPr>
        <w:t>Obligations and Funded Status of our Defined Benefit Plans</w:t>
      </w:r>
    </w:p>
    <w:p>
      <w:pPr>
        <w:spacing w:after="0" w:line="110" w:lineRule="exact"/>
        <w:rPr>
          <w:sz w:val="20"/>
          <w:szCs w:val="20"/>
          <w:color w:val="auto"/>
        </w:rPr>
      </w:pPr>
    </w:p>
    <w:p>
      <w:pPr>
        <w:ind w:right="520" w:firstLine="216"/>
        <w:spacing w:after="0" w:line="262" w:lineRule="auto"/>
        <w:rPr>
          <w:sz w:val="20"/>
          <w:szCs w:val="20"/>
          <w:color w:val="auto"/>
        </w:rPr>
      </w:pPr>
      <w:r>
        <w:rPr>
          <w:rFonts w:ascii="Arial" w:cs="Arial" w:eastAsia="Arial" w:hAnsi="Arial"/>
          <w:sz w:val="12"/>
          <w:szCs w:val="12"/>
          <w:color w:val="auto"/>
        </w:rPr>
        <w:t>The following tables show the amounts recognized in our balance sheets related to pension and postretirement benefit plans, as well as plans that we or our subsidiaries sponsor, and their funding status, obligations and plan asset fair values: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2"/>
                <w:szCs w:val="12"/>
                <w:b w:val="1"/>
                <w:bCs w:val="1"/>
                <w:color w:val="auto"/>
              </w:rPr>
              <w:t>As of December 31,</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97"/>
              </w:rPr>
              <w:t>2016</w:t>
            </w:r>
          </w:p>
        </w:tc>
      </w:tr>
      <w:tr>
        <w:trPr>
          <w:trHeight w:val="160"/>
        </w:trPr>
        <w:tc>
          <w:tcPr>
            <w:tcW w:w="49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Pension Benefits</w:t>
            </w: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Postretirement Benefits</w:t>
            </w:r>
          </w:p>
        </w:tc>
        <w:tc>
          <w:tcPr>
            <w:tcW w:w="940" w:type="dxa"/>
            <w:vAlign w:val="bottom"/>
            <w:tcBorders>
              <w:bottom w:val="single" w:sz="8" w:color="auto"/>
            </w:tcBorders>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gridSpan w:val="3"/>
          </w:tcPr>
          <w:p>
            <w:pPr>
              <w:jc w:val="center"/>
              <w:ind w:left="421"/>
              <w:spacing w:after="0"/>
              <w:rPr>
                <w:sz w:val="20"/>
                <w:szCs w:val="20"/>
                <w:color w:val="auto"/>
              </w:rPr>
            </w:pPr>
            <w:r>
              <w:rPr>
                <w:rFonts w:ascii="Arial" w:cs="Arial" w:eastAsia="Arial" w:hAnsi="Arial"/>
                <w:sz w:val="10"/>
                <w:szCs w:val="10"/>
                <w:color w:val="auto"/>
                <w:w w:val="94"/>
              </w:rPr>
              <w:t>(in millions)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Amounts recognized in the balance sheet:</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6"/>
        </w:trPr>
        <w:tc>
          <w:tcPr>
            <w:tcW w:w="4940" w:type="dxa"/>
            <w:vAlign w:val="bottom"/>
          </w:tcPr>
          <w:p>
            <w:pPr>
              <w:ind w:left="100"/>
              <w:spacing w:after="0"/>
              <w:rPr>
                <w:sz w:val="20"/>
                <w:szCs w:val="20"/>
                <w:color w:val="auto"/>
              </w:rPr>
            </w:pPr>
            <w:r>
              <w:rPr>
                <w:rFonts w:ascii="Arial" w:cs="Arial" w:eastAsia="Arial" w:hAnsi="Arial"/>
                <w:sz w:val="12"/>
                <w:szCs w:val="12"/>
                <w:color w:val="auto"/>
              </w:rPr>
              <w:t>Accrued liabilities</w:t>
            </w:r>
          </w:p>
        </w:tc>
        <w:tc>
          <w:tcPr>
            <w:tcW w:w="1020" w:type="dxa"/>
            <w:vAlign w:val="bottom"/>
          </w:tcPr>
          <w:p>
            <w:pPr>
              <w:jc w:val="right"/>
              <w:ind w:right="880"/>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340" w:type="dxa"/>
            <w:vAlign w:val="bottom"/>
            <w:gridSpan w:val="2"/>
          </w:tcPr>
          <w:p>
            <w:pPr>
              <w:jc w:val="center"/>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5"/>
                <w:szCs w:val="15"/>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(2)</w:t>
            </w:r>
          </w:p>
        </w:tc>
      </w:tr>
      <w:tr>
        <w:trPr>
          <w:trHeight w:val="180"/>
        </w:trPr>
        <w:tc>
          <w:tcPr>
            <w:tcW w:w="4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long-term liabilities</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(75)</w:t>
            </w:r>
          </w:p>
        </w:tc>
      </w:tr>
      <w:tr>
        <w:trPr>
          <w:trHeight w:val="172"/>
        </w:trPr>
        <w:tc>
          <w:tcPr>
            <w:tcW w:w="4940" w:type="dxa"/>
            <w:vAlign w:val="bottom"/>
          </w:tcPr>
          <w:p>
            <w:pPr>
              <w:spacing w:after="0"/>
              <w:rPr>
                <w:sz w:val="14"/>
                <w:szCs w:val="14"/>
                <w:color w:val="auto"/>
              </w:rPr>
            </w:pPr>
          </w:p>
        </w:tc>
        <w:tc>
          <w:tcPr>
            <w:tcW w:w="1020" w:type="dxa"/>
            <w:vAlign w:val="bottom"/>
          </w:tcPr>
          <w:p>
            <w:pPr>
              <w:jc w:val="right"/>
              <w:ind w:right="88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4"/>
                <w:szCs w:val="14"/>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(93)</w:t>
            </w:r>
          </w:p>
        </w:tc>
        <w:tc>
          <w:tcPr>
            <w:tcW w:w="340" w:type="dxa"/>
            <w:vAlign w:val="bottom"/>
            <w:gridSpan w:val="2"/>
          </w:tcPr>
          <w:p>
            <w:pPr>
              <w:jc w:val="center"/>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(77)</w:t>
            </w:r>
          </w:p>
        </w:tc>
      </w:tr>
      <w:tr>
        <w:trPr>
          <w:trHeight w:val="189"/>
        </w:trPr>
        <w:tc>
          <w:tcPr>
            <w:tcW w:w="49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178"/>
        </w:trPr>
        <w:tc>
          <w:tcPr>
            <w:tcW w:w="4940" w:type="dxa"/>
            <w:vAlign w:val="bottom"/>
          </w:tcPr>
          <w:p>
            <w:pPr>
              <w:ind w:left="20"/>
              <w:spacing w:after="0"/>
              <w:rPr>
                <w:sz w:val="20"/>
                <w:szCs w:val="20"/>
                <w:color w:val="auto"/>
              </w:rPr>
            </w:pPr>
            <w:r>
              <w:rPr>
                <w:rFonts w:ascii="Arial" w:cs="Arial" w:eastAsia="Arial" w:hAnsi="Arial"/>
                <w:sz w:val="12"/>
                <w:szCs w:val="12"/>
                <w:color w:val="auto"/>
              </w:rPr>
              <w:t>Amounts recognized in accumulated other comprehensive (loss) income:</w:t>
            </w:r>
          </w:p>
        </w:tc>
        <w:tc>
          <w:tcPr>
            <w:tcW w:w="102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r>
      <w:tr>
        <w:trPr>
          <w:trHeight w:val="257"/>
        </w:trPr>
        <w:tc>
          <w:tcPr>
            <w:tcW w:w="494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2"/>
                <w:szCs w:val="12"/>
                <w:b w:val="1"/>
                <w:bCs w:val="1"/>
                <w:color w:val="auto"/>
              </w:rPr>
              <w:t>As of December 31,</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169"/>
        </w:trPr>
        <w:tc>
          <w:tcPr>
            <w:tcW w:w="4940" w:type="dxa"/>
            <w:vAlign w:val="bottom"/>
          </w:tcPr>
          <w:p>
            <w:pPr>
              <w:spacing w:after="0"/>
              <w:rPr>
                <w:sz w:val="14"/>
                <w:szCs w:val="1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1"/>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97"/>
              </w:rPr>
              <w:t>2016</w:t>
            </w:r>
          </w:p>
        </w:tc>
      </w:tr>
      <w:tr>
        <w:trPr>
          <w:trHeight w:val="160"/>
        </w:trPr>
        <w:tc>
          <w:tcPr>
            <w:tcW w:w="49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Pension Benefits</w:t>
            </w: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Postretirement Benefits</w:t>
            </w:r>
          </w:p>
        </w:tc>
        <w:tc>
          <w:tcPr>
            <w:tcW w:w="940" w:type="dxa"/>
            <w:vAlign w:val="bottom"/>
            <w:tcBorders>
              <w:bottom w:val="single" w:sz="8" w:color="auto"/>
            </w:tcBorders>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gridSpan w:val="3"/>
          </w:tcPr>
          <w:p>
            <w:pPr>
              <w:jc w:val="center"/>
              <w:ind w:left="421"/>
              <w:spacing w:after="0"/>
              <w:rPr>
                <w:sz w:val="20"/>
                <w:szCs w:val="20"/>
                <w:color w:val="auto"/>
              </w:rPr>
            </w:pPr>
            <w:r>
              <w:rPr>
                <w:rFonts w:ascii="Arial" w:cs="Arial" w:eastAsia="Arial" w:hAnsi="Arial"/>
                <w:sz w:val="10"/>
                <w:szCs w:val="10"/>
                <w:color w:val="auto"/>
                <w:w w:val="94"/>
              </w:rPr>
              <w:t>(in millions)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the benefit obligation:</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6"/>
        </w:trPr>
        <w:tc>
          <w:tcPr>
            <w:tcW w:w="4940" w:type="dxa"/>
            <w:vAlign w:val="bottom"/>
          </w:tcPr>
          <w:p>
            <w:pPr>
              <w:ind w:left="20"/>
              <w:spacing w:after="0"/>
              <w:rPr>
                <w:sz w:val="20"/>
                <w:szCs w:val="20"/>
                <w:color w:val="auto"/>
              </w:rPr>
            </w:pPr>
            <w:r>
              <w:rPr>
                <w:rFonts w:ascii="Arial" w:cs="Arial" w:eastAsia="Arial" w:hAnsi="Arial"/>
                <w:sz w:val="12"/>
                <w:szCs w:val="12"/>
                <w:color w:val="auto"/>
              </w:rPr>
              <w:t>Benefit obligation—beginning of year</w:t>
            </w:r>
          </w:p>
        </w:tc>
        <w:tc>
          <w:tcPr>
            <w:tcW w:w="1020" w:type="dxa"/>
            <w:vAlign w:val="bottom"/>
          </w:tcPr>
          <w:p>
            <w:pPr>
              <w:jc w:val="right"/>
              <w:ind w:right="88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70</w:t>
            </w:r>
          </w:p>
        </w:tc>
        <w:tc>
          <w:tcPr>
            <w:tcW w:w="120" w:type="dxa"/>
            <w:vAlign w:val="bottom"/>
          </w:tcPr>
          <w:p>
            <w:pPr>
              <w:spacing w:after="0"/>
              <w:rPr>
                <w:sz w:val="15"/>
                <w:szCs w:val="15"/>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83</w:t>
            </w:r>
          </w:p>
        </w:tc>
        <w:tc>
          <w:tcPr>
            <w:tcW w:w="120" w:type="dxa"/>
            <w:vAlign w:val="bottom"/>
          </w:tcPr>
          <w:p>
            <w:pPr>
              <w:spacing w:after="0"/>
              <w:rPr>
                <w:sz w:val="15"/>
                <w:szCs w:val="15"/>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77</w:t>
            </w:r>
          </w:p>
        </w:tc>
        <w:tc>
          <w:tcPr>
            <w:tcW w:w="340" w:type="dxa"/>
            <w:vAlign w:val="bottom"/>
            <w:gridSpan w:val="2"/>
          </w:tcPr>
          <w:p>
            <w:pPr>
              <w:jc w:val="center"/>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71</w:t>
            </w:r>
          </w:p>
        </w:tc>
      </w:tr>
      <w:tr>
        <w:trPr>
          <w:trHeight w:val="185"/>
        </w:trPr>
        <w:tc>
          <w:tcPr>
            <w:tcW w:w="4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Service cost—benefits earned during the period</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6"/>
        </w:trPr>
        <w:tc>
          <w:tcPr>
            <w:tcW w:w="4940" w:type="dxa"/>
            <w:vAlign w:val="bottom"/>
          </w:tcPr>
          <w:p>
            <w:pPr>
              <w:ind w:left="100"/>
              <w:spacing w:after="0"/>
              <w:rPr>
                <w:sz w:val="20"/>
                <w:szCs w:val="20"/>
                <w:color w:val="auto"/>
              </w:rPr>
            </w:pPr>
            <w:r>
              <w:rPr>
                <w:rFonts w:ascii="Arial" w:cs="Arial" w:eastAsia="Arial" w:hAnsi="Arial"/>
                <w:sz w:val="12"/>
                <w:szCs w:val="12"/>
                <w:color w:val="auto"/>
              </w:rPr>
              <w:t>Interest cost on projected benefit obligation</w:t>
            </w:r>
          </w:p>
        </w:tc>
        <w:tc>
          <w:tcPr>
            <w:tcW w:w="1020" w:type="dxa"/>
            <w:vAlign w:val="bottom"/>
          </w:tcPr>
          <w:p>
            <w:pPr>
              <w:spacing w:after="0"/>
              <w:rPr>
                <w:sz w:val="15"/>
                <w:szCs w:val="15"/>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5"/>
        </w:trPr>
        <w:tc>
          <w:tcPr>
            <w:tcW w:w="4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Actuarial loss</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r>
      <w:tr>
        <w:trPr>
          <w:trHeight w:val="176"/>
        </w:trPr>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Benefits paid</w:t>
            </w: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(24)</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r>
      <w:tr>
        <w:trPr>
          <w:trHeight w:val="160"/>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 obligation—end of year</w:t>
            </w: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93</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r>
      <w:tr>
        <w:trPr>
          <w:trHeight w:val="183"/>
        </w:trPr>
        <w:tc>
          <w:tcPr>
            <w:tcW w:w="49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180"/>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plan assets:</w:t>
            </w: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4940" w:type="dxa"/>
            <w:vAlign w:val="bottom"/>
          </w:tcPr>
          <w:p>
            <w:pPr>
              <w:ind w:left="20"/>
              <w:spacing w:after="0"/>
              <w:rPr>
                <w:sz w:val="20"/>
                <w:szCs w:val="20"/>
                <w:color w:val="auto"/>
              </w:rPr>
            </w:pPr>
            <w:r>
              <w:rPr>
                <w:rFonts w:ascii="Arial" w:cs="Arial" w:eastAsia="Arial" w:hAnsi="Arial"/>
                <w:sz w:val="12"/>
                <w:szCs w:val="12"/>
                <w:color w:val="auto"/>
              </w:rPr>
              <w:t>Fair value of plan assets—beginning of year</w:t>
            </w:r>
          </w:p>
        </w:tc>
        <w:tc>
          <w:tcPr>
            <w:tcW w:w="1020" w:type="dxa"/>
            <w:vAlign w:val="bottom"/>
          </w:tcPr>
          <w:p>
            <w:pPr>
              <w:jc w:val="right"/>
              <w:ind w:right="88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5"/>
                <w:szCs w:val="15"/>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5"/>
                <w:szCs w:val="15"/>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center"/>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4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Actual return on plan assets</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940" w:type="dxa"/>
            <w:vAlign w:val="bottom"/>
          </w:tcPr>
          <w:p>
            <w:pPr>
              <w:ind w:left="100"/>
              <w:spacing w:after="0"/>
              <w:rPr>
                <w:sz w:val="20"/>
                <w:szCs w:val="20"/>
                <w:color w:val="auto"/>
              </w:rPr>
            </w:pPr>
            <w:r>
              <w:rPr>
                <w:rFonts w:ascii="Arial" w:cs="Arial" w:eastAsia="Arial" w:hAnsi="Arial"/>
                <w:sz w:val="12"/>
                <w:szCs w:val="12"/>
                <w:color w:val="auto"/>
              </w:rPr>
              <w:t>Employer contributions</w:t>
            </w:r>
          </w:p>
        </w:tc>
        <w:tc>
          <w:tcPr>
            <w:tcW w:w="1020" w:type="dxa"/>
            <w:vAlign w:val="bottom"/>
          </w:tcPr>
          <w:p>
            <w:pPr>
              <w:spacing w:after="0"/>
              <w:rPr>
                <w:sz w:val="15"/>
                <w:szCs w:val="15"/>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w:t>
            </w:r>
          </w:p>
        </w:tc>
      </w:tr>
      <w:tr>
        <w:trPr>
          <w:trHeight w:val="180"/>
        </w:trPr>
        <w:tc>
          <w:tcPr>
            <w:tcW w:w="4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Benefits paid</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r>
      <w:tr>
        <w:trPr>
          <w:trHeight w:val="16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Fair value of plan assets—end of year</w:t>
            </w:r>
          </w:p>
        </w:tc>
        <w:tc>
          <w:tcPr>
            <w:tcW w:w="102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w:t>
            </w: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Unfunded status</w:t>
            </w:r>
          </w:p>
        </w:tc>
        <w:tc>
          <w:tcPr>
            <w:tcW w:w="102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(26)</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center"/>
              <w:ind w:right="8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(77)</w:t>
            </w:r>
          </w:p>
        </w:tc>
      </w:tr>
      <w:tr>
        <w:trPr>
          <w:trHeight w:val="234"/>
        </w:trPr>
        <w:tc>
          <w:tcPr>
            <w:tcW w:w="8840" w:type="dxa"/>
            <w:vAlign w:val="bottom"/>
            <w:gridSpan w:val="8"/>
          </w:tcPr>
          <w:p>
            <w:pPr>
              <w:ind w:left="200"/>
              <w:spacing w:after="0"/>
              <w:rPr>
                <w:sz w:val="20"/>
                <w:szCs w:val="20"/>
                <w:color w:val="auto"/>
              </w:rPr>
            </w:pPr>
            <w:r>
              <w:rPr>
                <w:rFonts w:ascii="Arial" w:cs="Arial" w:eastAsia="Arial" w:hAnsi="Arial"/>
                <w:sz w:val="12"/>
                <w:szCs w:val="12"/>
                <w:color w:val="auto"/>
              </w:rPr>
              <w:t>The following table sets forth our defined benefit pension plans with accumulated benefit obligations in excess of plan assets for the years ended 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02"/>
        </w:trPr>
        <w:tc>
          <w:tcPr>
            <w:tcW w:w="4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r>
      <w:tr>
        <w:trPr>
          <w:trHeight w:val="152"/>
        </w:trPr>
        <w:tc>
          <w:tcPr>
            <w:tcW w:w="4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0"/>
                <w:szCs w:val="10"/>
                <w:color w:val="auto"/>
                <w:w w:val="98"/>
              </w:rPr>
              <w:t>(in millions)</w:t>
            </w:r>
          </w:p>
        </w:tc>
        <w:tc>
          <w:tcPr>
            <w:tcW w:w="940" w:type="dxa"/>
            <w:vAlign w:val="bottom"/>
          </w:tcPr>
          <w:p>
            <w:pPr>
              <w:spacing w:after="0"/>
              <w:rPr>
                <w:sz w:val="13"/>
                <w:szCs w:val="13"/>
                <w:color w:val="auto"/>
              </w:rPr>
            </w:pPr>
          </w:p>
        </w:tc>
      </w:tr>
      <w:tr>
        <w:trPr>
          <w:trHeight w:val="184"/>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Projected Benefit Obligation</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340" w:type="dxa"/>
            <w:vAlign w:val="bottom"/>
            <w:gridSpan w:val="2"/>
            <w:shd w:val="clear" w:color="auto" w:fill="CCEEFF"/>
          </w:tcPr>
          <w:p>
            <w:pPr>
              <w:jc w:val="center"/>
              <w:ind w:right="3"/>
              <w:spacing w:after="0"/>
              <w:rPr>
                <w:sz w:val="20"/>
                <w:szCs w:val="20"/>
                <w:color w:val="auto"/>
              </w:rPr>
            </w:pPr>
            <w:r>
              <w:rPr>
                <w:rFonts w:ascii="Arial" w:cs="Arial" w:eastAsia="Arial" w:hAnsi="Arial"/>
                <w:sz w:val="12"/>
                <w:szCs w:val="12"/>
                <w:color w:val="auto"/>
                <w:w w:val="89"/>
              </w:rPr>
              <w:t>65</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w:t>
            </w:r>
          </w:p>
        </w:tc>
      </w:tr>
      <w:tr>
        <w:trPr>
          <w:trHeight w:val="176"/>
        </w:trPr>
        <w:tc>
          <w:tcPr>
            <w:tcW w:w="4940" w:type="dxa"/>
            <w:vAlign w:val="bottom"/>
          </w:tcPr>
          <w:p>
            <w:pPr>
              <w:ind w:left="20"/>
              <w:spacing w:after="0"/>
              <w:rPr>
                <w:sz w:val="20"/>
                <w:szCs w:val="20"/>
                <w:color w:val="auto"/>
              </w:rPr>
            </w:pPr>
            <w:r>
              <w:rPr>
                <w:rFonts w:ascii="Arial" w:cs="Arial" w:eastAsia="Arial" w:hAnsi="Arial"/>
                <w:sz w:val="12"/>
                <w:szCs w:val="12"/>
                <w:color w:val="auto"/>
              </w:rPr>
              <w:t>Accumulated Benefit Obligation</w:t>
            </w: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800"/>
              <w:spacing w:after="0"/>
              <w:rPr>
                <w:sz w:val="20"/>
                <w:szCs w:val="20"/>
                <w:color w:val="auto"/>
              </w:rPr>
            </w:pPr>
            <w:r>
              <w:rPr>
                <w:rFonts w:ascii="Arial" w:cs="Arial" w:eastAsia="Arial" w:hAnsi="Arial"/>
                <w:sz w:val="12"/>
                <w:szCs w:val="12"/>
                <w:color w:val="auto"/>
                <w:w w:val="89"/>
              </w:rPr>
              <w:t>$</w:t>
            </w:r>
          </w:p>
        </w:tc>
        <w:tc>
          <w:tcPr>
            <w:tcW w:w="340" w:type="dxa"/>
            <w:vAlign w:val="bottom"/>
            <w:gridSpan w:val="2"/>
          </w:tcPr>
          <w:p>
            <w:pPr>
              <w:jc w:val="center"/>
              <w:ind w:right="3"/>
              <w:spacing w:after="0"/>
              <w:rPr>
                <w:sz w:val="20"/>
                <w:szCs w:val="20"/>
                <w:color w:val="auto"/>
              </w:rPr>
            </w:pPr>
            <w:r>
              <w:rPr>
                <w:rFonts w:ascii="Arial" w:cs="Arial" w:eastAsia="Arial" w:hAnsi="Arial"/>
                <w:sz w:val="12"/>
                <w:szCs w:val="12"/>
                <w:color w:val="auto"/>
                <w:w w:val="89"/>
              </w:rPr>
              <w:t>62</w:t>
            </w:r>
          </w:p>
        </w:tc>
        <w:tc>
          <w:tcPr>
            <w:tcW w:w="4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67</w:t>
            </w:r>
          </w:p>
        </w:tc>
      </w:tr>
      <w:tr>
        <w:trPr>
          <w:trHeight w:val="185"/>
        </w:trPr>
        <w:tc>
          <w:tcPr>
            <w:tcW w:w="4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Fair Value of Plan Assets</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w w:val="89"/>
              </w:rPr>
              <w:t>$</w:t>
            </w:r>
          </w:p>
        </w:tc>
        <w:tc>
          <w:tcPr>
            <w:tcW w:w="340" w:type="dxa"/>
            <w:vAlign w:val="bottom"/>
            <w:gridSpan w:val="2"/>
            <w:shd w:val="clear" w:color="auto" w:fill="CCEEFF"/>
          </w:tcPr>
          <w:p>
            <w:pPr>
              <w:jc w:val="center"/>
              <w:ind w:right="3"/>
              <w:spacing w:after="0"/>
              <w:rPr>
                <w:sz w:val="20"/>
                <w:szCs w:val="20"/>
                <w:color w:val="auto"/>
              </w:rPr>
            </w:pPr>
            <w:r>
              <w:rPr>
                <w:rFonts w:ascii="Arial" w:cs="Arial" w:eastAsia="Arial" w:hAnsi="Arial"/>
                <w:sz w:val="12"/>
                <w:szCs w:val="12"/>
                <w:color w:val="auto"/>
                <w:w w:val="89"/>
              </w:rPr>
              <w:t>46</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r>
    </w:tbl>
    <w:p>
      <w:pPr>
        <w:spacing w:after="0" w:line="8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 of our defined benefit pension plans had plan assets in excess of accumulated benefit obligations. We do not expect any plan assets to be returned during 2018.</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1480"/>
          </w:cols>
          <w:pgMar w:left="220" w:top="287" w:right="19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b w:val="1"/>
          <w:bCs w:val="1"/>
          <w:i w:val="1"/>
          <w:iCs w:val="1"/>
          <w:color w:val="auto"/>
        </w:rPr>
        <w:t>Components of Net Periodic Benefit Cost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180" w:type="dxa"/>
            <w:vAlign w:val="bottom"/>
            <w:gridSpan w:val="10"/>
          </w:tcPr>
          <w:p>
            <w:pPr>
              <w:ind w:left="200"/>
              <w:spacing w:after="0"/>
              <w:rPr>
                <w:sz w:val="20"/>
                <w:szCs w:val="20"/>
                <w:color w:val="auto"/>
              </w:rPr>
            </w:pPr>
            <w:r>
              <w:rPr>
                <w:rFonts w:ascii="Arial" w:cs="Arial" w:eastAsia="Arial" w:hAnsi="Arial"/>
                <w:sz w:val="12"/>
                <w:szCs w:val="12"/>
                <w:color w:val="auto"/>
              </w:rPr>
              <w:t>The following tables set forth our pension and postretirement benefit costs and amounts recognized in other comprehensive income (before tax):</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437"/>
        </w:trPr>
        <w:tc>
          <w:tcPr>
            <w:tcW w:w="47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w w:val="99"/>
              </w:rPr>
              <w:t>For the years ended December 31,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9"/>
        </w:trPr>
        <w:tc>
          <w:tcPr>
            <w:tcW w:w="4700" w:type="dxa"/>
            <w:vAlign w:val="bottom"/>
          </w:tcPr>
          <w:p>
            <w:pPr>
              <w:spacing w:after="0"/>
              <w:rPr>
                <w:sz w:val="14"/>
                <w:szCs w:val="1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2015</w:t>
            </w:r>
          </w:p>
        </w:tc>
      </w:tr>
      <w:tr>
        <w:trPr>
          <w:trHeight w:val="158"/>
        </w:trPr>
        <w:tc>
          <w:tcPr>
            <w:tcW w:w="47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Pension Benefits</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rPr>
              <w:t>Postretirement Benefits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0"/>
        </w:trPr>
        <w:tc>
          <w:tcPr>
            <w:tcW w:w="4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0"/>
                <w:szCs w:val="10"/>
                <w:color w:val="auto"/>
              </w:rPr>
              <w:t>(in millions)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2"/>
                <w:szCs w:val="12"/>
                <w:color w:val="auto"/>
              </w:rPr>
              <w:t>Net periodic benefit costs:</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Service cost—benefits earned during the period</w:t>
            </w: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Interest cost on projected benefit obligation</w:t>
            </w:r>
          </w:p>
        </w:tc>
        <w:tc>
          <w:tcPr>
            <w:tcW w:w="740" w:type="dxa"/>
            <w:vAlign w:val="bottom"/>
          </w:tcPr>
          <w:p>
            <w:pPr>
              <w:spacing w:after="0"/>
              <w:rPr>
                <w:sz w:val="15"/>
                <w:szCs w:val="15"/>
                <w:color w:val="auto"/>
              </w:rPr>
            </w:pPr>
          </w:p>
        </w:tc>
        <w:tc>
          <w:tcPr>
            <w:tcW w:w="30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Expected return on plan assets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Amortization of net actuarial loss</w:t>
            </w:r>
          </w:p>
        </w:tc>
        <w:tc>
          <w:tcPr>
            <w:tcW w:w="740" w:type="dxa"/>
            <w:vAlign w:val="bottom"/>
          </w:tcPr>
          <w:p>
            <w:pPr>
              <w:spacing w:after="0"/>
              <w:rPr>
                <w:sz w:val="15"/>
                <w:szCs w:val="15"/>
                <w:color w:val="auto"/>
              </w:rPr>
            </w:pPr>
          </w:p>
        </w:tc>
        <w:tc>
          <w:tcPr>
            <w:tcW w:w="30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Settlement cost</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Curtailment loss</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w:t>
            </w:r>
          </w:p>
        </w:tc>
      </w:tr>
      <w:tr>
        <w:trPr>
          <w:trHeight w:val="17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periodic benefit cost</w:t>
            </w: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w w:val="99"/>
              </w:rPr>
              <w:t>For the years ended December 31,</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2017</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2015</w:t>
            </w:r>
          </w:p>
        </w:tc>
      </w:tr>
      <w:tr>
        <w:trPr>
          <w:trHeight w:val="158"/>
        </w:trPr>
        <w:tc>
          <w:tcPr>
            <w:tcW w:w="47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Pension Benefits</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color w:val="auto"/>
              </w:rPr>
              <w:t>Postretirement Benefits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0"/>
        </w:trPr>
        <w:tc>
          <w:tcPr>
            <w:tcW w:w="4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0"/>
                <w:szCs w:val="10"/>
                <w:color w:val="auto"/>
              </w:rPr>
              <w:t>(in millions)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2"/>
                <w:szCs w:val="12"/>
                <w:color w:val="auto"/>
              </w:rPr>
              <w:t>Amounts recognized in other comprehensive income (loss):</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actuarial (loss) gain</w:t>
            </w: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r>
      <w:tr>
        <w:trPr>
          <w:trHeight w:val="176"/>
        </w:trPr>
        <w:tc>
          <w:tcPr>
            <w:tcW w:w="4700" w:type="dxa"/>
            <w:vAlign w:val="bottom"/>
          </w:tcPr>
          <w:p>
            <w:pPr>
              <w:ind w:left="100"/>
              <w:spacing w:after="0"/>
              <w:rPr>
                <w:sz w:val="20"/>
                <w:szCs w:val="20"/>
                <w:color w:val="auto"/>
              </w:rPr>
            </w:pPr>
            <w:r>
              <w:rPr>
                <w:rFonts w:ascii="Arial" w:cs="Arial" w:eastAsia="Arial" w:hAnsi="Arial"/>
                <w:sz w:val="12"/>
                <w:szCs w:val="12"/>
                <w:color w:val="auto"/>
              </w:rPr>
              <w:t>Net prior service credit</w:t>
            </w:r>
          </w:p>
        </w:tc>
        <w:tc>
          <w:tcPr>
            <w:tcW w:w="7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4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Settlement cost</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Amortization of net actuarial gain/loss</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recognized in other comprehensive income (loss)</w:t>
            </w: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r>
    </w:tbl>
    <w:p>
      <w:pPr>
        <w:spacing w:after="0" w:line="18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Settlement costs related to our pension plans were associated with early retirements. The curtailment loss in 2015 related to employee reductions.</w:t>
      </w:r>
    </w:p>
    <w:p>
      <w:pPr>
        <w:spacing w:after="0" w:line="186" w:lineRule="exact"/>
        <w:rPr>
          <w:sz w:val="20"/>
          <w:szCs w:val="20"/>
          <w:color w:val="auto"/>
        </w:rPr>
      </w:pPr>
    </w:p>
    <w:p>
      <w:pPr>
        <w:ind w:right="300" w:firstLine="216"/>
        <w:spacing w:after="0" w:line="256" w:lineRule="auto"/>
        <w:rPr>
          <w:sz w:val="20"/>
          <w:szCs w:val="20"/>
          <w:color w:val="auto"/>
        </w:rPr>
      </w:pPr>
      <w:r>
        <w:rPr>
          <w:rFonts w:ascii="Arial" w:cs="Arial" w:eastAsia="Arial" w:hAnsi="Arial"/>
          <w:sz w:val="12"/>
          <w:szCs w:val="12"/>
          <w:color w:val="auto"/>
        </w:rPr>
        <w:t>The estimated net actuarial loss and prior service credit for the defined benefit pension plans that will be amortized from AOCI into net periodic benefit cost over the next fiscal year are $2 million and $0, respectively. We do not expect to have any estimated net actuarial loss or prior service cost for the defined benefit postretirement plans that will be amortized from AOCI into net periodic benefit cost over the next fiscal year.</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the weighted-average assumptions used to determine our benefit obligations and net periodic benefit cost: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2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2"/>
                <w:szCs w:val="12"/>
                <w:b w:val="1"/>
                <w:bCs w:val="1"/>
                <w:color w:val="auto"/>
              </w:rPr>
              <w:t>For the years ended December 31,</w:t>
            </w:r>
          </w:p>
        </w:tc>
        <w:tc>
          <w:tcPr>
            <w:tcW w:w="960" w:type="dxa"/>
            <w:vAlign w:val="bottom"/>
            <w:tcBorders>
              <w:bottom w:val="single" w:sz="8" w:color="auto"/>
            </w:tcBorders>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180" w:type="dxa"/>
            <w:vAlign w:val="bottom"/>
            <w:tcBorders>
              <w:bottom w:val="single" w:sz="8" w:color="auto"/>
            </w:tcBorders>
          </w:tcPr>
          <w:p>
            <w:pPr>
              <w:jc w:val="right"/>
              <w:ind w:right="1240"/>
              <w:spacing w:after="0"/>
              <w:rPr>
                <w:sz w:val="20"/>
                <w:szCs w:val="20"/>
                <w:color w:val="auto"/>
              </w:rPr>
            </w:pPr>
            <w:r>
              <w:rPr>
                <w:rFonts w:ascii="Arial" w:cs="Arial" w:eastAsia="Arial" w:hAnsi="Arial"/>
                <w:sz w:val="12"/>
                <w:szCs w:val="12"/>
                <w:b w:val="1"/>
                <w:bCs w:val="1"/>
                <w:color w:val="auto"/>
              </w:rPr>
              <w:t>2017</w:t>
            </w: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4"/>
                <w:szCs w:val="14"/>
                <w:color w:val="auto"/>
              </w:rPr>
            </w:pPr>
          </w:p>
        </w:tc>
        <w:tc>
          <w:tcPr>
            <w:tcW w:w="2260" w:type="dxa"/>
            <w:vAlign w:val="bottom"/>
            <w:tcBorders>
              <w:bottom w:val="single" w:sz="8" w:color="auto"/>
            </w:tcBorders>
          </w:tcPr>
          <w:p>
            <w:pPr>
              <w:jc w:val="right"/>
              <w:ind w:right="1320"/>
              <w:spacing w:after="0"/>
              <w:rPr>
                <w:sz w:val="20"/>
                <w:szCs w:val="20"/>
                <w:color w:val="auto"/>
              </w:rPr>
            </w:pPr>
            <w:r>
              <w:rPr>
                <w:rFonts w:ascii="Arial" w:cs="Arial" w:eastAsia="Arial" w:hAnsi="Arial"/>
                <w:sz w:val="12"/>
                <w:szCs w:val="12"/>
                <w:b w:val="1"/>
                <w:bCs w:val="1"/>
                <w:color w:val="auto"/>
              </w:rPr>
              <w:t>2017</w:t>
            </w:r>
          </w:p>
        </w:tc>
        <w:tc>
          <w:tcPr>
            <w:tcW w:w="96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w w:val="97"/>
              </w:rPr>
              <w:t>2016</w:t>
            </w:r>
          </w:p>
        </w:tc>
      </w:tr>
      <w:tr>
        <w:trPr>
          <w:trHeight w:val="160"/>
        </w:trPr>
        <w:tc>
          <w:tcPr>
            <w:tcW w:w="4920" w:type="dxa"/>
            <w:vAlign w:val="bottom"/>
            <w:tcBorders>
              <w:bottom w:val="single" w:sz="8" w:color="CCEEFF"/>
            </w:tcBorders>
          </w:tcPr>
          <w:p>
            <w:pPr>
              <w:spacing w:after="0"/>
              <w:rPr>
                <w:sz w:val="13"/>
                <w:szCs w:val="13"/>
                <w:color w:val="auto"/>
              </w:rPr>
            </w:pPr>
          </w:p>
        </w:tc>
        <w:tc>
          <w:tcPr>
            <w:tcW w:w="2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Pension Benefits</w:t>
            </w: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Postretirement Benefits</w:t>
            </w:r>
          </w:p>
        </w:tc>
        <w:tc>
          <w:tcPr>
            <w:tcW w:w="960" w:type="dxa"/>
            <w:vAlign w:val="bottom"/>
            <w:tcBorders>
              <w:bottom w:val="single" w:sz="8" w:color="auto"/>
            </w:tcBorders>
          </w:tcPr>
          <w:p>
            <w:pPr>
              <w:spacing w:after="0"/>
              <w:rPr>
                <w:sz w:val="13"/>
                <w:szCs w:val="13"/>
                <w:color w:val="auto"/>
              </w:rPr>
            </w:pPr>
          </w:p>
        </w:tc>
      </w:tr>
      <w:tr>
        <w:trPr>
          <w:trHeight w:val="174"/>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 Obligation Assumptions:</w:t>
            </w:r>
          </w:p>
        </w:tc>
        <w:tc>
          <w:tcPr>
            <w:tcW w:w="2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4920" w:type="dxa"/>
            <w:vAlign w:val="bottom"/>
          </w:tcPr>
          <w:p>
            <w:pPr>
              <w:ind w:left="100"/>
              <w:spacing w:after="0"/>
              <w:rPr>
                <w:sz w:val="20"/>
                <w:szCs w:val="20"/>
                <w:color w:val="auto"/>
              </w:rPr>
            </w:pPr>
            <w:r>
              <w:rPr>
                <w:rFonts w:ascii="Arial" w:cs="Arial" w:eastAsia="Arial" w:hAnsi="Arial"/>
                <w:sz w:val="12"/>
                <w:szCs w:val="12"/>
                <w:color w:val="auto"/>
              </w:rPr>
              <w:t>Discount rate</w:t>
            </w:r>
          </w:p>
        </w:tc>
        <w:tc>
          <w:tcPr>
            <w:tcW w:w="2180" w:type="dxa"/>
            <w:vAlign w:val="bottom"/>
          </w:tcPr>
          <w:p>
            <w:pPr>
              <w:jc w:val="right"/>
              <w:ind w:right="640"/>
              <w:spacing w:after="0"/>
              <w:rPr>
                <w:sz w:val="20"/>
                <w:szCs w:val="20"/>
                <w:color w:val="auto"/>
              </w:rPr>
            </w:pPr>
            <w:r>
              <w:rPr>
                <w:rFonts w:ascii="Arial" w:cs="Arial" w:eastAsia="Arial" w:hAnsi="Arial"/>
                <w:sz w:val="12"/>
                <w:szCs w:val="12"/>
                <w:color w:val="auto"/>
              </w:rPr>
              <w:t>3.53%</w:t>
            </w:r>
          </w:p>
        </w:tc>
        <w:tc>
          <w:tcPr>
            <w:tcW w:w="1040" w:type="dxa"/>
            <w:vAlign w:val="bottom"/>
          </w:tcPr>
          <w:p>
            <w:pPr>
              <w:jc w:val="right"/>
              <w:spacing w:after="0"/>
              <w:rPr>
                <w:sz w:val="20"/>
                <w:szCs w:val="20"/>
                <w:color w:val="auto"/>
              </w:rPr>
            </w:pPr>
            <w:r>
              <w:rPr>
                <w:rFonts w:ascii="Arial" w:cs="Arial" w:eastAsia="Arial" w:hAnsi="Arial"/>
                <w:sz w:val="12"/>
                <w:szCs w:val="12"/>
                <w:color w:val="auto"/>
              </w:rPr>
              <w:t>3.88%</w:t>
            </w:r>
          </w:p>
        </w:tc>
        <w:tc>
          <w:tcPr>
            <w:tcW w:w="120" w:type="dxa"/>
            <w:vAlign w:val="bottom"/>
          </w:tcPr>
          <w:p>
            <w:pPr>
              <w:spacing w:after="0"/>
              <w:rPr>
                <w:sz w:val="15"/>
                <w:szCs w:val="15"/>
                <w:color w:val="auto"/>
              </w:rPr>
            </w:pPr>
          </w:p>
        </w:tc>
        <w:tc>
          <w:tcPr>
            <w:tcW w:w="2260" w:type="dxa"/>
            <w:vAlign w:val="bottom"/>
          </w:tcPr>
          <w:p>
            <w:pPr>
              <w:jc w:val="right"/>
              <w:ind w:right="720"/>
              <w:spacing w:after="0"/>
              <w:rPr>
                <w:sz w:val="20"/>
                <w:szCs w:val="20"/>
                <w:color w:val="auto"/>
              </w:rPr>
            </w:pPr>
            <w:r>
              <w:rPr>
                <w:rFonts w:ascii="Arial" w:cs="Arial" w:eastAsia="Arial" w:hAnsi="Arial"/>
                <w:sz w:val="12"/>
                <w:szCs w:val="12"/>
                <w:color w:val="auto"/>
              </w:rPr>
              <w:t>3.87%</w:t>
            </w:r>
          </w:p>
        </w:tc>
        <w:tc>
          <w:tcPr>
            <w:tcW w:w="960" w:type="dxa"/>
            <w:vAlign w:val="bottom"/>
          </w:tcPr>
          <w:p>
            <w:pPr>
              <w:jc w:val="right"/>
              <w:spacing w:after="0"/>
              <w:rPr>
                <w:sz w:val="20"/>
                <w:szCs w:val="20"/>
                <w:color w:val="auto"/>
              </w:rPr>
            </w:pPr>
            <w:r>
              <w:rPr>
                <w:rFonts w:ascii="Arial" w:cs="Arial" w:eastAsia="Arial" w:hAnsi="Arial"/>
                <w:sz w:val="12"/>
                <w:szCs w:val="12"/>
                <w:color w:val="auto"/>
              </w:rPr>
              <w:t>4.58%</w:t>
            </w:r>
          </w:p>
        </w:tc>
      </w:tr>
      <w:tr>
        <w:trPr>
          <w:trHeight w:val="185"/>
        </w:trPr>
        <w:tc>
          <w:tcPr>
            <w:tcW w:w="4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Rate of compensation increase</w:t>
            </w:r>
          </w:p>
        </w:tc>
        <w:tc>
          <w:tcPr>
            <w:tcW w:w="21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4.00%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76"/>
        </w:trPr>
        <w:tc>
          <w:tcPr>
            <w:tcW w:w="4920" w:type="dxa"/>
            <w:vAlign w:val="bottom"/>
          </w:tcPr>
          <w:p>
            <w:pPr>
              <w:ind w:left="20"/>
              <w:spacing w:after="0"/>
              <w:rPr>
                <w:sz w:val="20"/>
                <w:szCs w:val="20"/>
                <w:color w:val="auto"/>
              </w:rPr>
            </w:pPr>
            <w:r>
              <w:rPr>
                <w:rFonts w:ascii="Arial" w:cs="Arial" w:eastAsia="Arial" w:hAnsi="Arial"/>
                <w:sz w:val="12"/>
                <w:szCs w:val="12"/>
                <w:color w:val="auto"/>
              </w:rPr>
              <w:t>Net Periodic Benefit Cost Assumptions:</w:t>
            </w:r>
          </w:p>
        </w:tc>
        <w:tc>
          <w:tcPr>
            <w:tcW w:w="2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4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Discount rate</w:t>
            </w:r>
          </w:p>
        </w:tc>
        <w:tc>
          <w:tcPr>
            <w:tcW w:w="21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3.88%</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w:t>
            </w: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rPr>
              <w:t>4.58%</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w:t>
            </w:r>
          </w:p>
        </w:tc>
      </w:tr>
      <w:tr>
        <w:trPr>
          <w:trHeight w:val="176"/>
        </w:trPr>
        <w:tc>
          <w:tcPr>
            <w:tcW w:w="4920" w:type="dxa"/>
            <w:vAlign w:val="bottom"/>
          </w:tcPr>
          <w:p>
            <w:pPr>
              <w:ind w:left="100"/>
              <w:spacing w:after="0"/>
              <w:rPr>
                <w:sz w:val="20"/>
                <w:szCs w:val="20"/>
                <w:color w:val="auto"/>
              </w:rPr>
            </w:pPr>
            <w:r>
              <w:rPr>
                <w:rFonts w:ascii="Arial" w:cs="Arial" w:eastAsia="Arial" w:hAnsi="Arial"/>
                <w:sz w:val="12"/>
                <w:szCs w:val="12"/>
                <w:color w:val="auto"/>
              </w:rPr>
              <w:t>Assumed long-term rate of return on assets</w:t>
            </w:r>
          </w:p>
        </w:tc>
        <w:tc>
          <w:tcPr>
            <w:tcW w:w="2180" w:type="dxa"/>
            <w:vAlign w:val="bottom"/>
          </w:tcPr>
          <w:p>
            <w:pPr>
              <w:jc w:val="right"/>
              <w:ind w:right="640"/>
              <w:spacing w:after="0"/>
              <w:rPr>
                <w:sz w:val="20"/>
                <w:szCs w:val="20"/>
                <w:color w:val="auto"/>
              </w:rPr>
            </w:pPr>
            <w:r>
              <w:rPr>
                <w:rFonts w:ascii="Arial" w:cs="Arial" w:eastAsia="Arial" w:hAnsi="Arial"/>
                <w:sz w:val="12"/>
                <w:szCs w:val="12"/>
                <w:color w:val="auto"/>
              </w:rPr>
              <w:t>6.50%</w:t>
            </w:r>
          </w:p>
        </w:tc>
        <w:tc>
          <w:tcPr>
            <w:tcW w:w="1040" w:type="dxa"/>
            <w:vAlign w:val="bottom"/>
          </w:tcPr>
          <w:p>
            <w:pPr>
              <w:jc w:val="right"/>
              <w:spacing w:after="0"/>
              <w:rPr>
                <w:sz w:val="20"/>
                <w:szCs w:val="20"/>
                <w:color w:val="auto"/>
              </w:rPr>
            </w:pPr>
            <w:r>
              <w:rPr>
                <w:rFonts w:ascii="Arial" w:cs="Arial" w:eastAsia="Arial" w:hAnsi="Arial"/>
                <w:sz w:val="12"/>
                <w:szCs w:val="12"/>
                <w:color w:val="auto"/>
              </w:rPr>
              <w:t>6.50%</w:t>
            </w:r>
          </w:p>
        </w:tc>
        <w:tc>
          <w:tcPr>
            <w:tcW w:w="120" w:type="dxa"/>
            <w:vAlign w:val="bottom"/>
          </w:tcPr>
          <w:p>
            <w:pPr>
              <w:spacing w:after="0"/>
              <w:rPr>
                <w:sz w:val="15"/>
                <w:szCs w:val="15"/>
                <w:color w:val="auto"/>
              </w:rPr>
            </w:pPr>
          </w:p>
        </w:tc>
        <w:tc>
          <w:tcPr>
            <w:tcW w:w="2260" w:type="dxa"/>
            <w:vAlign w:val="bottom"/>
          </w:tcPr>
          <w:p>
            <w:pPr>
              <w:jc w:val="right"/>
              <w:ind w:right="84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85"/>
        </w:trPr>
        <w:tc>
          <w:tcPr>
            <w:tcW w:w="4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Rate of compensation increase</w:t>
            </w:r>
          </w:p>
        </w:tc>
        <w:tc>
          <w:tcPr>
            <w:tcW w:w="21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4.00%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396"/>
        </w:trPr>
        <w:tc>
          <w:tcPr>
            <w:tcW w:w="4920" w:type="dxa"/>
            <w:vAlign w:val="bottom"/>
          </w:tcPr>
          <w:p>
            <w:pPr>
              <w:spacing w:after="0"/>
              <w:rPr>
                <w:sz w:val="24"/>
                <w:szCs w:val="24"/>
                <w:color w:val="auto"/>
              </w:rPr>
            </w:pPr>
          </w:p>
        </w:tc>
        <w:tc>
          <w:tcPr>
            <w:tcW w:w="2180" w:type="dxa"/>
            <w:vAlign w:val="bottom"/>
          </w:tcPr>
          <w:p>
            <w:pPr>
              <w:jc w:val="right"/>
              <w:ind w:right="1200"/>
              <w:spacing w:after="0"/>
              <w:rPr>
                <w:sz w:val="20"/>
                <w:szCs w:val="20"/>
                <w:color w:val="auto"/>
              </w:rPr>
            </w:pPr>
            <w:r>
              <w:rPr>
                <w:rFonts w:ascii="Arial" w:cs="Arial" w:eastAsia="Arial" w:hAnsi="Arial"/>
                <w:sz w:val="12"/>
                <w:szCs w:val="12"/>
                <w:color w:val="auto"/>
              </w:rPr>
              <w:t>108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80"/>
          </w:cols>
          <w:pgMar w:left="220" w:top="377" w:right="199" w:bottom="1440" w:gutter="0" w:footer="0" w:header="0"/>
        </w:sectPr>
      </w:pPr>
    </w:p>
    <w:bookmarkStart w:id="108" w:name="page109"/>
    <w:bookmarkEnd w:id="108"/>
    <w:p>
      <w:pPr>
        <w:ind w:right="20" w:firstLine="216"/>
        <w:spacing w:after="0" w:line="256" w:lineRule="auto"/>
        <w:rPr>
          <w:sz w:val="20"/>
          <w:szCs w:val="20"/>
          <w:color w:val="auto"/>
        </w:rPr>
      </w:pPr>
      <w:r>
        <w:rPr>
          <w:rFonts w:ascii="Arial" w:cs="Arial" w:eastAsia="Arial" w:hAnsi="Arial"/>
          <w:sz w:val="12"/>
          <w:szCs w:val="12"/>
          <w:color w:val="auto"/>
        </w:rPr>
        <w:t>For pension plans and postretirement benefit plans that we or our subsidiaries sponsor, we based the discount rate on the Aon/Hewitt AA Above Median yield curve in both 2017 and 2016. The weighted-average rate of increase in future compensation levels is consistent with our past and anticipated future compensation increases for employees participating in retirement plans that determine benefits using compensation. The assumed long-term rate of return on assets is estimated with regard to current market factors but within the context of historical returns for the asset mix that exists at year end.</w:t>
      </w:r>
    </w:p>
    <w:p>
      <w:pPr>
        <w:spacing w:after="0" w:line="81" w:lineRule="exact"/>
        <w:rPr>
          <w:sz w:val="20"/>
          <w:szCs w:val="20"/>
          <w:color w:val="auto"/>
        </w:rPr>
      </w:pPr>
    </w:p>
    <w:p>
      <w:pPr>
        <w:ind w:firstLine="216"/>
        <w:spacing w:after="0" w:line="254" w:lineRule="auto"/>
        <w:rPr>
          <w:sz w:val="20"/>
          <w:szCs w:val="20"/>
          <w:color w:val="auto"/>
        </w:rPr>
      </w:pPr>
      <w:r>
        <w:rPr>
          <w:rFonts w:ascii="Arial" w:cs="Arial" w:eastAsia="Arial" w:hAnsi="Arial"/>
          <w:sz w:val="12"/>
          <w:szCs w:val="12"/>
          <w:color w:val="auto"/>
        </w:rPr>
        <w:t>Effective in 2017, we adopted the Society of Actuaries MP-2017 Mortality Improvement Scale, which updated the Society of Actuaries Adjusted RP-2014 mortality assumptions that private defined benefit pension plans in the United States use in the actuarial valuations that determine a plan sponsor’s pension and postretirement obligations. In 2016, we utilized the Society of Actuaries Adjusted RP-2014 Mortality Table reflecting the MP-2016 Mortality Improvement Scale. At December 31, 2017, the changes in the mortality assumptions resulted in no significant change to the pension benefit obligations and a decrease of $1 million in the postretirement benefit obligations.</w:t>
      </w:r>
    </w:p>
    <w:p>
      <w:pPr>
        <w:spacing w:after="0" w:line="82" w:lineRule="exact"/>
        <w:rPr>
          <w:sz w:val="20"/>
          <w:szCs w:val="20"/>
          <w:color w:val="auto"/>
        </w:rPr>
      </w:pPr>
    </w:p>
    <w:p>
      <w:pPr>
        <w:ind w:right="240" w:firstLine="216"/>
        <w:spacing w:after="0" w:line="252" w:lineRule="auto"/>
        <w:rPr>
          <w:sz w:val="20"/>
          <w:szCs w:val="20"/>
          <w:color w:val="auto"/>
        </w:rPr>
      </w:pPr>
      <w:r>
        <w:rPr>
          <w:rFonts w:ascii="Arial" w:cs="Arial" w:eastAsia="Arial" w:hAnsi="Arial"/>
          <w:sz w:val="12"/>
          <w:szCs w:val="12"/>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1.97% as of December 31, 2017 and 2016. Under the terms of our postretirement plans, participants other than certain union employees pay for all medical cost increases in excess of increases in the CPI. For those union employees, we projected that, as of December 31, 2017, healthcare cost trend rates would decrease 0.25 percent per year from 7.00% in 2018 until they reach 6.00% in 2022, then decrease 0.50 percent per year until they reach 4.50% in 2025, and remain at 4.50% thereafter. A one-percent increase or a one-percent decrease in these assumed healthcare cost trend rates would result in an increase of $5 million or a reduction of $4 million, respectively, in the postretirement benefit obligation as of December 31, 2017. The annual service and interest costs would not be materially affected by these changes.</w:t>
      </w:r>
    </w:p>
    <w:p>
      <w:pPr>
        <w:spacing w:after="0" w:line="175" w:lineRule="exact"/>
        <w:rPr>
          <w:sz w:val="20"/>
          <w:szCs w:val="20"/>
          <w:color w:val="auto"/>
        </w:rPr>
      </w:pPr>
    </w:p>
    <w:p>
      <w:pPr>
        <w:ind w:right="40" w:firstLine="216"/>
        <w:spacing w:after="0" w:line="262" w:lineRule="auto"/>
        <w:rPr>
          <w:sz w:val="20"/>
          <w:szCs w:val="20"/>
          <w:color w:val="auto"/>
        </w:rPr>
      </w:pPr>
      <w:r>
        <w:rPr>
          <w:rFonts w:ascii="Arial" w:cs="Arial" w:eastAsia="Arial" w:hAnsi="Arial"/>
          <w:sz w:val="12"/>
          <w:szCs w:val="12"/>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Pension Plan Assets</w:t>
      </w:r>
    </w:p>
    <w:p>
      <w:pPr>
        <w:spacing w:after="0" w:line="200"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2017 and 2016, the target allocation of plan assets was 65% equity securities and 35% debt securities. Investment performance was measured and monitored on an ongoing basis through quarterly investment portfolio and manager guideline compliance reviews, annual liability measurements and periodic studies.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1460"/>
          </w:cols>
          <w:pgMar w:left="220" w:top="391" w:right="219" w:bottom="1440" w:gutter="0" w:footer="0" w:header="0"/>
        </w:sectPr>
      </w:pPr>
    </w:p>
    <w:bookmarkStart w:id="109" w:name="page110"/>
    <w:bookmarkEnd w:id="109"/>
    <w:p>
      <w:pPr>
        <w:ind w:left="200"/>
        <w:spacing w:after="0"/>
        <w:rPr>
          <w:sz w:val="20"/>
          <w:szCs w:val="20"/>
          <w:color w:val="auto"/>
        </w:rPr>
      </w:pPr>
      <w:r>
        <w:rPr>
          <w:rFonts w:ascii="Arial" w:cs="Arial" w:eastAsia="Arial" w:hAnsi="Arial"/>
          <w:sz w:val="12"/>
          <w:szCs w:val="12"/>
          <w:color w:val="auto"/>
        </w:rPr>
        <w:t>The fair values of our pension plan assets by asset category are as follows: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1"/>
                <w:szCs w:val="11"/>
                <w:b w:val="1"/>
                <w:bCs w:val="1"/>
                <w:color w:val="auto"/>
                <w:w w:val="97"/>
              </w:rPr>
              <w:t>Fair Value Measurements at</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6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1"/>
                <w:szCs w:val="11"/>
                <w:b w:val="1"/>
                <w:bCs w:val="1"/>
                <w:color w:val="auto"/>
                <w:w w:val="97"/>
              </w:rPr>
              <w:t>December 31, 2017 Using</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71"/>
        </w:trPr>
        <w:tc>
          <w:tcPr>
            <w:tcW w:w="66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Level 2</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61"/>
        </w:trPr>
        <w:tc>
          <w:tcPr>
            <w:tcW w:w="6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center"/>
              <w:ind w:left="542"/>
              <w:spacing w:after="0"/>
              <w:rPr>
                <w:sz w:val="20"/>
                <w:szCs w:val="20"/>
                <w:color w:val="auto"/>
              </w:rPr>
            </w:pPr>
            <w:r>
              <w:rPr>
                <w:rFonts w:ascii="Arial" w:cs="Arial" w:eastAsia="Arial" w:hAnsi="Arial"/>
                <w:sz w:val="10"/>
                <w:szCs w:val="10"/>
                <w:color w:val="auto"/>
                <w:w w:val="94"/>
              </w:rPr>
              <w:t>(in millions)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6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 Class: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6"/>
        </w:trPr>
        <w:tc>
          <w:tcPr>
            <w:tcW w:w="6640" w:type="dxa"/>
            <w:vAlign w:val="bottom"/>
          </w:tcPr>
          <w:p>
            <w:pPr>
              <w:ind w:left="20"/>
              <w:spacing w:after="0"/>
              <w:rPr>
                <w:sz w:val="20"/>
                <w:szCs w:val="20"/>
                <w:color w:val="auto"/>
              </w:rPr>
            </w:pPr>
            <w:r>
              <w:rPr>
                <w:rFonts w:ascii="Arial" w:cs="Arial" w:eastAsia="Arial" w:hAnsi="Arial"/>
                <w:sz w:val="12"/>
                <w:szCs w:val="12"/>
                <w:color w:val="auto"/>
              </w:rPr>
              <w:t>Cash equivalents</w:t>
            </w: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5"/>
        </w:trPr>
        <w:tc>
          <w:tcPr>
            <w:tcW w:w="6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Commingled funds: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6"/>
        </w:trPr>
        <w:tc>
          <w:tcPr>
            <w:tcW w:w="6640" w:type="dxa"/>
            <w:vAlign w:val="bottom"/>
          </w:tcPr>
          <w:p>
            <w:pPr>
              <w:ind w:left="120"/>
              <w:spacing w:after="0"/>
              <w:rPr>
                <w:sz w:val="20"/>
                <w:szCs w:val="20"/>
                <w:color w:val="auto"/>
              </w:rPr>
            </w:pPr>
            <w:r>
              <w:rPr>
                <w:rFonts w:ascii="Arial" w:cs="Arial" w:eastAsia="Arial" w:hAnsi="Arial"/>
                <w:sz w:val="12"/>
                <w:szCs w:val="12"/>
                <w:color w:val="auto"/>
              </w:rPr>
              <w:t>Fixed income</w:t>
            </w:r>
          </w:p>
        </w:tc>
        <w:tc>
          <w:tcPr>
            <w:tcW w:w="74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w:t>
            </w:r>
          </w:p>
        </w:tc>
      </w:tr>
      <w:tr>
        <w:trPr>
          <w:trHeight w:val="185"/>
        </w:trPr>
        <w:tc>
          <w:tcPr>
            <w:tcW w:w="66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U.S. equity</w:t>
            </w:r>
          </w:p>
        </w:tc>
        <w:tc>
          <w:tcPr>
            <w:tcW w:w="7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r>
      <w:tr>
        <w:trPr>
          <w:trHeight w:val="176"/>
        </w:trPr>
        <w:tc>
          <w:tcPr>
            <w:tcW w:w="6640" w:type="dxa"/>
            <w:vAlign w:val="bottom"/>
          </w:tcPr>
          <w:p>
            <w:pPr>
              <w:ind w:left="120"/>
              <w:spacing w:after="0"/>
              <w:rPr>
                <w:sz w:val="20"/>
                <w:szCs w:val="20"/>
                <w:color w:val="auto"/>
              </w:rPr>
            </w:pPr>
            <w:r>
              <w:rPr>
                <w:rFonts w:ascii="Arial" w:cs="Arial" w:eastAsia="Arial" w:hAnsi="Arial"/>
                <w:sz w:val="12"/>
                <w:szCs w:val="12"/>
                <w:color w:val="auto"/>
              </w:rPr>
              <w:t>International equity</w:t>
            </w:r>
          </w:p>
        </w:tc>
        <w:tc>
          <w:tcPr>
            <w:tcW w:w="74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w:t>
            </w:r>
          </w:p>
        </w:tc>
      </w:tr>
      <w:tr>
        <w:trPr>
          <w:trHeight w:val="185"/>
        </w:trPr>
        <w:tc>
          <w:tcPr>
            <w:tcW w:w="6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Mutual funds: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6"/>
        </w:trPr>
        <w:tc>
          <w:tcPr>
            <w:tcW w:w="6640" w:type="dxa"/>
            <w:vAlign w:val="bottom"/>
          </w:tcPr>
          <w:p>
            <w:pPr>
              <w:ind w:left="100"/>
              <w:spacing w:after="0"/>
              <w:rPr>
                <w:sz w:val="20"/>
                <w:szCs w:val="20"/>
                <w:color w:val="auto"/>
              </w:rPr>
            </w:pPr>
            <w:r>
              <w:rPr>
                <w:rFonts w:ascii="Arial" w:cs="Arial" w:eastAsia="Arial" w:hAnsi="Arial"/>
                <w:sz w:val="12"/>
                <w:szCs w:val="12"/>
                <w:color w:val="auto"/>
              </w:rPr>
              <w:t>Bond funds</w:t>
            </w:r>
          </w:p>
        </w:tc>
        <w:tc>
          <w:tcPr>
            <w:tcW w:w="740" w:type="dxa"/>
            <w:vAlign w:val="bottom"/>
          </w:tcPr>
          <w:p>
            <w:pPr>
              <w:spacing w:after="0"/>
              <w:rPr>
                <w:sz w:val="15"/>
                <w:szCs w:val="15"/>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w:t>
            </w:r>
          </w:p>
        </w:tc>
      </w:tr>
      <w:tr>
        <w:trPr>
          <w:trHeight w:val="185"/>
        </w:trPr>
        <w:tc>
          <w:tcPr>
            <w:tcW w:w="6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Blend funds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6"/>
        </w:trPr>
        <w:tc>
          <w:tcPr>
            <w:tcW w:w="6640" w:type="dxa"/>
            <w:vAlign w:val="bottom"/>
          </w:tcPr>
          <w:p>
            <w:pPr>
              <w:ind w:left="100"/>
              <w:spacing w:after="0"/>
              <w:rPr>
                <w:sz w:val="20"/>
                <w:szCs w:val="20"/>
                <w:color w:val="auto"/>
              </w:rPr>
            </w:pPr>
            <w:r>
              <w:rPr>
                <w:rFonts w:ascii="Arial" w:cs="Arial" w:eastAsia="Arial" w:hAnsi="Arial"/>
                <w:sz w:val="12"/>
                <w:szCs w:val="12"/>
                <w:color w:val="auto"/>
              </w:rPr>
              <w:t>Value funds</w:t>
            </w:r>
          </w:p>
        </w:tc>
        <w:tc>
          <w:tcPr>
            <w:tcW w:w="740" w:type="dxa"/>
            <w:vAlign w:val="bottom"/>
          </w:tcPr>
          <w:p>
            <w:pPr>
              <w:spacing w:after="0"/>
              <w:rPr>
                <w:sz w:val="15"/>
                <w:szCs w:val="15"/>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5"/>
        </w:trPr>
        <w:tc>
          <w:tcPr>
            <w:tcW w:w="6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Growth funds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6"/>
        </w:trPr>
        <w:tc>
          <w:tcPr>
            <w:tcW w:w="6640" w:type="dxa"/>
            <w:vAlign w:val="bottom"/>
          </w:tcPr>
          <w:p>
            <w:pPr>
              <w:ind w:left="20"/>
              <w:spacing w:after="0"/>
              <w:rPr>
                <w:sz w:val="20"/>
                <w:szCs w:val="20"/>
                <w:color w:val="auto"/>
              </w:rPr>
            </w:pPr>
            <w:r>
              <w:rPr>
                <w:rFonts w:ascii="Arial" w:cs="Arial" w:eastAsia="Arial" w:hAnsi="Arial"/>
                <w:sz w:val="12"/>
                <w:szCs w:val="12"/>
                <w:color w:val="auto"/>
              </w:rPr>
              <w:t>Guaranteed deposit account</w:t>
            </w:r>
          </w:p>
        </w:tc>
        <w:tc>
          <w:tcPr>
            <w:tcW w:w="74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w:t>
            </w:r>
          </w:p>
        </w:tc>
      </w:tr>
      <w:tr>
        <w:trPr>
          <w:trHeight w:val="172"/>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pension plan assets</w:t>
            </w:r>
          </w:p>
        </w:tc>
        <w:tc>
          <w:tcPr>
            <w:tcW w:w="740" w:type="dxa"/>
            <w:vAlign w:val="bottom"/>
            <w:tcBorders>
              <w:top w:val="single" w:sz="8" w:color="auto"/>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w:t>
            </w:r>
          </w:p>
        </w:tc>
      </w:tr>
      <w:tr>
        <w:trPr>
          <w:trHeight w:val="404"/>
        </w:trPr>
        <w:tc>
          <w:tcPr>
            <w:tcW w:w="6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1"/>
                <w:szCs w:val="11"/>
                <w:b w:val="1"/>
                <w:bCs w:val="1"/>
                <w:color w:val="auto"/>
                <w:w w:val="97"/>
              </w:rPr>
              <w:t>Fair Value Measurements at</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8"/>
        </w:trPr>
        <w:tc>
          <w:tcPr>
            <w:tcW w:w="66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1"/>
                <w:szCs w:val="11"/>
                <w:b w:val="1"/>
                <w:bCs w:val="1"/>
                <w:color w:val="auto"/>
                <w:w w:val="97"/>
              </w:rPr>
              <w:t>December 31, 2016 Using</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71"/>
        </w:trPr>
        <w:tc>
          <w:tcPr>
            <w:tcW w:w="66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Level 2</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Total</w:t>
            </w:r>
          </w:p>
        </w:tc>
      </w:tr>
      <w:tr>
        <w:trPr>
          <w:trHeight w:val="161"/>
        </w:trPr>
        <w:tc>
          <w:tcPr>
            <w:tcW w:w="6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center"/>
              <w:ind w:left="542"/>
              <w:spacing w:after="0"/>
              <w:rPr>
                <w:sz w:val="20"/>
                <w:szCs w:val="20"/>
                <w:color w:val="auto"/>
              </w:rPr>
            </w:pPr>
            <w:r>
              <w:rPr>
                <w:rFonts w:ascii="Arial" w:cs="Arial" w:eastAsia="Arial" w:hAnsi="Arial"/>
                <w:sz w:val="10"/>
                <w:szCs w:val="10"/>
                <w:color w:val="auto"/>
                <w:w w:val="94"/>
              </w:rPr>
              <w:t>(in millions)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6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 Class: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6"/>
        </w:trPr>
        <w:tc>
          <w:tcPr>
            <w:tcW w:w="6640" w:type="dxa"/>
            <w:vAlign w:val="bottom"/>
          </w:tcPr>
          <w:p>
            <w:pPr>
              <w:ind w:left="20"/>
              <w:spacing w:after="0"/>
              <w:rPr>
                <w:sz w:val="20"/>
                <w:szCs w:val="20"/>
                <w:color w:val="auto"/>
              </w:rPr>
            </w:pPr>
            <w:r>
              <w:rPr>
                <w:rFonts w:ascii="Arial" w:cs="Arial" w:eastAsia="Arial" w:hAnsi="Arial"/>
                <w:sz w:val="12"/>
                <w:szCs w:val="12"/>
                <w:color w:val="auto"/>
              </w:rPr>
              <w:t>Cash equivalents</w:t>
            </w: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5"/>
        </w:trPr>
        <w:tc>
          <w:tcPr>
            <w:tcW w:w="6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Commingled funds: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6"/>
        </w:trPr>
        <w:tc>
          <w:tcPr>
            <w:tcW w:w="6640" w:type="dxa"/>
            <w:vAlign w:val="bottom"/>
          </w:tcPr>
          <w:p>
            <w:pPr>
              <w:ind w:left="120"/>
              <w:spacing w:after="0"/>
              <w:rPr>
                <w:sz w:val="20"/>
                <w:szCs w:val="20"/>
                <w:color w:val="auto"/>
              </w:rPr>
            </w:pPr>
            <w:r>
              <w:rPr>
                <w:rFonts w:ascii="Arial" w:cs="Arial" w:eastAsia="Arial" w:hAnsi="Arial"/>
                <w:sz w:val="12"/>
                <w:szCs w:val="12"/>
                <w:color w:val="auto"/>
              </w:rPr>
              <w:t>Fixed income</w:t>
            </w:r>
          </w:p>
        </w:tc>
        <w:tc>
          <w:tcPr>
            <w:tcW w:w="74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9</w:t>
            </w:r>
          </w:p>
        </w:tc>
      </w:tr>
      <w:tr>
        <w:trPr>
          <w:trHeight w:val="185"/>
        </w:trPr>
        <w:tc>
          <w:tcPr>
            <w:tcW w:w="66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U.S. equity</w:t>
            </w:r>
          </w:p>
        </w:tc>
        <w:tc>
          <w:tcPr>
            <w:tcW w:w="7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r>
      <w:tr>
        <w:trPr>
          <w:trHeight w:val="176"/>
        </w:trPr>
        <w:tc>
          <w:tcPr>
            <w:tcW w:w="6640" w:type="dxa"/>
            <w:vAlign w:val="bottom"/>
          </w:tcPr>
          <w:p>
            <w:pPr>
              <w:ind w:left="120"/>
              <w:spacing w:after="0"/>
              <w:rPr>
                <w:sz w:val="20"/>
                <w:szCs w:val="20"/>
                <w:color w:val="auto"/>
              </w:rPr>
            </w:pPr>
            <w:r>
              <w:rPr>
                <w:rFonts w:ascii="Arial" w:cs="Arial" w:eastAsia="Arial" w:hAnsi="Arial"/>
                <w:sz w:val="12"/>
                <w:szCs w:val="12"/>
                <w:color w:val="auto"/>
              </w:rPr>
              <w:t>International equity</w:t>
            </w:r>
          </w:p>
        </w:tc>
        <w:tc>
          <w:tcPr>
            <w:tcW w:w="74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w:t>
            </w:r>
          </w:p>
        </w:tc>
      </w:tr>
      <w:tr>
        <w:trPr>
          <w:trHeight w:val="185"/>
        </w:trPr>
        <w:tc>
          <w:tcPr>
            <w:tcW w:w="6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Mutual funds: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6"/>
        </w:trPr>
        <w:tc>
          <w:tcPr>
            <w:tcW w:w="6640" w:type="dxa"/>
            <w:vAlign w:val="bottom"/>
          </w:tcPr>
          <w:p>
            <w:pPr>
              <w:ind w:left="100"/>
              <w:spacing w:after="0"/>
              <w:rPr>
                <w:sz w:val="20"/>
                <w:szCs w:val="20"/>
                <w:color w:val="auto"/>
              </w:rPr>
            </w:pPr>
            <w:r>
              <w:rPr>
                <w:rFonts w:ascii="Arial" w:cs="Arial" w:eastAsia="Arial" w:hAnsi="Arial"/>
                <w:sz w:val="12"/>
                <w:szCs w:val="12"/>
                <w:color w:val="auto"/>
              </w:rPr>
              <w:t>Bond funds</w:t>
            </w:r>
          </w:p>
        </w:tc>
        <w:tc>
          <w:tcPr>
            <w:tcW w:w="740" w:type="dxa"/>
            <w:vAlign w:val="bottom"/>
          </w:tcPr>
          <w:p>
            <w:pPr>
              <w:spacing w:after="0"/>
              <w:rPr>
                <w:sz w:val="15"/>
                <w:szCs w:val="15"/>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w:t>
            </w:r>
          </w:p>
        </w:tc>
      </w:tr>
      <w:tr>
        <w:trPr>
          <w:trHeight w:val="185"/>
        </w:trPr>
        <w:tc>
          <w:tcPr>
            <w:tcW w:w="6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Blend funds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76"/>
        </w:trPr>
        <w:tc>
          <w:tcPr>
            <w:tcW w:w="6640" w:type="dxa"/>
            <w:vAlign w:val="bottom"/>
          </w:tcPr>
          <w:p>
            <w:pPr>
              <w:ind w:left="100"/>
              <w:spacing w:after="0"/>
              <w:rPr>
                <w:sz w:val="20"/>
                <w:szCs w:val="20"/>
                <w:color w:val="auto"/>
              </w:rPr>
            </w:pPr>
            <w:r>
              <w:rPr>
                <w:rFonts w:ascii="Arial" w:cs="Arial" w:eastAsia="Arial" w:hAnsi="Arial"/>
                <w:sz w:val="12"/>
                <w:szCs w:val="12"/>
                <w:color w:val="auto"/>
              </w:rPr>
              <w:t>Value funds</w:t>
            </w:r>
          </w:p>
        </w:tc>
        <w:tc>
          <w:tcPr>
            <w:tcW w:w="740" w:type="dxa"/>
            <w:vAlign w:val="bottom"/>
          </w:tcPr>
          <w:p>
            <w:pPr>
              <w:spacing w:after="0"/>
              <w:rPr>
                <w:sz w:val="15"/>
                <w:szCs w:val="15"/>
                <w:color w:val="auto"/>
              </w:rPr>
            </w:pP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85"/>
        </w:trPr>
        <w:tc>
          <w:tcPr>
            <w:tcW w:w="6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Growth funds</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76"/>
        </w:trPr>
        <w:tc>
          <w:tcPr>
            <w:tcW w:w="6640" w:type="dxa"/>
            <w:vAlign w:val="bottom"/>
          </w:tcPr>
          <w:p>
            <w:pPr>
              <w:ind w:left="20"/>
              <w:spacing w:after="0"/>
              <w:rPr>
                <w:sz w:val="20"/>
                <w:szCs w:val="20"/>
                <w:color w:val="auto"/>
              </w:rPr>
            </w:pPr>
            <w:r>
              <w:rPr>
                <w:rFonts w:ascii="Arial" w:cs="Arial" w:eastAsia="Arial" w:hAnsi="Arial"/>
                <w:sz w:val="12"/>
                <w:szCs w:val="12"/>
                <w:color w:val="auto"/>
              </w:rPr>
              <w:t>Guaranteed deposit account</w:t>
            </w:r>
          </w:p>
        </w:tc>
        <w:tc>
          <w:tcPr>
            <w:tcW w:w="740" w:type="dxa"/>
            <w:vAlign w:val="bottom"/>
          </w:tcPr>
          <w:p>
            <w:pPr>
              <w:spacing w:after="0"/>
              <w:rPr>
                <w:sz w:val="15"/>
                <w:szCs w:val="15"/>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w:t>
            </w:r>
          </w:p>
        </w:tc>
      </w:tr>
      <w:tr>
        <w:trPr>
          <w:trHeight w:val="172"/>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pension plan assets</w:t>
            </w:r>
          </w:p>
        </w:tc>
        <w:tc>
          <w:tcPr>
            <w:tcW w:w="740" w:type="dxa"/>
            <w:vAlign w:val="bottom"/>
            <w:tcBorders>
              <w:top w:val="single" w:sz="8" w:color="auto"/>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25</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r>
    </w:tbl>
    <w:p>
      <w:pPr>
        <w:spacing w:after="0" w:line="18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activity during the years ended December 31, 2017 and 2016, for the assets using Level 3 fair value measurements was insignificant.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Expected Cash Flows</w:t>
      </w:r>
    </w:p>
    <w:p>
      <w:pPr>
        <w:spacing w:after="0" w:line="200" w:lineRule="exact"/>
        <w:rPr>
          <w:sz w:val="20"/>
          <w:szCs w:val="20"/>
          <w:color w:val="auto"/>
        </w:rPr>
      </w:pPr>
    </w:p>
    <w:p>
      <w:pPr>
        <w:jc w:val="both"/>
        <w:ind w:right="120" w:firstLine="216"/>
        <w:spacing w:after="0" w:line="262" w:lineRule="auto"/>
        <w:rPr>
          <w:sz w:val="20"/>
          <w:szCs w:val="20"/>
          <w:color w:val="auto"/>
        </w:rPr>
      </w:pPr>
      <w:r>
        <w:rPr>
          <w:rFonts w:ascii="Arial" w:cs="Arial" w:eastAsia="Arial" w:hAnsi="Arial"/>
          <w:sz w:val="12"/>
          <w:szCs w:val="12"/>
          <w:color w:val="auto"/>
        </w:rPr>
        <w:t>In 2018, we plan to contribute $3 million to our postretirement benefit plans and at least our minimum funding requirement of $4 million to our defined benefit pension plans. Estimated future undiscounted benefit payments, which reflect expected future service, as appropriate,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tcPr>
          <w:p>
            <w:pPr>
              <w:jc w:val="right"/>
              <w:ind w:right="120"/>
              <w:spacing w:after="0"/>
              <w:rPr>
                <w:sz w:val="20"/>
                <w:szCs w:val="20"/>
                <w:color w:val="auto"/>
              </w:rPr>
            </w:pPr>
            <w:r>
              <w:rPr>
                <w:rFonts w:ascii="Arial" w:cs="Arial" w:eastAsia="Arial" w:hAnsi="Arial"/>
                <w:sz w:val="12"/>
                <w:szCs w:val="12"/>
                <w:b w:val="1"/>
                <w:bCs w:val="1"/>
                <w:color w:val="auto"/>
              </w:rPr>
              <w:t>Pension</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jc w:val="right"/>
              <w:ind w:right="380"/>
              <w:spacing w:after="0"/>
              <w:rPr>
                <w:sz w:val="20"/>
                <w:szCs w:val="20"/>
                <w:color w:val="auto"/>
              </w:rPr>
            </w:pPr>
            <w:r>
              <w:rPr>
                <w:rFonts w:ascii="Arial" w:cs="Arial" w:eastAsia="Arial" w:hAnsi="Arial"/>
                <w:sz w:val="12"/>
                <w:szCs w:val="12"/>
                <w:b w:val="1"/>
                <w:bCs w:val="1"/>
                <w:color w:val="auto"/>
              </w:rPr>
              <w:t>Postretirement</w:t>
            </w:r>
          </w:p>
        </w:tc>
      </w:tr>
      <w:tr>
        <w:trPr>
          <w:trHeight w:val="163"/>
        </w:trPr>
        <w:tc>
          <w:tcPr>
            <w:tcW w:w="3800" w:type="dxa"/>
            <w:vAlign w:val="bottom"/>
          </w:tcPr>
          <w:p>
            <w:pPr>
              <w:ind w:left="20"/>
              <w:spacing w:after="0"/>
              <w:rPr>
                <w:sz w:val="20"/>
                <w:szCs w:val="20"/>
                <w:color w:val="auto"/>
              </w:rPr>
            </w:pPr>
            <w:r>
              <w:rPr>
                <w:rFonts w:ascii="Arial" w:cs="Arial" w:eastAsia="Arial" w:hAnsi="Arial"/>
                <w:sz w:val="12"/>
                <w:szCs w:val="12"/>
                <w:b w:val="1"/>
                <w:bCs w:val="1"/>
                <w:color w:val="auto"/>
              </w:rPr>
              <w:t>For the years ended December 31,</w:t>
            </w:r>
          </w:p>
        </w:tc>
        <w:tc>
          <w:tcPr>
            <w:tcW w:w="4120" w:type="dxa"/>
            <w:vAlign w:val="bottom"/>
          </w:tcPr>
          <w:p>
            <w:pPr>
              <w:spacing w:after="0"/>
              <w:rPr>
                <w:sz w:val="14"/>
                <w:szCs w:val="14"/>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Benefits</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Benefits</w:t>
            </w:r>
          </w:p>
        </w:tc>
      </w:tr>
      <w:tr>
        <w:trPr>
          <w:trHeight w:val="152"/>
        </w:trPr>
        <w:tc>
          <w:tcPr>
            <w:tcW w:w="38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(in millions)</w:t>
            </w:r>
          </w:p>
        </w:tc>
        <w:tc>
          <w:tcPr>
            <w:tcW w:w="1400" w:type="dxa"/>
            <w:vAlign w:val="bottom"/>
          </w:tcPr>
          <w:p>
            <w:pPr>
              <w:spacing w:after="0"/>
              <w:rPr>
                <w:sz w:val="13"/>
                <w:szCs w:val="13"/>
                <w:color w:val="auto"/>
              </w:rPr>
            </w:pPr>
          </w:p>
        </w:tc>
      </w:tr>
      <w:tr>
        <w:trPr>
          <w:trHeight w:val="184"/>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5400" w:type="dxa"/>
            <w:vAlign w:val="bottom"/>
            <w:gridSpan w:val="2"/>
            <w:shd w:val="clear" w:color="auto" w:fill="CCEEFF"/>
          </w:tcPr>
          <w:p>
            <w:pPr>
              <w:jc w:val="right"/>
              <w:ind w:right="1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6"/>
        </w:trPr>
        <w:tc>
          <w:tcPr>
            <w:tcW w:w="3800" w:type="dxa"/>
            <w:vAlign w:val="bottom"/>
          </w:tcPr>
          <w:p>
            <w:pPr>
              <w:ind w:left="20"/>
              <w:spacing w:after="0"/>
              <w:rPr>
                <w:sz w:val="20"/>
                <w:szCs w:val="20"/>
                <w:color w:val="auto"/>
              </w:rPr>
            </w:pPr>
            <w:r>
              <w:rPr>
                <w:rFonts w:ascii="Arial" w:cs="Arial" w:eastAsia="Arial" w:hAnsi="Arial"/>
                <w:sz w:val="12"/>
                <w:szCs w:val="12"/>
                <w:color w:val="auto"/>
              </w:rPr>
              <w:t>2019</w:t>
            </w:r>
          </w:p>
        </w:tc>
        <w:tc>
          <w:tcPr>
            <w:tcW w:w="5400" w:type="dxa"/>
            <w:vAlign w:val="bottom"/>
            <w:gridSpan w:val="2"/>
          </w:tcPr>
          <w:p>
            <w:pPr>
              <w:jc w:val="right"/>
              <w:ind w:right="114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4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5"/>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5400" w:type="dxa"/>
            <w:vAlign w:val="bottom"/>
            <w:gridSpan w:val="2"/>
            <w:shd w:val="clear" w:color="auto" w:fill="CCEEFF"/>
          </w:tcPr>
          <w:p>
            <w:pPr>
              <w:jc w:val="right"/>
              <w:ind w:right="1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r>
      <w:tr>
        <w:trPr>
          <w:trHeight w:val="176"/>
        </w:trPr>
        <w:tc>
          <w:tcPr>
            <w:tcW w:w="3800" w:type="dxa"/>
            <w:vAlign w:val="bottom"/>
          </w:tcPr>
          <w:p>
            <w:pPr>
              <w:ind w:left="20"/>
              <w:spacing w:after="0"/>
              <w:rPr>
                <w:sz w:val="20"/>
                <w:szCs w:val="20"/>
                <w:color w:val="auto"/>
              </w:rPr>
            </w:pPr>
            <w:r>
              <w:rPr>
                <w:rFonts w:ascii="Arial" w:cs="Arial" w:eastAsia="Arial" w:hAnsi="Arial"/>
                <w:sz w:val="12"/>
                <w:szCs w:val="12"/>
                <w:color w:val="auto"/>
              </w:rPr>
              <w:t>2021</w:t>
            </w:r>
          </w:p>
        </w:tc>
        <w:tc>
          <w:tcPr>
            <w:tcW w:w="5400" w:type="dxa"/>
            <w:vAlign w:val="bottom"/>
            <w:gridSpan w:val="2"/>
          </w:tcPr>
          <w:p>
            <w:pPr>
              <w:jc w:val="right"/>
              <w:ind w:right="114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4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4</w:t>
            </w:r>
          </w:p>
        </w:tc>
      </w:tr>
      <w:tr>
        <w:trPr>
          <w:trHeight w:val="185"/>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5400" w:type="dxa"/>
            <w:vAlign w:val="bottom"/>
            <w:gridSpan w:val="2"/>
            <w:shd w:val="clear" w:color="auto" w:fill="CCEEFF"/>
          </w:tcPr>
          <w:p>
            <w:pPr>
              <w:jc w:val="right"/>
              <w:ind w:right="1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c>
          <w:tcPr>
            <w:tcW w:w="4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r>
      <w:tr>
        <w:trPr>
          <w:trHeight w:val="171"/>
        </w:trPr>
        <w:tc>
          <w:tcPr>
            <w:tcW w:w="3800" w:type="dxa"/>
            <w:vAlign w:val="bottom"/>
          </w:tcPr>
          <w:p>
            <w:pPr>
              <w:ind w:left="20"/>
              <w:spacing w:after="0"/>
              <w:rPr>
                <w:sz w:val="20"/>
                <w:szCs w:val="20"/>
                <w:color w:val="auto"/>
              </w:rPr>
            </w:pPr>
            <w:r>
              <w:rPr>
                <w:rFonts w:ascii="Arial" w:cs="Arial" w:eastAsia="Arial" w:hAnsi="Arial"/>
                <w:sz w:val="12"/>
                <w:szCs w:val="12"/>
                <w:color w:val="auto"/>
              </w:rPr>
              <w:t>2023 - 2027</w:t>
            </w:r>
          </w:p>
        </w:tc>
        <w:tc>
          <w:tcPr>
            <w:tcW w:w="5400" w:type="dxa"/>
            <w:vAlign w:val="bottom"/>
            <w:gridSpan w:val="2"/>
          </w:tcPr>
          <w:p>
            <w:pPr>
              <w:jc w:val="right"/>
              <w:ind w:right="114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4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23</w:t>
            </w:r>
          </w:p>
        </w:tc>
      </w:tr>
      <w:tr>
        <w:trPr>
          <w:trHeight w:val="315"/>
        </w:trPr>
        <w:tc>
          <w:tcPr>
            <w:tcW w:w="3800" w:type="dxa"/>
            <w:vAlign w:val="bottom"/>
          </w:tcPr>
          <w:p>
            <w:pPr>
              <w:spacing w:after="0"/>
              <w:rPr>
                <w:sz w:val="24"/>
                <w:szCs w:val="24"/>
                <w:color w:val="auto"/>
              </w:rPr>
            </w:pPr>
          </w:p>
        </w:tc>
        <w:tc>
          <w:tcPr>
            <w:tcW w:w="4120" w:type="dxa"/>
            <w:vAlign w:val="bottom"/>
          </w:tcPr>
          <w:p>
            <w:pPr>
              <w:jc w:val="right"/>
              <w:ind w:right="2020"/>
              <w:spacing w:after="0"/>
              <w:rPr>
                <w:sz w:val="20"/>
                <w:szCs w:val="20"/>
                <w:color w:val="auto"/>
              </w:rPr>
            </w:pPr>
            <w:r>
              <w:rPr>
                <w:rFonts w:ascii="Arial" w:cs="Arial" w:eastAsia="Arial" w:hAnsi="Arial"/>
                <w:sz w:val="12"/>
                <w:szCs w:val="12"/>
                <w:color w:val="auto"/>
              </w:rPr>
              <w:t>110</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80"/>
          </w:cols>
          <w:pgMar w:left="220" w:top="391" w:right="199" w:bottom="1440" w:gutter="0" w:footer="0" w:header="0"/>
        </w:sectPr>
      </w:pPr>
    </w:p>
    <w:bookmarkStart w:id="110" w:name="page111"/>
    <w:bookmarkEnd w:id="110"/>
    <w:p>
      <w:pPr>
        <w:spacing w:after="0"/>
        <w:tabs>
          <w:tab w:leader="none" w:pos="600" w:val="left"/>
        </w:tabs>
        <w:rPr>
          <w:sz w:val="20"/>
          <w:szCs w:val="20"/>
          <w:color w:val="auto"/>
        </w:rPr>
      </w:pPr>
      <w:r>
        <w:rPr>
          <w:rFonts w:ascii="Arial" w:cs="Arial" w:eastAsia="Arial" w:hAnsi="Arial"/>
          <w:sz w:val="12"/>
          <w:szCs w:val="12"/>
          <w:b w:val="1"/>
          <w:bCs w:val="1"/>
          <w:color w:val="auto"/>
        </w:rPr>
        <w:t>NOTE 14</w:t>
        <w:tab/>
        <w:t>SUBSEQUENT EVENT</w:t>
      </w:r>
    </w:p>
    <w:p>
      <w:pPr>
        <w:spacing w:after="0" w:line="164" w:lineRule="exact"/>
        <w:rPr>
          <w:sz w:val="20"/>
          <w:szCs w:val="20"/>
          <w:color w:val="auto"/>
        </w:rPr>
      </w:pPr>
    </w:p>
    <w:p>
      <w:pPr>
        <w:ind w:right="20" w:firstLine="216"/>
        <w:spacing w:after="0" w:line="254" w:lineRule="auto"/>
        <w:rPr>
          <w:sz w:val="20"/>
          <w:szCs w:val="20"/>
          <w:color w:val="auto"/>
        </w:rPr>
      </w:pPr>
      <w:r>
        <w:rPr>
          <w:rFonts w:ascii="Arial" w:cs="Arial" w:eastAsia="Arial" w:hAnsi="Arial"/>
          <w:sz w:val="12"/>
          <w:szCs w:val="12"/>
          <w:color w:val="auto"/>
        </w:rPr>
        <w:t>In February 2018, we entered into a midstream JV with ECR Corporate Holdings L.P. (ECR), a portfolio company of Ares Management L.P. (Ares). This JV (Ares JV) holds the Elk Hills power plant, the 550 megawatt natural gas fired power plant, and the 200 million cubic foot per day cryogenic gas processing plant. Through one of our wholly owned subsidiaries, we hold 50% of the Class A common interest and 95.25% of the Class C common interest in the Ares JV. ECR holds 50% of the Class A common interest, 100% of the Class B preferred interest and 4.75% of the Class C common interest in the Ares JV. At closing, in accordance with the terms of our credit agreement, we used $297 million of the $747 million in net proceeds to pay off the then outstanding balance of our 2014 Revolving Credit Facility.</w:t>
      </w:r>
    </w:p>
    <w:p>
      <w:pPr>
        <w:spacing w:after="0" w:line="136" w:lineRule="exact"/>
        <w:rPr>
          <w:sz w:val="20"/>
          <w:szCs w:val="20"/>
          <w:color w:val="auto"/>
        </w:rPr>
      </w:pPr>
    </w:p>
    <w:p>
      <w:pPr>
        <w:ind w:right="100" w:firstLine="216"/>
        <w:spacing w:after="0" w:line="256" w:lineRule="auto"/>
        <w:rPr>
          <w:sz w:val="20"/>
          <w:szCs w:val="20"/>
          <w:color w:val="auto"/>
        </w:rPr>
      </w:pPr>
      <w:r>
        <w:rPr>
          <w:rFonts w:ascii="Arial" w:cs="Arial" w:eastAsia="Arial" w:hAnsi="Arial"/>
          <w:sz w:val="12"/>
          <w:szCs w:val="12"/>
          <w:color w:val="auto"/>
        </w:rPr>
        <w:t>We will consolidate the Ares JV in our financial statements and reflect the Class A common interest and Class B preferred interest as noncontrolling interest in mezzanine equity and the Class C common interest in equity on our balance sheet. Net income allocable to ECR will be reported as income attributable to noncontrolling interest. Distributions will be paid to the preferred interest on a priority basis with the remaining cash distributed pro-rata to the common interests.</w:t>
      </w:r>
    </w:p>
    <w:p>
      <w:pPr>
        <w:spacing w:after="0" w:line="135"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In February 2018 and in connection with the formation of the Ares JV, an Ares-led investor group purchased approximately 2.3 million shares of our common stock in a private placement for an aggregate purchase price of $50 million.</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1"/>
          <w:szCs w:val="11"/>
          <w:b w:val="1"/>
          <w:bCs w:val="1"/>
          <w:color w:val="auto"/>
        </w:rPr>
        <w:t>CONDENSED CONSOLIDATING FINANCIAL INFORMATION</w:t>
      </w:r>
    </w:p>
    <w:p>
      <w:pPr>
        <w:spacing w:after="0" w:line="110"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Our Credit Facilities and Second Lien Notes are guaranteed both fully and unconditionally and jointly and severally by our material wholly owned subsidiaries (Guarantor Subsidiaries). Certain of our subsidiaries are not required to guarantee our Credit Facilities and Second Lien Notes (Non-Guarantor Subsidiaries) either because they hold assets that are less than 1% of our total consolidated assets or because they are not deemed a "subsidiary" under the applicable financing agreement. The following condensed consolidating balance sheets at December 31, 2017 and 2016, condensed consolidating statements of operations and statements of cash flows for the years ended December 31, 2017, 2016 and 2015 reflect the condensed consolidating financial information of our parent company, CRC (Parent), our combined Guarantor Subsidiaries, our combined Non-Guarantor Subsidiaries and the consolidation and elimination entries necessary to arrive at the information for CRC on a consolidated basis.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financial information may not necessarily be indicative of results of operations, cash flows or financial position had the Guarantor Subsidiaries operated as independent entities.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1460"/>
          </w:cols>
          <w:pgMar w:left="220" w:top="287" w:right="21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2"/>
          <w:szCs w:val="12"/>
          <w:b w:val="1"/>
          <w:bCs w:val="1"/>
          <w:color w:val="auto"/>
        </w:rPr>
        <w:t>Condensed Consolidating Balance Sheets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spacing w:after="0"/>
              <w:rPr>
                <w:sz w:val="20"/>
                <w:szCs w:val="20"/>
                <w:color w:val="auto"/>
              </w:rPr>
            </w:pPr>
            <w:r>
              <w:rPr>
                <w:rFonts w:ascii="Arial" w:cs="Arial" w:eastAsia="Arial" w:hAnsi="Arial"/>
                <w:sz w:val="11"/>
                <w:szCs w:val="11"/>
                <w:color w:val="auto"/>
              </w:rPr>
              <w:t>Combined Guarantor</w:t>
            </w:r>
          </w:p>
        </w:tc>
        <w:tc>
          <w:tcPr>
            <w:tcW w:w="1460" w:type="dxa"/>
            <w:vAlign w:val="bottom"/>
            <w:gridSpan w:val="3"/>
          </w:tcPr>
          <w:p>
            <w:pPr>
              <w:ind w:left="60"/>
              <w:spacing w:after="0"/>
              <w:rPr>
                <w:sz w:val="20"/>
                <w:szCs w:val="20"/>
                <w:color w:val="auto"/>
              </w:rPr>
            </w:pPr>
            <w:r>
              <w:rPr>
                <w:rFonts w:ascii="Arial" w:cs="Arial" w:eastAsia="Arial" w:hAnsi="Arial"/>
                <w:sz w:val="11"/>
                <w:szCs w:val="11"/>
                <w:color w:val="auto"/>
              </w:rPr>
              <w:t>Combined Non-Guarantor</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32"/>
        </w:trPr>
        <w:tc>
          <w:tcPr>
            <w:tcW w:w="4120" w:type="dxa"/>
            <w:vAlign w:val="bottom"/>
          </w:tcPr>
          <w:p>
            <w:pPr>
              <w:spacing w:after="0"/>
              <w:rPr>
                <w:sz w:val="11"/>
                <w:szCs w:val="1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color w:val="auto"/>
              </w:rPr>
              <w:t>Parent</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color w:val="auto"/>
              </w:rPr>
              <w:t>Subsidiaries</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color w:val="auto"/>
              </w:rPr>
              <w:t>Subsidiaries</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color w:val="auto"/>
              </w:rPr>
              <w:t>Eliminations</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color w:val="auto"/>
              </w:rPr>
              <w:t>Consolidated</w:t>
            </w:r>
          </w:p>
        </w:tc>
      </w:tr>
      <w:tr>
        <w:trPr>
          <w:trHeight w:val="257"/>
        </w:trPr>
        <w:tc>
          <w:tcPr>
            <w:tcW w:w="4120" w:type="dxa"/>
            <w:vAlign w:val="bottom"/>
          </w:tcPr>
          <w:p>
            <w:pPr>
              <w:ind w:left="20"/>
              <w:spacing w:after="0"/>
              <w:rPr>
                <w:sz w:val="20"/>
                <w:szCs w:val="20"/>
                <w:color w:val="auto"/>
              </w:rPr>
            </w:pPr>
            <w:r>
              <w:rPr>
                <w:rFonts w:ascii="Arial" w:cs="Arial" w:eastAsia="Arial" w:hAnsi="Arial"/>
                <w:sz w:val="12"/>
                <w:szCs w:val="12"/>
                <w:b w:val="1"/>
                <w:bCs w:val="1"/>
                <w:color w:val="auto"/>
              </w:rPr>
              <w:t>As of December 31, 2017</w:t>
            </w: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84"/>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483</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Total property, plant and equipment, net</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5,580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5,696</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Investments in consolidated subsidiaries</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5,105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assets</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w:t>
            </w:r>
          </w:p>
        </w:tc>
      </w:tr>
      <w:tr>
        <w:trPr>
          <w:trHeight w:val="172"/>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5,142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6,677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6,207</w:t>
            </w:r>
          </w:p>
        </w:tc>
      </w:tr>
      <w:tr>
        <w:trPr>
          <w:trHeight w:val="189"/>
        </w:trPr>
        <w:tc>
          <w:tcPr>
            <w:tcW w:w="41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liabilities</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732</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Long-term debt - principal amount</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5,306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5,306</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gain and issuance costs, net</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287</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Other long-term liabilities</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602</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Amounts due to (from) affiliates</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equity</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(814)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5,706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(5,711)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(720)</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5,142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6,677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6,207</w:t>
            </w:r>
          </w:p>
        </w:tc>
      </w:tr>
      <w:tr>
        <w:trPr>
          <w:trHeight w:val="253"/>
        </w:trPr>
        <w:tc>
          <w:tcPr>
            <w:tcW w:w="412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As of December 31, 2016</w:t>
            </w:r>
          </w:p>
        </w:tc>
        <w:tc>
          <w:tcPr>
            <w:tcW w:w="9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425</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Total property, plant and equipment, net</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5,856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5,885</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Investments in consolidated subsidiaries</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assets</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w:t>
            </w:r>
          </w:p>
        </w:tc>
      </w:tr>
      <w:tr>
        <w:trPr>
          <w:trHeight w:val="172"/>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6,855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6,354</w:t>
            </w:r>
          </w:p>
        </w:tc>
      </w:tr>
      <w:tr>
        <w:trPr>
          <w:trHeight w:val="189"/>
        </w:trPr>
        <w:tc>
          <w:tcPr>
            <w:tcW w:w="41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liabilities</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726</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Long-term debt - principal amount</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5,168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5,168</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gain and issuance costs, net</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397</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Other long-term liabilities</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487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620</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Amounts due to (from) affiliates</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(384)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equity</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(557)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6,247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(6,250)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(557)</w:t>
            </w:r>
          </w:p>
        </w:tc>
      </w:tr>
      <w:tr>
        <w:trPr>
          <w:trHeight w:val="17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5,745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6,855</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(6,250)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6,354</w:t>
            </w:r>
          </w:p>
        </w:tc>
      </w:tr>
      <w:tr>
        <w:trPr>
          <w:trHeight w:val="450"/>
        </w:trPr>
        <w:tc>
          <w:tcPr>
            <w:tcW w:w="4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112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40"/>
          </w:cols>
          <w:pgMar w:left="240" w:top="395" w:right="21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2"/>
          <w:szCs w:val="12"/>
          <w:b w:val="1"/>
          <w:bCs w:val="1"/>
          <w:color w:val="auto"/>
        </w:rPr>
        <w:t>Condensed Consolidating Statements of Operations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spacing w:after="0"/>
              <w:rPr>
                <w:sz w:val="20"/>
                <w:szCs w:val="20"/>
                <w:color w:val="auto"/>
              </w:rPr>
            </w:pPr>
            <w:r>
              <w:rPr>
                <w:rFonts w:ascii="Arial" w:cs="Arial" w:eastAsia="Arial" w:hAnsi="Arial"/>
                <w:sz w:val="11"/>
                <w:szCs w:val="11"/>
                <w:color w:val="auto"/>
              </w:rPr>
              <w:t>Combined Guarantor</w:t>
            </w:r>
          </w:p>
        </w:tc>
        <w:tc>
          <w:tcPr>
            <w:tcW w:w="1460" w:type="dxa"/>
            <w:vAlign w:val="bottom"/>
            <w:gridSpan w:val="3"/>
          </w:tcPr>
          <w:p>
            <w:pPr>
              <w:ind w:left="60"/>
              <w:spacing w:after="0"/>
              <w:rPr>
                <w:sz w:val="20"/>
                <w:szCs w:val="20"/>
                <w:color w:val="auto"/>
              </w:rPr>
            </w:pPr>
            <w:r>
              <w:rPr>
                <w:rFonts w:ascii="Arial" w:cs="Arial" w:eastAsia="Arial" w:hAnsi="Arial"/>
                <w:sz w:val="11"/>
                <w:szCs w:val="11"/>
                <w:color w:val="auto"/>
              </w:rPr>
              <w:t>Combined Non-Guarantor</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32"/>
        </w:trPr>
        <w:tc>
          <w:tcPr>
            <w:tcW w:w="4120" w:type="dxa"/>
            <w:vAlign w:val="bottom"/>
          </w:tcPr>
          <w:p>
            <w:pPr>
              <w:spacing w:after="0"/>
              <w:rPr>
                <w:sz w:val="11"/>
                <w:szCs w:val="1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color w:val="auto"/>
              </w:rPr>
              <w:t>Parent</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color w:val="auto"/>
              </w:rPr>
              <w:t>Subsidiaries</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color w:val="auto"/>
              </w:rPr>
              <w:t>Subsidiaries</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Eliminations</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color w:val="auto"/>
              </w:rPr>
              <w:t>Consolidated</w:t>
            </w:r>
          </w:p>
        </w:tc>
      </w:tr>
      <w:tr>
        <w:trPr>
          <w:trHeight w:val="257"/>
        </w:trPr>
        <w:tc>
          <w:tcPr>
            <w:tcW w:w="4120" w:type="dxa"/>
            <w:vAlign w:val="bottom"/>
          </w:tcPr>
          <w:p>
            <w:pPr>
              <w:ind w:left="20"/>
              <w:spacing w:after="0"/>
              <w:rPr>
                <w:sz w:val="20"/>
                <w:szCs w:val="20"/>
                <w:color w:val="auto"/>
              </w:rPr>
            </w:pPr>
            <w:r>
              <w:rPr>
                <w:rFonts w:ascii="Arial" w:cs="Arial" w:eastAsia="Arial" w:hAnsi="Arial"/>
                <w:sz w:val="12"/>
                <w:szCs w:val="12"/>
                <w:b w:val="1"/>
                <w:bCs w:val="1"/>
                <w:color w:val="auto"/>
              </w:rPr>
              <w:t>For the year ended December 31, 2017</w:t>
            </w: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84"/>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 and other</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1,947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2,006</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Total costs and other</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230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1,700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1,943</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Non-operating (loss) income</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(325)</w:t>
            </w:r>
          </w:p>
        </w:tc>
      </w:tr>
      <w:tr>
        <w:trPr>
          <w:trHeight w:val="17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benefit</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60"/>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w:t>
            </w:r>
          </w:p>
        </w:tc>
        <w:tc>
          <w:tcPr>
            <w:tcW w:w="9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(537)</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271</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r>
      <w:tr>
        <w:trPr>
          <w:trHeight w:val="16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attributable to noncontrolling interest</w:t>
            </w: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ATTRIBUTABLE TO COMMON STOCK</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(537)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(266)</w:t>
            </w:r>
          </w:p>
        </w:tc>
      </w:tr>
      <w:tr>
        <w:trPr>
          <w:trHeight w:val="253"/>
        </w:trPr>
        <w:tc>
          <w:tcPr>
            <w:tcW w:w="412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For the year ended December 31, 2016</w:t>
            </w:r>
          </w:p>
        </w:tc>
        <w:tc>
          <w:tcPr>
            <w:tcW w:w="9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 and other</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1,547</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Total costs and other</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1,644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1,853</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Non-operating income</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507</w:t>
            </w:r>
          </w:p>
        </w:tc>
      </w:tr>
      <w:tr>
        <w:trPr>
          <w:trHeight w:val="17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benefit</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ATTRIBUTABLE TO COMMON STOCK</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348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r>
      <w:tr>
        <w:trPr>
          <w:trHeight w:val="253"/>
        </w:trPr>
        <w:tc>
          <w:tcPr>
            <w:tcW w:w="412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For the year ended December 31, 2015</w:t>
            </w:r>
          </w:p>
        </w:tc>
        <w:tc>
          <w:tcPr>
            <w:tcW w:w="9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 and other</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2,403</w:t>
            </w:r>
          </w:p>
        </w:tc>
      </w:tr>
      <w:tr>
        <w:trPr>
          <w:trHeight w:val="176"/>
        </w:trPr>
        <w:tc>
          <w:tcPr>
            <w:tcW w:w="4120" w:type="dxa"/>
            <w:vAlign w:val="bottom"/>
          </w:tcPr>
          <w:p>
            <w:pPr>
              <w:ind w:left="20"/>
              <w:spacing w:after="0"/>
              <w:rPr>
                <w:sz w:val="20"/>
                <w:szCs w:val="20"/>
                <w:color w:val="auto"/>
              </w:rPr>
            </w:pPr>
            <w:r>
              <w:rPr>
                <w:rFonts w:ascii="Arial" w:cs="Arial" w:eastAsia="Arial" w:hAnsi="Arial"/>
                <w:sz w:val="12"/>
                <w:szCs w:val="12"/>
                <w:color w:val="auto"/>
              </w:rPr>
              <w:t>Total costs and other</w:t>
            </w:r>
          </w:p>
        </w:tc>
        <w:tc>
          <w:tcPr>
            <w:tcW w:w="9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302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7,236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7,545</w:t>
            </w:r>
          </w:p>
        </w:tc>
      </w:tr>
      <w:tr>
        <w:trPr>
          <w:trHeight w:val="185"/>
        </w:trPr>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Non-operating (loss) income</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(334)</w:t>
            </w:r>
          </w:p>
        </w:tc>
      </w:tr>
      <w:tr>
        <w:trPr>
          <w:trHeight w:val="17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benefit</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1,922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1,922</w:t>
            </w:r>
          </w:p>
        </w:tc>
      </w:tr>
      <w:tr>
        <w:trPr>
          <w:trHeight w:val="17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ATTRIBUTABLE TO COMMON STOCK</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1,277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(4,827)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(3,554)</w:t>
            </w:r>
          </w:p>
        </w:tc>
      </w:tr>
      <w:tr>
        <w:trPr>
          <w:trHeight w:val="450"/>
        </w:trPr>
        <w:tc>
          <w:tcPr>
            <w:tcW w:w="4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113</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40"/>
          </w:cols>
          <w:pgMar w:left="240" w:top="395" w:right="21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2"/>
          <w:szCs w:val="12"/>
          <w:b w:val="1"/>
          <w:bCs w:val="1"/>
          <w:color w:val="auto"/>
        </w:rPr>
        <w:t>Condensed Consolidating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1"/>
                <w:szCs w:val="11"/>
                <w:color w:val="auto"/>
                <w:w w:val="99"/>
              </w:rPr>
              <w:t>Combined Guarantor</w:t>
            </w:r>
          </w:p>
        </w:tc>
        <w:tc>
          <w:tcPr>
            <w:tcW w:w="20" w:type="dxa"/>
            <w:vAlign w:val="bottom"/>
          </w:tcPr>
          <w:p>
            <w:pPr>
              <w:spacing w:after="0"/>
              <w:rPr>
                <w:sz w:val="10"/>
                <w:szCs w:val="10"/>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1"/>
                <w:szCs w:val="11"/>
                <w:color w:val="auto"/>
                <w:w w:val="97"/>
              </w:rPr>
              <w:t>Combined Non-Guarantor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Parent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1"/>
                <w:szCs w:val="11"/>
                <w:color w:val="auto"/>
                <w:w w:val="96"/>
              </w:rPr>
              <w:t>Subsidiaries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1"/>
                <w:szCs w:val="11"/>
                <w:color w:val="auto"/>
              </w:rPr>
              <w:t>Subsidiaries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60"/>
              <w:spacing w:after="0"/>
              <w:rPr>
                <w:sz w:val="20"/>
                <w:szCs w:val="20"/>
                <w:color w:val="auto"/>
              </w:rPr>
            </w:pPr>
            <w:r>
              <w:rPr>
                <w:rFonts w:ascii="Arial" w:cs="Arial" w:eastAsia="Arial" w:hAnsi="Arial"/>
                <w:sz w:val="11"/>
                <w:szCs w:val="11"/>
                <w:color w:val="auto"/>
              </w:rPr>
              <w:t>Eliminations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140"/>
              <w:spacing w:after="0"/>
              <w:rPr>
                <w:sz w:val="20"/>
                <w:szCs w:val="20"/>
                <w:color w:val="auto"/>
              </w:rPr>
            </w:pPr>
            <w:r>
              <w:rPr>
                <w:rFonts w:ascii="Arial" w:cs="Arial" w:eastAsia="Arial" w:hAnsi="Arial"/>
                <w:sz w:val="11"/>
                <w:szCs w:val="11"/>
                <w:color w:val="auto"/>
              </w:rPr>
              <w:t>Consolidated</w:t>
            </w:r>
          </w:p>
        </w:tc>
      </w:tr>
      <w:tr>
        <w:trPr>
          <w:trHeight w:val="257"/>
        </w:trPr>
        <w:tc>
          <w:tcPr>
            <w:tcW w:w="4140" w:type="dxa"/>
            <w:vAlign w:val="bottom"/>
            <w:gridSpan w:val="2"/>
          </w:tcPr>
          <w:p>
            <w:pPr>
              <w:ind w:left="20"/>
              <w:spacing w:after="0"/>
              <w:rPr>
                <w:sz w:val="20"/>
                <w:szCs w:val="20"/>
                <w:color w:val="auto"/>
              </w:rPr>
            </w:pPr>
            <w:r>
              <w:rPr>
                <w:rFonts w:ascii="Arial" w:cs="Arial" w:eastAsia="Arial" w:hAnsi="Arial"/>
                <w:sz w:val="12"/>
                <w:szCs w:val="12"/>
                <w:b w:val="1"/>
                <w:bCs w:val="1"/>
                <w:color w:val="auto"/>
              </w:rPr>
              <w:t>For the year ended December 31, 2017</w:t>
            </w:r>
          </w:p>
        </w:tc>
        <w:tc>
          <w:tcPr>
            <w:tcW w:w="8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2"/>
          </w:tcPr>
          <w:p>
            <w:pPr>
              <w:ind w:left="200"/>
              <w:spacing w:after="0"/>
              <w:rPr>
                <w:sz w:val="20"/>
                <w:szCs w:val="20"/>
                <w:color w:val="auto"/>
              </w:rPr>
            </w:pPr>
            <w:r>
              <w:rPr>
                <w:rFonts w:ascii="Arial" w:cs="Arial" w:eastAsia="Arial" w:hAnsi="Arial"/>
                <w:sz w:val="10"/>
                <w:szCs w:val="10"/>
                <w:color w:val="auto"/>
              </w:rPr>
              <w:t>(in millions)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r>
      <w:tr>
        <w:trPr>
          <w:trHeight w:val="184"/>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cash (used) provided by operating activities</w:t>
            </w: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(481)</w:t>
            </w:r>
          </w:p>
        </w:tc>
        <w:tc>
          <w:tcPr>
            <w:tcW w:w="420" w:type="dxa"/>
            <w:vAlign w:val="bottom"/>
            <w:gridSpan w:val="4"/>
            <w:shd w:val="clear" w:color="auto" w:fill="CCEEFF"/>
          </w:tcPr>
          <w:p>
            <w:pPr>
              <w:jc w:val="right"/>
              <w:ind w:right="168"/>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248</w:t>
            </w:r>
          </w:p>
        </w:tc>
        <w:tc>
          <w:tcPr>
            <w:tcW w:w="20" w:type="dxa"/>
            <w:vAlign w:val="bottom"/>
            <w:shd w:val="clear" w:color="auto" w:fill="CCEEFF"/>
          </w:tcPr>
          <w:p>
            <w:pPr>
              <w:spacing w:after="0"/>
              <w:rPr>
                <w:sz w:val="16"/>
                <w:szCs w:val="16"/>
                <w:color w:val="auto"/>
              </w:rPr>
            </w:pPr>
          </w:p>
        </w:tc>
      </w:tr>
      <w:tr>
        <w:trPr>
          <w:trHeight w:val="176"/>
        </w:trPr>
        <w:tc>
          <w:tcPr>
            <w:tcW w:w="4140" w:type="dxa"/>
            <w:vAlign w:val="bottom"/>
            <w:gridSpan w:val="2"/>
          </w:tcPr>
          <w:p>
            <w:pPr>
              <w:ind w:left="20"/>
              <w:spacing w:after="0"/>
              <w:rPr>
                <w:sz w:val="20"/>
                <w:szCs w:val="20"/>
                <w:color w:val="auto"/>
              </w:rPr>
            </w:pPr>
            <w:r>
              <w:rPr>
                <w:rFonts w:ascii="Arial" w:cs="Arial" w:eastAsia="Arial" w:hAnsi="Arial"/>
                <w:sz w:val="12"/>
                <w:szCs w:val="12"/>
                <w:color w:val="auto"/>
              </w:rPr>
              <w:t>Net cash used in investing activities</w:t>
            </w:r>
          </w:p>
        </w:tc>
        <w:tc>
          <w:tcPr>
            <w:tcW w:w="880" w:type="dxa"/>
            <w:vAlign w:val="bottom"/>
          </w:tcPr>
          <w:p>
            <w:pPr>
              <w:spacing w:after="0"/>
              <w:rPr>
                <w:sz w:val="15"/>
                <w:szCs w:val="15"/>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(212)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(313)</w:t>
            </w:r>
          </w:p>
        </w:tc>
        <w:tc>
          <w:tcPr>
            <w:tcW w:w="20" w:type="dxa"/>
            <w:vAlign w:val="bottom"/>
          </w:tcPr>
          <w:p>
            <w:pPr>
              <w:spacing w:after="0"/>
              <w:rPr>
                <w:sz w:val="15"/>
                <w:szCs w:val="15"/>
                <w:color w:val="auto"/>
              </w:rPr>
            </w:pPr>
          </w:p>
        </w:tc>
      </w:tr>
      <w:tr>
        <w:trPr>
          <w:trHeight w:val="18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cash provided (used) by financing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(510)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73</w:t>
            </w:r>
          </w:p>
        </w:tc>
        <w:tc>
          <w:tcPr>
            <w:tcW w:w="20" w:type="dxa"/>
            <w:vAlign w:val="bottom"/>
            <w:tcBorders>
              <w:bottom w:val="single" w:sz="8" w:color="auto"/>
            </w:tcBorders>
            <w:shd w:val="clear" w:color="auto" w:fill="CCEEFF"/>
          </w:tcPr>
          <w:p>
            <w:pPr>
              <w:spacing w:after="0"/>
              <w:rPr>
                <w:sz w:val="16"/>
                <w:szCs w:val="16"/>
                <w:color w:val="auto"/>
              </w:rPr>
            </w:pPr>
          </w:p>
        </w:tc>
      </w:tr>
      <w:tr>
        <w:trPr>
          <w:trHeight w:val="156"/>
        </w:trPr>
        <w:tc>
          <w:tcPr>
            <w:tcW w:w="4140" w:type="dxa"/>
            <w:vAlign w:val="bottom"/>
            <w:gridSpan w:val="2"/>
          </w:tcPr>
          <w:p>
            <w:pPr>
              <w:ind w:left="20"/>
              <w:spacing w:after="0"/>
              <w:rPr>
                <w:sz w:val="20"/>
                <w:szCs w:val="20"/>
                <w:color w:val="auto"/>
              </w:rPr>
            </w:pPr>
            <w:r>
              <w:rPr>
                <w:rFonts w:ascii="Arial" w:cs="Arial" w:eastAsia="Arial" w:hAnsi="Arial"/>
                <w:sz w:val="12"/>
                <w:szCs w:val="12"/>
                <w:b w:val="1"/>
                <w:bCs w:val="1"/>
                <w:color w:val="auto"/>
              </w:rPr>
              <w:t>Increase (decrease) in cash and cash equivalents</w:t>
            </w:r>
          </w:p>
        </w:tc>
        <w:tc>
          <w:tcPr>
            <w:tcW w:w="880" w:type="dxa"/>
            <w:vAlign w:val="bottom"/>
          </w:tcPr>
          <w:p>
            <w:pPr>
              <w:spacing w:after="0"/>
              <w:rPr>
                <w:sz w:val="13"/>
                <w:szCs w:val="13"/>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3"/>
                <w:szCs w:val="13"/>
                <w:color w:val="auto"/>
              </w:rPr>
            </w:pPr>
          </w:p>
        </w:tc>
      </w:tr>
      <w:tr>
        <w:trPr>
          <w:trHeight w:val="18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equivalents—beginning of period</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w:t>
            </w:r>
          </w:p>
        </w:tc>
        <w:tc>
          <w:tcPr>
            <w:tcW w:w="20" w:type="dxa"/>
            <w:vAlign w:val="bottom"/>
            <w:tcBorders>
              <w:bottom w:val="single" w:sz="8" w:color="auto"/>
            </w:tcBorders>
            <w:shd w:val="clear" w:color="auto" w:fill="CCEEFF"/>
          </w:tcPr>
          <w:p>
            <w:pPr>
              <w:spacing w:after="0"/>
              <w:rPr>
                <w:sz w:val="16"/>
                <w:szCs w:val="16"/>
                <w:color w:val="auto"/>
              </w:rPr>
            </w:pPr>
          </w:p>
        </w:tc>
      </w:tr>
      <w:tr>
        <w:trPr>
          <w:trHeight w:val="119"/>
        </w:trPr>
        <w:tc>
          <w:tcPr>
            <w:tcW w:w="4140" w:type="dxa"/>
            <w:vAlign w:val="bottom"/>
            <w:gridSpan w:val="2"/>
          </w:tcPr>
          <w:p>
            <w:pPr>
              <w:ind w:left="20"/>
              <w:spacing w:after="0" w:line="119" w:lineRule="exact"/>
              <w:rPr>
                <w:sz w:val="20"/>
                <w:szCs w:val="20"/>
                <w:color w:val="auto"/>
              </w:rPr>
            </w:pPr>
            <w:r>
              <w:rPr>
                <w:rFonts w:ascii="Arial" w:cs="Arial" w:eastAsia="Arial" w:hAnsi="Arial"/>
                <w:sz w:val="12"/>
                <w:szCs w:val="12"/>
                <w:b w:val="1"/>
                <w:bCs w:val="1"/>
                <w:color w:val="auto"/>
              </w:rPr>
              <w:t>Cash and cash equivalents—</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6"/>
        </w:trPr>
        <w:tc>
          <w:tcPr>
            <w:tcW w:w="4140" w:type="dxa"/>
            <w:vAlign w:val="bottom"/>
            <w:gridSpan w:val="2"/>
          </w:tcPr>
          <w:p>
            <w:pPr>
              <w:ind w:left="20"/>
              <w:spacing w:after="0"/>
              <w:rPr>
                <w:sz w:val="20"/>
                <w:szCs w:val="20"/>
                <w:color w:val="auto"/>
              </w:rPr>
            </w:pPr>
            <w:r>
              <w:rPr>
                <w:rFonts w:ascii="Arial" w:cs="Arial" w:eastAsia="Arial" w:hAnsi="Arial"/>
                <w:sz w:val="12"/>
                <w:szCs w:val="12"/>
                <w:b w:val="1"/>
                <w:bCs w:val="1"/>
                <w:color w:val="auto"/>
              </w:rPr>
              <w:t>end of period</w:t>
            </w:r>
          </w:p>
        </w:tc>
        <w:tc>
          <w:tcPr>
            <w:tcW w:w="880" w:type="dxa"/>
            <w:vAlign w:val="bottom"/>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7</w:t>
            </w:r>
          </w:p>
        </w:tc>
        <w:tc>
          <w:tcPr>
            <w:tcW w:w="420" w:type="dxa"/>
            <w:vAlign w:val="bottom"/>
            <w:gridSpan w:val="4"/>
          </w:tcPr>
          <w:p>
            <w:pPr>
              <w:jc w:val="right"/>
              <w:ind w:right="16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tcPr>
          <w:p>
            <w:pPr>
              <w:jc w:val="right"/>
              <w:ind w:right="103"/>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4"/>
                <w:szCs w:val="14"/>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3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4"/>
                <w:szCs w:val="14"/>
                <w:color w:val="auto"/>
              </w:rPr>
            </w:pPr>
          </w:p>
        </w:tc>
      </w:tr>
      <w:tr>
        <w:trPr>
          <w:trHeight w:val="266"/>
        </w:trPr>
        <w:tc>
          <w:tcPr>
            <w:tcW w:w="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2"/>
                <w:szCs w:val="12"/>
                <w:b w:val="1"/>
                <w:bCs w:val="1"/>
                <w:color w:val="auto"/>
              </w:rPr>
              <w:t>For the year ended December 31, 2016</w:t>
            </w:r>
          </w:p>
        </w:tc>
        <w:tc>
          <w:tcPr>
            <w:tcW w:w="8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provided by operating activities</w:t>
            </w: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(598)</w:t>
            </w:r>
          </w:p>
        </w:tc>
        <w:tc>
          <w:tcPr>
            <w:tcW w:w="420" w:type="dxa"/>
            <w:vAlign w:val="bottom"/>
            <w:gridSpan w:val="4"/>
            <w:shd w:val="clear" w:color="auto" w:fill="CCEEFF"/>
          </w:tcPr>
          <w:p>
            <w:pPr>
              <w:jc w:val="right"/>
              <w:ind w:right="168"/>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w:t>
            </w:r>
          </w:p>
        </w:tc>
        <w:tc>
          <w:tcPr>
            <w:tcW w:w="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880" w:type="dxa"/>
            <w:vAlign w:val="bottom"/>
          </w:tcPr>
          <w:p>
            <w:pPr>
              <w:spacing w:after="0"/>
              <w:rPr>
                <w:sz w:val="15"/>
                <w:szCs w:val="15"/>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(61)</w:t>
            </w: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(used) by financing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599</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(69)</w:t>
            </w:r>
          </w:p>
        </w:tc>
        <w:tc>
          <w:tcPr>
            <w:tcW w:w="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120" w:type="dxa"/>
            <w:vAlign w:val="bottom"/>
          </w:tcPr>
          <w:p>
            <w:pPr>
              <w:ind w:left="20"/>
              <w:spacing w:after="0"/>
              <w:rPr>
                <w:sz w:val="20"/>
                <w:szCs w:val="20"/>
                <w:color w:val="auto"/>
              </w:rPr>
            </w:pPr>
            <w:r>
              <w:rPr>
                <w:rFonts w:ascii="Arial" w:cs="Arial" w:eastAsia="Arial" w:hAnsi="Arial"/>
                <w:sz w:val="12"/>
                <w:szCs w:val="12"/>
                <w:b w:val="1"/>
                <w:bCs w:val="1"/>
                <w:color w:val="auto"/>
              </w:rPr>
              <w:t>Increase in cash and cash equivalents</w:t>
            </w:r>
          </w:p>
        </w:tc>
        <w:tc>
          <w:tcPr>
            <w:tcW w:w="880" w:type="dxa"/>
            <w:vAlign w:val="bottom"/>
          </w:tcPr>
          <w:p>
            <w:pPr>
              <w:spacing w:after="0"/>
              <w:rPr>
                <w:sz w:val="13"/>
                <w:szCs w:val="13"/>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85"/>
        </w:trPr>
        <w:tc>
          <w:tcPr>
            <w:tcW w:w="20" w:type="dxa"/>
            <w:vAlign w:val="bottom"/>
          </w:tcPr>
          <w:p>
            <w:pPr>
              <w:spacing w:after="0"/>
              <w:rPr>
                <w:sz w:val="16"/>
                <w:szCs w:val="16"/>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equivalents—beginning of period</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6"/>
                <w:szCs w:val="16"/>
                <w:color w:val="auto"/>
              </w:rPr>
            </w:pPr>
          </w:p>
        </w:tc>
      </w:tr>
      <w:tr>
        <w:trPr>
          <w:trHeight w:val="119"/>
        </w:trPr>
        <w:tc>
          <w:tcPr>
            <w:tcW w:w="20" w:type="dxa"/>
            <w:vAlign w:val="bottom"/>
          </w:tcPr>
          <w:p>
            <w:pPr>
              <w:spacing w:after="0"/>
              <w:rPr>
                <w:sz w:val="10"/>
                <w:szCs w:val="10"/>
                <w:color w:val="auto"/>
              </w:rPr>
            </w:pPr>
          </w:p>
        </w:tc>
        <w:tc>
          <w:tcPr>
            <w:tcW w:w="4120" w:type="dxa"/>
            <w:vAlign w:val="bottom"/>
          </w:tcPr>
          <w:p>
            <w:pPr>
              <w:ind w:left="20"/>
              <w:spacing w:after="0" w:line="119" w:lineRule="exact"/>
              <w:rPr>
                <w:sz w:val="20"/>
                <w:szCs w:val="20"/>
                <w:color w:val="auto"/>
              </w:rPr>
            </w:pPr>
            <w:r>
              <w:rPr>
                <w:rFonts w:ascii="Arial" w:cs="Arial" w:eastAsia="Arial" w:hAnsi="Arial"/>
                <w:sz w:val="12"/>
                <w:szCs w:val="12"/>
                <w:b w:val="1"/>
                <w:bCs w:val="1"/>
                <w:color w:val="auto"/>
              </w:rPr>
              <w:t>Cash and cash equivalents—</w:t>
            </w:r>
          </w:p>
        </w:tc>
        <w:tc>
          <w:tcPr>
            <w:tcW w:w="8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6"/>
        </w:trPr>
        <w:tc>
          <w:tcPr>
            <w:tcW w:w="20" w:type="dxa"/>
            <w:vAlign w:val="bottom"/>
          </w:tcPr>
          <w:p>
            <w:pPr>
              <w:spacing w:after="0"/>
              <w:rPr>
                <w:sz w:val="14"/>
                <w:szCs w:val="14"/>
                <w:color w:val="auto"/>
              </w:rPr>
            </w:pPr>
          </w:p>
        </w:tc>
        <w:tc>
          <w:tcPr>
            <w:tcW w:w="4120" w:type="dxa"/>
            <w:vAlign w:val="bottom"/>
          </w:tcPr>
          <w:p>
            <w:pPr>
              <w:ind w:left="20"/>
              <w:spacing w:after="0"/>
              <w:rPr>
                <w:sz w:val="20"/>
                <w:szCs w:val="20"/>
                <w:color w:val="auto"/>
              </w:rPr>
            </w:pPr>
            <w:r>
              <w:rPr>
                <w:rFonts w:ascii="Arial" w:cs="Arial" w:eastAsia="Arial" w:hAnsi="Arial"/>
                <w:sz w:val="12"/>
                <w:szCs w:val="12"/>
                <w:b w:val="1"/>
                <w:bCs w:val="1"/>
                <w:color w:val="auto"/>
              </w:rPr>
              <w:t>end of period</w:t>
            </w:r>
          </w:p>
        </w:tc>
        <w:tc>
          <w:tcPr>
            <w:tcW w:w="880" w:type="dxa"/>
            <w:vAlign w:val="bottom"/>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gridSpan w:val="4"/>
          </w:tcPr>
          <w:p>
            <w:pPr>
              <w:jc w:val="right"/>
              <w:ind w:right="16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tcPr>
          <w:p>
            <w:pPr>
              <w:jc w:val="right"/>
              <w:ind w:right="83"/>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3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4"/>
                <w:szCs w:val="14"/>
                <w:color w:val="auto"/>
              </w:rPr>
            </w:pPr>
          </w:p>
        </w:tc>
      </w:tr>
      <w:tr>
        <w:trPr>
          <w:trHeight w:val="266"/>
        </w:trPr>
        <w:tc>
          <w:tcPr>
            <w:tcW w:w="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2"/>
                <w:szCs w:val="12"/>
                <w:b w:val="1"/>
                <w:bCs w:val="1"/>
                <w:color w:val="auto"/>
              </w:rPr>
              <w:t>For the year ended December 31, 2015</w:t>
            </w:r>
          </w:p>
        </w:tc>
        <w:tc>
          <w:tcPr>
            <w:tcW w:w="8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provided by operating activities</w:t>
            </w: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(1,676)</w:t>
            </w:r>
          </w:p>
        </w:tc>
        <w:tc>
          <w:tcPr>
            <w:tcW w:w="420" w:type="dxa"/>
            <w:vAlign w:val="bottom"/>
            <w:gridSpan w:val="4"/>
            <w:shd w:val="clear" w:color="auto" w:fill="CCEEFF"/>
          </w:tcPr>
          <w:p>
            <w:pPr>
              <w:jc w:val="right"/>
              <w:ind w:right="168"/>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2,086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403</w:t>
            </w:r>
          </w:p>
        </w:tc>
        <w:tc>
          <w:tcPr>
            <w:tcW w:w="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880" w:type="dxa"/>
            <w:vAlign w:val="bottom"/>
          </w:tcPr>
          <w:p>
            <w:pPr>
              <w:spacing w:after="0"/>
              <w:rPr>
                <w:sz w:val="15"/>
                <w:szCs w:val="15"/>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(733)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(757)</w:t>
            </w: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(used) by financing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1,700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352</w:t>
            </w:r>
          </w:p>
        </w:tc>
        <w:tc>
          <w:tcPr>
            <w:tcW w:w="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120" w:type="dxa"/>
            <w:vAlign w:val="bottom"/>
          </w:tcPr>
          <w:p>
            <w:pPr>
              <w:ind w:left="20"/>
              <w:spacing w:after="0"/>
              <w:rPr>
                <w:sz w:val="20"/>
                <w:szCs w:val="20"/>
                <w:color w:val="auto"/>
              </w:rPr>
            </w:pPr>
            <w:r>
              <w:rPr>
                <w:rFonts w:ascii="Arial" w:cs="Arial" w:eastAsia="Arial" w:hAnsi="Arial"/>
                <w:sz w:val="12"/>
                <w:szCs w:val="12"/>
                <w:b w:val="1"/>
                <w:bCs w:val="1"/>
                <w:color w:val="auto"/>
              </w:rPr>
              <w:t>Decrease in cash and cash equivalents</w:t>
            </w:r>
          </w:p>
        </w:tc>
        <w:tc>
          <w:tcPr>
            <w:tcW w:w="880" w:type="dxa"/>
            <w:vAlign w:val="bottom"/>
          </w:tcPr>
          <w:p>
            <w:pPr>
              <w:spacing w:after="0"/>
              <w:rPr>
                <w:sz w:val="13"/>
                <w:szCs w:val="13"/>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equivalents—beginning of period</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20" w:type="dxa"/>
            <w:vAlign w:val="bottom"/>
          </w:tcPr>
          <w:p>
            <w:pPr>
              <w:spacing w:after="0"/>
              <w:rPr>
                <w:sz w:val="16"/>
                <w:szCs w:val="16"/>
                <w:color w:val="auto"/>
              </w:rPr>
            </w:pPr>
          </w:p>
        </w:tc>
      </w:tr>
      <w:tr>
        <w:trPr>
          <w:trHeight w:val="119"/>
        </w:trPr>
        <w:tc>
          <w:tcPr>
            <w:tcW w:w="20" w:type="dxa"/>
            <w:vAlign w:val="bottom"/>
          </w:tcPr>
          <w:p>
            <w:pPr>
              <w:spacing w:after="0"/>
              <w:rPr>
                <w:sz w:val="10"/>
                <w:szCs w:val="10"/>
                <w:color w:val="auto"/>
              </w:rPr>
            </w:pPr>
          </w:p>
        </w:tc>
        <w:tc>
          <w:tcPr>
            <w:tcW w:w="4120" w:type="dxa"/>
            <w:vAlign w:val="bottom"/>
          </w:tcPr>
          <w:p>
            <w:pPr>
              <w:ind w:left="20"/>
              <w:spacing w:after="0" w:line="119" w:lineRule="exact"/>
              <w:rPr>
                <w:sz w:val="20"/>
                <w:szCs w:val="20"/>
                <w:color w:val="auto"/>
              </w:rPr>
            </w:pPr>
            <w:r>
              <w:rPr>
                <w:rFonts w:ascii="Arial" w:cs="Arial" w:eastAsia="Arial" w:hAnsi="Arial"/>
                <w:sz w:val="12"/>
                <w:szCs w:val="12"/>
                <w:b w:val="1"/>
                <w:bCs w:val="1"/>
                <w:color w:val="auto"/>
              </w:rPr>
              <w:t>Cash and cash equivalents—</w:t>
            </w:r>
          </w:p>
        </w:tc>
        <w:tc>
          <w:tcPr>
            <w:tcW w:w="8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6"/>
        </w:trPr>
        <w:tc>
          <w:tcPr>
            <w:tcW w:w="20" w:type="dxa"/>
            <w:vAlign w:val="bottom"/>
          </w:tcPr>
          <w:p>
            <w:pPr>
              <w:spacing w:after="0"/>
              <w:rPr>
                <w:sz w:val="14"/>
                <w:szCs w:val="14"/>
                <w:color w:val="auto"/>
              </w:rPr>
            </w:pPr>
          </w:p>
        </w:tc>
        <w:tc>
          <w:tcPr>
            <w:tcW w:w="4120" w:type="dxa"/>
            <w:vAlign w:val="bottom"/>
          </w:tcPr>
          <w:p>
            <w:pPr>
              <w:ind w:left="20"/>
              <w:spacing w:after="0"/>
              <w:rPr>
                <w:sz w:val="20"/>
                <w:szCs w:val="20"/>
                <w:color w:val="auto"/>
              </w:rPr>
            </w:pPr>
            <w:r>
              <w:rPr>
                <w:rFonts w:ascii="Arial" w:cs="Arial" w:eastAsia="Arial" w:hAnsi="Arial"/>
                <w:sz w:val="12"/>
                <w:szCs w:val="12"/>
                <w:b w:val="1"/>
                <w:bCs w:val="1"/>
                <w:color w:val="auto"/>
              </w:rPr>
              <w:t>end of period</w:t>
            </w:r>
          </w:p>
        </w:tc>
        <w:tc>
          <w:tcPr>
            <w:tcW w:w="880" w:type="dxa"/>
            <w:vAlign w:val="bottom"/>
            <w:tcBorders>
              <w:bottom w:val="single" w:sz="8" w:color="auto"/>
            </w:tcBorders>
          </w:tcPr>
          <w:p>
            <w:pPr>
              <w:jc w:val="right"/>
              <w:ind w:right="741"/>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4"/>
                <w:szCs w:val="14"/>
                <w:color w:val="auto"/>
              </w:rPr>
            </w:pPr>
          </w:p>
        </w:tc>
      </w:tr>
      <w:tr>
        <w:trPr>
          <w:trHeight w:val="45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gridSpan w:val="4"/>
          </w:tcPr>
          <w:p>
            <w:pPr>
              <w:jc w:val="right"/>
              <w:ind w:right="48"/>
              <w:spacing w:after="0"/>
              <w:rPr>
                <w:sz w:val="20"/>
                <w:szCs w:val="20"/>
                <w:color w:val="auto"/>
              </w:rPr>
            </w:pPr>
            <w:r>
              <w:rPr>
                <w:rFonts w:ascii="Arial" w:cs="Arial" w:eastAsia="Arial" w:hAnsi="Arial"/>
                <w:sz w:val="12"/>
                <w:szCs w:val="12"/>
                <w:color w:val="auto"/>
              </w:rPr>
              <w:t>114</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395" w:right="19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b w:val="1"/>
          <w:bCs w:val="1"/>
          <w:color w:val="auto"/>
        </w:rPr>
        <w:t>Quarterly Financial Data (Unaudited)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w w:val="97"/>
              </w:rPr>
              <w:t>2017</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2016</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3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Quarter</w:t>
            </w: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3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First</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Second</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Third</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24"/>
              <w:spacing w:after="0"/>
              <w:rPr>
                <w:sz w:val="20"/>
                <w:szCs w:val="20"/>
                <w:color w:val="auto"/>
              </w:rPr>
            </w:pPr>
            <w:r>
              <w:rPr>
                <w:rFonts w:ascii="Arial" w:cs="Arial" w:eastAsia="Arial" w:hAnsi="Arial"/>
                <w:sz w:val="11"/>
                <w:szCs w:val="11"/>
                <w:b w:val="1"/>
                <w:bCs w:val="1"/>
                <w:color w:val="auto"/>
              </w:rPr>
              <w:t>Fourth</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First</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Second</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Third</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Fourth</w:t>
            </w:r>
          </w:p>
        </w:tc>
        <w:tc>
          <w:tcPr>
            <w:tcW w:w="0" w:type="dxa"/>
            <w:vAlign w:val="bottom"/>
          </w:tcPr>
          <w:p>
            <w:pPr>
              <w:spacing w:after="0"/>
              <w:rPr>
                <w:sz w:val="1"/>
                <w:szCs w:val="1"/>
                <w:color w:val="auto"/>
              </w:rPr>
            </w:pPr>
          </w:p>
        </w:tc>
      </w:tr>
      <w:tr>
        <w:trPr>
          <w:trHeight w:val="29"/>
        </w:trPr>
        <w:tc>
          <w:tcPr>
            <w:tcW w:w="3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spacing w:after="0"/>
              <w:rPr>
                <w:sz w:val="20"/>
                <w:szCs w:val="20"/>
                <w:color w:val="auto"/>
              </w:rPr>
            </w:pPr>
            <w:r>
              <w:rPr>
                <w:rFonts w:ascii="Arial" w:cs="Arial" w:eastAsia="Arial" w:hAnsi="Arial"/>
                <w:sz w:val="10"/>
                <w:szCs w:val="10"/>
                <w:color w:val="auto"/>
              </w:rPr>
              <w:t>(in millions, except per share amounts)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Revenues</w:t>
            </w:r>
            <w:r>
              <w:rPr>
                <w:rFonts w:ascii="Arial" w:cs="Arial" w:eastAsia="Arial" w:hAnsi="Arial"/>
                <w:sz w:val="9"/>
                <w:szCs w:val="9"/>
                <w:color w:val="auto"/>
              </w:rPr>
              <w:t>(a)</w:t>
            </w: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516</w:t>
            </w: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455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322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456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452</w:t>
            </w:r>
          </w:p>
        </w:tc>
        <w:tc>
          <w:tcPr>
            <w:tcW w:w="0" w:type="dxa"/>
            <w:vAlign w:val="bottom"/>
          </w:tcPr>
          <w:p>
            <w:pPr>
              <w:spacing w:after="0"/>
              <w:rPr>
                <w:sz w:val="1"/>
                <w:szCs w:val="1"/>
                <w:color w:val="auto"/>
              </w:rPr>
            </w:pPr>
          </w:p>
        </w:tc>
      </w:tr>
      <w:tr>
        <w:trPr>
          <w:trHeight w:val="189"/>
        </w:trPr>
        <w:tc>
          <w:tcPr>
            <w:tcW w:w="3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111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39</w:t>
            </w: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89"/>
        </w:trPr>
        <w:tc>
          <w:tcPr>
            <w:tcW w:w="3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Net income (loss) attributable to common stock</w:t>
            </w:r>
            <w:r>
              <w:rPr>
                <w:rFonts w:ascii="Arial" w:cs="Arial" w:eastAsia="Arial" w:hAnsi="Arial"/>
                <w:sz w:val="9"/>
                <w:szCs w:val="9"/>
                <w:color w:val="auto"/>
              </w:rPr>
              <w:t>(b)</w:t>
            </w: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1"/>
                <w:szCs w:val="11"/>
                <w:color w:val="auto"/>
              </w:rPr>
              <w:t>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380" w:type="dxa"/>
            <w:vAlign w:val="bottom"/>
            <w:gridSpan w:val="3"/>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1"/>
                <w:szCs w:val="11"/>
                <w:color w:val="auto"/>
              </w:rPr>
              <w:t>(133)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(138)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89"/>
        </w:trPr>
        <w:tc>
          <w:tcPr>
            <w:tcW w:w="3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Earnings (loss) per share attributable to common stock:</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Basic</w:t>
            </w: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1.23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color w:val="auto"/>
              </w:rPr>
              <w:t>(3.11)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3.23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(1.30)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(3.51)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13.04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69"/>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Diluted</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w:t>
            </w: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1"/>
                <w:szCs w:val="11"/>
                <w:color w:val="auto"/>
              </w:rPr>
              <w:t>(3.11)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3.23</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(1.30)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(3.51)</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13.04</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20" w:hanging="212"/>
        <w:spacing w:after="0"/>
        <w:tabs>
          <w:tab w:leader="none" w:pos="420" w:val="left"/>
        </w:tabs>
        <w:numPr>
          <w:ilvl w:val="0"/>
          <w:numId w:val="64"/>
        </w:numPr>
        <w:rPr>
          <w:rFonts w:ascii="Arial" w:cs="Arial" w:eastAsia="Arial" w:hAnsi="Arial"/>
          <w:sz w:val="10"/>
          <w:szCs w:val="10"/>
          <w:color w:val="auto"/>
        </w:rPr>
      </w:pPr>
      <w:r>
        <w:rPr>
          <w:rFonts w:ascii="Arial" w:cs="Arial" w:eastAsia="Arial" w:hAnsi="Arial"/>
          <w:sz w:val="10"/>
          <w:szCs w:val="10"/>
          <w:color w:val="auto"/>
        </w:rPr>
        <w:t>Revenues include net derivative gains (losses).</w:t>
      </w:r>
    </w:p>
    <w:p>
      <w:pPr>
        <w:ind w:left="420" w:hanging="212"/>
        <w:spacing w:after="0"/>
        <w:tabs>
          <w:tab w:leader="none" w:pos="420" w:val="left"/>
        </w:tabs>
        <w:numPr>
          <w:ilvl w:val="0"/>
          <w:numId w:val="64"/>
        </w:numPr>
        <w:rPr>
          <w:rFonts w:ascii="Arial" w:cs="Arial" w:eastAsia="Arial" w:hAnsi="Arial"/>
          <w:sz w:val="10"/>
          <w:szCs w:val="10"/>
          <w:color w:val="auto"/>
        </w:rPr>
      </w:pPr>
      <w:r>
        <w:rPr>
          <w:rFonts w:ascii="Arial" w:cs="Arial" w:eastAsia="Arial" w:hAnsi="Arial"/>
          <w:sz w:val="10"/>
          <w:szCs w:val="10"/>
          <w:color w:val="auto"/>
        </w:rPr>
        <w:t>Net income (loss) attributable to common stock included the following unusual, out-of-period and infrequent items: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131"/>
        </w:trPr>
        <w:tc>
          <w:tcPr>
            <w:tcW w:w="3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912"/>
              <w:spacing w:after="0"/>
              <w:rPr>
                <w:sz w:val="20"/>
                <w:szCs w:val="20"/>
                <w:color w:val="auto"/>
              </w:rPr>
            </w:pPr>
            <w:r>
              <w:rPr>
                <w:rFonts w:ascii="Arial" w:cs="Arial" w:eastAsia="Arial" w:hAnsi="Arial"/>
                <w:sz w:val="10"/>
                <w:szCs w:val="10"/>
                <w:b w:val="1"/>
                <w:bCs w:val="1"/>
                <w:color w:val="auto"/>
                <w:w w:val="89"/>
              </w:rPr>
              <w:t>2017</w:t>
            </w: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912"/>
              <w:spacing w:after="0"/>
              <w:rPr>
                <w:sz w:val="20"/>
                <w:szCs w:val="20"/>
                <w:color w:val="auto"/>
              </w:rPr>
            </w:pPr>
            <w:r>
              <w:rPr>
                <w:rFonts w:ascii="Arial" w:cs="Arial" w:eastAsia="Arial" w:hAnsi="Arial"/>
                <w:sz w:val="10"/>
                <w:szCs w:val="10"/>
                <w:b w:val="1"/>
                <w:bCs w:val="1"/>
                <w:color w:val="auto"/>
                <w:w w:val="89"/>
              </w:rPr>
              <w:t>2016</w:t>
            </w:r>
          </w:p>
        </w:tc>
        <w:tc>
          <w:tcPr>
            <w:tcW w:w="820" w:type="dxa"/>
            <w:vAlign w:val="bottom"/>
            <w:tcBorders>
              <w:bottom w:val="single" w:sz="8" w:color="auto"/>
            </w:tcBorders>
          </w:tcPr>
          <w:p>
            <w:pPr>
              <w:spacing w:after="0"/>
              <w:rPr>
                <w:sz w:val="11"/>
                <w:szCs w:val="11"/>
                <w:color w:val="auto"/>
              </w:rPr>
            </w:pPr>
          </w:p>
        </w:tc>
      </w:tr>
      <w:tr>
        <w:trPr>
          <w:trHeight w:val="169"/>
        </w:trPr>
        <w:tc>
          <w:tcPr>
            <w:tcW w:w="3160" w:type="dxa"/>
            <w:vAlign w:val="bottom"/>
          </w:tcPr>
          <w:p>
            <w:pPr>
              <w:spacing w:after="0"/>
              <w:rPr>
                <w:sz w:val="14"/>
                <w:szCs w:val="14"/>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First</w:t>
            </w: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Second</w:t>
            </w: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Third</w:t>
            </w:r>
          </w:p>
        </w:tc>
        <w:tc>
          <w:tcPr>
            <w:tcW w:w="1180" w:type="dxa"/>
            <w:vAlign w:val="bottom"/>
            <w:tcBorders>
              <w:bottom w:val="single" w:sz="8" w:color="auto"/>
            </w:tcBorders>
            <w:gridSpan w:val="3"/>
          </w:tcPr>
          <w:p>
            <w:pPr>
              <w:ind w:left="240"/>
              <w:spacing w:after="0"/>
              <w:rPr>
                <w:sz w:val="20"/>
                <w:szCs w:val="20"/>
                <w:color w:val="auto"/>
              </w:rPr>
            </w:pPr>
            <w:r>
              <w:rPr>
                <w:rFonts w:ascii="Arial" w:cs="Arial" w:eastAsia="Arial" w:hAnsi="Arial"/>
                <w:sz w:val="10"/>
                <w:szCs w:val="10"/>
                <w:b w:val="1"/>
                <w:bCs w:val="1"/>
                <w:color w:val="auto"/>
              </w:rPr>
              <w:t>Fourth</w:t>
            </w:r>
          </w:p>
        </w:tc>
        <w:tc>
          <w:tcPr>
            <w:tcW w:w="76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First</w:t>
            </w: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Second</w:t>
            </w: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Third</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Fourth</w:t>
            </w:r>
          </w:p>
        </w:tc>
      </w:tr>
      <w:tr>
        <w:trPr>
          <w:trHeight w:val="160"/>
        </w:trPr>
        <w:tc>
          <w:tcPr>
            <w:tcW w:w="3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gridSpan w:val="3"/>
          </w:tcPr>
          <w:p>
            <w:pPr>
              <w:ind w:left="620"/>
              <w:spacing w:after="0"/>
              <w:rPr>
                <w:sz w:val="20"/>
                <w:szCs w:val="20"/>
                <w:color w:val="auto"/>
              </w:rPr>
            </w:pPr>
            <w:r>
              <w:rPr>
                <w:rFonts w:ascii="Arial" w:cs="Arial" w:eastAsia="Arial" w:hAnsi="Arial"/>
                <w:sz w:val="10"/>
                <w:szCs w:val="10"/>
                <w:color w:val="auto"/>
              </w:rPr>
              <w:t>(in millions)</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Non-cash derivative (gains) losses, excluding noncontrolling interest</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(75)</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72</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81</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137</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25</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40</w:t>
            </w: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0"/>
                <w:szCs w:val="10"/>
                <w:color w:val="auto"/>
              </w:rPr>
              <w:t>Early retirement, severance and other costs</w:t>
            </w:r>
          </w:p>
        </w:tc>
        <w:tc>
          <w:tcPr>
            <w:tcW w:w="440" w:type="dxa"/>
            <w:vAlign w:val="bottom"/>
          </w:tcPr>
          <w:p>
            <w:pPr>
              <w:jc w:val="right"/>
              <w:ind w:right="212"/>
              <w:spacing w:after="0"/>
              <w:rPr>
                <w:sz w:val="20"/>
                <w:szCs w:val="20"/>
                <w:color w:val="auto"/>
              </w:rPr>
            </w:pPr>
            <w:r>
              <w:rPr>
                <w:rFonts w:ascii="Arial" w:cs="Arial" w:eastAsia="Arial" w:hAnsi="Arial"/>
                <w:sz w:val="10"/>
                <w:szCs w:val="10"/>
                <w:color w:val="auto"/>
              </w:rPr>
              <w:t>3</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212"/>
              <w:spacing w:after="0"/>
              <w:rPr>
                <w:sz w:val="20"/>
                <w:szCs w:val="20"/>
                <w:color w:val="auto"/>
              </w:rPr>
            </w:pPr>
            <w:r>
              <w:rPr>
                <w:rFonts w:ascii="Arial" w:cs="Arial" w:eastAsia="Arial" w:hAnsi="Arial"/>
                <w:sz w:val="10"/>
                <w:szCs w:val="10"/>
                <w:color w:val="auto"/>
              </w:rPr>
              <w:t>1</w:t>
            </w: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0"/>
                <w:szCs w:val="10"/>
                <w:color w:val="auto"/>
              </w:rPr>
              <w:t>14</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1180" w:type="dxa"/>
            <w:vAlign w:val="bottom"/>
          </w:tcPr>
          <w:p>
            <w:pPr>
              <w:jc w:val="right"/>
              <w:ind w:right="212"/>
              <w:spacing w:after="0"/>
              <w:rPr>
                <w:sz w:val="20"/>
                <w:szCs w:val="20"/>
                <w:color w:val="auto"/>
              </w:rPr>
            </w:pPr>
            <w:r>
              <w:rPr>
                <w:rFonts w:ascii="Arial" w:cs="Arial" w:eastAsia="Arial" w:hAnsi="Arial"/>
                <w:sz w:val="10"/>
                <w:szCs w:val="10"/>
                <w:color w:val="auto"/>
              </w:rPr>
              <w:t>1</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w:t>
            </w:r>
          </w:p>
        </w:tc>
      </w:tr>
      <w:tr>
        <w:trPr>
          <w:trHeight w:val="18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gains on early extinguishment of debt</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rPr>
              <w:t>(89)</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(660)</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(12)</w:t>
            </w: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0"/>
                <w:szCs w:val="10"/>
                <w:color w:val="auto"/>
              </w:rPr>
              <w:t>Gains on asset divestitures</w:t>
            </w:r>
          </w:p>
        </w:tc>
        <w:tc>
          <w:tcPr>
            <w:tcW w:w="440" w:type="dxa"/>
            <w:vAlign w:val="bottom"/>
          </w:tcPr>
          <w:p>
            <w:pPr>
              <w:jc w:val="right"/>
              <w:ind w:right="192"/>
              <w:spacing w:after="0"/>
              <w:rPr>
                <w:sz w:val="20"/>
                <w:szCs w:val="20"/>
                <w:color w:val="auto"/>
              </w:rPr>
            </w:pPr>
            <w:r>
              <w:rPr>
                <w:rFonts w:ascii="Arial" w:cs="Arial" w:eastAsia="Arial" w:hAnsi="Arial"/>
                <w:sz w:val="10"/>
                <w:szCs w:val="10"/>
                <w:color w:val="auto"/>
              </w:rPr>
              <w:t>(21)</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180" w:type="dxa"/>
            <w:vAlign w:val="bottom"/>
            <w:gridSpan w:val="3"/>
          </w:tcPr>
          <w:p>
            <w:pPr>
              <w:jc w:val="right"/>
              <w:ind w:right="46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(31)</w:t>
            </w:r>
          </w:p>
        </w:tc>
        <w:tc>
          <w:tcPr>
            <w:tcW w:w="118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w:t>
            </w:r>
          </w:p>
        </w:tc>
      </w:tr>
      <w:tr>
        <w:trPr>
          <w:trHeight w:val="18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8</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7</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5</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(27)</w:t>
            </w: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0"/>
                <w:szCs w:val="10"/>
                <w:color w:val="auto"/>
              </w:rPr>
              <w:t>Deferred debt issuance costs write-off</w:t>
            </w:r>
          </w:p>
        </w:tc>
        <w:tc>
          <w:tcPr>
            <w:tcW w:w="4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180" w:type="dxa"/>
            <w:vAlign w:val="bottom"/>
            <w:gridSpan w:val="3"/>
          </w:tcPr>
          <w:p>
            <w:pPr>
              <w:jc w:val="right"/>
              <w:ind w:right="46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212"/>
              <w:spacing w:after="0"/>
              <w:rPr>
                <w:sz w:val="20"/>
                <w:szCs w:val="20"/>
                <w:color w:val="auto"/>
              </w:rPr>
            </w:pPr>
            <w:r>
              <w:rPr>
                <w:rFonts w:ascii="Arial" w:cs="Arial" w:eastAsia="Arial" w:hAnsi="Arial"/>
                <w:sz w:val="10"/>
                <w:szCs w:val="10"/>
                <w:color w:val="auto"/>
              </w:rPr>
              <w:t>12</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Reversal of valuation allowance for deferred tax assets</w:t>
            </w:r>
          </w:p>
        </w:tc>
        <w:tc>
          <w:tcPr>
            <w:tcW w:w="4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63</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1480"/>
          </w:cols>
          <w:pgMar w:left="220" w:top="287" w:right="1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color w:val="auto"/>
        </w:rPr>
        <w:t>Supplemental Oil and Gas Information (Unaudited)</w:t>
      </w:r>
    </w:p>
    <w:p>
      <w:pPr>
        <w:spacing w:after="0" w:line="200" w:lineRule="exact"/>
        <w:rPr>
          <w:sz w:val="20"/>
          <w:szCs w:val="20"/>
          <w:color w:val="auto"/>
        </w:rPr>
      </w:pPr>
    </w:p>
    <w:p>
      <w:pPr>
        <w:ind w:right="120" w:firstLine="216"/>
        <w:spacing w:after="0" w:line="256" w:lineRule="auto"/>
        <w:rPr>
          <w:sz w:val="20"/>
          <w:szCs w:val="20"/>
          <w:color w:val="auto"/>
        </w:rPr>
      </w:pPr>
      <w:r>
        <w:rPr>
          <w:rFonts w:ascii="Arial" w:cs="Arial" w:eastAsia="Arial" w:hAnsi="Arial"/>
          <w:sz w:val="12"/>
          <w:szCs w:val="12"/>
          <w:color w:val="auto"/>
        </w:rPr>
        <w:t xml:space="preserve">The following table sets forth our net operating and non-operating interests in quantities of proved developed and undeveloped reserves of oil (including condensate), natural gas liquids (NGLs) and natural gas and changes in such quantities. Estimated reserves include our economic interests under arrangements similar to production-sharing contracts (PSCs) relating to the Wilmington field in Long Beach. All of our proved reserves are located within the state of California. See </w:t>
      </w:r>
      <w:r>
        <w:rPr>
          <w:rFonts w:ascii="Arial" w:cs="Arial" w:eastAsia="Arial" w:hAnsi="Arial"/>
          <w:sz w:val="12"/>
          <w:szCs w:val="12"/>
          <w:i w:val="1"/>
          <w:iCs w:val="1"/>
          <w:color w:val="auto"/>
        </w:rPr>
        <w:t>Item 2 – Properties – Our Reserves</w:t>
      </w:r>
      <w:r>
        <w:rPr>
          <w:rFonts w:ascii="Arial" w:cs="Arial" w:eastAsia="Arial" w:hAnsi="Arial"/>
          <w:sz w:val="12"/>
          <w:szCs w:val="12"/>
          <w:color w:val="auto"/>
        </w:rPr>
        <w:t xml:space="preserve"> for a discussion of the changes in proved reserves.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80" w:type="dxa"/>
            <w:vAlign w:val="bottom"/>
            <w:gridSpan w:val="2"/>
          </w:tcPr>
          <w:p>
            <w:pPr>
              <w:spacing w:after="0"/>
              <w:rPr>
                <w:sz w:val="20"/>
                <w:szCs w:val="20"/>
                <w:color w:val="auto"/>
              </w:rPr>
            </w:pPr>
            <w:r>
              <w:rPr>
                <w:rFonts w:ascii="Arial" w:cs="Arial" w:eastAsia="Arial" w:hAnsi="Arial"/>
                <w:sz w:val="12"/>
                <w:szCs w:val="12"/>
                <w:b w:val="1"/>
                <w:bCs w:val="1"/>
                <w:color w:val="auto"/>
              </w:rPr>
              <w:t>PROVED DEVELOPED AND UNDEVELOPED RESERVES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319"/>
        </w:trPr>
        <w:tc>
          <w:tcPr>
            <w:tcW w:w="5160" w:type="dxa"/>
            <w:vAlign w:val="bottom"/>
          </w:tcPr>
          <w:p>
            <w:pPr>
              <w:spacing w:after="0"/>
              <w:rPr>
                <w:sz w:val="24"/>
                <w:szCs w:val="24"/>
                <w:color w:val="auto"/>
              </w:rPr>
            </w:pPr>
          </w:p>
        </w:tc>
        <w:tc>
          <w:tcPr>
            <w:tcW w:w="1120" w:type="dxa"/>
            <w:vAlign w:val="bottom"/>
          </w:tcPr>
          <w:p>
            <w:pPr>
              <w:jc w:val="center"/>
              <w:ind w:left="340"/>
              <w:spacing w:after="0"/>
              <w:rPr>
                <w:sz w:val="20"/>
                <w:szCs w:val="20"/>
                <w:color w:val="auto"/>
              </w:rPr>
            </w:pPr>
            <w:r>
              <w:rPr>
                <w:rFonts w:ascii="Arial" w:cs="Arial" w:eastAsia="Arial" w:hAnsi="Arial"/>
                <w:sz w:val="12"/>
                <w:szCs w:val="12"/>
                <w:b w:val="1"/>
                <w:bCs w:val="1"/>
                <w:color w:val="auto"/>
                <w:w w:val="99"/>
              </w:rPr>
              <w:t>Oil</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left="360"/>
              <w:spacing w:after="0"/>
              <w:rPr>
                <w:sz w:val="20"/>
                <w:szCs w:val="20"/>
                <w:color w:val="auto"/>
              </w:rPr>
            </w:pPr>
            <w:r>
              <w:rPr>
                <w:rFonts w:ascii="Arial" w:cs="Arial" w:eastAsia="Arial" w:hAnsi="Arial"/>
                <w:sz w:val="12"/>
                <w:szCs w:val="12"/>
                <w:b w:val="1"/>
                <w:bCs w:val="1"/>
                <w:color w:val="auto"/>
                <w:w w:val="99"/>
              </w:rPr>
              <w:t>NGLs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left="300"/>
              <w:spacing w:after="0"/>
              <w:rPr>
                <w:sz w:val="20"/>
                <w:szCs w:val="20"/>
                <w:color w:val="auto"/>
              </w:rPr>
            </w:pPr>
            <w:r>
              <w:rPr>
                <w:rFonts w:ascii="Arial" w:cs="Arial" w:eastAsia="Arial" w:hAnsi="Arial"/>
                <w:sz w:val="12"/>
                <w:szCs w:val="12"/>
                <w:b w:val="1"/>
                <w:bCs w:val="1"/>
                <w:color w:val="auto"/>
              </w:rPr>
              <w:t>Natural Gas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168"/>
        </w:trPr>
        <w:tc>
          <w:tcPr>
            <w:tcW w:w="5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ind w:left="340"/>
              <w:spacing w:after="0"/>
              <w:rPr>
                <w:sz w:val="20"/>
                <w:szCs w:val="20"/>
                <w:color w:val="auto"/>
              </w:rPr>
            </w:pPr>
            <w:r>
              <w:rPr>
                <w:rFonts w:ascii="Arial" w:cs="Arial" w:eastAsia="Arial" w:hAnsi="Arial"/>
                <w:sz w:val="12"/>
                <w:szCs w:val="12"/>
                <w:b w:val="1"/>
                <w:bCs w:val="1"/>
                <w:color w:val="auto"/>
                <w:w w:val="95"/>
              </w:rPr>
              <w:t>(MMBbl)</w:t>
            </w:r>
            <w:r>
              <w:rPr>
                <w:rFonts w:ascii="Arial" w:cs="Arial" w:eastAsia="Arial" w:hAnsi="Arial"/>
                <w:sz w:val="14"/>
                <w:szCs w:val="14"/>
                <w:b w:val="1"/>
                <w:bCs w:val="1"/>
                <w:color w:val="auto"/>
                <w:w w:val="95"/>
                <w:vertAlign w:val="superscript"/>
              </w:rPr>
              <w:t>(a)</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ind w:left="360"/>
              <w:spacing w:after="0"/>
              <w:rPr>
                <w:sz w:val="20"/>
                <w:szCs w:val="20"/>
                <w:color w:val="auto"/>
              </w:rPr>
            </w:pPr>
            <w:r>
              <w:rPr>
                <w:rFonts w:ascii="Arial" w:cs="Arial" w:eastAsia="Arial" w:hAnsi="Arial"/>
                <w:sz w:val="12"/>
                <w:szCs w:val="12"/>
                <w:b w:val="1"/>
                <w:bCs w:val="1"/>
                <w:color w:val="auto"/>
              </w:rPr>
              <w:t>(MMBbl)</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ind w:left="300"/>
              <w:spacing w:after="0"/>
              <w:rPr>
                <w:sz w:val="20"/>
                <w:szCs w:val="20"/>
                <w:color w:val="auto"/>
              </w:rPr>
            </w:pPr>
            <w:r>
              <w:rPr>
                <w:rFonts w:ascii="Arial" w:cs="Arial" w:eastAsia="Arial" w:hAnsi="Arial"/>
                <w:sz w:val="12"/>
                <w:szCs w:val="12"/>
                <w:b w:val="1"/>
                <w:bCs w:val="1"/>
                <w:color w:val="auto"/>
              </w:rPr>
              <w:t>(Bcf)</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(MMBoe)</w:t>
            </w:r>
            <w:r>
              <w:rPr>
                <w:rFonts w:ascii="Arial" w:cs="Arial" w:eastAsia="Arial" w:hAnsi="Arial"/>
                <w:sz w:val="14"/>
                <w:szCs w:val="14"/>
                <w:b w:val="1"/>
                <w:bCs w:val="1"/>
                <w:color w:val="auto"/>
                <w:vertAlign w:val="superscript"/>
              </w:rPr>
              <w:t>(b)</w:t>
            </w:r>
          </w:p>
        </w:tc>
      </w:tr>
      <w:tr>
        <w:trPr>
          <w:trHeight w:val="16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2014</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85</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790</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768</w:t>
            </w:r>
          </w:p>
        </w:tc>
      </w:tr>
      <w:tr>
        <w:trPr>
          <w:trHeight w:val="176"/>
        </w:trPr>
        <w:tc>
          <w:tcPr>
            <w:tcW w:w="6280" w:type="dxa"/>
            <w:vAlign w:val="bottom"/>
            <w:gridSpan w:val="2"/>
          </w:tcPr>
          <w:p>
            <w:pPr>
              <w:ind w:left="100"/>
              <w:spacing w:after="0"/>
              <w:rPr>
                <w:sz w:val="20"/>
                <w:szCs w:val="20"/>
                <w:color w:val="auto"/>
              </w:rPr>
            </w:pPr>
            <w:r>
              <w:rPr>
                <w:rFonts w:ascii="Arial" w:cs="Arial" w:eastAsia="Arial" w:hAnsi="Arial"/>
                <w:sz w:val="12"/>
                <w:szCs w:val="12"/>
                <w:color w:val="auto"/>
              </w:rPr>
              <w:t>Revisions of previous estimates</w:t>
            </w:r>
          </w:p>
        </w:tc>
        <w:tc>
          <w:tcPr>
            <w:tcW w:w="380" w:type="dxa"/>
            <w:vAlign w:val="bottom"/>
          </w:tcPr>
          <w:p>
            <w:pPr>
              <w:jc w:val="right"/>
              <w:ind w:right="20"/>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5"/>
                <w:szCs w:val="15"/>
                <w:color w:val="auto"/>
              </w:rPr>
            </w:pPr>
          </w:p>
        </w:tc>
        <w:tc>
          <w:tcPr>
            <w:tcW w:w="1500" w:type="dxa"/>
            <w:vAlign w:val="bottom"/>
          </w:tcPr>
          <w:p>
            <w:pPr>
              <w:jc w:val="right"/>
              <w:ind w:right="20"/>
              <w:spacing w:after="0"/>
              <w:rPr>
                <w:sz w:val="20"/>
                <w:szCs w:val="20"/>
                <w:color w:val="auto"/>
              </w:rPr>
            </w:pPr>
            <w:r>
              <w:rPr>
                <w:rFonts w:ascii="Arial" w:cs="Arial" w:eastAsia="Arial" w:hAnsi="Arial"/>
                <w:sz w:val="12"/>
                <w:szCs w:val="12"/>
                <w:color w:val="auto"/>
              </w:rPr>
              <w:t>(108)</w:t>
            </w:r>
          </w:p>
        </w:tc>
      </w:tr>
      <w:tr>
        <w:trPr>
          <w:trHeight w:val="185"/>
        </w:trPr>
        <w:tc>
          <w:tcPr>
            <w:tcW w:w="6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Improved recovery</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128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6"/>
        </w:trPr>
        <w:tc>
          <w:tcPr>
            <w:tcW w:w="6280" w:type="dxa"/>
            <w:vAlign w:val="bottom"/>
            <w:gridSpan w:val="2"/>
          </w:tcPr>
          <w:p>
            <w:pPr>
              <w:ind w:left="100"/>
              <w:spacing w:after="0"/>
              <w:rPr>
                <w:sz w:val="20"/>
                <w:szCs w:val="20"/>
                <w:color w:val="auto"/>
              </w:rPr>
            </w:pPr>
            <w:r>
              <w:rPr>
                <w:rFonts w:ascii="Arial" w:cs="Arial" w:eastAsia="Arial" w:hAnsi="Arial"/>
                <w:sz w:val="12"/>
                <w:szCs w:val="12"/>
                <w:color w:val="auto"/>
              </w:rPr>
              <w:t>Extensions and discoveries</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5"/>
                <w:szCs w:val="15"/>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33</w:t>
            </w:r>
          </w:p>
        </w:tc>
      </w:tr>
      <w:tr>
        <w:trPr>
          <w:trHeight w:val="185"/>
        </w:trPr>
        <w:tc>
          <w:tcPr>
            <w:tcW w:w="6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Purchases</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r>
      <w:tr>
        <w:trPr>
          <w:trHeight w:val="176"/>
        </w:trPr>
        <w:tc>
          <w:tcPr>
            <w:tcW w:w="6280" w:type="dxa"/>
            <w:vAlign w:val="bottom"/>
            <w:gridSpan w:val="2"/>
          </w:tcPr>
          <w:p>
            <w:pPr>
              <w:ind w:left="100"/>
              <w:spacing w:after="0"/>
              <w:rPr>
                <w:sz w:val="20"/>
                <w:szCs w:val="20"/>
                <w:color w:val="auto"/>
              </w:rPr>
            </w:pPr>
            <w:r>
              <w:rPr>
                <w:rFonts w:ascii="Arial" w:cs="Arial" w:eastAsia="Arial" w:hAnsi="Arial"/>
                <w:sz w:val="12"/>
                <w:szCs w:val="12"/>
                <w:color w:val="auto"/>
              </w:rPr>
              <w:t>Sales</w:t>
            </w:r>
          </w:p>
        </w:tc>
        <w:tc>
          <w:tcPr>
            <w:tcW w:w="1600" w:type="dxa"/>
            <w:vAlign w:val="bottom"/>
            <w:gridSpan w:val="3"/>
          </w:tcPr>
          <w:p>
            <w:pPr>
              <w:jc w:val="right"/>
              <w:ind w:right="1280"/>
              <w:spacing w:after="0"/>
              <w:rPr>
                <w:sz w:val="20"/>
                <w:szCs w:val="20"/>
                <w:color w:val="auto"/>
              </w:rPr>
            </w:pPr>
            <w:r>
              <w:rPr>
                <w:rFonts w:ascii="Arial" w:cs="Arial" w:eastAsia="Arial" w:hAnsi="Arial"/>
                <w:sz w:val="12"/>
                <w:szCs w:val="12"/>
                <w:color w:val="auto"/>
              </w:rPr>
              <w:t>—</w:t>
            </w:r>
          </w:p>
        </w:tc>
        <w:tc>
          <w:tcPr>
            <w:tcW w:w="1640" w:type="dxa"/>
            <w:vAlign w:val="bottom"/>
            <w:gridSpan w:val="3"/>
          </w:tcPr>
          <w:p>
            <w:pPr>
              <w:jc w:val="right"/>
              <w:ind w:right="128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Production</w:t>
            </w:r>
          </w:p>
        </w:tc>
        <w:tc>
          <w:tcPr>
            <w:tcW w:w="1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(58)</w:t>
            </w:r>
          </w:p>
        </w:tc>
      </w:tr>
      <w:tr>
        <w:trPr>
          <w:trHeight w:val="160"/>
        </w:trPr>
        <w:tc>
          <w:tcPr>
            <w:tcW w:w="62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December 31, 2015</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466</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715</w:t>
            </w:r>
          </w:p>
        </w:tc>
        <w:tc>
          <w:tcPr>
            <w:tcW w:w="100" w:type="dxa"/>
            <w:vAlign w:val="bottom"/>
          </w:tcPr>
          <w:p>
            <w:pPr>
              <w:spacing w:after="0"/>
              <w:rPr>
                <w:sz w:val="13"/>
                <w:szCs w:val="13"/>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644</w:t>
            </w:r>
          </w:p>
        </w:tc>
      </w:tr>
      <w:tr>
        <w:trPr>
          <w:trHeight w:val="185"/>
        </w:trPr>
        <w:tc>
          <w:tcPr>
            <w:tcW w:w="6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Revisions of previous estimates</w:t>
            </w:r>
          </w:p>
        </w:tc>
        <w:tc>
          <w:tcPr>
            <w:tcW w:w="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1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r>
      <w:tr>
        <w:trPr>
          <w:trHeight w:val="176"/>
        </w:trPr>
        <w:tc>
          <w:tcPr>
            <w:tcW w:w="6280" w:type="dxa"/>
            <w:vAlign w:val="bottom"/>
            <w:gridSpan w:val="2"/>
          </w:tcPr>
          <w:p>
            <w:pPr>
              <w:ind w:left="100"/>
              <w:spacing w:after="0"/>
              <w:rPr>
                <w:sz w:val="20"/>
                <w:szCs w:val="20"/>
                <w:color w:val="auto"/>
              </w:rPr>
            </w:pPr>
            <w:r>
              <w:rPr>
                <w:rFonts w:ascii="Arial" w:cs="Arial" w:eastAsia="Arial" w:hAnsi="Arial"/>
                <w:sz w:val="12"/>
                <w:szCs w:val="12"/>
                <w:color w:val="auto"/>
              </w:rPr>
              <w:t>Improved recovery</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ind w:right="128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85"/>
        </w:trPr>
        <w:tc>
          <w:tcPr>
            <w:tcW w:w="6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Extensions and discoveries</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r>
      <w:tr>
        <w:trPr>
          <w:trHeight w:val="176"/>
        </w:trPr>
        <w:tc>
          <w:tcPr>
            <w:tcW w:w="6280" w:type="dxa"/>
            <w:vAlign w:val="bottom"/>
            <w:gridSpan w:val="2"/>
          </w:tcPr>
          <w:p>
            <w:pPr>
              <w:ind w:left="100"/>
              <w:spacing w:after="0"/>
              <w:rPr>
                <w:sz w:val="20"/>
                <w:szCs w:val="20"/>
                <w:color w:val="auto"/>
              </w:rPr>
            </w:pPr>
            <w:r>
              <w:rPr>
                <w:rFonts w:ascii="Arial" w:cs="Arial" w:eastAsia="Arial" w:hAnsi="Arial"/>
                <w:sz w:val="12"/>
                <w:szCs w:val="12"/>
                <w:color w:val="auto"/>
              </w:rPr>
              <w:t>Purchases</w:t>
            </w:r>
          </w:p>
        </w:tc>
        <w:tc>
          <w:tcPr>
            <w:tcW w:w="1600" w:type="dxa"/>
            <w:vAlign w:val="bottom"/>
            <w:gridSpan w:val="3"/>
          </w:tcPr>
          <w:p>
            <w:pPr>
              <w:jc w:val="right"/>
              <w:ind w:right="1280"/>
              <w:spacing w:after="0"/>
              <w:rPr>
                <w:sz w:val="20"/>
                <w:szCs w:val="20"/>
                <w:color w:val="auto"/>
              </w:rPr>
            </w:pPr>
            <w:r>
              <w:rPr>
                <w:rFonts w:ascii="Arial" w:cs="Arial" w:eastAsia="Arial" w:hAnsi="Arial"/>
                <w:sz w:val="12"/>
                <w:szCs w:val="12"/>
                <w:color w:val="auto"/>
              </w:rPr>
              <w:t>—</w:t>
            </w:r>
          </w:p>
        </w:tc>
        <w:tc>
          <w:tcPr>
            <w:tcW w:w="1640" w:type="dxa"/>
            <w:vAlign w:val="bottom"/>
            <w:gridSpan w:val="3"/>
          </w:tcPr>
          <w:p>
            <w:pPr>
              <w:jc w:val="right"/>
              <w:ind w:right="128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6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Sales</w:t>
            </w:r>
          </w:p>
        </w:tc>
        <w:tc>
          <w:tcPr>
            <w:tcW w:w="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128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r>
      <w:tr>
        <w:trPr>
          <w:trHeight w:val="176"/>
        </w:trPr>
        <w:tc>
          <w:tcPr>
            <w:tcW w:w="5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Production</w:t>
            </w: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(33)</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(51)</w:t>
            </w:r>
          </w:p>
        </w:tc>
      </w:tr>
      <w:tr>
        <w:trPr>
          <w:trHeight w:val="165"/>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2016</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409</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626</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568</w:t>
            </w:r>
          </w:p>
        </w:tc>
      </w:tr>
      <w:tr>
        <w:trPr>
          <w:trHeight w:val="176"/>
        </w:trPr>
        <w:tc>
          <w:tcPr>
            <w:tcW w:w="6280" w:type="dxa"/>
            <w:vAlign w:val="bottom"/>
            <w:gridSpan w:val="2"/>
          </w:tcPr>
          <w:p>
            <w:pPr>
              <w:ind w:left="100"/>
              <w:spacing w:after="0"/>
              <w:rPr>
                <w:sz w:val="20"/>
                <w:szCs w:val="20"/>
                <w:color w:val="auto"/>
              </w:rPr>
            </w:pPr>
            <w:r>
              <w:rPr>
                <w:rFonts w:ascii="Arial" w:cs="Arial" w:eastAsia="Arial" w:hAnsi="Arial"/>
                <w:sz w:val="12"/>
                <w:szCs w:val="12"/>
                <w:color w:val="auto"/>
              </w:rPr>
              <w:t>Revisions of previous estimates</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5"/>
                <w:szCs w:val="15"/>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71</w:t>
            </w:r>
          </w:p>
        </w:tc>
      </w:tr>
      <w:tr>
        <w:trPr>
          <w:trHeight w:val="185"/>
        </w:trPr>
        <w:tc>
          <w:tcPr>
            <w:tcW w:w="6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Improved recovery</w:t>
            </w:r>
          </w:p>
        </w:tc>
        <w:tc>
          <w:tcPr>
            <w:tcW w:w="1600" w:type="dxa"/>
            <w:vAlign w:val="bottom"/>
            <w:gridSpan w:val="3"/>
            <w:shd w:val="clear" w:color="auto" w:fill="CCEEFF"/>
          </w:tcPr>
          <w:p>
            <w:pPr>
              <w:jc w:val="right"/>
              <w:ind w:right="1280"/>
              <w:spacing w:after="0"/>
              <w:rPr>
                <w:sz w:val="20"/>
                <w:szCs w:val="20"/>
                <w:color w:val="auto"/>
              </w:rPr>
            </w:pPr>
            <w:r>
              <w:rPr>
                <w:rFonts w:ascii="Arial" w:cs="Arial" w:eastAsia="Arial" w:hAnsi="Arial"/>
                <w:sz w:val="12"/>
                <w:szCs w:val="12"/>
                <w:color w:val="auto"/>
              </w:rPr>
              <w:t>—</w:t>
            </w:r>
          </w:p>
        </w:tc>
        <w:tc>
          <w:tcPr>
            <w:tcW w:w="1640" w:type="dxa"/>
            <w:vAlign w:val="bottom"/>
            <w:gridSpan w:val="3"/>
            <w:shd w:val="clear" w:color="auto" w:fill="CCEEFF"/>
          </w:tcPr>
          <w:p>
            <w:pPr>
              <w:jc w:val="right"/>
              <w:ind w:right="128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6280" w:type="dxa"/>
            <w:vAlign w:val="bottom"/>
            <w:gridSpan w:val="2"/>
          </w:tcPr>
          <w:p>
            <w:pPr>
              <w:ind w:left="100"/>
              <w:spacing w:after="0"/>
              <w:rPr>
                <w:sz w:val="20"/>
                <w:szCs w:val="20"/>
                <w:color w:val="auto"/>
              </w:rPr>
            </w:pPr>
            <w:r>
              <w:rPr>
                <w:rFonts w:ascii="Arial" w:cs="Arial" w:eastAsia="Arial" w:hAnsi="Arial"/>
                <w:sz w:val="12"/>
                <w:szCs w:val="12"/>
                <w:color w:val="auto"/>
              </w:rPr>
              <w:t>Extensions and discoveries</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5"/>
                <w:szCs w:val="15"/>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34</w:t>
            </w:r>
          </w:p>
        </w:tc>
      </w:tr>
      <w:tr>
        <w:trPr>
          <w:trHeight w:val="185"/>
        </w:trPr>
        <w:tc>
          <w:tcPr>
            <w:tcW w:w="62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Purchases</w:t>
            </w:r>
          </w:p>
        </w:tc>
        <w:tc>
          <w:tcPr>
            <w:tcW w:w="1600" w:type="dxa"/>
            <w:vAlign w:val="bottom"/>
            <w:gridSpan w:val="3"/>
            <w:shd w:val="clear" w:color="auto" w:fill="CCEEFF"/>
          </w:tcPr>
          <w:p>
            <w:pPr>
              <w:jc w:val="right"/>
              <w:ind w:right="1280"/>
              <w:spacing w:after="0"/>
              <w:rPr>
                <w:sz w:val="20"/>
                <w:szCs w:val="20"/>
                <w:color w:val="auto"/>
              </w:rPr>
            </w:pPr>
            <w:r>
              <w:rPr>
                <w:rFonts w:ascii="Arial" w:cs="Arial" w:eastAsia="Arial" w:hAnsi="Arial"/>
                <w:sz w:val="12"/>
                <w:szCs w:val="12"/>
                <w:color w:val="auto"/>
              </w:rPr>
              <w:t>—</w:t>
            </w:r>
          </w:p>
        </w:tc>
        <w:tc>
          <w:tcPr>
            <w:tcW w:w="1640" w:type="dxa"/>
            <w:vAlign w:val="bottom"/>
            <w:gridSpan w:val="3"/>
            <w:shd w:val="clear" w:color="auto" w:fill="CCEEFF"/>
          </w:tcPr>
          <w:p>
            <w:pPr>
              <w:jc w:val="right"/>
              <w:ind w:right="128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6280" w:type="dxa"/>
            <w:vAlign w:val="bottom"/>
            <w:gridSpan w:val="2"/>
          </w:tcPr>
          <w:p>
            <w:pPr>
              <w:ind w:left="100"/>
              <w:spacing w:after="0"/>
              <w:rPr>
                <w:sz w:val="20"/>
                <w:szCs w:val="20"/>
                <w:color w:val="auto"/>
              </w:rPr>
            </w:pPr>
            <w:r>
              <w:rPr>
                <w:rFonts w:ascii="Arial" w:cs="Arial" w:eastAsia="Arial" w:hAnsi="Arial"/>
                <w:sz w:val="12"/>
                <w:szCs w:val="12"/>
                <w:color w:val="auto"/>
              </w:rPr>
              <w:t>Sales</w:t>
            </w:r>
          </w:p>
        </w:tc>
        <w:tc>
          <w:tcPr>
            <w:tcW w:w="380" w:type="dxa"/>
            <w:vAlign w:val="bottom"/>
          </w:tcPr>
          <w:p>
            <w:pPr>
              <w:jc w:val="right"/>
              <w:ind w:right="2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ind w:right="12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1500" w:type="dxa"/>
            <w:vAlign w:val="bottom"/>
          </w:tcPr>
          <w:p>
            <w:pPr>
              <w:jc w:val="right"/>
              <w:ind w:right="20"/>
              <w:spacing w:after="0"/>
              <w:rPr>
                <w:sz w:val="20"/>
                <w:szCs w:val="20"/>
                <w:color w:val="auto"/>
              </w:rPr>
            </w:pPr>
            <w:r>
              <w:rPr>
                <w:rFonts w:ascii="Arial" w:cs="Arial" w:eastAsia="Arial" w:hAnsi="Arial"/>
                <w:sz w:val="12"/>
                <w:szCs w:val="12"/>
                <w:color w:val="auto"/>
              </w:rPr>
              <w:t>(8)</w:t>
            </w:r>
          </w:p>
        </w:tc>
      </w:tr>
      <w:tr>
        <w:trPr>
          <w:trHeight w:val="180"/>
        </w:trPr>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Production</w:t>
            </w:r>
          </w:p>
        </w:tc>
        <w:tc>
          <w:tcPr>
            <w:tcW w:w="1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r>
      <w:tr>
        <w:trPr>
          <w:trHeight w:val="172"/>
        </w:trPr>
        <w:tc>
          <w:tcPr>
            <w:tcW w:w="62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December 31, 2017</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442</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706</w:t>
            </w:r>
          </w:p>
        </w:tc>
        <w:tc>
          <w:tcPr>
            <w:tcW w:w="100" w:type="dxa"/>
            <w:vAlign w:val="bottom"/>
          </w:tcPr>
          <w:p>
            <w:pPr>
              <w:spacing w:after="0"/>
              <w:rPr>
                <w:sz w:val="14"/>
                <w:szCs w:val="14"/>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618</w:t>
            </w:r>
          </w:p>
        </w:tc>
      </w:tr>
      <w:tr>
        <w:trPr>
          <w:trHeight w:val="189"/>
        </w:trPr>
        <w:tc>
          <w:tcPr>
            <w:tcW w:w="5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176"/>
        </w:trPr>
        <w:tc>
          <w:tcPr>
            <w:tcW w:w="6280" w:type="dxa"/>
            <w:vAlign w:val="bottom"/>
            <w:gridSpan w:val="2"/>
          </w:tcPr>
          <w:p>
            <w:pPr>
              <w:ind w:left="20"/>
              <w:spacing w:after="0"/>
              <w:rPr>
                <w:sz w:val="20"/>
                <w:szCs w:val="20"/>
                <w:color w:val="auto"/>
              </w:rPr>
            </w:pPr>
            <w:r>
              <w:rPr>
                <w:rFonts w:ascii="Arial" w:cs="Arial" w:eastAsia="Arial" w:hAnsi="Arial"/>
                <w:sz w:val="12"/>
                <w:szCs w:val="12"/>
                <w:b w:val="1"/>
                <w:bCs w:val="1"/>
                <w:color w:val="auto"/>
              </w:rPr>
              <w:t>PROVED DEVELOPED RESERVES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5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December 31, 2014</w:t>
            </w:r>
          </w:p>
        </w:tc>
        <w:tc>
          <w:tcPr>
            <w:tcW w:w="1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387</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607</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552</w:t>
            </w:r>
          </w:p>
        </w:tc>
      </w:tr>
      <w:tr>
        <w:trPr>
          <w:trHeight w:val="178"/>
        </w:trPr>
        <w:tc>
          <w:tcPr>
            <w:tcW w:w="5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December 31, 2015</w:t>
            </w: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338</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47</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575</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481</w:t>
            </w:r>
          </w:p>
        </w:tc>
      </w:tr>
      <w:tr>
        <w:trPr>
          <w:trHeight w:val="178"/>
        </w:trPr>
        <w:tc>
          <w:tcPr>
            <w:tcW w:w="5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December 31, 2016</w:t>
            </w:r>
          </w:p>
        </w:tc>
        <w:tc>
          <w:tcPr>
            <w:tcW w:w="1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500</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406</w:t>
            </w:r>
          </w:p>
        </w:tc>
      </w:tr>
      <w:tr>
        <w:trPr>
          <w:trHeight w:val="178"/>
        </w:trPr>
        <w:tc>
          <w:tcPr>
            <w:tcW w:w="628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31, 2017</w:t>
            </w:r>
            <w:r>
              <w:rPr>
                <w:rFonts w:ascii="Arial" w:cs="Arial" w:eastAsia="Arial" w:hAnsi="Arial"/>
                <w:sz w:val="14"/>
                <w:szCs w:val="14"/>
                <w:b w:val="1"/>
                <w:bCs w:val="1"/>
                <w:color w:val="auto"/>
                <w:vertAlign w:val="superscript"/>
              </w:rPr>
              <w:t>(c)</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304</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543</w:t>
            </w:r>
          </w:p>
        </w:tc>
        <w:tc>
          <w:tcPr>
            <w:tcW w:w="100" w:type="dxa"/>
            <w:vAlign w:val="bottom"/>
          </w:tcPr>
          <w:p>
            <w:pPr>
              <w:spacing w:after="0"/>
              <w:rPr>
                <w:sz w:val="15"/>
                <w:szCs w:val="15"/>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440</w:t>
            </w:r>
          </w:p>
        </w:tc>
      </w:tr>
      <w:tr>
        <w:trPr>
          <w:trHeight w:val="189"/>
        </w:trPr>
        <w:tc>
          <w:tcPr>
            <w:tcW w:w="5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176"/>
        </w:trPr>
        <w:tc>
          <w:tcPr>
            <w:tcW w:w="6280" w:type="dxa"/>
            <w:vAlign w:val="bottom"/>
            <w:gridSpan w:val="2"/>
          </w:tcPr>
          <w:p>
            <w:pPr>
              <w:ind w:left="20"/>
              <w:spacing w:after="0"/>
              <w:rPr>
                <w:sz w:val="20"/>
                <w:szCs w:val="20"/>
                <w:color w:val="auto"/>
              </w:rPr>
            </w:pPr>
            <w:r>
              <w:rPr>
                <w:rFonts w:ascii="Arial" w:cs="Arial" w:eastAsia="Arial" w:hAnsi="Arial"/>
                <w:sz w:val="12"/>
                <w:szCs w:val="12"/>
                <w:b w:val="1"/>
                <w:bCs w:val="1"/>
                <w:color w:val="auto"/>
              </w:rPr>
              <w:t>PROVED UNDEVELOPED RESERVES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5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December 31, 2014</w:t>
            </w:r>
          </w:p>
        </w:tc>
        <w:tc>
          <w:tcPr>
            <w:tcW w:w="1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164</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183</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216</w:t>
            </w:r>
          </w:p>
        </w:tc>
      </w:tr>
      <w:tr>
        <w:trPr>
          <w:trHeight w:val="178"/>
        </w:trPr>
        <w:tc>
          <w:tcPr>
            <w:tcW w:w="5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December 31, 2015</w:t>
            </w: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128</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140</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163</w:t>
            </w:r>
          </w:p>
        </w:tc>
      </w:tr>
      <w:tr>
        <w:trPr>
          <w:trHeight w:val="178"/>
        </w:trPr>
        <w:tc>
          <w:tcPr>
            <w:tcW w:w="5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December 31, 2016</w:t>
            </w:r>
          </w:p>
        </w:tc>
        <w:tc>
          <w:tcPr>
            <w:tcW w:w="1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130</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162</w:t>
            </w:r>
          </w:p>
        </w:tc>
      </w:tr>
      <w:tr>
        <w:trPr>
          <w:trHeight w:val="171"/>
        </w:trPr>
        <w:tc>
          <w:tcPr>
            <w:tcW w:w="628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31, 2017</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138</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4"/>
                <w:szCs w:val="14"/>
                <w:color w:val="auto"/>
              </w:rPr>
            </w:pPr>
          </w:p>
        </w:tc>
        <w:tc>
          <w:tcPr>
            <w:tcW w:w="1500" w:type="dxa"/>
            <w:vAlign w:val="bottom"/>
          </w:tcPr>
          <w:p>
            <w:pPr>
              <w:jc w:val="right"/>
              <w:ind w:right="60"/>
              <w:spacing w:after="0"/>
              <w:rPr>
                <w:sz w:val="20"/>
                <w:szCs w:val="20"/>
                <w:color w:val="auto"/>
              </w:rPr>
            </w:pPr>
            <w:r>
              <w:rPr>
                <w:rFonts w:ascii="Arial" w:cs="Arial" w:eastAsia="Arial" w:hAnsi="Arial"/>
                <w:sz w:val="12"/>
                <w:szCs w:val="12"/>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0</wp:posOffset>
            </wp:positionV>
            <wp:extent cx="40093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09390" cy="17145"/>
                    </a:xfrm>
                    <a:prstGeom prst="rect">
                      <a:avLst/>
                    </a:prstGeom>
                    <a:noFill/>
                  </pic:spPr>
                </pic:pic>
              </a:graphicData>
            </a:graphic>
          </wp:anchor>
        </w:drawing>
      </w:r>
    </w:p>
    <w:p>
      <w:pPr>
        <w:spacing w:after="0" w:line="3" w:lineRule="exact"/>
        <w:rPr>
          <w:sz w:val="20"/>
          <w:szCs w:val="20"/>
          <w:color w:val="auto"/>
        </w:rPr>
      </w:pPr>
    </w:p>
    <w:p>
      <w:pPr>
        <w:ind w:left="420" w:hanging="212"/>
        <w:spacing w:after="0"/>
        <w:tabs>
          <w:tab w:leader="none" w:pos="420" w:val="left"/>
        </w:tabs>
        <w:numPr>
          <w:ilvl w:val="0"/>
          <w:numId w:val="65"/>
        </w:numPr>
        <w:rPr>
          <w:rFonts w:ascii="Arial" w:cs="Arial" w:eastAsia="Arial" w:hAnsi="Arial"/>
          <w:sz w:val="10"/>
          <w:szCs w:val="10"/>
          <w:color w:val="auto"/>
        </w:rPr>
      </w:pPr>
      <w:r>
        <w:rPr>
          <w:rFonts w:ascii="Arial" w:cs="Arial" w:eastAsia="Arial" w:hAnsi="Arial"/>
          <w:sz w:val="10"/>
          <w:szCs w:val="10"/>
          <w:color w:val="auto"/>
        </w:rPr>
        <w:t>Includes proved reserves related to economic arrangements similar to PSCs of 108 MMBbl, 85 MMBbl, 103 MMBbl and 116 MMBbl at December 31, 2017, 2016, 2015 and 2014, respectively.</w:t>
      </w:r>
    </w:p>
    <w:p>
      <w:pPr>
        <w:ind w:left="420" w:hanging="212"/>
        <w:spacing w:after="0" w:line="225" w:lineRule="auto"/>
        <w:tabs>
          <w:tab w:leader="none" w:pos="420" w:val="left"/>
        </w:tabs>
        <w:numPr>
          <w:ilvl w:val="0"/>
          <w:numId w:val="65"/>
        </w:numPr>
        <w:rPr>
          <w:rFonts w:ascii="Arial" w:cs="Arial" w:eastAsia="Arial" w:hAnsi="Arial"/>
          <w:sz w:val="10"/>
          <w:szCs w:val="10"/>
          <w:color w:val="auto"/>
        </w:rPr>
      </w:pPr>
      <w:r>
        <w:rPr>
          <w:rFonts w:ascii="Arial" w:cs="Arial" w:eastAsia="Arial" w:hAnsi="Arial"/>
          <w:sz w:val="10"/>
          <w:szCs w:val="10"/>
          <w:color w:val="auto"/>
        </w:rPr>
        <w:t>Natural gas volumes have been converted to Boe based on the equivalence of energy content between six Mcf of natural gas and one Bbl of oil. Barrels of oil equivalence does not necessarily result in price equivalence.</w:t>
      </w:r>
    </w:p>
    <w:p>
      <w:pPr>
        <w:ind w:left="420" w:right="160" w:hanging="212"/>
        <w:spacing w:after="0" w:line="232" w:lineRule="auto"/>
        <w:tabs>
          <w:tab w:leader="none" w:pos="420" w:val="left"/>
        </w:tabs>
        <w:numPr>
          <w:ilvl w:val="0"/>
          <w:numId w:val="65"/>
        </w:numPr>
        <w:rPr>
          <w:rFonts w:ascii="Arial" w:cs="Arial" w:eastAsia="Arial" w:hAnsi="Arial"/>
          <w:sz w:val="10"/>
          <w:szCs w:val="10"/>
          <w:color w:val="auto"/>
        </w:rPr>
      </w:pPr>
      <w:r>
        <w:rPr>
          <w:rFonts w:ascii="Arial" w:cs="Arial" w:eastAsia="Arial" w:hAnsi="Arial"/>
          <w:sz w:val="10"/>
          <w:szCs w:val="10"/>
          <w:color w:val="auto"/>
        </w:rPr>
        <w:t>Approximately 21% of proved developed oil reserves, 9% of proved developed NGLs reserves, 15% of proved developed natural gas reserves and, overall, 19% of total proved developed reserves are non-producing. A majority of our non-producing reserves relate to steamfloods and waterfloods where full peak production response has not yet occurred due to the nature of such projects.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1480"/>
          </w:cols>
          <w:pgMar w:left="220" w:top="377" w:right="1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59"/>
        </w:trPr>
        <w:tc>
          <w:tcPr>
            <w:tcW w:w="9300" w:type="dxa"/>
            <w:vAlign w:val="bottom"/>
          </w:tcPr>
          <w:p>
            <w:pPr>
              <w:spacing w:after="0"/>
              <w:rPr>
                <w:sz w:val="20"/>
                <w:szCs w:val="20"/>
                <w:color w:val="auto"/>
              </w:rPr>
            </w:pPr>
            <w:r>
              <w:rPr>
                <w:rFonts w:ascii="Arial" w:cs="Arial" w:eastAsia="Arial" w:hAnsi="Arial"/>
                <w:sz w:val="12"/>
                <w:szCs w:val="12"/>
                <w:b w:val="1"/>
                <w:bCs w:val="1"/>
                <w:color w:val="auto"/>
              </w:rPr>
              <w:t>CAPITALIZED COSTS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24"/>
        </w:trPr>
        <w:tc>
          <w:tcPr>
            <w:tcW w:w="9300" w:type="dxa"/>
            <w:vAlign w:val="bottom"/>
          </w:tcPr>
          <w:p>
            <w:pPr>
              <w:ind w:left="200"/>
              <w:spacing w:after="0"/>
              <w:rPr>
                <w:sz w:val="20"/>
                <w:szCs w:val="20"/>
                <w:color w:val="auto"/>
              </w:rPr>
            </w:pPr>
            <w:r>
              <w:rPr>
                <w:rFonts w:ascii="Arial" w:cs="Arial" w:eastAsia="Arial" w:hAnsi="Arial"/>
                <w:sz w:val="12"/>
                <w:szCs w:val="12"/>
                <w:color w:val="auto"/>
              </w:rPr>
              <w:t>Capitalized costs relating to oil and gas producing activities and related accumulated depreciation, depletion and amortization (DD&amp;A) were as follows: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6"/>
        </w:trPr>
        <w:tc>
          <w:tcPr>
            <w:tcW w:w="9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2"/>
                <w:szCs w:val="12"/>
                <w:b w:val="1"/>
                <w:bCs w:val="1"/>
                <w:color w:val="auto"/>
              </w:rPr>
              <w:t>As of December 31,</w:t>
            </w:r>
          </w:p>
        </w:tc>
      </w:tr>
      <w:tr>
        <w:trPr>
          <w:trHeight w:val="169"/>
        </w:trPr>
        <w:tc>
          <w:tcPr>
            <w:tcW w:w="9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2016</w:t>
            </w:r>
          </w:p>
        </w:tc>
      </w:tr>
      <w:tr>
        <w:trPr>
          <w:trHeight w:val="161"/>
        </w:trPr>
        <w:tc>
          <w:tcPr>
            <w:tcW w:w="9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0"/>
                <w:szCs w:val="10"/>
                <w:color w:val="auto"/>
              </w:rPr>
              <w:t>(in millions)</w:t>
            </w:r>
          </w:p>
        </w:tc>
        <w:tc>
          <w:tcPr>
            <w:tcW w:w="740" w:type="dxa"/>
            <w:vAlign w:val="bottom"/>
          </w:tcPr>
          <w:p>
            <w:pPr>
              <w:spacing w:after="0"/>
              <w:rPr>
                <w:sz w:val="13"/>
                <w:szCs w:val="13"/>
                <w:color w:val="auto"/>
              </w:rPr>
            </w:pPr>
          </w:p>
        </w:tc>
      </w:tr>
      <w:tr>
        <w:trPr>
          <w:trHeight w:val="184"/>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Proved properties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19,664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19,325</w:t>
            </w:r>
          </w:p>
        </w:tc>
      </w:tr>
      <w:tr>
        <w:trPr>
          <w:trHeight w:val="17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Unproved properties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1,111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1,111</w:t>
            </w:r>
          </w:p>
        </w:tc>
      </w:tr>
      <w:tr>
        <w:trPr>
          <w:trHeight w:val="165"/>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capitalized costs</w:t>
            </w:r>
            <w:r>
              <w:rPr>
                <w:rFonts w:ascii="Arial" w:cs="Arial" w:eastAsia="Arial" w:hAnsi="Arial"/>
                <w:sz w:val="14"/>
                <w:szCs w:val="14"/>
                <w:b w:val="1"/>
                <w:bCs w:val="1"/>
                <w:color w:val="auto"/>
                <w:vertAlign w:val="superscript"/>
              </w:rPr>
              <w:t>(a)</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20,775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20,436</w:t>
            </w:r>
          </w:p>
        </w:tc>
      </w:tr>
      <w:tr>
        <w:trPr>
          <w:trHeight w:val="180"/>
        </w:trPr>
        <w:tc>
          <w:tcPr>
            <w:tcW w:w="93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Accumulated depreciation, depletion and amortization</w:t>
            </w:r>
            <w:r>
              <w:rPr>
                <w:rFonts w:ascii="Arial" w:cs="Arial" w:eastAsia="Arial" w:hAnsi="Arial"/>
                <w:sz w:val="14"/>
                <w:szCs w:val="14"/>
                <w:color w:val="auto"/>
                <w:vertAlign w:val="superscript"/>
              </w:rPr>
              <w:t>(b)</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(15,391)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(14,891)</w:t>
            </w:r>
          </w:p>
        </w:tc>
      </w:tr>
      <w:tr>
        <w:trPr>
          <w:trHeight w:val="18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capitalized costs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5,384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5,545</w:t>
            </w:r>
          </w:p>
        </w:tc>
      </w:tr>
      <w:tr>
        <w:trPr>
          <w:trHeight w:val="98"/>
        </w:trPr>
        <w:tc>
          <w:tcPr>
            <w:tcW w:w="9300" w:type="dxa"/>
            <w:vAlign w:val="bottom"/>
          </w:tcPr>
          <w:p>
            <w:pPr>
              <w:ind w:left="200"/>
              <w:spacing w:after="0" w:line="99" w:lineRule="exact"/>
              <w:rPr>
                <w:sz w:val="20"/>
                <w:szCs w:val="20"/>
                <w:color w:val="auto"/>
              </w:rPr>
            </w:pPr>
            <w:r>
              <w:rPr>
                <w:rFonts w:ascii="Arial" w:cs="Arial" w:eastAsia="Arial" w:hAnsi="Arial"/>
                <w:sz w:val="10"/>
                <w:szCs w:val="10"/>
                <w:color w:val="auto"/>
              </w:rPr>
              <w:t>(a)  Includes acquisition costs, development costs and asset retirement obligations.</w:t>
            </w: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15"/>
        </w:trPr>
        <w:tc>
          <w:tcPr>
            <w:tcW w:w="9300" w:type="dxa"/>
            <w:vAlign w:val="bottom"/>
          </w:tcPr>
          <w:p>
            <w:pPr>
              <w:ind w:left="200"/>
              <w:spacing w:after="0"/>
              <w:rPr>
                <w:sz w:val="20"/>
                <w:szCs w:val="20"/>
                <w:color w:val="auto"/>
              </w:rPr>
            </w:pPr>
            <w:r>
              <w:rPr>
                <w:rFonts w:ascii="Arial" w:cs="Arial" w:eastAsia="Arial" w:hAnsi="Arial"/>
                <w:sz w:val="10"/>
                <w:szCs w:val="10"/>
                <w:color w:val="auto"/>
              </w:rPr>
              <w:t>(b)  Includes accumulated valuation allowance for total unproved properties of $819 million at December 31, 2017, 2016 and 2015.</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COSTS INCURRED</w:t>
      </w:r>
    </w:p>
    <w:p>
      <w:pPr>
        <w:spacing w:after="0" w:line="20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2"/>
          <w:szCs w:val="12"/>
          <w:color w:val="auto"/>
        </w:rPr>
        <w:t>Costs incurred relating to oil and gas activities include capital investments, exploration (whether expensed or capitalized), acquisitions and asset retirement obligations but exclude corporate items. The following table summarizes our costs incurred: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rPr>
              <w:t>For the years ended December 31,</w:t>
            </w:r>
          </w:p>
        </w:tc>
        <w:tc>
          <w:tcPr>
            <w:tcW w:w="660" w:type="dxa"/>
            <w:vAlign w:val="bottom"/>
            <w:tcBorders>
              <w:bottom w:val="single" w:sz="8" w:color="auto"/>
            </w:tcBorders>
          </w:tcPr>
          <w:p>
            <w:pPr>
              <w:spacing w:after="0"/>
              <w:rPr>
                <w:sz w:val="14"/>
                <w:szCs w:val="14"/>
                <w:color w:val="auto"/>
              </w:rPr>
            </w:pPr>
          </w:p>
        </w:tc>
      </w:tr>
      <w:tr>
        <w:trPr>
          <w:trHeight w:val="169"/>
        </w:trPr>
        <w:tc>
          <w:tcPr>
            <w:tcW w:w="8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2"/>
              <w:spacing w:after="0"/>
              <w:rPr>
                <w:sz w:val="20"/>
                <w:szCs w:val="20"/>
                <w:color w:val="auto"/>
              </w:rPr>
            </w:pPr>
            <w:r>
              <w:rPr>
                <w:rFonts w:ascii="Arial" w:cs="Arial" w:eastAsia="Arial" w:hAnsi="Arial"/>
                <w:sz w:val="12"/>
                <w:szCs w:val="12"/>
                <w:b w:val="1"/>
                <w:bCs w:val="1"/>
                <w:color w:val="auto"/>
                <w:w w:val="97"/>
              </w:rPr>
              <w:t>2016</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w w:val="97"/>
              </w:rPr>
              <w:t>2015</w:t>
            </w:r>
          </w:p>
        </w:tc>
      </w:tr>
      <w:tr>
        <w:trPr>
          <w:trHeight w:val="157"/>
        </w:trPr>
        <w:tc>
          <w:tcPr>
            <w:tcW w:w="8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color w:val="auto"/>
                <w:w w:val="94"/>
              </w:rPr>
              <w:t>(in millions)</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4"/>
        </w:trPr>
        <w:tc>
          <w:tcPr>
            <w:tcW w:w="8160" w:type="dxa"/>
            <w:vAlign w:val="bottom"/>
          </w:tcPr>
          <w:p>
            <w:pPr>
              <w:ind w:left="20"/>
              <w:spacing w:after="0"/>
              <w:rPr>
                <w:sz w:val="20"/>
                <w:szCs w:val="20"/>
                <w:color w:val="auto"/>
              </w:rPr>
            </w:pPr>
            <w:r>
              <w:rPr>
                <w:rFonts w:ascii="Arial" w:cs="Arial" w:eastAsia="Arial" w:hAnsi="Arial"/>
                <w:sz w:val="12"/>
                <w:szCs w:val="12"/>
                <w:color w:val="auto"/>
              </w:rPr>
              <w:t>Property acquisition costs</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5"/>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Proved properties</w:t>
            </w: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r>
      <w:tr>
        <w:trPr>
          <w:trHeight w:val="176"/>
        </w:trPr>
        <w:tc>
          <w:tcPr>
            <w:tcW w:w="8160" w:type="dxa"/>
            <w:vAlign w:val="bottom"/>
          </w:tcPr>
          <w:p>
            <w:pPr>
              <w:ind w:left="100"/>
              <w:spacing w:after="0"/>
              <w:rPr>
                <w:sz w:val="20"/>
                <w:szCs w:val="20"/>
                <w:color w:val="auto"/>
              </w:rPr>
            </w:pPr>
            <w:r>
              <w:rPr>
                <w:rFonts w:ascii="Arial" w:cs="Arial" w:eastAsia="Arial" w:hAnsi="Arial"/>
                <w:sz w:val="12"/>
                <w:szCs w:val="12"/>
                <w:color w:val="auto"/>
              </w:rPr>
              <w:t>Unproved properties</w:t>
            </w:r>
          </w:p>
        </w:tc>
        <w:tc>
          <w:tcPr>
            <w:tcW w:w="660" w:type="dxa"/>
            <w:vAlign w:val="bottom"/>
          </w:tcPr>
          <w:p>
            <w:pPr>
              <w:spacing w:after="0"/>
              <w:rPr>
                <w:sz w:val="15"/>
                <w:szCs w:val="15"/>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5"/>
                <w:szCs w:val="15"/>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65</w:t>
            </w:r>
          </w:p>
        </w:tc>
      </w:tr>
      <w:tr>
        <w:trPr>
          <w:trHeight w:val="185"/>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Exploration costs</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w:t>
            </w:r>
          </w:p>
        </w:tc>
      </w:tr>
      <w:tr>
        <w:trPr>
          <w:trHeight w:val="18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Development costs</w:t>
            </w:r>
            <w:r>
              <w:rPr>
                <w:rFonts w:ascii="Arial" w:cs="Arial" w:eastAsia="Arial" w:hAnsi="Arial"/>
                <w:sz w:val="14"/>
                <w:szCs w:val="14"/>
                <w:color w:val="auto"/>
                <w:vertAlign w:val="superscript"/>
              </w:rPr>
              <w:t>(a)</w:t>
            </w: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290</w:t>
            </w:r>
          </w:p>
        </w:tc>
      </w:tr>
      <w:tr>
        <w:trPr>
          <w:trHeight w:val="16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Costs incurred</w:t>
            </w: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475</w:t>
            </w:r>
          </w:p>
        </w:tc>
      </w:tr>
    </w:tbl>
    <w:p>
      <w:pPr>
        <w:spacing w:after="0" w:line="3" w:lineRule="exact"/>
        <w:rPr>
          <w:sz w:val="20"/>
          <w:szCs w:val="20"/>
          <w:color w:val="auto"/>
        </w:rPr>
      </w:pPr>
    </w:p>
    <w:p>
      <w:pPr>
        <w:ind w:left="420" w:hanging="212"/>
        <w:spacing w:after="0"/>
        <w:tabs>
          <w:tab w:leader="none" w:pos="420" w:val="left"/>
        </w:tabs>
        <w:numPr>
          <w:ilvl w:val="0"/>
          <w:numId w:val="66"/>
        </w:numPr>
        <w:rPr>
          <w:rFonts w:ascii="Arial" w:cs="Arial" w:eastAsia="Arial" w:hAnsi="Arial"/>
          <w:sz w:val="10"/>
          <w:szCs w:val="10"/>
          <w:color w:val="auto"/>
        </w:rPr>
      </w:pPr>
      <w:r>
        <w:rPr>
          <w:rFonts w:ascii="Arial" w:cs="Arial" w:eastAsia="Arial" w:hAnsi="Arial"/>
          <w:sz w:val="10"/>
          <w:szCs w:val="10"/>
          <w:color w:val="auto"/>
        </w:rPr>
        <w:t>Total development costs include a $5 million decrease, a $49 million increase and a $62 million decrease in asset retirement obligations in 2017, 2016 and 2015, respectively.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1480"/>
          </w:cols>
          <w:pgMar w:left="220" w:top="377" w:right="1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59"/>
        </w:trPr>
        <w:tc>
          <w:tcPr>
            <w:tcW w:w="5400" w:type="dxa"/>
            <w:vAlign w:val="bottom"/>
          </w:tcPr>
          <w:p>
            <w:pPr>
              <w:spacing w:after="0"/>
              <w:rPr>
                <w:sz w:val="20"/>
                <w:szCs w:val="20"/>
                <w:color w:val="auto"/>
              </w:rPr>
            </w:pPr>
            <w:r>
              <w:rPr>
                <w:rFonts w:ascii="Arial" w:cs="Arial" w:eastAsia="Arial" w:hAnsi="Arial"/>
                <w:sz w:val="12"/>
                <w:szCs w:val="12"/>
                <w:b w:val="1"/>
                <w:bCs w:val="1"/>
                <w:color w:val="auto"/>
              </w:rPr>
              <w:t>RESULTS OF OPERATIONS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70"/>
        </w:trPr>
        <w:tc>
          <w:tcPr>
            <w:tcW w:w="7360" w:type="dxa"/>
            <w:vAlign w:val="bottom"/>
            <w:gridSpan w:val="7"/>
          </w:tcPr>
          <w:p>
            <w:pPr>
              <w:ind w:left="200"/>
              <w:spacing w:after="0"/>
              <w:rPr>
                <w:sz w:val="20"/>
                <w:szCs w:val="20"/>
                <w:color w:val="auto"/>
              </w:rPr>
            </w:pPr>
            <w:r>
              <w:rPr>
                <w:rFonts w:ascii="Arial" w:cs="Arial" w:eastAsia="Arial" w:hAnsi="Arial"/>
                <w:sz w:val="12"/>
                <w:szCs w:val="12"/>
                <w:color w:val="auto"/>
              </w:rPr>
              <w:t>Our oil and gas producing activities, which exclude items such as asset dispositions and corporate overhead, were as follows: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2"/>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ind w:left="100"/>
              <w:spacing w:after="0"/>
              <w:rPr>
                <w:sz w:val="20"/>
                <w:szCs w:val="20"/>
                <w:color w:val="auto"/>
              </w:rPr>
            </w:pPr>
            <w:r>
              <w:rPr>
                <w:rFonts w:ascii="Arial" w:cs="Arial" w:eastAsia="Arial" w:hAnsi="Arial"/>
                <w:sz w:val="12"/>
                <w:szCs w:val="12"/>
                <w:b w:val="1"/>
                <w:bCs w:val="1"/>
                <w:color w:val="auto"/>
              </w:rPr>
              <w:t>For the years ended December 31,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69"/>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89"/>
              </w:rPr>
              <w:t>2017</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w w:val="97"/>
              </w:rPr>
              <w:t>2016</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2015</w:t>
            </w:r>
          </w:p>
        </w:tc>
        <w:tc>
          <w:tcPr>
            <w:tcW w:w="740" w:type="dxa"/>
            <w:vAlign w:val="bottom"/>
            <w:tcBorders>
              <w:bottom w:val="single" w:sz="8" w:color="auto"/>
            </w:tcBorders>
          </w:tcPr>
          <w:p>
            <w:pPr>
              <w:spacing w:after="0"/>
              <w:rPr>
                <w:sz w:val="14"/>
                <w:szCs w:val="14"/>
                <w:color w:val="auto"/>
              </w:rPr>
            </w:pPr>
          </w:p>
        </w:tc>
      </w:tr>
      <w:tr>
        <w:trPr>
          <w:trHeight w:val="174"/>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41"/>
              <w:spacing w:after="0"/>
              <w:rPr>
                <w:sz w:val="20"/>
                <w:szCs w:val="20"/>
                <w:color w:val="auto"/>
              </w:rPr>
            </w:pPr>
            <w:r>
              <w:rPr>
                <w:rFonts w:ascii="Arial" w:cs="Arial" w:eastAsia="Arial" w:hAnsi="Arial"/>
                <w:sz w:val="10"/>
                <w:szCs w:val="10"/>
                <w:color w:val="auto"/>
              </w:rPr>
              <w:t>(millions)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Arial" w:cs="Arial" w:eastAsia="Arial" w:hAnsi="Arial"/>
                <w:sz w:val="10"/>
                <w:szCs w:val="10"/>
                <w:color w:val="auto"/>
              </w:rPr>
              <w:t>($/Boe)</w:t>
            </w:r>
            <w:r>
              <w:rPr>
                <w:rFonts w:ascii="Arial" w:cs="Arial" w:eastAsia="Arial" w:hAnsi="Arial"/>
                <w:sz w:val="11"/>
                <w:szCs w:val="11"/>
                <w:color w:val="auto"/>
                <w:vertAlign w:val="superscript"/>
              </w:rPr>
              <w:t>(a)</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41"/>
              <w:spacing w:after="0"/>
              <w:rPr>
                <w:sz w:val="20"/>
                <w:szCs w:val="20"/>
                <w:color w:val="auto"/>
              </w:rPr>
            </w:pPr>
            <w:r>
              <w:rPr>
                <w:rFonts w:ascii="Arial" w:cs="Arial" w:eastAsia="Arial" w:hAnsi="Arial"/>
                <w:sz w:val="10"/>
                <w:szCs w:val="10"/>
                <w:color w:val="auto"/>
              </w:rPr>
              <w:t>(millions)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0"/>
                <w:szCs w:val="10"/>
                <w:color w:val="auto"/>
              </w:rPr>
              <w:t>($/Boe)</w:t>
            </w:r>
            <w:r>
              <w:rPr>
                <w:rFonts w:ascii="Arial" w:cs="Arial" w:eastAsia="Arial" w:hAnsi="Arial"/>
                <w:sz w:val="11"/>
                <w:szCs w:val="11"/>
                <w:color w:val="auto"/>
                <w:vertAlign w:val="superscript"/>
              </w:rPr>
              <w:t>(a)</w:t>
            </w: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0"/>
                <w:szCs w:val="10"/>
                <w:color w:val="auto"/>
              </w:rPr>
              <w:t>(millions)</w:t>
            </w:r>
          </w:p>
        </w:tc>
        <w:tc>
          <w:tcPr>
            <w:tcW w:w="16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Arial" w:cs="Arial" w:eastAsia="Arial" w:hAnsi="Arial"/>
                <w:sz w:val="10"/>
                <w:szCs w:val="10"/>
                <w:color w:val="auto"/>
              </w:rPr>
              <w:t>($/Boe)</w:t>
            </w:r>
            <w:r>
              <w:rPr>
                <w:rFonts w:ascii="Arial" w:cs="Arial" w:eastAsia="Arial" w:hAnsi="Arial"/>
                <w:sz w:val="11"/>
                <w:szCs w:val="11"/>
                <w:color w:val="auto"/>
                <w:vertAlign w:val="superscript"/>
              </w:rPr>
              <w:t>(a)</w:t>
            </w: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w:t>
            </w:r>
            <w:r>
              <w:rPr>
                <w:rFonts w:ascii="Arial" w:cs="Arial" w:eastAsia="Arial" w:hAnsi="Arial"/>
                <w:sz w:val="14"/>
                <w:szCs w:val="14"/>
                <w:color w:val="auto"/>
                <w:vertAlign w:val="superscript"/>
              </w:rPr>
              <w:t>(b)</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1,931</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41.09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2,222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38.07</w:t>
            </w:r>
          </w:p>
        </w:tc>
      </w:tr>
      <w:tr>
        <w:trPr>
          <w:trHeight w:val="180"/>
        </w:trPr>
        <w:tc>
          <w:tcPr>
            <w:tcW w:w="5400" w:type="dxa"/>
            <w:vAlign w:val="bottom"/>
          </w:tcPr>
          <w:p>
            <w:pPr>
              <w:ind w:left="20"/>
              <w:spacing w:after="0"/>
              <w:rPr>
                <w:sz w:val="20"/>
                <w:szCs w:val="20"/>
                <w:color w:val="auto"/>
              </w:rPr>
            </w:pPr>
            <w:r>
              <w:rPr>
                <w:rFonts w:ascii="Arial" w:cs="Arial" w:eastAsia="Arial" w:hAnsi="Arial"/>
                <w:sz w:val="12"/>
                <w:szCs w:val="12"/>
                <w:color w:val="auto"/>
              </w:rPr>
              <w:t>Production costs</w:t>
            </w:r>
            <w:r>
              <w:rPr>
                <w:rFonts w:ascii="Arial" w:cs="Arial" w:eastAsia="Arial" w:hAnsi="Arial"/>
                <w:sz w:val="14"/>
                <w:szCs w:val="14"/>
                <w:color w:val="auto"/>
                <w:vertAlign w:val="superscript"/>
              </w:rPr>
              <w:t>(c)</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876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1"/>
              <w:spacing w:after="0"/>
              <w:rPr>
                <w:sz w:val="20"/>
                <w:szCs w:val="20"/>
                <w:color w:val="auto"/>
              </w:rPr>
            </w:pPr>
            <w:r>
              <w:rPr>
                <w:rFonts w:ascii="Arial" w:cs="Arial" w:eastAsia="Arial" w:hAnsi="Arial"/>
                <w:sz w:val="12"/>
                <w:szCs w:val="12"/>
                <w:color w:val="auto"/>
              </w:rPr>
              <w:t>18.64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15.61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951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16.30</w:t>
            </w: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Adjusted general and administrative expenses</w:t>
            </w:r>
            <w:r>
              <w:rPr>
                <w:rFonts w:ascii="Arial" w:cs="Arial" w:eastAsia="Arial" w:hAnsi="Arial"/>
                <w:sz w:val="14"/>
                <w:szCs w:val="14"/>
                <w:color w:val="auto"/>
                <w:vertAlign w:val="superscript"/>
              </w:rPr>
              <w:t>(d)</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1.00</w:t>
            </w:r>
          </w:p>
        </w:tc>
      </w:tr>
      <w:tr>
        <w:trPr>
          <w:trHeight w:val="180"/>
        </w:trPr>
        <w:tc>
          <w:tcPr>
            <w:tcW w:w="5400" w:type="dxa"/>
            <w:vAlign w:val="bottom"/>
          </w:tcPr>
          <w:p>
            <w:pPr>
              <w:ind w:left="20"/>
              <w:spacing w:after="0"/>
              <w:rPr>
                <w:sz w:val="20"/>
                <w:szCs w:val="20"/>
                <w:color w:val="auto"/>
              </w:rPr>
            </w:pPr>
            <w:r>
              <w:rPr>
                <w:rFonts w:ascii="Arial" w:cs="Arial" w:eastAsia="Arial" w:hAnsi="Arial"/>
                <w:sz w:val="12"/>
                <w:szCs w:val="12"/>
                <w:color w:val="auto"/>
              </w:rPr>
              <w:t>Adjusted other operating expenses</w:t>
            </w:r>
            <w:r>
              <w:rPr>
                <w:rFonts w:ascii="Arial" w:cs="Arial" w:eastAsia="Arial" w:hAnsi="Arial"/>
                <w:sz w:val="14"/>
                <w:szCs w:val="14"/>
                <w:color w:val="auto"/>
                <w:vertAlign w:val="superscript"/>
              </w:rPr>
              <w:t>(e)</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1"/>
              <w:spacing w:after="0"/>
              <w:rPr>
                <w:sz w:val="20"/>
                <w:szCs w:val="20"/>
                <w:color w:val="auto"/>
              </w:rPr>
            </w:pPr>
            <w:r>
              <w:rPr>
                <w:rFonts w:ascii="Arial" w:cs="Arial" w:eastAsia="Arial" w:hAnsi="Arial"/>
                <w:sz w:val="12"/>
                <w:szCs w:val="12"/>
                <w:color w:val="auto"/>
              </w:rPr>
              <w:t>0.56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0.67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0.36</w:t>
            </w: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depletion and amortization</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16.72</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Taxes other than on income</w:t>
            </w:r>
          </w:p>
        </w:tc>
        <w:tc>
          <w:tcPr>
            <w:tcW w:w="180" w:type="dxa"/>
            <w:vAlign w:val="bottom"/>
          </w:tcPr>
          <w:p>
            <w:pPr>
              <w:spacing w:after="0"/>
              <w:rPr>
                <w:sz w:val="15"/>
                <w:szCs w:val="15"/>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110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1"/>
              <w:spacing w:after="0"/>
              <w:rPr>
                <w:sz w:val="20"/>
                <w:szCs w:val="20"/>
                <w:color w:val="auto"/>
              </w:rPr>
            </w:pPr>
            <w:r>
              <w:rPr>
                <w:rFonts w:ascii="Arial" w:cs="Arial" w:eastAsia="Arial" w:hAnsi="Arial"/>
                <w:sz w:val="12"/>
                <w:szCs w:val="12"/>
                <w:color w:val="auto"/>
              </w:rPr>
              <w:t>2.34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2.36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156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2.67</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 impairments</w:t>
            </w:r>
            <w:r>
              <w:rPr>
                <w:rFonts w:ascii="Arial" w:cs="Arial" w:eastAsia="Arial" w:hAnsi="Arial"/>
                <w:sz w:val="14"/>
                <w:szCs w:val="14"/>
                <w:color w:val="auto"/>
                <w:vertAlign w:val="superscript"/>
              </w:rPr>
              <w:t>(f)</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4,852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83.14</w:t>
            </w:r>
          </w:p>
        </w:tc>
      </w:tr>
      <w:tr>
        <w:trPr>
          <w:trHeight w:val="17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Exploration expenses</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0.47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0.45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0.62</w:t>
            </w:r>
          </w:p>
        </w:tc>
      </w:tr>
      <w:tr>
        <w:trPr>
          <w:trHeight w:val="16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Pretax income (loss)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(4,828)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(82.74)</w:t>
            </w:r>
          </w:p>
        </w:tc>
      </w:tr>
      <w:tr>
        <w:trPr>
          <w:trHeight w:val="18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r>
              <w:rPr>
                <w:rFonts w:ascii="Arial" w:cs="Arial" w:eastAsia="Arial" w:hAnsi="Arial"/>
                <w:sz w:val="14"/>
                <w:szCs w:val="14"/>
                <w:color w:val="auto"/>
                <w:vertAlign w:val="superscript"/>
              </w:rPr>
              <w:t>(g)</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1,968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33.72</w:t>
            </w:r>
          </w:p>
        </w:tc>
      </w:tr>
      <w:tr>
        <w:trPr>
          <w:trHeight w:val="16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Results of operations</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238</w:t>
            </w: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5.06</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(2,860)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(49.02)</w:t>
            </w:r>
          </w:p>
        </w:tc>
      </w:tr>
    </w:tbl>
    <w:p>
      <w:pPr>
        <w:ind w:left="420" w:hanging="212"/>
        <w:spacing w:after="0" w:line="232" w:lineRule="auto"/>
        <w:tabs>
          <w:tab w:leader="none" w:pos="420" w:val="left"/>
        </w:tabs>
        <w:numPr>
          <w:ilvl w:val="0"/>
          <w:numId w:val="67"/>
        </w:numPr>
        <w:rPr>
          <w:rFonts w:ascii="Arial" w:cs="Arial" w:eastAsia="Arial" w:hAnsi="Arial"/>
          <w:sz w:val="10"/>
          <w:szCs w:val="10"/>
          <w:color w:val="auto"/>
        </w:rPr>
      </w:pPr>
      <w:r>
        <w:rPr>
          <w:rFonts w:ascii="Arial" w:cs="Arial" w:eastAsia="Arial" w:hAnsi="Arial"/>
          <w:sz w:val="10"/>
          <w:szCs w:val="10"/>
          <w:color w:val="auto"/>
        </w:rPr>
        <w:t>Natural gas volumes have been converted to Boe based on the equivalence of energy content between six Mcf of natural gas and one Bbl of oil.</w:t>
      </w:r>
    </w:p>
    <w:p>
      <w:pPr>
        <w:ind w:left="420" w:hanging="212"/>
        <w:spacing w:after="0" w:line="225" w:lineRule="auto"/>
        <w:tabs>
          <w:tab w:leader="none" w:pos="420" w:val="left"/>
        </w:tabs>
        <w:numPr>
          <w:ilvl w:val="0"/>
          <w:numId w:val="67"/>
        </w:numPr>
        <w:rPr>
          <w:rFonts w:ascii="Arial" w:cs="Arial" w:eastAsia="Arial" w:hAnsi="Arial"/>
          <w:sz w:val="10"/>
          <w:szCs w:val="10"/>
          <w:color w:val="auto"/>
        </w:rPr>
      </w:pPr>
      <w:r>
        <w:rPr>
          <w:rFonts w:ascii="Arial" w:cs="Arial" w:eastAsia="Arial" w:hAnsi="Arial"/>
          <w:sz w:val="10"/>
          <w:szCs w:val="10"/>
          <w:color w:val="auto"/>
        </w:rPr>
        <w:t>Revenues are net of royalty payments.</w:t>
      </w:r>
    </w:p>
    <w:p>
      <w:pPr>
        <w:ind w:left="420" w:right="20" w:hanging="212"/>
        <w:spacing w:after="0" w:line="225" w:lineRule="auto"/>
        <w:tabs>
          <w:tab w:leader="none" w:pos="420" w:val="left"/>
        </w:tabs>
        <w:numPr>
          <w:ilvl w:val="0"/>
          <w:numId w:val="67"/>
        </w:numPr>
        <w:rPr>
          <w:rFonts w:ascii="Arial" w:cs="Arial" w:eastAsia="Arial" w:hAnsi="Arial"/>
          <w:sz w:val="10"/>
          <w:szCs w:val="10"/>
          <w:color w:val="auto"/>
        </w:rPr>
      </w:pPr>
      <w:r>
        <w:rPr>
          <w:rFonts w:ascii="Arial" w:cs="Arial" w:eastAsia="Arial" w:hAnsi="Arial"/>
          <w:sz w:val="10"/>
          <w:szCs w:val="10"/>
          <w:color w:val="auto"/>
        </w:rPr>
        <w:t>Production costs are the costs incurred in lifting the oil and natural gas to the surface and include gathering, processing, field storage and insurance on proved properties. Production costs on a per Boe basis, excluding the effects of PSC contracts, were $17.48, $14.69 and $15.58 for 2017, 2016 and 2015, respectively.</w:t>
      </w:r>
    </w:p>
    <w:p>
      <w:pPr>
        <w:ind w:left="420" w:right="500" w:hanging="212"/>
        <w:spacing w:after="0" w:line="225" w:lineRule="auto"/>
        <w:tabs>
          <w:tab w:leader="none" w:pos="420" w:val="left"/>
        </w:tabs>
        <w:numPr>
          <w:ilvl w:val="0"/>
          <w:numId w:val="67"/>
        </w:numPr>
        <w:rPr>
          <w:rFonts w:ascii="Arial" w:cs="Arial" w:eastAsia="Arial" w:hAnsi="Arial"/>
          <w:sz w:val="10"/>
          <w:szCs w:val="10"/>
          <w:color w:val="auto"/>
        </w:rPr>
      </w:pPr>
      <w:r>
        <w:rPr>
          <w:rFonts w:ascii="Arial" w:cs="Arial" w:eastAsia="Arial" w:hAnsi="Arial"/>
          <w:sz w:val="10"/>
          <w:szCs w:val="10"/>
          <w:color w:val="auto"/>
        </w:rPr>
        <w:t>Amounts exclude unusual and infrequent charges related to severance and early retirement costs associated with field personnel totaling $5 million ($0.10 per Boe), $6 million ($0.12 per Boe) and $18 million ($0.31 per Boe) for 2017, 2016 and 2015, respectively.</w:t>
      </w:r>
    </w:p>
    <w:p>
      <w:pPr>
        <w:ind w:left="420" w:right="60" w:hanging="212"/>
        <w:spacing w:after="0" w:line="225" w:lineRule="auto"/>
        <w:tabs>
          <w:tab w:leader="none" w:pos="420" w:val="left"/>
        </w:tabs>
        <w:numPr>
          <w:ilvl w:val="0"/>
          <w:numId w:val="67"/>
        </w:numPr>
        <w:rPr>
          <w:rFonts w:ascii="Arial" w:cs="Arial" w:eastAsia="Arial" w:hAnsi="Arial"/>
          <w:sz w:val="10"/>
          <w:szCs w:val="10"/>
          <w:color w:val="auto"/>
        </w:rPr>
      </w:pPr>
      <w:r>
        <w:rPr>
          <w:rFonts w:ascii="Arial" w:cs="Arial" w:eastAsia="Arial" w:hAnsi="Arial"/>
          <w:sz w:val="10"/>
          <w:szCs w:val="10"/>
          <w:color w:val="auto"/>
        </w:rPr>
        <w:t>For 2017, the amount excludes net unusual and infrequent charges of $5 million ($0.10 per Boe) primarily related to rig termination expenses partially offset by property tax refunds, recovery of amounts due from joint interest partners and other items. For 2016, the amount excludes net unusual and infrequent gains of $18 million ($0.35 per Boe) that include refunds partially offset by plant turnaround charges and other items. For 2015, the amount excludes charges related to the write-down of certain assets and rig termination charges of $82 million ($1.42 per Boe).</w:t>
      </w:r>
    </w:p>
    <w:p>
      <w:pPr>
        <w:ind w:left="420" w:hanging="212"/>
        <w:spacing w:after="0" w:line="225" w:lineRule="auto"/>
        <w:tabs>
          <w:tab w:leader="none" w:pos="420" w:val="left"/>
        </w:tabs>
        <w:numPr>
          <w:ilvl w:val="0"/>
          <w:numId w:val="67"/>
        </w:numPr>
        <w:rPr>
          <w:rFonts w:ascii="Arial" w:cs="Arial" w:eastAsia="Arial" w:hAnsi="Arial"/>
          <w:sz w:val="10"/>
          <w:szCs w:val="10"/>
          <w:color w:val="auto"/>
        </w:rPr>
      </w:pPr>
      <w:r>
        <w:rPr>
          <w:rFonts w:ascii="Arial" w:cs="Arial" w:eastAsia="Arial" w:hAnsi="Arial"/>
          <w:sz w:val="10"/>
          <w:szCs w:val="10"/>
          <w:color w:val="auto"/>
        </w:rPr>
        <w:t>At year-end 2015, we recorded pre-tax asset impairment charges of $4.9 billion on certain proved and unproved properties in the San Joaquin, Los Angeles, Ventura and Sacramento basins</w:t>
      </w:r>
    </w:p>
    <w:p>
      <w:pPr>
        <w:ind w:left="420" w:hanging="212"/>
        <w:spacing w:after="0"/>
        <w:tabs>
          <w:tab w:leader="none" w:pos="420" w:val="left"/>
        </w:tabs>
        <w:numPr>
          <w:ilvl w:val="0"/>
          <w:numId w:val="67"/>
        </w:numPr>
        <w:rPr>
          <w:rFonts w:ascii="Arial" w:cs="Arial" w:eastAsia="Arial" w:hAnsi="Arial"/>
          <w:sz w:val="10"/>
          <w:szCs w:val="10"/>
          <w:color w:val="auto"/>
        </w:rPr>
      </w:pPr>
      <w:r>
        <w:rPr>
          <w:rFonts w:ascii="Arial" w:cs="Arial" w:eastAsia="Arial" w:hAnsi="Arial"/>
          <w:sz w:val="10"/>
          <w:szCs w:val="10"/>
          <w:color w:val="auto"/>
        </w:rPr>
        <w:t>Income taxes are calculated on the basis of a stand-alone tax filing entity. The 2017 amount reflects the benefit of tax credits.</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1480"/>
          </w:cols>
          <w:pgMar w:left="220" w:top="377" w:right="199"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b w:val="1"/>
          <w:bCs w:val="1"/>
          <w:color w:val="auto"/>
        </w:rPr>
        <w:t>STANDARDIZED MEASURE, INCLUDING YEAR-TO-YEAR CHANGES THEREIN, OF DISCOUNTED FUTURE NET CASH FLOWS</w:t>
      </w:r>
    </w:p>
    <w:p>
      <w:pPr>
        <w:spacing w:after="0" w:line="200" w:lineRule="exact"/>
        <w:rPr>
          <w:sz w:val="20"/>
          <w:szCs w:val="20"/>
          <w:color w:val="auto"/>
        </w:rPr>
      </w:pPr>
    </w:p>
    <w:p>
      <w:pPr>
        <w:ind w:firstLine="216"/>
        <w:spacing w:after="0" w:line="252" w:lineRule="auto"/>
        <w:rPr>
          <w:sz w:val="20"/>
          <w:szCs w:val="20"/>
          <w:color w:val="auto"/>
        </w:rPr>
      </w:pPr>
      <w:r>
        <w:rPr>
          <w:rFonts w:ascii="Arial" w:cs="Arial" w:eastAsia="Arial" w:hAnsi="Arial"/>
          <w:sz w:val="12"/>
          <w:szCs w:val="12"/>
          <w:color w:val="auto"/>
        </w:rPr>
        <w:t>For purposes of the following disclosures, discounted future net cash flows were computed by applying to our proved oil and gas reserves the unweighted arithmetic average of the first-day-of-the-month price for each month within the years ended December 31, 2017, 2016 and 2015,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2017, 2016 and 2015. Such assumptions, which are prescribed by regulation, have not always proven accurate in the past. Other valid assumptions would give rise to substantially different results.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60" w:type="dxa"/>
            <w:vAlign w:val="bottom"/>
          </w:tcPr>
          <w:p>
            <w:pPr>
              <w:spacing w:after="0"/>
              <w:rPr>
                <w:sz w:val="20"/>
                <w:szCs w:val="20"/>
                <w:color w:val="auto"/>
              </w:rPr>
            </w:pPr>
            <w:r>
              <w:rPr>
                <w:rFonts w:ascii="Arial" w:cs="Arial" w:eastAsia="Arial" w:hAnsi="Arial"/>
                <w:sz w:val="12"/>
                <w:szCs w:val="12"/>
                <w:b w:val="1"/>
                <w:bCs w:val="1"/>
                <w:color w:val="auto"/>
              </w:rPr>
              <w:t>Standardized Measure of Discounted Future Net Cash Flows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66"/>
        </w:trPr>
        <w:tc>
          <w:tcPr>
            <w:tcW w:w="8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b w:val="1"/>
                <w:bCs w:val="1"/>
                <w:color w:val="auto"/>
                <w:w w:val="99"/>
              </w:rPr>
              <w:t>At December 31,</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169"/>
        </w:trPr>
        <w:tc>
          <w:tcPr>
            <w:tcW w:w="8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b w:val="1"/>
                <w:bCs w:val="1"/>
                <w:color w:val="auto"/>
                <w:w w:val="97"/>
              </w:rPr>
              <w:t>2016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2015</w:t>
            </w:r>
          </w:p>
        </w:tc>
      </w:tr>
      <w:tr>
        <w:trPr>
          <w:trHeight w:val="161"/>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color w:val="auto"/>
                <w:w w:val="94"/>
              </w:rPr>
              <w:t>(in millions)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Future cash inflows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26,685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18,831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26,477</w:t>
            </w:r>
          </w:p>
        </w:tc>
      </w:tr>
      <w:tr>
        <w:trPr>
          <w:trHeight w:val="176"/>
        </w:trPr>
        <w:tc>
          <w:tcPr>
            <w:tcW w:w="8160" w:type="dxa"/>
            <w:vAlign w:val="bottom"/>
          </w:tcPr>
          <w:p>
            <w:pPr>
              <w:ind w:left="20"/>
              <w:spacing w:after="0"/>
              <w:rPr>
                <w:sz w:val="20"/>
                <w:szCs w:val="20"/>
                <w:color w:val="auto"/>
              </w:rPr>
            </w:pPr>
            <w:r>
              <w:rPr>
                <w:rFonts w:ascii="Arial" w:cs="Arial" w:eastAsia="Arial" w:hAnsi="Arial"/>
                <w:sz w:val="12"/>
                <w:szCs w:val="12"/>
                <w:color w:val="auto"/>
              </w:rPr>
              <w:t>Future costs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Production costs</w:t>
            </w:r>
            <w:r>
              <w:rPr>
                <w:rFonts w:ascii="Arial" w:cs="Arial" w:eastAsia="Arial" w:hAnsi="Arial"/>
                <w:sz w:val="14"/>
                <w:szCs w:val="14"/>
                <w:color w:val="auto"/>
                <w:vertAlign w:val="superscript"/>
              </w:rPr>
              <w:t>(a)</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(13,988)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(10,092)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(13,458)</w:t>
            </w:r>
          </w:p>
        </w:tc>
      </w:tr>
      <w:tr>
        <w:trPr>
          <w:trHeight w:val="180"/>
        </w:trPr>
        <w:tc>
          <w:tcPr>
            <w:tcW w:w="8160" w:type="dxa"/>
            <w:vAlign w:val="bottom"/>
          </w:tcPr>
          <w:p>
            <w:pPr>
              <w:ind w:left="100"/>
              <w:spacing w:after="0"/>
              <w:rPr>
                <w:sz w:val="20"/>
                <w:szCs w:val="20"/>
                <w:color w:val="auto"/>
              </w:rPr>
            </w:pPr>
            <w:r>
              <w:rPr>
                <w:rFonts w:ascii="Arial" w:cs="Arial" w:eastAsia="Arial" w:hAnsi="Arial"/>
                <w:sz w:val="12"/>
                <w:szCs w:val="12"/>
                <w:color w:val="auto"/>
              </w:rPr>
              <w:t>Development costs</w:t>
            </w:r>
            <w:r>
              <w:rPr>
                <w:rFonts w:ascii="Arial" w:cs="Arial" w:eastAsia="Arial" w:hAnsi="Arial"/>
                <w:sz w:val="14"/>
                <w:szCs w:val="14"/>
                <w:color w:val="auto"/>
                <w:vertAlign w:val="superscript"/>
              </w:rPr>
              <w:t>(b)</w:t>
            </w:r>
          </w:p>
        </w:tc>
        <w:tc>
          <w:tcPr>
            <w:tcW w:w="22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(3,848)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(3,376)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(3,502)</w:t>
            </w:r>
          </w:p>
        </w:tc>
      </w:tr>
      <w:tr>
        <w:trPr>
          <w:trHeight w:val="176"/>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Future income tax expense</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(1,585)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(340)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(1,858)</w:t>
            </w:r>
          </w:p>
        </w:tc>
      </w:tr>
      <w:tr>
        <w:trPr>
          <w:trHeight w:val="160"/>
        </w:trPr>
        <w:tc>
          <w:tcPr>
            <w:tcW w:w="8160" w:type="dxa"/>
            <w:vAlign w:val="bottom"/>
          </w:tcPr>
          <w:p>
            <w:pPr>
              <w:ind w:left="20"/>
              <w:spacing w:after="0"/>
              <w:rPr>
                <w:sz w:val="20"/>
                <w:szCs w:val="20"/>
                <w:color w:val="auto"/>
              </w:rPr>
            </w:pPr>
            <w:r>
              <w:rPr>
                <w:rFonts w:ascii="Arial" w:cs="Arial" w:eastAsia="Arial" w:hAnsi="Arial"/>
                <w:sz w:val="12"/>
                <w:szCs w:val="12"/>
                <w:color w:val="auto"/>
              </w:rPr>
              <w:t>Future net cash flows</w:t>
            </w:r>
          </w:p>
        </w:tc>
        <w:tc>
          <w:tcPr>
            <w:tcW w:w="220" w:type="dxa"/>
            <w:vAlign w:val="bottom"/>
          </w:tcPr>
          <w:p>
            <w:pPr>
              <w:spacing w:after="0"/>
              <w:rPr>
                <w:sz w:val="13"/>
                <w:szCs w:val="13"/>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7,264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5,023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7,659</w:t>
            </w:r>
          </w:p>
        </w:tc>
      </w:tr>
      <w:tr>
        <w:trPr>
          <w:trHeight w:val="185"/>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Ten percent discount factor</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(3,499)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(2,356)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(3,635)</w:t>
            </w:r>
          </w:p>
        </w:tc>
      </w:tr>
      <w:tr>
        <w:trPr>
          <w:trHeight w:val="160"/>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Standardized measure of discounted future net cash flows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3,765</w:t>
            </w:r>
          </w:p>
        </w:tc>
        <w:tc>
          <w:tcPr>
            <w:tcW w:w="12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2,667</w:t>
            </w:r>
          </w:p>
        </w:tc>
        <w:tc>
          <w:tcPr>
            <w:tcW w:w="10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0</wp:posOffset>
            </wp:positionV>
            <wp:extent cx="21107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10740" cy="17145"/>
                    </a:xfrm>
                    <a:prstGeom prst="rect">
                      <a:avLst/>
                    </a:prstGeom>
                    <a:noFill/>
                  </pic:spPr>
                </pic:pic>
              </a:graphicData>
            </a:graphic>
          </wp:anchor>
        </w:drawing>
      </w:r>
    </w:p>
    <w:p>
      <w:pPr>
        <w:spacing w:after="0" w:line="3" w:lineRule="exact"/>
        <w:rPr>
          <w:sz w:val="20"/>
          <w:szCs w:val="20"/>
          <w:color w:val="auto"/>
        </w:rPr>
      </w:pPr>
    </w:p>
    <w:p>
      <w:pPr>
        <w:ind w:left="420" w:hanging="212"/>
        <w:spacing w:after="0"/>
        <w:tabs>
          <w:tab w:leader="none" w:pos="420" w:val="left"/>
        </w:tabs>
        <w:numPr>
          <w:ilvl w:val="0"/>
          <w:numId w:val="68"/>
        </w:numPr>
        <w:rPr>
          <w:rFonts w:ascii="Arial" w:cs="Arial" w:eastAsia="Arial" w:hAnsi="Arial"/>
          <w:sz w:val="10"/>
          <w:szCs w:val="10"/>
          <w:color w:val="auto"/>
        </w:rPr>
      </w:pPr>
      <w:r>
        <w:rPr>
          <w:rFonts w:ascii="Arial" w:cs="Arial" w:eastAsia="Arial" w:hAnsi="Arial"/>
          <w:sz w:val="10"/>
          <w:szCs w:val="10"/>
          <w:color w:val="auto"/>
        </w:rPr>
        <w:t>Includes general and administrative expenses and taxes other than on income.</w:t>
      </w:r>
    </w:p>
    <w:p>
      <w:pPr>
        <w:ind w:left="420" w:hanging="212"/>
        <w:spacing w:after="0"/>
        <w:tabs>
          <w:tab w:leader="none" w:pos="420" w:val="left"/>
        </w:tabs>
        <w:numPr>
          <w:ilvl w:val="0"/>
          <w:numId w:val="68"/>
        </w:numPr>
        <w:rPr>
          <w:rFonts w:ascii="Arial" w:cs="Arial" w:eastAsia="Arial" w:hAnsi="Arial"/>
          <w:sz w:val="10"/>
          <w:szCs w:val="10"/>
          <w:color w:val="auto"/>
        </w:rPr>
      </w:pPr>
      <w:r>
        <w:rPr>
          <w:rFonts w:ascii="Arial" w:cs="Arial" w:eastAsia="Arial" w:hAnsi="Arial"/>
          <w:sz w:val="10"/>
          <w:szCs w:val="10"/>
          <w:color w:val="auto"/>
        </w:rPr>
        <w:t>Includes asset retirement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1480"/>
          </w:cols>
          <w:pgMar w:left="220" w:top="377" w:right="1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59"/>
        </w:trPr>
        <w:tc>
          <w:tcPr>
            <w:tcW w:w="8160" w:type="dxa"/>
            <w:vAlign w:val="bottom"/>
          </w:tcPr>
          <w:p>
            <w:pPr>
              <w:spacing w:after="0"/>
              <w:rPr>
                <w:sz w:val="20"/>
                <w:szCs w:val="20"/>
                <w:color w:val="auto"/>
              </w:rPr>
            </w:pPr>
            <w:r>
              <w:rPr>
                <w:rFonts w:ascii="Arial" w:cs="Arial" w:eastAsia="Arial" w:hAnsi="Arial"/>
                <w:sz w:val="12"/>
                <w:szCs w:val="12"/>
                <w:b w:val="1"/>
                <w:bCs w:val="1"/>
                <w:color w:val="auto"/>
              </w:rPr>
              <w:t>Changes in the Standardized Measure of Discounted Future Net Cash Flows From Proved Reserves Quantities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57"/>
        </w:trPr>
        <w:tc>
          <w:tcPr>
            <w:tcW w:w="8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6"/>
          </w:tcPr>
          <w:p>
            <w:pPr>
              <w:jc w:val="center"/>
              <w:ind w:left="380"/>
              <w:spacing w:after="0"/>
              <w:rPr>
                <w:sz w:val="20"/>
                <w:szCs w:val="20"/>
                <w:color w:val="auto"/>
              </w:rPr>
            </w:pPr>
            <w:r>
              <w:rPr>
                <w:rFonts w:ascii="Arial" w:cs="Arial" w:eastAsia="Arial" w:hAnsi="Arial"/>
                <w:sz w:val="12"/>
                <w:szCs w:val="12"/>
                <w:b w:val="1"/>
                <w:bCs w:val="1"/>
                <w:color w:val="auto"/>
              </w:rPr>
              <w:t>For the years ended December 31,</w:t>
            </w:r>
          </w:p>
        </w:tc>
        <w:tc>
          <w:tcPr>
            <w:tcW w:w="660" w:type="dxa"/>
            <w:vAlign w:val="bottom"/>
            <w:tcBorders>
              <w:bottom w:val="single" w:sz="8" w:color="auto"/>
            </w:tcBorders>
          </w:tcPr>
          <w:p>
            <w:pPr>
              <w:spacing w:after="0"/>
              <w:rPr>
                <w:sz w:val="22"/>
                <w:szCs w:val="22"/>
                <w:color w:val="auto"/>
              </w:rPr>
            </w:pPr>
          </w:p>
        </w:tc>
      </w:tr>
      <w:tr>
        <w:trPr>
          <w:trHeight w:val="169"/>
        </w:trPr>
        <w:tc>
          <w:tcPr>
            <w:tcW w:w="8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b w:val="1"/>
                <w:bCs w:val="1"/>
                <w:color w:val="auto"/>
                <w:w w:val="97"/>
              </w:rPr>
              <w:t>2016</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w w:val="97"/>
              </w:rPr>
              <w:t>2015</w:t>
            </w:r>
          </w:p>
        </w:tc>
      </w:tr>
      <w:tr>
        <w:trPr>
          <w:trHeight w:val="152"/>
        </w:trPr>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color w:val="auto"/>
                <w:w w:val="94"/>
              </w:rPr>
              <w:t>(in millions)</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Beginning of year</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2,667</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4,024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10,828</w:t>
            </w:r>
          </w:p>
        </w:tc>
      </w:tr>
      <w:tr>
        <w:trPr>
          <w:trHeight w:val="160"/>
        </w:trPr>
        <w:tc>
          <w:tcPr>
            <w:tcW w:w="8160" w:type="dxa"/>
            <w:vAlign w:val="bottom"/>
          </w:tcPr>
          <w:p>
            <w:pPr>
              <w:ind w:left="100"/>
              <w:spacing w:after="0"/>
              <w:rPr>
                <w:sz w:val="20"/>
                <w:szCs w:val="20"/>
                <w:color w:val="auto"/>
              </w:rPr>
            </w:pPr>
            <w:r>
              <w:rPr>
                <w:rFonts w:ascii="Arial" w:cs="Arial" w:eastAsia="Arial" w:hAnsi="Arial"/>
                <w:sz w:val="11"/>
                <w:szCs w:val="11"/>
                <w:color w:val="auto"/>
              </w:rPr>
              <w:t>Sales of oil and natural gas, net of production and other operating costs</w:t>
            </w:r>
          </w:p>
        </w:tc>
        <w:tc>
          <w:tcPr>
            <w:tcW w:w="22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(918)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(742)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(1,038)</w:t>
            </w:r>
          </w:p>
        </w:tc>
      </w:tr>
      <w:tr>
        <w:trPr>
          <w:trHeight w:val="185"/>
        </w:trPr>
        <w:tc>
          <w:tcPr>
            <w:tcW w:w="81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Changes in price, net of production and other operating costs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1,405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(2,297)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(12,362)</w:t>
            </w:r>
          </w:p>
        </w:tc>
      </w:tr>
      <w:tr>
        <w:trPr>
          <w:trHeight w:val="176"/>
        </w:trPr>
        <w:tc>
          <w:tcPr>
            <w:tcW w:w="8160" w:type="dxa"/>
            <w:vAlign w:val="bottom"/>
          </w:tcPr>
          <w:p>
            <w:pPr>
              <w:ind w:left="100"/>
              <w:spacing w:after="0"/>
              <w:rPr>
                <w:sz w:val="20"/>
                <w:szCs w:val="20"/>
                <w:color w:val="auto"/>
              </w:rPr>
            </w:pPr>
            <w:r>
              <w:rPr>
                <w:rFonts w:ascii="Arial" w:cs="Arial" w:eastAsia="Arial" w:hAnsi="Arial"/>
                <w:sz w:val="12"/>
                <w:szCs w:val="12"/>
                <w:color w:val="auto"/>
              </w:rPr>
              <w:t>Previously estimated development costs incurred</w:t>
            </w:r>
          </w:p>
        </w:tc>
        <w:tc>
          <w:tcPr>
            <w:tcW w:w="22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394</w:t>
            </w:r>
          </w:p>
        </w:tc>
      </w:tr>
      <w:tr>
        <w:trPr>
          <w:trHeight w:val="185"/>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 in estimated future development costs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792</w:t>
            </w:r>
          </w:p>
        </w:tc>
      </w:tr>
      <w:tr>
        <w:trPr>
          <w:trHeight w:val="176"/>
        </w:trPr>
        <w:tc>
          <w:tcPr>
            <w:tcW w:w="8160" w:type="dxa"/>
            <w:vAlign w:val="bottom"/>
          </w:tcPr>
          <w:p>
            <w:pPr>
              <w:ind w:left="100"/>
              <w:spacing w:after="0"/>
              <w:rPr>
                <w:sz w:val="20"/>
                <w:szCs w:val="20"/>
                <w:color w:val="auto"/>
              </w:rPr>
            </w:pPr>
            <w:r>
              <w:rPr>
                <w:rFonts w:ascii="Arial" w:cs="Arial" w:eastAsia="Arial" w:hAnsi="Arial"/>
                <w:sz w:val="12"/>
                <w:szCs w:val="12"/>
                <w:color w:val="auto"/>
              </w:rPr>
              <w:t>Extensions, discoveries and improved recovery, net of costs</w:t>
            </w:r>
          </w:p>
        </w:tc>
        <w:tc>
          <w:tcPr>
            <w:tcW w:w="22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177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292</w:t>
            </w:r>
          </w:p>
        </w:tc>
      </w:tr>
      <w:tr>
        <w:trPr>
          <w:trHeight w:val="185"/>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Revisions of previous quantity estimates</w:t>
            </w:r>
            <w:r>
              <w:rPr>
                <w:rFonts w:ascii="Arial" w:cs="Arial" w:eastAsia="Arial" w:hAnsi="Arial"/>
                <w:sz w:val="14"/>
                <w:szCs w:val="14"/>
                <w:color w:val="auto"/>
                <w:vertAlign w:val="superscript"/>
              </w:rPr>
              <w:t>(a)</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(872)</w:t>
            </w:r>
          </w:p>
        </w:tc>
      </w:tr>
      <w:tr>
        <w:trPr>
          <w:trHeight w:val="176"/>
        </w:trPr>
        <w:tc>
          <w:tcPr>
            <w:tcW w:w="8160" w:type="dxa"/>
            <w:vAlign w:val="bottom"/>
          </w:tcPr>
          <w:p>
            <w:pPr>
              <w:ind w:left="100"/>
              <w:spacing w:after="0"/>
              <w:rPr>
                <w:sz w:val="20"/>
                <w:szCs w:val="20"/>
                <w:color w:val="auto"/>
              </w:rPr>
            </w:pPr>
            <w:r>
              <w:rPr>
                <w:rFonts w:ascii="Arial" w:cs="Arial" w:eastAsia="Arial" w:hAnsi="Arial"/>
                <w:sz w:val="12"/>
                <w:szCs w:val="12"/>
                <w:color w:val="auto"/>
              </w:rPr>
              <w:t>Accretion of discount</w:t>
            </w:r>
          </w:p>
        </w:tc>
        <w:tc>
          <w:tcPr>
            <w:tcW w:w="22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260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458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1,474</w:t>
            </w:r>
          </w:p>
        </w:tc>
      </w:tr>
      <w:tr>
        <w:trPr>
          <w:trHeight w:val="185"/>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change in income taxes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(599)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4,228</w:t>
            </w:r>
          </w:p>
        </w:tc>
      </w:tr>
      <w:tr>
        <w:trPr>
          <w:trHeight w:val="176"/>
        </w:trPr>
        <w:tc>
          <w:tcPr>
            <w:tcW w:w="8160" w:type="dxa"/>
            <w:vAlign w:val="bottom"/>
          </w:tcPr>
          <w:p>
            <w:pPr>
              <w:ind w:left="100"/>
              <w:spacing w:after="0"/>
              <w:rPr>
                <w:sz w:val="20"/>
                <w:szCs w:val="20"/>
                <w:color w:val="auto"/>
              </w:rPr>
            </w:pPr>
            <w:r>
              <w:rPr>
                <w:rFonts w:ascii="Arial" w:cs="Arial" w:eastAsia="Arial" w:hAnsi="Arial"/>
                <w:sz w:val="12"/>
                <w:szCs w:val="12"/>
                <w:color w:val="auto"/>
              </w:rPr>
              <w:t>Purchases and sales of reserves in place</w:t>
            </w:r>
          </w:p>
        </w:tc>
        <w:tc>
          <w:tcPr>
            <w:tcW w:w="22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45</w:t>
            </w:r>
          </w:p>
        </w:tc>
      </w:tr>
      <w:tr>
        <w:trPr>
          <w:trHeight w:val="185"/>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Changes in production rates and other</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243</w:t>
            </w:r>
          </w:p>
        </w:tc>
      </w:tr>
      <w:tr>
        <w:trPr>
          <w:trHeight w:val="15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change</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1,098</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(1,357)</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(6,804)</w:t>
            </w:r>
          </w:p>
        </w:tc>
      </w:tr>
      <w:tr>
        <w:trPr>
          <w:trHeight w:val="18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End of year</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3,765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2,667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4,024</w:t>
            </w:r>
          </w:p>
        </w:tc>
      </w:tr>
      <w:tr>
        <w:trPr>
          <w:trHeight w:val="105"/>
        </w:trPr>
        <w:tc>
          <w:tcPr>
            <w:tcW w:w="8160" w:type="dxa"/>
            <w:vAlign w:val="bottom"/>
          </w:tcPr>
          <w:p>
            <w:pPr>
              <w:ind w:left="200"/>
              <w:spacing w:after="0" w:line="105" w:lineRule="exact"/>
              <w:rPr>
                <w:sz w:val="20"/>
                <w:szCs w:val="20"/>
                <w:color w:val="auto"/>
              </w:rPr>
            </w:pPr>
            <w:r>
              <w:rPr>
                <w:rFonts w:ascii="Arial" w:cs="Arial" w:eastAsia="Arial" w:hAnsi="Arial"/>
                <w:sz w:val="10"/>
                <w:szCs w:val="10"/>
                <w:color w:val="auto"/>
              </w:rPr>
              <w:t>(a)  Includes revisions related to performance and price changes.</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404"/>
        </w:trPr>
        <w:tc>
          <w:tcPr>
            <w:tcW w:w="8160" w:type="dxa"/>
            <w:vAlign w:val="bottom"/>
          </w:tcPr>
          <w:p>
            <w:pPr>
              <w:ind w:left="5640"/>
              <w:spacing w:after="0"/>
              <w:rPr>
                <w:sz w:val="20"/>
                <w:szCs w:val="20"/>
                <w:color w:val="auto"/>
              </w:rPr>
            </w:pPr>
            <w:r>
              <w:rPr>
                <w:rFonts w:ascii="Arial" w:cs="Arial" w:eastAsia="Arial" w:hAnsi="Arial"/>
                <w:sz w:val="12"/>
                <w:szCs w:val="12"/>
                <w:color w:val="auto"/>
              </w:rPr>
              <w:t>120</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80"/>
          </w:cols>
          <w:pgMar w:left="220" w:top="287" w:right="199"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b w:val="1"/>
          <w:bCs w:val="1"/>
          <w:color w:val="auto"/>
        </w:rPr>
        <w:t>SCHEDULE II - VALUATION AND QUALIFYING ACCOUNTS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Charged (Credited) to Costs</w:t>
            </w:r>
          </w:p>
        </w:tc>
        <w:tc>
          <w:tcPr>
            <w:tcW w:w="120" w:type="dxa"/>
            <w:vAlign w:val="bottom"/>
          </w:tcPr>
          <w:p>
            <w:pPr>
              <w:spacing w:after="0"/>
              <w:rPr>
                <w:sz w:val="10"/>
                <w:szCs w:val="1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Charged to Other</w:t>
            </w: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58"/>
        </w:trPr>
        <w:tc>
          <w:tcPr>
            <w:tcW w:w="286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186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Beginning of Period</w:t>
            </w:r>
          </w:p>
        </w:tc>
        <w:tc>
          <w:tcPr>
            <w:tcW w:w="80" w:type="dxa"/>
            <w:vAlign w:val="bottom"/>
          </w:tcPr>
          <w:p>
            <w:pPr>
              <w:spacing w:after="0"/>
              <w:rPr>
                <w:sz w:val="13"/>
                <w:szCs w:val="13"/>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and Expenses</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Accounts</w:t>
            </w:r>
          </w:p>
        </w:tc>
        <w:tc>
          <w:tcPr>
            <w:tcW w:w="260" w:type="dxa"/>
            <w:vAlign w:val="bottom"/>
          </w:tcPr>
          <w:p>
            <w:pPr>
              <w:spacing w:after="0"/>
              <w:rPr>
                <w:sz w:val="13"/>
                <w:szCs w:val="13"/>
                <w:color w:val="auto"/>
              </w:rPr>
            </w:pPr>
          </w:p>
        </w:tc>
        <w:tc>
          <w:tcPr>
            <w:tcW w:w="1460" w:type="dxa"/>
            <w:vAlign w:val="bottom"/>
            <w:gridSpan w:val="2"/>
          </w:tcPr>
          <w:p>
            <w:pPr>
              <w:ind w:left="180"/>
              <w:spacing w:after="0"/>
              <w:rPr>
                <w:sz w:val="20"/>
                <w:szCs w:val="20"/>
                <w:color w:val="auto"/>
              </w:rPr>
            </w:pPr>
            <w:r>
              <w:rPr>
                <w:rFonts w:ascii="Arial" w:cs="Arial" w:eastAsia="Arial" w:hAnsi="Arial"/>
                <w:sz w:val="11"/>
                <w:szCs w:val="11"/>
                <w:b w:val="1"/>
                <w:bCs w:val="1"/>
                <w:color w:val="auto"/>
              </w:rPr>
              <w:t>Deductions</w:t>
            </w:r>
            <w:r>
              <w:rPr>
                <w:rFonts w:ascii="Arial" w:cs="Arial" w:eastAsia="Arial" w:hAnsi="Arial"/>
                <w:sz w:val="9"/>
                <w:szCs w:val="9"/>
                <w:b w:val="1"/>
                <w:bCs w:val="1"/>
                <w:color w:val="auto"/>
              </w:rPr>
              <w:t>(a)</w:t>
            </w:r>
          </w:p>
        </w:tc>
        <w:tc>
          <w:tcPr>
            <w:tcW w:w="160" w:type="dxa"/>
            <w:vAlign w:val="bottom"/>
          </w:tcPr>
          <w:p>
            <w:pPr>
              <w:spacing w:after="0"/>
              <w:rPr>
                <w:sz w:val="13"/>
                <w:szCs w:val="13"/>
                <w:color w:val="auto"/>
              </w:rPr>
            </w:pPr>
          </w:p>
        </w:tc>
        <w:tc>
          <w:tcPr>
            <w:tcW w:w="1660" w:type="dxa"/>
            <w:vAlign w:val="bottom"/>
          </w:tcPr>
          <w:p>
            <w:pPr>
              <w:jc w:val="right"/>
              <w:ind w:right="183"/>
              <w:spacing w:after="0"/>
              <w:rPr>
                <w:sz w:val="20"/>
                <w:szCs w:val="20"/>
                <w:color w:val="auto"/>
              </w:rPr>
            </w:pPr>
            <w:r>
              <w:rPr>
                <w:rFonts w:ascii="Arial" w:cs="Arial" w:eastAsia="Arial" w:hAnsi="Arial"/>
                <w:sz w:val="11"/>
                <w:szCs w:val="11"/>
                <w:b w:val="1"/>
                <w:bCs w:val="1"/>
                <w:color w:val="auto"/>
              </w:rPr>
              <w:t>Balance at End of Period</w:t>
            </w:r>
          </w:p>
        </w:tc>
      </w:tr>
      <w:tr>
        <w:trPr>
          <w:trHeight w:val="17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2017</w:t>
            </w:r>
          </w:p>
        </w:tc>
        <w:tc>
          <w:tcPr>
            <w:tcW w:w="7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r>
      <w:tr>
        <w:trPr>
          <w:trHeight w:val="178"/>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Deferred tax valuation allowance</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780</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706</w:t>
            </w:r>
          </w:p>
        </w:tc>
      </w:tr>
      <w:tr>
        <w:trPr>
          <w:trHeight w:val="169"/>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 asset valuation allowance</w:t>
            </w: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44</w:t>
            </w:r>
          </w:p>
        </w:tc>
      </w:tr>
      <w:tr>
        <w:trPr>
          <w:trHeight w:val="169"/>
        </w:trPr>
        <w:tc>
          <w:tcPr>
            <w:tcW w:w="2860" w:type="dxa"/>
            <w:vAlign w:val="bottom"/>
          </w:tcPr>
          <w:p>
            <w:pPr>
              <w:ind w:left="180"/>
              <w:spacing w:after="0"/>
              <w:rPr>
                <w:sz w:val="20"/>
                <w:szCs w:val="20"/>
                <w:color w:val="auto"/>
              </w:rPr>
            </w:pPr>
            <w:r>
              <w:rPr>
                <w:rFonts w:ascii="Arial" w:cs="Arial" w:eastAsia="Arial" w:hAnsi="Arial"/>
                <w:sz w:val="11"/>
                <w:szCs w:val="11"/>
                <w:color w:val="auto"/>
              </w:rPr>
              <w:t>Environmental reserves</w:t>
            </w:r>
          </w:p>
        </w:tc>
        <w:tc>
          <w:tcPr>
            <w:tcW w:w="760" w:type="dxa"/>
            <w:vAlign w:val="bottom"/>
          </w:tcPr>
          <w:p>
            <w:pPr>
              <w:ind w:left="2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4"/>
                <w:szCs w:val="14"/>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tcPr>
          <w:p>
            <w:pPr>
              <w:jc w:val="right"/>
              <w:ind w:right="63"/>
              <w:spacing w:after="0"/>
              <w:rPr>
                <w:sz w:val="20"/>
                <w:szCs w:val="20"/>
                <w:color w:val="auto"/>
              </w:rPr>
            </w:pPr>
            <w:r>
              <w:rPr>
                <w:rFonts w:ascii="Arial" w:cs="Arial" w:eastAsia="Arial" w:hAnsi="Arial"/>
                <w:sz w:val="11"/>
                <w:szCs w:val="11"/>
                <w:color w:val="auto"/>
              </w:rPr>
              <w:t>6</w:t>
            </w:r>
          </w:p>
        </w:tc>
      </w:tr>
      <w:tr>
        <w:trPr>
          <w:trHeight w:val="189"/>
        </w:trPr>
        <w:tc>
          <w:tcPr>
            <w:tcW w:w="28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1"/>
                <w:szCs w:val="11"/>
                <w:b w:val="1"/>
                <w:bCs w:val="1"/>
                <w:color w:val="auto"/>
              </w:rPr>
              <w:t>2016</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Deferred tax valuation allowance</w:t>
            </w: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382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398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780</w:t>
            </w:r>
          </w:p>
        </w:tc>
      </w:tr>
      <w:tr>
        <w:trPr>
          <w:trHeight w:val="169"/>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asset valuation allowance</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56</w:t>
            </w:r>
          </w:p>
        </w:tc>
      </w:tr>
      <w:tr>
        <w:trPr>
          <w:trHeight w:val="169"/>
        </w:trPr>
        <w:tc>
          <w:tcPr>
            <w:tcW w:w="2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Environmental reserves</w:t>
            </w:r>
          </w:p>
        </w:tc>
        <w:tc>
          <w:tcPr>
            <w:tcW w:w="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w:t>
            </w:r>
          </w:p>
        </w:tc>
      </w:tr>
      <w:tr>
        <w:trPr>
          <w:trHeight w:val="189"/>
        </w:trPr>
        <w:tc>
          <w:tcPr>
            <w:tcW w:w="286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2015</w:t>
            </w:r>
          </w:p>
        </w:tc>
        <w:tc>
          <w:tcPr>
            <w:tcW w:w="7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8"/>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Deferred tax valuation allowance</w:t>
            </w:r>
            <w:r>
              <w:rPr>
                <w:rFonts w:ascii="Arial" w:cs="Arial" w:eastAsia="Arial" w:hAnsi="Arial"/>
                <w:sz w:val="9"/>
                <w:szCs w:val="9"/>
                <w:color w:val="auto"/>
              </w:rPr>
              <w:t>(b)</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294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382</w:t>
            </w:r>
          </w:p>
        </w:tc>
      </w:tr>
      <w:tr>
        <w:trPr>
          <w:trHeight w:val="169"/>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 asset valuation allowance</w:t>
            </w: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68</w:t>
            </w:r>
          </w:p>
        </w:tc>
      </w:tr>
      <w:tr>
        <w:trPr>
          <w:trHeight w:val="169"/>
        </w:trPr>
        <w:tc>
          <w:tcPr>
            <w:tcW w:w="2860" w:type="dxa"/>
            <w:vAlign w:val="bottom"/>
          </w:tcPr>
          <w:p>
            <w:pPr>
              <w:ind w:left="180"/>
              <w:spacing w:after="0"/>
              <w:rPr>
                <w:sz w:val="20"/>
                <w:szCs w:val="20"/>
                <w:color w:val="auto"/>
              </w:rPr>
            </w:pPr>
            <w:r>
              <w:rPr>
                <w:rFonts w:ascii="Arial" w:cs="Arial" w:eastAsia="Arial" w:hAnsi="Arial"/>
                <w:sz w:val="11"/>
                <w:szCs w:val="11"/>
                <w:color w:val="auto"/>
              </w:rPr>
              <w:t>Environmental reserves</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16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w:t>
            </w:r>
          </w:p>
        </w:tc>
      </w:tr>
    </w:tbl>
    <w:p>
      <w:pPr>
        <w:spacing w:after="0" w:line="32" w:lineRule="exact"/>
        <w:rPr>
          <w:sz w:val="20"/>
          <w:szCs w:val="20"/>
          <w:color w:val="auto"/>
        </w:rPr>
      </w:pPr>
    </w:p>
    <w:p>
      <w:pPr>
        <w:ind w:left="420" w:hanging="212"/>
        <w:spacing w:after="0"/>
        <w:tabs>
          <w:tab w:leader="none" w:pos="420" w:val="left"/>
        </w:tabs>
        <w:numPr>
          <w:ilvl w:val="0"/>
          <w:numId w:val="69"/>
        </w:numPr>
        <w:rPr>
          <w:rFonts w:ascii="Arial" w:cs="Arial" w:eastAsia="Arial" w:hAnsi="Arial"/>
          <w:sz w:val="10"/>
          <w:szCs w:val="10"/>
          <w:color w:val="auto"/>
        </w:rPr>
      </w:pPr>
      <w:r>
        <w:rPr>
          <w:rFonts w:ascii="Arial" w:cs="Arial" w:eastAsia="Arial" w:hAnsi="Arial"/>
          <w:sz w:val="10"/>
          <w:szCs w:val="10"/>
          <w:color w:val="auto"/>
        </w:rPr>
        <w:t>Consists of payments.</w:t>
      </w:r>
    </w:p>
    <w:p>
      <w:pPr>
        <w:ind w:left="420" w:hanging="212"/>
        <w:spacing w:after="0"/>
        <w:tabs>
          <w:tab w:leader="none" w:pos="420" w:val="left"/>
        </w:tabs>
        <w:numPr>
          <w:ilvl w:val="0"/>
          <w:numId w:val="69"/>
        </w:numPr>
        <w:rPr>
          <w:rFonts w:ascii="Arial" w:cs="Arial" w:eastAsia="Arial" w:hAnsi="Arial"/>
          <w:sz w:val="10"/>
          <w:szCs w:val="10"/>
          <w:color w:val="auto"/>
        </w:rPr>
      </w:pPr>
      <w:r>
        <w:rPr>
          <w:rFonts w:ascii="Arial" w:cs="Arial" w:eastAsia="Arial" w:hAnsi="Arial"/>
          <w:sz w:val="10"/>
          <w:szCs w:val="10"/>
          <w:color w:val="auto"/>
        </w:rPr>
        <w:t>Our 2015 deferred tax liabilities were net of $88 million, which represented the federal benefit for the state-related portion of the deferred tax valuation allowance.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1480"/>
          </w:cols>
          <w:pgMar w:left="220" w:top="287" w:right="199" w:bottom="1440" w:gutter="0" w:footer="0" w:header="0"/>
        </w:sectPr>
      </w:pPr>
    </w:p>
    <w:bookmarkStart w:id="121" w:name="page122"/>
    <w:bookmarkEnd w:id="121"/>
    <w:p>
      <w:pPr>
        <w:spacing w:after="0"/>
        <w:tabs>
          <w:tab w:leader="none" w:pos="62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None.</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Assessment of and Report on Internal Control Over Financial Reporting</w:t>
      </w:r>
    </w:p>
    <w:p>
      <w:pPr>
        <w:spacing w:after="0" w:line="164" w:lineRule="exact"/>
        <w:rPr>
          <w:sz w:val="20"/>
          <w:szCs w:val="20"/>
          <w:color w:val="auto"/>
        </w:rPr>
      </w:pPr>
    </w:p>
    <w:p>
      <w:pPr>
        <w:ind w:right="40" w:firstLine="216"/>
        <w:spacing w:after="0" w:line="252"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85" w:lineRule="exact"/>
        <w:rPr>
          <w:sz w:val="20"/>
          <w:szCs w:val="20"/>
          <w:color w:val="auto"/>
        </w:rPr>
      </w:pPr>
    </w:p>
    <w:p>
      <w:pPr>
        <w:ind w:right="60" w:firstLine="216"/>
        <w:spacing w:after="0" w:line="26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ind w:right="80" w:firstLine="216"/>
        <w:spacing w:after="0" w:line="256" w:lineRule="auto"/>
        <w:rPr>
          <w:sz w:val="20"/>
          <w:szCs w:val="20"/>
          <w:color w:val="auto"/>
        </w:rPr>
      </w:pPr>
      <w:r>
        <w:rPr>
          <w:rFonts w:ascii="Arial" w:cs="Arial" w:eastAsia="Arial" w:hAnsi="Arial"/>
          <w:sz w:val="12"/>
          <w:szCs w:val="12"/>
          <w:color w:val="auto"/>
        </w:rPr>
        <w:t>We have assessed the effectiveness of our internal control system as of December 31, 2017 based on the criteria for effective internal control over financial reporting described in Internal Control - Integrated Framework issued in 2013 by the Committee of Sponsoring Organizations of the Treadway Commission (COSO). Based on this assessment, we believe that, as of December 31, 2017, our system of internal control over financial reporting is effective.</w:t>
      </w:r>
    </w:p>
    <w:p>
      <w:pPr>
        <w:spacing w:after="0" w:line="69" w:lineRule="exact"/>
        <w:rPr>
          <w:sz w:val="20"/>
          <w:szCs w:val="20"/>
          <w:color w:val="auto"/>
        </w:rPr>
      </w:pPr>
    </w:p>
    <w:p>
      <w:pPr>
        <w:ind w:right="1500" w:firstLine="216"/>
        <w:spacing w:after="0" w:line="439" w:lineRule="auto"/>
        <w:rPr>
          <w:sz w:val="20"/>
          <w:szCs w:val="20"/>
          <w:color w:val="auto"/>
        </w:rPr>
      </w:pPr>
      <w:r>
        <w:rPr>
          <w:rFonts w:ascii="Arial" w:cs="Arial" w:eastAsia="Arial" w:hAnsi="Arial"/>
          <w:sz w:val="12"/>
          <w:szCs w:val="12"/>
          <w:color w:val="auto"/>
        </w:rPr>
        <w:t xml:space="preserve">Our independent auditors, KPMG LLP, have issued a report on our internal control over financial reporting, which is set forth in </w:t>
      </w:r>
      <w:r>
        <w:rPr>
          <w:rFonts w:ascii="Arial" w:cs="Arial" w:eastAsia="Arial" w:hAnsi="Arial"/>
          <w:sz w:val="12"/>
          <w:szCs w:val="12"/>
          <w:i w:val="1"/>
          <w:iCs w:val="1"/>
          <w:color w:val="auto"/>
        </w:rPr>
        <w:t>Item 8 – Financial Statements and Supplementary Data</w:t>
      </w:r>
      <w:r>
        <w:rPr>
          <w:rFonts w:ascii="Arial" w:cs="Arial" w:eastAsia="Arial" w:hAnsi="Arial"/>
          <w:sz w:val="12"/>
          <w:szCs w:val="12"/>
          <w:color w:val="auto"/>
        </w:rPr>
        <w:t xml:space="preserve">. </w:t>
      </w:r>
      <w:r>
        <w:rPr>
          <w:rFonts w:ascii="Arial" w:cs="Arial" w:eastAsia="Arial" w:hAnsi="Arial"/>
          <w:sz w:val="12"/>
          <w:szCs w:val="12"/>
          <w:b w:val="1"/>
          <w:bCs w:val="1"/>
          <w:color w:val="auto"/>
        </w:rPr>
        <w:t>Evaluation of Disclosure Controls and Procedures</w:t>
      </w:r>
    </w:p>
    <w:p>
      <w:pPr>
        <w:spacing w:after="0" w:line="30" w:lineRule="exact"/>
        <w:rPr>
          <w:sz w:val="20"/>
          <w:szCs w:val="20"/>
          <w:color w:val="auto"/>
        </w:rPr>
      </w:pPr>
    </w:p>
    <w:p>
      <w:pPr>
        <w:ind w:right="80" w:firstLine="216"/>
        <w:spacing w:after="0" w:line="253" w:lineRule="auto"/>
        <w:rPr>
          <w:sz w:val="20"/>
          <w:szCs w:val="20"/>
          <w:color w:val="auto"/>
        </w:rPr>
      </w:pPr>
      <w:r>
        <w:rPr>
          <w:rFonts w:ascii="Arial" w:cs="Arial" w:eastAsia="Arial" w:hAnsi="Arial"/>
          <w:sz w:val="12"/>
          <w:szCs w:val="12"/>
          <w:color w:val="auto"/>
        </w:rPr>
        <w:t>Our management, with the participation of our chief executive officer (CEO) and chief financial officer (CFO), has evaluated the effectiveness of our disclosure controls and procedures (as defined in Rules 13a-15(e) and 15d- 15(e) under the Securities Exchange Act of 1934, as amended (Exchange Act)), as of the end of the period covered by this Annual Report on Form 10-K. Based on that evaluation, our CEO and CFO have concluded that, as of December 31, 2017,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w:t>
      </w:r>
    </w:p>
    <w:p>
      <w:pPr>
        <w:spacing w:after="0" w:line="164" w:lineRule="exact"/>
        <w:rPr>
          <w:sz w:val="20"/>
          <w:szCs w:val="20"/>
          <w:color w:val="auto"/>
        </w:rPr>
      </w:pPr>
    </w:p>
    <w:p>
      <w:pPr>
        <w:ind w:right="60" w:firstLine="216"/>
        <w:spacing w:after="0" w:line="262" w:lineRule="auto"/>
        <w:rPr>
          <w:sz w:val="20"/>
          <w:szCs w:val="20"/>
          <w:color w:val="auto"/>
        </w:rPr>
      </w:pPr>
      <w:r>
        <w:rPr>
          <w:rFonts w:ascii="Arial" w:cs="Arial" w:eastAsia="Arial" w:hAnsi="Arial"/>
          <w:sz w:val="12"/>
          <w:szCs w:val="12"/>
          <w:color w:val="auto"/>
        </w:rPr>
        <w:t>There were no changes in our internal control over financial reporting (as defined in Rules 13a-15(f) and 15d-15(f) of the Exchange Act) identified in management's evaluation pursuant to Rules 13a-15(d) or 15d-15(d) of the Exchange Act during our fourth fiscal quarter that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Effectiveness of Controls and Procedures</w:t>
      </w:r>
    </w:p>
    <w:p>
      <w:pPr>
        <w:spacing w:after="0" w:line="74" w:lineRule="exact"/>
        <w:rPr>
          <w:sz w:val="20"/>
          <w:szCs w:val="20"/>
          <w:color w:val="auto"/>
        </w:rPr>
      </w:pPr>
    </w:p>
    <w:p>
      <w:pPr>
        <w:ind w:firstLine="216"/>
        <w:spacing w:after="0" w:line="262" w:lineRule="auto"/>
        <w:rPr>
          <w:sz w:val="20"/>
          <w:szCs w:val="20"/>
          <w:color w:val="auto"/>
        </w:rPr>
      </w:pPr>
      <w:r>
        <w:rPr>
          <w:rFonts w:ascii="Arial" w:cs="Arial" w:eastAsia="Arial" w:hAnsi="Arial"/>
          <w:sz w:val="12"/>
          <w:szCs w:val="12"/>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420"/>
          </w:cols>
          <w:pgMar w:left="220" w:top="287" w:right="259" w:bottom="1440" w:gutter="0" w:footer="0" w:header="0"/>
        </w:sectPr>
      </w:pPr>
    </w:p>
    <w:bookmarkStart w:id="122" w:name="page123"/>
    <w:bookmarkEnd w:id="122"/>
    <w:p>
      <w:pPr>
        <w:spacing w:after="0"/>
        <w:tabs>
          <w:tab w:leader="none" w:pos="62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III</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1"/>
          <w:szCs w:val="11"/>
          <w:b w:val="1"/>
          <w:bCs w:val="1"/>
          <w:color w:val="auto"/>
        </w:rPr>
        <w:t>DIRECTORS, EXECUTIVE OFFICERS AND CORPORATE GOVERNANCE</w:t>
      </w:r>
    </w:p>
    <w:p>
      <w:pPr>
        <w:spacing w:after="0" w:line="155" w:lineRule="exact"/>
        <w:rPr>
          <w:sz w:val="20"/>
          <w:szCs w:val="20"/>
          <w:color w:val="auto"/>
        </w:rPr>
      </w:pPr>
    </w:p>
    <w:p>
      <w:pPr>
        <w:ind w:right="80" w:firstLine="189"/>
        <w:spacing w:after="0" w:line="254" w:lineRule="auto"/>
        <w:rPr>
          <w:sz w:val="20"/>
          <w:szCs w:val="20"/>
          <w:color w:val="auto"/>
        </w:rPr>
      </w:pPr>
      <w:r>
        <w:rPr>
          <w:rFonts w:ascii="Arial" w:cs="Arial" w:eastAsia="Arial" w:hAnsi="Arial"/>
          <w:sz w:val="12"/>
          <w:szCs w:val="12"/>
          <w:color w:val="auto"/>
        </w:rPr>
        <w:t xml:space="preserve">The information required by this item is incorporated by reference to our Proxy Statement for the 2018 Annual Meeting of Stockholders to be filed with the Securities and Exchange Commission (SEC) within 120 days of the fiscal year ended December 31, 2017 (Proxy Statement) where it will appear in the (i) </w:t>
      </w:r>
      <w:r>
        <w:rPr>
          <w:rFonts w:ascii="Arial" w:cs="Arial" w:eastAsia="Arial" w:hAnsi="Arial"/>
          <w:sz w:val="12"/>
          <w:szCs w:val="12"/>
          <w:i w:val="1"/>
          <w:iCs w:val="1"/>
          <w:color w:val="auto"/>
        </w:rPr>
        <w:t>Corporate Governance</w:t>
      </w:r>
      <w:r>
        <w:rPr>
          <w:rFonts w:ascii="Arial" w:cs="Arial" w:eastAsia="Arial" w:hAnsi="Arial"/>
          <w:sz w:val="12"/>
          <w:szCs w:val="12"/>
          <w:color w:val="auto"/>
        </w:rPr>
        <w:t xml:space="preserve"> section under </w:t>
      </w:r>
      <w:r>
        <w:rPr>
          <w:rFonts w:ascii="Arial" w:cs="Arial" w:eastAsia="Arial" w:hAnsi="Arial"/>
          <w:sz w:val="12"/>
          <w:szCs w:val="12"/>
          <w:i w:val="1"/>
          <w:iCs w:val="1"/>
          <w:color w:val="auto"/>
        </w:rPr>
        <w:t>General Overview</w:t>
      </w:r>
      <w:r>
        <w:rPr>
          <w:rFonts w:ascii="Arial" w:cs="Arial" w:eastAsia="Arial" w:hAnsi="Arial"/>
          <w:sz w:val="12"/>
          <w:szCs w:val="12"/>
          <w:color w:val="auto"/>
        </w:rPr>
        <w:t xml:space="preserve"> and </w:t>
      </w:r>
      <w:r>
        <w:rPr>
          <w:rFonts w:ascii="Arial" w:cs="Arial" w:eastAsia="Arial" w:hAnsi="Arial"/>
          <w:sz w:val="12"/>
          <w:szCs w:val="12"/>
          <w:i w:val="1"/>
          <w:iCs w:val="1"/>
          <w:color w:val="auto"/>
        </w:rPr>
        <w:t>Our Board of Directors</w:t>
      </w:r>
      <w:r>
        <w:rPr>
          <w:rFonts w:ascii="Arial" w:cs="Arial" w:eastAsia="Arial" w:hAnsi="Arial"/>
          <w:sz w:val="12"/>
          <w:szCs w:val="12"/>
          <w:color w:val="auto"/>
        </w:rPr>
        <w:t xml:space="preserve">, (ii) </w:t>
      </w:r>
      <w:r>
        <w:rPr>
          <w:rFonts w:ascii="Arial" w:cs="Arial" w:eastAsia="Arial" w:hAnsi="Arial"/>
          <w:sz w:val="12"/>
          <w:szCs w:val="12"/>
          <w:i w:val="1"/>
          <w:iCs w:val="1"/>
          <w:color w:val="auto"/>
        </w:rPr>
        <w:t>Board Leadership Structure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Committees –Committees of the Board, </w:t>
      </w:r>
      <w:r>
        <w:rPr>
          <w:rFonts w:ascii="Arial" w:cs="Arial" w:eastAsia="Arial" w:hAnsi="Arial"/>
          <w:sz w:val="12"/>
          <w:szCs w:val="12"/>
          <w:color w:val="auto"/>
        </w:rPr>
        <w:t>(iii)</w:t>
      </w:r>
      <w:r>
        <w:rPr>
          <w:rFonts w:ascii="Arial" w:cs="Arial" w:eastAsia="Arial" w:hAnsi="Arial"/>
          <w:sz w:val="12"/>
          <w:szCs w:val="12"/>
          <w:i w:val="1"/>
          <w:iCs w:val="1"/>
          <w:color w:val="auto"/>
        </w:rPr>
        <w:t xml:space="preserve"> Stock Ownership Information – Section 16(a) Beneficial Ownership Reporting Compliance </w:t>
      </w:r>
      <w:r>
        <w:rPr>
          <w:rFonts w:ascii="Arial" w:cs="Arial" w:eastAsia="Arial" w:hAnsi="Arial"/>
          <w:sz w:val="12"/>
          <w:szCs w:val="12"/>
          <w:color w:val="auto"/>
        </w:rPr>
        <w:t>and (iv)</w:t>
      </w:r>
      <w:r>
        <w:rPr>
          <w:rFonts w:ascii="Arial" w:cs="Arial" w:eastAsia="Arial" w:hAnsi="Arial"/>
          <w:sz w:val="12"/>
          <w:szCs w:val="12"/>
          <w:i w:val="1"/>
          <w:iCs w:val="1"/>
          <w:color w:val="auto"/>
        </w:rPr>
        <w:t xml:space="preserve"> Stockholder Proposals and Other Company Information </w:t>
      </w:r>
      <w:r>
        <w:rPr>
          <w:rFonts w:ascii="Arial" w:cs="Arial" w:eastAsia="Arial" w:hAnsi="Arial"/>
          <w:sz w:val="12"/>
          <w:szCs w:val="12"/>
          <w:color w:val="auto"/>
        </w:rPr>
        <w:t>section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under </w:t>
      </w:r>
      <w:r>
        <w:rPr>
          <w:rFonts w:ascii="Arial" w:cs="Arial" w:eastAsia="Arial" w:hAnsi="Arial"/>
          <w:sz w:val="12"/>
          <w:szCs w:val="12"/>
          <w:i w:val="1"/>
          <w:iCs w:val="1"/>
          <w:color w:val="auto"/>
        </w:rPr>
        <w:t>Stockholder Proposals and Director Nominations</w:t>
      </w:r>
      <w:r>
        <w:rPr>
          <w:rFonts w:ascii="Arial" w:cs="Arial" w:eastAsia="Arial" w:hAnsi="Arial"/>
          <w:sz w:val="12"/>
          <w:szCs w:val="12"/>
          <w:color w:val="auto"/>
        </w:rPr>
        <w:t xml:space="preserve">. See </w:t>
      </w:r>
      <w:r>
        <w:rPr>
          <w:rFonts w:ascii="Arial" w:cs="Arial" w:eastAsia="Arial" w:hAnsi="Arial"/>
          <w:sz w:val="12"/>
          <w:szCs w:val="12"/>
          <w:i w:val="1"/>
          <w:iCs w:val="1"/>
          <w:color w:val="auto"/>
        </w:rPr>
        <w:t>Part I – Executive Officers</w:t>
      </w:r>
      <w:r>
        <w:rPr>
          <w:rFonts w:ascii="Arial" w:cs="Arial" w:eastAsia="Arial" w:hAnsi="Arial"/>
          <w:sz w:val="12"/>
          <w:szCs w:val="12"/>
          <w:color w:val="auto"/>
        </w:rPr>
        <w:t xml:space="preserve"> of this report for the list of our executive officers and related information.</w:t>
      </w:r>
    </w:p>
    <w:p>
      <w:pPr>
        <w:spacing w:after="0" w:line="136" w:lineRule="exact"/>
        <w:rPr>
          <w:sz w:val="20"/>
          <w:szCs w:val="20"/>
          <w:color w:val="auto"/>
        </w:rPr>
      </w:pPr>
    </w:p>
    <w:p>
      <w:pPr>
        <w:ind w:firstLine="189"/>
        <w:spacing w:after="0" w:line="262" w:lineRule="auto"/>
        <w:rPr>
          <w:sz w:val="20"/>
          <w:szCs w:val="20"/>
          <w:color w:val="auto"/>
        </w:rPr>
      </w:pPr>
      <w:r>
        <w:rPr>
          <w:rFonts w:ascii="Arial" w:cs="Arial" w:eastAsia="Arial" w:hAnsi="Arial"/>
          <w:sz w:val="12"/>
          <w:szCs w:val="12"/>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152" w:lineRule="exact"/>
        <w:rPr>
          <w:sz w:val="20"/>
          <w:szCs w:val="20"/>
          <w:color w:val="auto"/>
        </w:rPr>
      </w:pPr>
    </w:p>
    <w:p>
      <w:pPr>
        <w:ind w:right="20" w:firstLine="216"/>
        <w:spacing w:after="0" w:line="261" w:lineRule="auto"/>
        <w:rPr>
          <w:sz w:val="20"/>
          <w:szCs w:val="20"/>
          <w:color w:val="auto"/>
        </w:rPr>
      </w:pPr>
      <w:r>
        <w:rPr>
          <w:rFonts w:ascii="Arial" w:cs="Arial" w:eastAsia="Arial" w:hAnsi="Arial"/>
          <w:sz w:val="12"/>
          <w:szCs w:val="12"/>
          <w:color w:val="auto"/>
        </w:rPr>
        <w:t xml:space="preserve">The information required by this item is incorporated by reference to our Proxy Statement where it appears in the </w:t>
      </w:r>
      <w:r>
        <w:rPr>
          <w:rFonts w:ascii="Arial" w:cs="Arial" w:eastAsia="Arial" w:hAnsi="Arial"/>
          <w:sz w:val="12"/>
          <w:szCs w:val="12"/>
          <w:i w:val="1"/>
          <w:iCs w:val="1"/>
          <w:color w:val="auto"/>
        </w:rPr>
        <w:t>Compensation Discussion and Analysis</w:t>
      </w:r>
      <w:r>
        <w:rPr>
          <w:rFonts w:ascii="Arial" w:cs="Arial" w:eastAsia="Arial" w:hAnsi="Arial"/>
          <w:sz w:val="12"/>
          <w:szCs w:val="12"/>
          <w:color w:val="auto"/>
        </w:rPr>
        <w:t xml:space="preserve"> and </w:t>
      </w:r>
      <w:r>
        <w:rPr>
          <w:rFonts w:ascii="Arial" w:cs="Arial" w:eastAsia="Arial" w:hAnsi="Arial"/>
          <w:sz w:val="12"/>
          <w:szCs w:val="12"/>
          <w:i w:val="1"/>
          <w:iCs w:val="1"/>
          <w:color w:val="auto"/>
        </w:rPr>
        <w:t>Compensation Committee Interlocks and Insider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Participation </w:t>
      </w:r>
      <w:r>
        <w:rPr>
          <w:rFonts w:ascii="Arial" w:cs="Arial" w:eastAsia="Arial" w:hAnsi="Arial"/>
          <w:sz w:val="12"/>
          <w:szCs w:val="12"/>
          <w:color w:val="auto"/>
        </w:rPr>
        <w:t>sections. Pursuant to the rules and regulations under the Exchange Act, the information in the</w:t>
      </w:r>
      <w:r>
        <w:rPr>
          <w:rFonts w:ascii="Arial" w:cs="Arial" w:eastAsia="Arial" w:hAnsi="Arial"/>
          <w:sz w:val="12"/>
          <w:szCs w:val="12"/>
          <w:i w:val="1"/>
          <w:iCs w:val="1"/>
          <w:color w:val="auto"/>
        </w:rPr>
        <w:t xml:space="preserve"> Compensation Discussion and Analysis – Compensation Committee Report </w:t>
      </w:r>
      <w:r>
        <w:rPr>
          <w:rFonts w:ascii="Arial" w:cs="Arial" w:eastAsia="Arial" w:hAnsi="Arial"/>
          <w:sz w:val="12"/>
          <w:szCs w:val="12"/>
          <w:color w:val="auto"/>
        </w:rPr>
        <w:t>section shall not be deemed to</w:t>
      </w:r>
      <w:r>
        <w:rPr>
          <w:rFonts w:ascii="Arial" w:cs="Arial" w:eastAsia="Arial" w:hAnsi="Arial"/>
          <w:sz w:val="12"/>
          <w:szCs w:val="12"/>
          <w:i w:val="1"/>
          <w:iCs w:val="1"/>
          <w:color w:val="auto"/>
        </w:rPr>
        <w:t xml:space="preserve"> </w:t>
      </w:r>
      <w:r>
        <w:rPr>
          <w:rFonts w:ascii="Arial" w:cs="Arial" w:eastAsia="Arial" w:hAnsi="Arial"/>
          <w:sz w:val="12"/>
          <w:szCs w:val="12"/>
          <w:color w:val="auto"/>
        </w:rPr>
        <w:t>be "soliciting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152" w:lineRule="exact"/>
        <w:rPr>
          <w:sz w:val="20"/>
          <w:szCs w:val="20"/>
          <w:color w:val="auto"/>
        </w:rPr>
      </w:pPr>
    </w:p>
    <w:p>
      <w:pPr>
        <w:ind w:right="180" w:firstLine="189"/>
        <w:spacing w:after="0" w:line="266" w:lineRule="auto"/>
        <w:rPr>
          <w:sz w:val="20"/>
          <w:szCs w:val="20"/>
          <w:color w:val="auto"/>
        </w:rPr>
      </w:pPr>
      <w:r>
        <w:rPr>
          <w:rFonts w:ascii="Arial" w:cs="Arial" w:eastAsia="Arial" w:hAnsi="Arial"/>
          <w:sz w:val="12"/>
          <w:szCs w:val="12"/>
          <w:color w:val="auto"/>
        </w:rPr>
        <w:t xml:space="preserve">The information required by this item is incorporated by reference to our Proxy Statement where it appears under the </w:t>
      </w:r>
      <w:r>
        <w:rPr>
          <w:rFonts w:ascii="Arial" w:cs="Arial" w:eastAsia="Arial" w:hAnsi="Arial"/>
          <w:sz w:val="12"/>
          <w:szCs w:val="12"/>
          <w:i w:val="1"/>
          <w:iCs w:val="1"/>
          <w:color w:val="auto"/>
        </w:rPr>
        <w:t>Stock Ownership Information – Security Ownership of Directors, Management and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Beneficial Holders </w:t>
      </w:r>
      <w:r>
        <w:rPr>
          <w:rFonts w:ascii="Arial" w:cs="Arial" w:eastAsia="Arial" w:hAnsi="Arial"/>
          <w:sz w:val="12"/>
          <w:szCs w:val="12"/>
          <w:color w:val="auto"/>
        </w:rPr>
        <w:t>section. See also</w:t>
      </w:r>
      <w:r>
        <w:rPr>
          <w:rFonts w:ascii="Arial" w:cs="Arial" w:eastAsia="Arial" w:hAnsi="Arial"/>
          <w:sz w:val="12"/>
          <w:szCs w:val="12"/>
          <w:i w:val="1"/>
          <w:iCs w:val="1"/>
          <w:color w:val="auto"/>
        </w:rPr>
        <w:t xml:space="preserve"> Item 5 – Market for Registrant's Common Equity, Related Stockholder Matters and Issuer Purchases of Equity Securities – Securities Authorized for Issuance Under Equity Compensation Plans</w:t>
      </w:r>
      <w:r>
        <w:rPr>
          <w:rFonts w:ascii="Arial" w:cs="Arial" w:eastAsia="Arial" w:hAnsi="Arial"/>
          <w:sz w:val="12"/>
          <w:szCs w:val="12"/>
          <w:color w:val="auto"/>
        </w:rPr>
        <w:t>.</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1380"/>
          </w:cols>
          <w:pgMar w:left="220" w:top="287" w:right="299" w:bottom="1440" w:gutter="0" w:footer="0" w:header="0"/>
        </w:sectPr>
      </w:pPr>
    </w:p>
    <w:bookmarkStart w:id="123" w:name="page124"/>
    <w:bookmarkEnd w:id="123"/>
    <w:p>
      <w:pPr>
        <w:spacing w:after="0"/>
        <w:tabs>
          <w:tab w:leader="none" w:pos="62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152" w:lineRule="exact"/>
        <w:rPr>
          <w:sz w:val="20"/>
          <w:szCs w:val="20"/>
          <w:color w:val="auto"/>
        </w:rPr>
      </w:pPr>
    </w:p>
    <w:p>
      <w:pPr>
        <w:ind w:firstLine="189"/>
        <w:spacing w:after="0" w:line="283" w:lineRule="auto"/>
        <w:rPr>
          <w:sz w:val="20"/>
          <w:szCs w:val="20"/>
          <w:color w:val="auto"/>
        </w:rPr>
      </w:pPr>
      <w:r>
        <w:rPr>
          <w:rFonts w:ascii="Arial" w:cs="Arial" w:eastAsia="Arial" w:hAnsi="Arial"/>
          <w:sz w:val="12"/>
          <w:szCs w:val="12"/>
          <w:color w:val="auto"/>
        </w:rPr>
        <w:t xml:space="preserve">The information required by this item is incorporated by reference to our Proxy Statement where it appears in the </w:t>
      </w:r>
      <w:r>
        <w:rPr>
          <w:rFonts w:ascii="Arial" w:cs="Arial" w:eastAsia="Arial" w:hAnsi="Arial"/>
          <w:sz w:val="12"/>
          <w:szCs w:val="12"/>
          <w:i w:val="1"/>
          <w:iCs w:val="1"/>
          <w:color w:val="auto"/>
        </w:rPr>
        <w:t>Certain Relationships and Related Transactions</w:t>
      </w:r>
      <w:r>
        <w:rPr>
          <w:rFonts w:ascii="Arial" w:cs="Arial" w:eastAsia="Arial" w:hAnsi="Arial"/>
          <w:sz w:val="12"/>
          <w:szCs w:val="12"/>
          <w:color w:val="auto"/>
        </w:rPr>
        <w:t xml:space="preserve"> section (except under the subheading </w:t>
      </w:r>
      <w:r>
        <w:rPr>
          <w:rFonts w:ascii="Arial" w:cs="Arial" w:eastAsia="Arial" w:hAnsi="Arial"/>
          <w:sz w:val="12"/>
          <w:szCs w:val="12"/>
          <w:i w:val="1"/>
          <w:iCs w:val="1"/>
          <w:color w:val="auto"/>
        </w:rPr>
        <w:t>Policies and</w:t>
      </w:r>
      <w:r>
        <w:rPr>
          <w:rFonts w:ascii="Arial" w:cs="Arial" w:eastAsia="Arial" w:hAnsi="Arial"/>
          <w:sz w:val="12"/>
          <w:szCs w:val="12"/>
          <w:color w:val="auto"/>
        </w:rPr>
        <w:t xml:space="preserve"> </w:t>
      </w:r>
      <w:r>
        <w:rPr>
          <w:rFonts w:ascii="Arial" w:cs="Arial" w:eastAsia="Arial" w:hAnsi="Arial"/>
          <w:sz w:val="12"/>
          <w:szCs w:val="12"/>
          <w:i w:val="1"/>
          <w:iCs w:val="1"/>
          <w:color w:val="auto"/>
        </w:rPr>
        <w:t>Procedures</w:t>
      </w:r>
      <w:r>
        <w:rPr>
          <w:rFonts w:ascii="Arial" w:cs="Arial" w:eastAsia="Arial" w:hAnsi="Arial"/>
          <w:sz w:val="12"/>
          <w:szCs w:val="12"/>
          <w:color w:val="auto"/>
        </w:rPr>
        <w:t>) and</w:t>
      </w:r>
      <w:r>
        <w:rPr>
          <w:rFonts w:ascii="Arial" w:cs="Arial" w:eastAsia="Arial" w:hAnsi="Arial"/>
          <w:sz w:val="12"/>
          <w:szCs w:val="12"/>
          <w:i w:val="1"/>
          <w:iCs w:val="1"/>
          <w:color w:val="auto"/>
        </w:rPr>
        <w:t xml:space="preserve"> Director Independence Determinations </w:t>
      </w:r>
      <w:r>
        <w:rPr>
          <w:rFonts w:ascii="Arial" w:cs="Arial" w:eastAsia="Arial" w:hAnsi="Arial"/>
          <w:sz w:val="12"/>
          <w:szCs w:val="12"/>
          <w:color w:val="auto"/>
        </w:rPr>
        <w:t>section</w:t>
      </w:r>
      <w:r>
        <w:rPr>
          <w:rFonts w:ascii="Arial" w:cs="Arial" w:eastAsia="Arial" w:hAnsi="Arial"/>
          <w:sz w:val="12"/>
          <w:szCs w:val="12"/>
          <w:i w:val="1"/>
          <w:iCs w:val="1"/>
          <w:color w:val="auto"/>
        </w:rPr>
        <w:t>.</w:t>
      </w:r>
    </w:p>
    <w:p>
      <w:pPr>
        <w:spacing w:after="0" w:line="10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143" w:lineRule="exact"/>
        <w:rPr>
          <w:sz w:val="20"/>
          <w:szCs w:val="20"/>
          <w:color w:val="auto"/>
        </w:rPr>
      </w:pPr>
    </w:p>
    <w:p>
      <w:pPr>
        <w:ind w:right="160" w:firstLine="189"/>
        <w:spacing w:after="0" w:line="283" w:lineRule="auto"/>
        <w:rPr>
          <w:sz w:val="20"/>
          <w:szCs w:val="20"/>
          <w:color w:val="auto"/>
        </w:rPr>
      </w:pPr>
      <w:r>
        <w:rPr>
          <w:rFonts w:ascii="Arial" w:cs="Arial" w:eastAsia="Arial" w:hAnsi="Arial"/>
          <w:sz w:val="12"/>
          <w:szCs w:val="12"/>
          <w:color w:val="auto"/>
        </w:rPr>
        <w:t xml:space="preserve">The information required by this item is incorporated by reference to our Proxy Statement where it appears in the </w:t>
      </w:r>
      <w:r>
        <w:rPr>
          <w:rFonts w:ascii="Arial" w:cs="Arial" w:eastAsia="Arial" w:hAnsi="Arial"/>
          <w:sz w:val="12"/>
          <w:szCs w:val="12"/>
          <w:i w:val="1"/>
          <w:iCs w:val="1"/>
          <w:color w:val="auto"/>
        </w:rPr>
        <w:t>Proposals Requiring Your Vote – Proposal 2: Ratification of the Appointment of the Independent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Registered Public Accounting Firm </w:t>
      </w:r>
      <w:r>
        <w:rPr>
          <w:rFonts w:ascii="Arial" w:cs="Arial" w:eastAsia="Arial" w:hAnsi="Arial"/>
          <w:sz w:val="12"/>
          <w:szCs w:val="12"/>
          <w:color w:val="auto"/>
        </w:rPr>
        <w:t>section.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1440"/>
          </w:cols>
          <w:pgMar w:left="220" w:top="287" w:right="239" w:bottom="1440" w:gutter="0" w:footer="0" w:header="0"/>
        </w:sectPr>
      </w:pPr>
    </w:p>
    <w:bookmarkStart w:id="124" w:name="page125"/>
    <w:bookmarkEnd w:id="124"/>
    <w:p>
      <w:pPr>
        <w:ind w:left="8"/>
        <w:spacing w:after="0"/>
        <w:rPr>
          <w:sz w:val="20"/>
          <w:szCs w:val="20"/>
          <w:color w:val="auto"/>
        </w:rPr>
      </w:pPr>
      <w:r>
        <w:rPr>
          <w:rFonts w:ascii="Arial" w:cs="Arial" w:eastAsia="Arial" w:hAnsi="Arial"/>
          <w:sz w:val="13"/>
          <w:szCs w:val="13"/>
          <w:b w:val="1"/>
          <w:bCs w:val="1"/>
          <w:color w:val="auto"/>
        </w:rPr>
        <w:t>PART IV</w:t>
      </w:r>
    </w:p>
    <w:p>
      <w:pPr>
        <w:spacing w:after="0" w:line="161" w:lineRule="exact"/>
        <w:rPr>
          <w:sz w:val="20"/>
          <w:szCs w:val="20"/>
          <w:color w:val="auto"/>
        </w:rPr>
      </w:pPr>
    </w:p>
    <w:p>
      <w:pPr>
        <w:ind w:left="8"/>
        <w:spacing w:after="0"/>
        <w:tabs>
          <w:tab w:leader="none" w:pos="628" w:val="left"/>
        </w:tabs>
        <w:rPr>
          <w:sz w:val="20"/>
          <w:szCs w:val="20"/>
          <w:color w:val="auto"/>
        </w:rPr>
      </w:pPr>
      <w:r>
        <w:rPr>
          <w:rFonts w:ascii="Arial" w:cs="Arial" w:eastAsia="Arial" w:hAnsi="Arial"/>
          <w:sz w:val="12"/>
          <w:szCs w:val="12"/>
          <w:b w:val="1"/>
          <w:bCs w:val="1"/>
          <w:color w:val="auto"/>
        </w:rPr>
        <w:t>ITEM 15</w:t>
        <w:tab/>
        <w:t>EXHIBITS</w:t>
      </w:r>
    </w:p>
    <w:p>
      <w:pPr>
        <w:spacing w:after="0" w:line="164" w:lineRule="exact"/>
        <w:rPr>
          <w:sz w:val="20"/>
          <w:szCs w:val="20"/>
          <w:color w:val="auto"/>
        </w:rPr>
      </w:pPr>
    </w:p>
    <w:p>
      <w:pPr>
        <w:ind w:left="8" w:firstLine="216"/>
        <w:spacing w:after="0" w:line="262" w:lineRule="auto"/>
        <w:rPr>
          <w:sz w:val="20"/>
          <w:szCs w:val="20"/>
          <w:color w:val="auto"/>
        </w:rPr>
      </w:pPr>
      <w:r>
        <w:rPr>
          <w:rFonts w:ascii="Arial" w:cs="Arial" w:eastAsia="Arial" w:hAnsi="Arial"/>
          <w:sz w:val="12"/>
          <w:szCs w:val="12"/>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59" w:lineRule="exact"/>
        <w:rPr>
          <w:sz w:val="20"/>
          <w:szCs w:val="20"/>
          <w:color w:val="auto"/>
        </w:rPr>
      </w:pPr>
    </w:p>
    <w:p>
      <w:pPr>
        <w:ind w:left="428" w:hanging="212"/>
        <w:spacing w:after="0"/>
        <w:tabs>
          <w:tab w:leader="none" w:pos="428" w:val="left"/>
        </w:tabs>
        <w:numPr>
          <w:ilvl w:val="1"/>
          <w:numId w:val="70"/>
        </w:numPr>
        <w:rPr>
          <w:rFonts w:ascii="Arial" w:cs="Arial" w:eastAsia="Arial" w:hAnsi="Arial"/>
          <w:sz w:val="12"/>
          <w:szCs w:val="12"/>
          <w:color w:val="auto"/>
        </w:rPr>
      </w:pPr>
      <w:r>
        <w:rPr>
          <w:rFonts w:ascii="Arial" w:cs="Arial" w:eastAsia="Arial" w:hAnsi="Arial"/>
          <w:sz w:val="12"/>
          <w:szCs w:val="12"/>
          <w:color w:val="auto"/>
        </w:rPr>
        <w:t>should not be treated as categorical statements of fact, but rather as a way of allocating the risk among the parties if those statements prove to be inaccurate;</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1"/>
          <w:numId w:val="70"/>
        </w:numPr>
        <w:rPr>
          <w:rFonts w:ascii="Arial" w:cs="Arial" w:eastAsia="Arial" w:hAnsi="Arial"/>
          <w:sz w:val="12"/>
          <w:szCs w:val="12"/>
          <w:color w:val="auto"/>
        </w:rPr>
      </w:pPr>
      <w:r>
        <w:rPr>
          <w:rFonts w:ascii="Arial" w:cs="Arial" w:eastAsia="Arial" w:hAnsi="Arial"/>
          <w:sz w:val="12"/>
          <w:szCs w:val="12"/>
          <w:color w:val="auto"/>
        </w:rPr>
        <w:t>have been qualified by disclosures that were made to the other party in connection with the negotiation of the applicable agreement, which disclosures are not necessarily reflected in the agreement;</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1"/>
          <w:numId w:val="70"/>
        </w:numPr>
        <w:rPr>
          <w:rFonts w:ascii="Arial" w:cs="Arial" w:eastAsia="Arial" w:hAnsi="Arial"/>
          <w:sz w:val="12"/>
          <w:szCs w:val="12"/>
          <w:color w:val="auto"/>
        </w:rPr>
      </w:pPr>
      <w:r>
        <w:rPr>
          <w:rFonts w:ascii="Arial" w:cs="Arial" w:eastAsia="Arial" w:hAnsi="Arial"/>
          <w:sz w:val="12"/>
          <w:szCs w:val="12"/>
          <w:color w:val="auto"/>
        </w:rPr>
        <w:t>may apply standards of materiality in a way that is different from the way investors may view materiality; and</w:t>
      </w:r>
    </w:p>
    <w:p>
      <w:pPr>
        <w:spacing w:after="0" w:line="78" w:lineRule="exact"/>
        <w:rPr>
          <w:rFonts w:ascii="Arial" w:cs="Arial" w:eastAsia="Arial" w:hAnsi="Arial"/>
          <w:sz w:val="12"/>
          <w:szCs w:val="12"/>
          <w:color w:val="auto"/>
        </w:rPr>
      </w:pPr>
    </w:p>
    <w:p>
      <w:pPr>
        <w:ind w:left="428" w:hanging="212"/>
        <w:spacing w:after="0"/>
        <w:tabs>
          <w:tab w:leader="none" w:pos="428" w:val="left"/>
        </w:tabs>
        <w:numPr>
          <w:ilvl w:val="1"/>
          <w:numId w:val="70"/>
        </w:numPr>
        <w:rPr>
          <w:rFonts w:ascii="Arial" w:cs="Arial" w:eastAsia="Arial" w:hAnsi="Arial"/>
          <w:sz w:val="12"/>
          <w:szCs w:val="12"/>
          <w:color w:val="auto"/>
        </w:rPr>
      </w:pPr>
      <w:r>
        <w:rPr>
          <w:rFonts w:ascii="Arial" w:cs="Arial" w:eastAsia="Arial" w:hAnsi="Arial"/>
          <w:sz w:val="12"/>
          <w:szCs w:val="12"/>
          <w:color w:val="auto"/>
        </w:rPr>
        <w:t>were made only as of the date of the applicable agreement or such other date or dates as may be specified in the agreement and are subject to more recent developments.</w:t>
      </w:r>
    </w:p>
    <w:p>
      <w:pPr>
        <w:spacing w:after="0" w:line="136" w:lineRule="exact"/>
        <w:rPr>
          <w:rFonts w:ascii="Arial" w:cs="Arial" w:eastAsia="Arial" w:hAnsi="Arial"/>
          <w:sz w:val="12"/>
          <w:szCs w:val="12"/>
          <w:color w:val="auto"/>
        </w:rPr>
      </w:pPr>
    </w:p>
    <w:p>
      <w:pPr>
        <w:ind w:left="188" w:hanging="188"/>
        <w:spacing w:after="0"/>
        <w:tabs>
          <w:tab w:leader="none" w:pos="188"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(1) and (2). Financial Statements</w:t>
      </w:r>
    </w:p>
    <w:p>
      <w:pPr>
        <w:spacing w:after="0" w:line="2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Reference is made to Item 8 of the Table of Contents of this report where these documents are listed.</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 (3). Exhibits</w:t>
      </w:r>
    </w:p>
    <w:p>
      <w:pPr>
        <w:spacing w:after="0" w:line="272" w:lineRule="exact"/>
        <w:rPr>
          <w:sz w:val="20"/>
          <w:szCs w:val="20"/>
          <w:color w:val="auto"/>
        </w:rPr>
      </w:pPr>
    </w:p>
    <w:tbl>
      <w:tblPr>
        <w:tblLayout w:type="fixed"/>
        <w:tblInd w:w="8" w:type="dxa"/>
        <w:tblCellMar>
          <w:top w:w="0" w:type="dxa"/>
          <w:left w:w="0" w:type="dxa"/>
          <w:bottom w:w="0" w:type="dxa"/>
          <w:right w:w="0" w:type="dxa"/>
        </w:tblCellMar>
      </w:tblPr>
      <w:tr>
        <w:trPr>
          <w:trHeight w:val="158"/>
        </w:trPr>
        <w:tc>
          <w:tcPr>
            <w:tcW w:w="1260" w:type="dxa"/>
            <w:vAlign w:val="bottom"/>
            <w:gridSpan w:val="2"/>
          </w:tcPr>
          <w:p>
            <w:pPr>
              <w:ind w:left="20"/>
              <w:spacing w:after="0"/>
              <w:rPr>
                <w:sz w:val="20"/>
                <w:szCs w:val="20"/>
                <w:color w:val="auto"/>
              </w:rPr>
            </w:pPr>
            <w:r>
              <w:rPr>
                <w:rFonts w:ascii="Arial" w:cs="Arial" w:eastAsia="Arial" w:hAnsi="Arial"/>
                <w:sz w:val="12"/>
                <w:szCs w:val="12"/>
                <w:color w:val="auto"/>
              </w:rPr>
              <w:t>Exhibit Number</w:t>
            </w:r>
          </w:p>
        </w:tc>
        <w:tc>
          <w:tcPr>
            <w:tcW w:w="20" w:type="dxa"/>
            <w:vAlign w:val="bottom"/>
          </w:tcPr>
          <w:p>
            <w:pPr>
              <w:spacing w:after="0"/>
              <w:rPr>
                <w:sz w:val="13"/>
                <w:szCs w:val="13"/>
                <w:color w:val="auto"/>
              </w:rPr>
            </w:pPr>
          </w:p>
        </w:tc>
        <w:tc>
          <w:tcPr>
            <w:tcW w:w="10200" w:type="dxa"/>
            <w:vAlign w:val="bottom"/>
            <w:gridSpan w:val="16"/>
          </w:tcPr>
          <w:p>
            <w:pPr>
              <w:spacing w:after="0"/>
              <w:rPr>
                <w:sz w:val="20"/>
                <w:szCs w:val="20"/>
                <w:color w:val="auto"/>
              </w:rPr>
            </w:pPr>
            <w:r>
              <w:rPr>
                <w:rFonts w:ascii="Arial" w:cs="Arial" w:eastAsia="Arial" w:hAnsi="Arial"/>
                <w:sz w:val="12"/>
                <w:szCs w:val="12"/>
                <w:color w:val="auto"/>
              </w:rPr>
              <w:t>Exhibit Description</w:t>
            </w:r>
          </w:p>
        </w:tc>
      </w:tr>
      <w:tr>
        <w:trPr>
          <w:trHeight w:val="129"/>
        </w:trPr>
        <w:tc>
          <w:tcPr>
            <w:tcW w:w="11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2"/>
                <w:szCs w:val="12"/>
                <w:color w:val="auto"/>
              </w:rPr>
              <w:t>2.1</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0" w:type="dxa"/>
            <w:vAlign w:val="bottom"/>
            <w:tcBorders>
              <w:top w:val="single" w:sz="8" w:color="auto"/>
            </w:tcBorders>
            <w:gridSpan w:val="16"/>
          </w:tcPr>
          <w:p>
            <w:pPr>
              <w:spacing w:after="0" w:line="129" w:lineRule="exact"/>
              <w:rPr>
                <w:rFonts w:ascii="Arial" w:cs="Arial" w:eastAsia="Arial" w:hAnsi="Arial"/>
                <w:sz w:val="12"/>
                <w:szCs w:val="12"/>
                <w:color w:val="0000FF"/>
              </w:rPr>
            </w:pPr>
            <w:hyperlink r:id="rId26">
              <w:r>
                <w:rPr>
                  <w:rFonts w:ascii="Arial" w:cs="Arial" w:eastAsia="Arial" w:hAnsi="Arial"/>
                  <w:sz w:val="12"/>
                  <w:szCs w:val="12"/>
                  <w:color w:val="0000FF"/>
                </w:rPr>
                <w:t>Separation and Distribution Agreement, dated as of November 25, 2014, between Occidental Petroleum Corporation and California Resources Corporation (filed as Exhibit 2.1 to Registrant’s</w:t>
              </w:r>
            </w:hyperlink>
          </w:p>
        </w:tc>
      </w:tr>
      <w:tr>
        <w:trPr>
          <w:trHeight w:val="115"/>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60" w:type="dxa"/>
            <w:vAlign w:val="bottom"/>
            <w:tcBorders>
              <w:top w:val="single" w:sz="8" w:color="0000FF"/>
            </w:tcBorders>
            <w:gridSpan w:val="12"/>
          </w:tcPr>
          <w:p>
            <w:pPr>
              <w:spacing w:after="0" w:line="115" w:lineRule="exact"/>
              <w:rPr>
                <w:rFonts w:ascii="Arial" w:cs="Arial" w:eastAsia="Arial" w:hAnsi="Arial"/>
                <w:sz w:val="12"/>
                <w:szCs w:val="12"/>
                <w:color w:val="0000FF"/>
              </w:rPr>
            </w:pPr>
            <w:hyperlink r:id="rId26">
              <w:r>
                <w:rPr>
                  <w:rFonts w:ascii="Arial" w:cs="Arial" w:eastAsia="Arial" w:hAnsi="Arial"/>
                  <w:sz w:val="12"/>
                  <w:szCs w:val="12"/>
                  <w:color w:val="0000FF"/>
                </w:rPr>
                <w:t>Current Report on Form 8-K filed December 1, 2014 and incorporated herein by reference).</w:t>
              </w:r>
            </w:hyperlink>
          </w:p>
        </w:tc>
        <w:tc>
          <w:tcPr>
            <w:tcW w:w="140" w:type="dxa"/>
            <w:vAlign w:val="bottom"/>
            <w:gridSpan w:val="4"/>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140" w:type="dxa"/>
            <w:vAlign w:val="bottom"/>
          </w:tcPr>
          <w:p>
            <w:pPr>
              <w:ind w:left="20"/>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Borders>
              <w:bottom w:val="single" w:sz="8" w:color="0000FF"/>
            </w:tcBorders>
            <w:gridSpan w:val="9"/>
          </w:tcPr>
          <w:p>
            <w:pPr>
              <w:spacing w:after="0"/>
              <w:rPr>
                <w:rFonts w:ascii="Arial" w:cs="Arial" w:eastAsia="Arial" w:hAnsi="Arial"/>
                <w:sz w:val="12"/>
                <w:szCs w:val="12"/>
                <w:color w:val="0000FF"/>
                <w:w w:val="99"/>
              </w:rPr>
            </w:pPr>
            <w:hyperlink r:id="rId27">
              <w:r>
                <w:rPr>
                  <w:rFonts w:ascii="Arial" w:cs="Arial" w:eastAsia="Arial" w:hAnsi="Arial"/>
                  <w:sz w:val="12"/>
                  <w:szCs w:val="12"/>
                  <w:color w:val="0000FF"/>
                  <w:w w:val="99"/>
                </w:rPr>
                <w:t>Amended and Restated Certificate of Incorporation of California Resources Corporation (filed as Exhibit 3.1 to Registrant’s Current Report on Form 8-K filed June 3, 2016 and incorporated</w:t>
              </w:r>
            </w:hyperlink>
          </w:p>
        </w:tc>
        <w:tc>
          <w:tcPr>
            <w:tcW w:w="260" w:type="dxa"/>
            <w:vAlign w:val="bottom"/>
            <w:gridSpan w:val="7"/>
          </w:tcPr>
          <w:p>
            <w:pPr>
              <w:spacing w:after="0"/>
              <w:rPr>
                <w:sz w:val="20"/>
                <w:szCs w:val="20"/>
                <w:color w:val="auto"/>
              </w:rPr>
            </w:pPr>
          </w:p>
        </w:tc>
      </w:tr>
      <w:tr>
        <w:trPr>
          <w:trHeight w:val="115"/>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0" w:type="dxa"/>
            <w:vAlign w:val="bottom"/>
            <w:gridSpan w:val="16"/>
          </w:tcPr>
          <w:p>
            <w:pPr>
              <w:spacing w:after="0" w:line="115" w:lineRule="exact"/>
              <w:rPr>
                <w:rFonts w:ascii="Arial" w:cs="Arial" w:eastAsia="Arial" w:hAnsi="Arial"/>
                <w:sz w:val="12"/>
                <w:szCs w:val="12"/>
                <w:color w:val="0000FF"/>
              </w:rPr>
            </w:pPr>
            <w:hyperlink r:id="rId27">
              <w:r>
                <w:rPr>
                  <w:rFonts w:ascii="Arial" w:cs="Arial" w:eastAsia="Arial" w:hAnsi="Arial"/>
                  <w:sz w:val="12"/>
                  <w:szCs w:val="12"/>
                  <w:color w:val="0000FF"/>
                </w:rPr>
                <w:t>herein by reference).</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140" w:type="dxa"/>
            <w:vAlign w:val="bottom"/>
          </w:tcPr>
          <w:p>
            <w:pPr>
              <w:ind w:left="20"/>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tcBorders>
              <w:bottom w:val="single" w:sz="8" w:color="0000FF"/>
            </w:tcBorders>
            <w:gridSpan w:val="11"/>
          </w:tcPr>
          <w:p>
            <w:pPr>
              <w:spacing w:after="0"/>
              <w:rPr>
                <w:rFonts w:ascii="Arial" w:cs="Arial" w:eastAsia="Arial" w:hAnsi="Arial"/>
                <w:sz w:val="12"/>
                <w:szCs w:val="12"/>
                <w:color w:val="0000FF"/>
                <w:w w:val="99"/>
              </w:rPr>
            </w:pPr>
            <w:hyperlink r:id="rId28">
              <w:r>
                <w:rPr>
                  <w:rFonts w:ascii="Arial" w:cs="Arial" w:eastAsia="Arial" w:hAnsi="Arial"/>
                  <w:sz w:val="12"/>
                  <w:szCs w:val="12"/>
                  <w:color w:val="0000FF"/>
                  <w:w w:val="99"/>
                </w:rPr>
                <w:t>Amended and Restated Bylaws of California Resources Corporation (filed as Exhibit 3.2 to the Registrant’s Current Report on Form 8-K filed November 10, 2015 and incorporated herein by</w:t>
              </w:r>
            </w:hyperlink>
          </w:p>
        </w:tc>
        <w:tc>
          <w:tcPr>
            <w:tcW w:w="200" w:type="dxa"/>
            <w:vAlign w:val="bottom"/>
            <w:gridSpan w:val="5"/>
          </w:tcPr>
          <w:p>
            <w:pPr>
              <w:spacing w:after="0"/>
              <w:rPr>
                <w:sz w:val="20"/>
                <w:szCs w:val="20"/>
                <w:color w:val="auto"/>
              </w:rPr>
            </w:pPr>
          </w:p>
        </w:tc>
      </w:tr>
      <w:tr>
        <w:trPr>
          <w:trHeight w:val="115"/>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0" w:type="dxa"/>
            <w:vAlign w:val="bottom"/>
            <w:gridSpan w:val="16"/>
          </w:tcPr>
          <w:p>
            <w:pPr>
              <w:spacing w:after="0" w:line="115" w:lineRule="exact"/>
              <w:rPr>
                <w:rFonts w:ascii="Arial" w:cs="Arial" w:eastAsia="Arial" w:hAnsi="Arial"/>
                <w:sz w:val="12"/>
                <w:szCs w:val="12"/>
                <w:color w:val="0000FF"/>
              </w:rPr>
            </w:pPr>
            <w:hyperlink r:id="rId28">
              <w:r>
                <w:rPr>
                  <w:rFonts w:ascii="Arial" w:cs="Arial" w:eastAsia="Arial" w:hAnsi="Arial"/>
                  <w:sz w:val="12"/>
                  <w:szCs w:val="12"/>
                  <w:color w:val="0000FF"/>
                </w:rPr>
                <w:t>reference).</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140" w:type="dxa"/>
            <w:vAlign w:val="bottom"/>
          </w:tcPr>
          <w:p>
            <w:pPr>
              <w:ind w:left="20"/>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tcBorders>
              <w:bottom w:val="single" w:sz="8" w:color="0000FF"/>
            </w:tcBorders>
            <w:gridSpan w:val="14"/>
          </w:tcPr>
          <w:p>
            <w:pPr>
              <w:spacing w:after="0"/>
              <w:rPr>
                <w:rFonts w:ascii="Arial" w:cs="Arial" w:eastAsia="Arial" w:hAnsi="Arial"/>
                <w:sz w:val="12"/>
                <w:szCs w:val="12"/>
                <w:color w:val="0000FF"/>
                <w:w w:val="99"/>
              </w:rPr>
            </w:pPr>
            <w:hyperlink r:id="rId29">
              <w:r>
                <w:rPr>
                  <w:rFonts w:ascii="Arial" w:cs="Arial" w:eastAsia="Arial" w:hAnsi="Arial"/>
                  <w:sz w:val="12"/>
                  <w:szCs w:val="12"/>
                  <w:color w:val="0000FF"/>
                  <w:w w:val="99"/>
                </w:rPr>
                <w:t>Indenture, dated October 1, 2014, by and among California Resources Corporation, the Guarantors and Wells Fargo Bank, National Association (filed as Exhibit 4.2 to Amendment No. 4 to the</w:t>
              </w:r>
            </w:hyperlink>
          </w:p>
        </w:tc>
        <w:tc>
          <w:tcPr>
            <w:tcW w:w="40" w:type="dxa"/>
            <w:vAlign w:val="bottom"/>
            <w:gridSpan w:val="2"/>
          </w:tcPr>
          <w:p>
            <w:pPr>
              <w:spacing w:after="0"/>
              <w:rPr>
                <w:sz w:val="20"/>
                <w:szCs w:val="20"/>
                <w:color w:val="auto"/>
              </w:rPr>
            </w:pPr>
          </w:p>
        </w:tc>
      </w:tr>
      <w:tr>
        <w:trPr>
          <w:trHeight w:val="115"/>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720" w:type="dxa"/>
            <w:vAlign w:val="bottom"/>
            <w:tcBorders>
              <w:bottom w:val="single" w:sz="8" w:color="0000FF"/>
            </w:tcBorders>
            <w:gridSpan w:val="5"/>
          </w:tcPr>
          <w:p>
            <w:pPr>
              <w:spacing w:after="0" w:line="115" w:lineRule="exact"/>
              <w:rPr>
                <w:rFonts w:ascii="Arial" w:cs="Arial" w:eastAsia="Arial" w:hAnsi="Arial"/>
                <w:sz w:val="12"/>
                <w:szCs w:val="12"/>
                <w:color w:val="0000FF"/>
                <w:w w:val="99"/>
              </w:rPr>
            </w:pPr>
            <w:hyperlink r:id="rId29">
              <w:r>
                <w:rPr>
                  <w:rFonts w:ascii="Arial" w:cs="Arial" w:eastAsia="Arial" w:hAnsi="Arial"/>
                  <w:sz w:val="12"/>
                  <w:szCs w:val="12"/>
                  <w:color w:val="0000FF"/>
                  <w:w w:val="99"/>
                </w:rPr>
                <w:t>Registrant’s Information Statement on Form 10 filed October 8, 2014 and incorporated herein by reference).</w:t>
              </w:r>
            </w:hyperlink>
          </w:p>
        </w:tc>
        <w:tc>
          <w:tcPr>
            <w:tcW w:w="4480" w:type="dxa"/>
            <w:vAlign w:val="bottom"/>
            <w:gridSpan w:val="11"/>
          </w:tcPr>
          <w:p>
            <w:pPr>
              <w:spacing w:after="0"/>
              <w:rPr>
                <w:sz w:val="10"/>
                <w:szCs w:val="10"/>
                <w:color w:val="auto"/>
              </w:rPr>
            </w:pPr>
          </w:p>
        </w:tc>
      </w:tr>
      <w:tr>
        <w:trPr>
          <w:trHeight w:val="232"/>
        </w:trPr>
        <w:tc>
          <w:tcPr>
            <w:tcW w:w="1140" w:type="dxa"/>
            <w:vAlign w:val="bottom"/>
          </w:tcPr>
          <w:p>
            <w:pPr>
              <w:ind w:left="20"/>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0" w:type="dxa"/>
            <w:vAlign w:val="bottom"/>
            <w:tcBorders>
              <w:bottom w:val="single" w:sz="8" w:color="0000FF"/>
            </w:tcBorders>
            <w:gridSpan w:val="8"/>
          </w:tcPr>
          <w:p>
            <w:pPr>
              <w:spacing w:after="0"/>
              <w:rPr>
                <w:rFonts w:ascii="Arial" w:cs="Arial" w:eastAsia="Arial" w:hAnsi="Arial"/>
                <w:sz w:val="12"/>
                <w:szCs w:val="12"/>
                <w:color w:val="0000FF"/>
                <w:w w:val="99"/>
              </w:rPr>
            </w:pPr>
            <w:hyperlink r:id="rId30">
              <w:r>
                <w:rPr>
                  <w:rFonts w:ascii="Arial" w:cs="Arial" w:eastAsia="Arial" w:hAnsi="Arial"/>
                  <w:sz w:val="12"/>
                  <w:szCs w:val="12"/>
                  <w:color w:val="0000FF"/>
                  <w:w w:val="99"/>
                </w:rPr>
                <w:t>Indenture, dated December 15, 2015, by and among California Resources Corporation, the Guarantors and the Bank of New York Mellon Trust Company, N.A. (filed as Exhibit 4.1 to</w:t>
              </w:r>
            </w:hyperlink>
          </w:p>
        </w:tc>
        <w:tc>
          <w:tcPr>
            <w:tcW w:w="600" w:type="dxa"/>
            <w:vAlign w:val="bottom"/>
            <w:gridSpan w:val="8"/>
          </w:tcPr>
          <w:p>
            <w:pPr>
              <w:spacing w:after="0"/>
              <w:rPr>
                <w:sz w:val="20"/>
                <w:szCs w:val="20"/>
                <w:color w:val="auto"/>
              </w:rPr>
            </w:pPr>
          </w:p>
        </w:tc>
      </w:tr>
      <w:tr>
        <w:trPr>
          <w:trHeight w:val="115"/>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bottom w:val="single" w:sz="8" w:color="0000FF"/>
            </w:tcBorders>
            <w:gridSpan w:val="4"/>
          </w:tcPr>
          <w:p>
            <w:pPr>
              <w:spacing w:after="0" w:line="115" w:lineRule="exact"/>
              <w:rPr>
                <w:rFonts w:ascii="Arial" w:cs="Arial" w:eastAsia="Arial" w:hAnsi="Arial"/>
                <w:sz w:val="12"/>
                <w:szCs w:val="12"/>
                <w:color w:val="0000FF"/>
                <w:w w:val="99"/>
              </w:rPr>
            </w:pPr>
            <w:hyperlink r:id="rId30">
              <w:r>
                <w:rPr>
                  <w:rFonts w:ascii="Arial" w:cs="Arial" w:eastAsia="Arial" w:hAnsi="Arial"/>
                  <w:sz w:val="12"/>
                  <w:szCs w:val="12"/>
                  <w:color w:val="0000FF"/>
                  <w:w w:val="99"/>
                </w:rPr>
                <w:t>Registrant’s Current Report on Form 8-K filed December 18, 2015 and incorporated herein by reference).</w:t>
              </w:r>
            </w:hyperlink>
          </w:p>
        </w:tc>
        <w:tc>
          <w:tcPr>
            <w:tcW w:w="4620" w:type="dxa"/>
            <w:vAlign w:val="bottom"/>
            <w:gridSpan w:val="12"/>
          </w:tcPr>
          <w:p>
            <w:pPr>
              <w:spacing w:after="0"/>
              <w:rPr>
                <w:sz w:val="10"/>
                <w:szCs w:val="10"/>
                <w:color w:val="auto"/>
              </w:rPr>
            </w:pPr>
          </w:p>
        </w:tc>
      </w:tr>
      <w:tr>
        <w:trPr>
          <w:trHeight w:val="232"/>
        </w:trPr>
        <w:tc>
          <w:tcPr>
            <w:tcW w:w="1140" w:type="dxa"/>
            <w:vAlign w:val="bottom"/>
          </w:tcPr>
          <w:p>
            <w:pPr>
              <w:ind w:left="20"/>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tcBorders>
              <w:bottom w:val="single" w:sz="8" w:color="0000FF"/>
            </w:tcBorders>
            <w:gridSpan w:val="15"/>
          </w:tcPr>
          <w:p>
            <w:pPr>
              <w:spacing w:after="0"/>
              <w:rPr>
                <w:rFonts w:ascii="Arial" w:cs="Arial" w:eastAsia="Arial" w:hAnsi="Arial"/>
                <w:sz w:val="12"/>
                <w:szCs w:val="12"/>
                <w:color w:val="0000FF"/>
                <w:w w:val="99"/>
              </w:rPr>
            </w:pPr>
            <w:hyperlink r:id="rId31">
              <w:r>
                <w:rPr>
                  <w:rFonts w:ascii="Arial" w:cs="Arial" w:eastAsia="Arial" w:hAnsi="Arial"/>
                  <w:sz w:val="12"/>
                  <w:szCs w:val="12"/>
                  <w:color w:val="0000FF"/>
                  <w:w w:val="99"/>
                </w:rPr>
                <w:t>Guarantor Supplemental Indenture dated as of March 5, 2015, among California Resources Corporation, certain guarantors named therein and Wells Fargo Bank, National Association (filed as</w:t>
              </w:r>
            </w:hyperlink>
          </w:p>
        </w:tc>
        <w:tc>
          <w:tcPr>
            <w:tcW w:w="20" w:type="dxa"/>
            <w:vAlign w:val="bottom"/>
          </w:tcPr>
          <w:p>
            <w:pPr>
              <w:spacing w:after="0"/>
              <w:rPr>
                <w:sz w:val="20"/>
                <w:szCs w:val="20"/>
                <w:color w:val="auto"/>
              </w:rPr>
            </w:pPr>
          </w:p>
        </w:tc>
      </w:tr>
      <w:tr>
        <w:trPr>
          <w:trHeight w:val="115"/>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520" w:type="dxa"/>
            <w:vAlign w:val="bottom"/>
            <w:tcBorders>
              <w:bottom w:val="single" w:sz="8" w:color="0000FF"/>
            </w:tcBorders>
            <w:gridSpan w:val="6"/>
          </w:tcPr>
          <w:p>
            <w:pPr>
              <w:spacing w:after="0" w:line="115" w:lineRule="exact"/>
              <w:rPr>
                <w:rFonts w:ascii="Arial" w:cs="Arial" w:eastAsia="Arial" w:hAnsi="Arial"/>
                <w:sz w:val="12"/>
                <w:szCs w:val="12"/>
                <w:color w:val="0000FF"/>
                <w:w w:val="99"/>
              </w:rPr>
            </w:pPr>
            <w:hyperlink r:id="rId31">
              <w:r>
                <w:rPr>
                  <w:rFonts w:ascii="Arial" w:cs="Arial" w:eastAsia="Arial" w:hAnsi="Arial"/>
                  <w:sz w:val="12"/>
                  <w:szCs w:val="12"/>
                  <w:color w:val="0000FF"/>
                  <w:w w:val="99"/>
                </w:rPr>
                <w:t>Exhibit 4.2 to Registrant’s Registration Statement on Form S-4 filed March 12, 2015 and incorporated herein by reference).</w:t>
              </w:r>
            </w:hyperlink>
          </w:p>
        </w:tc>
        <w:tc>
          <w:tcPr>
            <w:tcW w:w="3680" w:type="dxa"/>
            <w:vAlign w:val="bottom"/>
            <w:gridSpan w:val="10"/>
          </w:tcPr>
          <w:p>
            <w:pPr>
              <w:spacing w:after="0"/>
              <w:rPr>
                <w:sz w:val="10"/>
                <w:szCs w:val="10"/>
                <w:color w:val="auto"/>
              </w:rPr>
            </w:pPr>
          </w:p>
        </w:tc>
      </w:tr>
      <w:tr>
        <w:trPr>
          <w:trHeight w:val="232"/>
        </w:trPr>
        <w:tc>
          <w:tcPr>
            <w:tcW w:w="1140" w:type="dxa"/>
            <w:vAlign w:val="bottom"/>
          </w:tcPr>
          <w:p>
            <w:pPr>
              <w:ind w:left="20"/>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tcBorders>
              <w:bottom w:val="single" w:sz="8" w:color="0000FF"/>
            </w:tcBorders>
            <w:gridSpan w:val="13"/>
          </w:tcPr>
          <w:p>
            <w:pPr>
              <w:spacing w:after="0"/>
              <w:rPr>
                <w:rFonts w:ascii="Arial" w:cs="Arial" w:eastAsia="Arial" w:hAnsi="Arial"/>
                <w:sz w:val="12"/>
                <w:szCs w:val="12"/>
                <w:color w:val="0000FF"/>
                <w:w w:val="99"/>
              </w:rPr>
            </w:pPr>
            <w:hyperlink r:id="rId32">
              <w:r>
                <w:rPr>
                  <w:rFonts w:ascii="Arial" w:cs="Arial" w:eastAsia="Arial" w:hAnsi="Arial"/>
                  <w:sz w:val="12"/>
                  <w:szCs w:val="12"/>
                  <w:color w:val="0000FF"/>
                  <w:w w:val="99"/>
                </w:rPr>
                <w:t>Guarantor Supplemental Indenture dated as of March 4, 2016, among California Resources Corporation, certain guarantors named therein and The Bank of New York Mellon Trust Company,</w:t>
              </w:r>
            </w:hyperlink>
          </w:p>
        </w:tc>
        <w:tc>
          <w:tcPr>
            <w:tcW w:w="120" w:type="dxa"/>
            <w:vAlign w:val="bottom"/>
            <w:gridSpan w:val="3"/>
          </w:tcPr>
          <w:p>
            <w:pPr>
              <w:spacing w:after="0"/>
              <w:rPr>
                <w:sz w:val="20"/>
                <w:szCs w:val="20"/>
                <w:color w:val="auto"/>
              </w:rPr>
            </w:pPr>
          </w:p>
        </w:tc>
      </w:tr>
      <w:tr>
        <w:trPr>
          <w:trHeight w:val="115"/>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0" w:type="dxa"/>
            <w:vAlign w:val="bottom"/>
            <w:gridSpan w:val="16"/>
          </w:tcPr>
          <w:p>
            <w:pPr>
              <w:spacing w:after="0" w:line="115" w:lineRule="exact"/>
              <w:rPr>
                <w:rFonts w:ascii="Arial" w:cs="Arial" w:eastAsia="Arial" w:hAnsi="Arial"/>
                <w:sz w:val="12"/>
                <w:szCs w:val="12"/>
                <w:color w:val="0000FF"/>
              </w:rPr>
            </w:pPr>
            <w:hyperlink r:id="rId32">
              <w:r>
                <w:rPr>
                  <w:rFonts w:ascii="Arial" w:cs="Arial" w:eastAsia="Arial" w:hAnsi="Arial"/>
                  <w:sz w:val="12"/>
                  <w:szCs w:val="12"/>
                  <w:color w:val="0000FF"/>
                </w:rPr>
                <w:t>N.A., as trustee (filed as Exhibit 4.1 to Registrant’s Quarterly Report on Form 10-Q filed August 4, 2016 and incorporated herein by reference).</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40" w:type="dxa"/>
            <w:vAlign w:val="bottom"/>
            <w:gridSpan w:val="7"/>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32"/>
        </w:trPr>
        <w:tc>
          <w:tcPr>
            <w:tcW w:w="1140" w:type="dxa"/>
            <w:vAlign w:val="bottom"/>
          </w:tcPr>
          <w:p>
            <w:pPr>
              <w:ind w:left="20"/>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tcBorders>
              <w:bottom w:val="single" w:sz="8" w:color="0000FF"/>
            </w:tcBorders>
            <w:gridSpan w:val="10"/>
          </w:tcPr>
          <w:p>
            <w:pPr>
              <w:spacing w:after="0"/>
              <w:rPr>
                <w:rFonts w:ascii="Arial" w:cs="Arial" w:eastAsia="Arial" w:hAnsi="Arial"/>
                <w:sz w:val="12"/>
                <w:szCs w:val="12"/>
                <w:color w:val="0000FF"/>
                <w:w w:val="99"/>
              </w:rPr>
            </w:pPr>
            <w:hyperlink r:id="rId33">
              <w:r>
                <w:rPr>
                  <w:rFonts w:ascii="Arial" w:cs="Arial" w:eastAsia="Arial" w:hAnsi="Arial"/>
                  <w:sz w:val="12"/>
                  <w:szCs w:val="12"/>
                  <w:color w:val="0000FF"/>
                  <w:w w:val="99"/>
                </w:rPr>
                <w:t>Guarantor Supplement Indenture dated as of March 4, 2016, among California Resources Corporation, certain guarantors named therein and The Bank of New York Mellon Trust Company,</w:t>
              </w:r>
            </w:hyperlink>
          </w:p>
        </w:tc>
        <w:tc>
          <w:tcPr>
            <w:tcW w:w="220" w:type="dxa"/>
            <w:vAlign w:val="bottom"/>
            <w:gridSpan w:val="6"/>
          </w:tcPr>
          <w:p>
            <w:pPr>
              <w:spacing w:after="0"/>
              <w:rPr>
                <w:sz w:val="20"/>
                <w:szCs w:val="20"/>
                <w:color w:val="auto"/>
              </w:rPr>
            </w:pPr>
          </w:p>
        </w:tc>
      </w:tr>
      <w:tr>
        <w:trPr>
          <w:trHeight w:val="115"/>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0" w:type="dxa"/>
            <w:vAlign w:val="bottom"/>
            <w:gridSpan w:val="16"/>
          </w:tcPr>
          <w:p>
            <w:pPr>
              <w:spacing w:after="0" w:line="115" w:lineRule="exact"/>
              <w:rPr>
                <w:rFonts w:ascii="Arial" w:cs="Arial" w:eastAsia="Arial" w:hAnsi="Arial"/>
                <w:sz w:val="12"/>
                <w:szCs w:val="12"/>
                <w:color w:val="0000FF"/>
              </w:rPr>
            </w:pPr>
            <w:hyperlink r:id="rId33">
              <w:r>
                <w:rPr>
                  <w:rFonts w:ascii="Arial" w:cs="Arial" w:eastAsia="Arial" w:hAnsi="Arial"/>
                  <w:sz w:val="12"/>
                  <w:szCs w:val="12"/>
                  <w:color w:val="0000FF"/>
                </w:rPr>
                <w:t>N.A., as trustee (filed as Exhibit 4.2 to Registrant’s Quarterly Report on Form 10-Q filed August 4, 2016 and incorporated herein by reference).</w:t>
              </w:r>
            </w:hyperlink>
          </w:p>
        </w:tc>
      </w:tr>
      <w:tr>
        <w:trPr>
          <w:trHeight w:val="40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top w:val="single" w:sz="8" w:color="0000FF"/>
            </w:tcBorders>
            <w:gridSpan w:val="3"/>
          </w:tcPr>
          <w:p>
            <w:pPr>
              <w:ind w:left="4360"/>
              <w:spacing w:after="0"/>
              <w:rPr>
                <w:sz w:val="20"/>
                <w:szCs w:val="20"/>
                <w:color w:val="auto"/>
              </w:rPr>
            </w:pPr>
            <w:r>
              <w:rPr>
                <w:rFonts w:ascii="Arial" w:cs="Arial" w:eastAsia="Arial" w:hAnsi="Arial"/>
                <w:sz w:val="12"/>
                <w:szCs w:val="12"/>
                <w:color w:val="auto"/>
              </w:rPr>
              <w:t>125</w:t>
            </w:r>
          </w:p>
        </w:tc>
        <w:tc>
          <w:tcPr>
            <w:tcW w:w="7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8"/>
          </w:cols>
          <w:pgMar w:left="212" w:top="283" w:right="19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4.6</w:t>
            </w:r>
          </w:p>
        </w:tc>
        <w:tc>
          <w:tcPr>
            <w:tcW w:w="10040" w:type="dxa"/>
            <w:vAlign w:val="bottom"/>
            <w:tcBorders>
              <w:bottom w:val="single" w:sz="8" w:color="0000FF"/>
            </w:tcBorders>
            <w:gridSpan w:val="11"/>
          </w:tcPr>
          <w:p>
            <w:pPr>
              <w:spacing w:after="0"/>
              <w:rPr>
                <w:rFonts w:ascii="Arial" w:cs="Arial" w:eastAsia="Arial" w:hAnsi="Arial"/>
                <w:sz w:val="12"/>
                <w:szCs w:val="12"/>
                <w:color w:val="0000FF"/>
                <w:w w:val="99"/>
              </w:rPr>
            </w:pPr>
            <w:hyperlink r:id="rId34">
              <w:r>
                <w:rPr>
                  <w:rFonts w:ascii="Arial" w:cs="Arial" w:eastAsia="Arial" w:hAnsi="Arial"/>
                  <w:sz w:val="12"/>
                  <w:szCs w:val="12"/>
                  <w:color w:val="0000FF"/>
                  <w:w w:val="99"/>
                </w:rPr>
                <w:t>Guarantor Supplemental Indenture No. 2, dated as of April 29, 2016, among California Resources Corporation, certain guarantors named therein and Wilmington Trust, National Association,</w:t>
              </w:r>
            </w:hyperlink>
          </w:p>
        </w:tc>
        <w:tc>
          <w:tcPr>
            <w:tcW w:w="60" w:type="dxa"/>
            <w:vAlign w:val="bottom"/>
            <w:gridSpan w:val="2"/>
          </w:tcPr>
          <w:p>
            <w:pPr>
              <w:spacing w:after="0"/>
              <w:rPr>
                <w:sz w:val="12"/>
                <w:szCs w:val="12"/>
                <w:color w:val="auto"/>
              </w:rPr>
            </w:pPr>
          </w:p>
        </w:tc>
      </w:tr>
      <w:tr>
        <w:trPr>
          <w:trHeight w:val="115"/>
        </w:trPr>
        <w:tc>
          <w:tcPr>
            <w:tcW w:w="1260" w:type="dxa"/>
            <w:vAlign w:val="bottom"/>
          </w:tcPr>
          <w:p>
            <w:pPr>
              <w:spacing w:after="0"/>
              <w:rPr>
                <w:sz w:val="10"/>
                <w:szCs w:val="10"/>
                <w:color w:val="auto"/>
              </w:rPr>
            </w:pPr>
          </w:p>
        </w:tc>
        <w:tc>
          <w:tcPr>
            <w:tcW w:w="7320" w:type="dxa"/>
            <w:vAlign w:val="bottom"/>
            <w:tcBorders>
              <w:bottom w:val="single" w:sz="8" w:color="0000FF"/>
            </w:tcBorders>
            <w:gridSpan w:val="5"/>
          </w:tcPr>
          <w:p>
            <w:pPr>
              <w:spacing w:after="0" w:line="115" w:lineRule="exact"/>
              <w:rPr>
                <w:rFonts w:ascii="Arial" w:cs="Arial" w:eastAsia="Arial" w:hAnsi="Arial"/>
                <w:sz w:val="12"/>
                <w:szCs w:val="12"/>
                <w:color w:val="0000FF"/>
                <w:w w:val="99"/>
              </w:rPr>
            </w:pPr>
            <w:hyperlink r:id="rId34">
              <w:r>
                <w:rPr>
                  <w:rFonts w:ascii="Arial" w:cs="Arial" w:eastAsia="Arial" w:hAnsi="Arial"/>
                  <w:sz w:val="12"/>
                  <w:szCs w:val="12"/>
                  <w:color w:val="0000FF"/>
                  <w:w w:val="99"/>
                </w:rPr>
                <w:t>as trustee (filed as Exhibit 10.4 to Registrant’s Quarterly Report on Form 10-Q filed August 4, 2016 and incorporated herein by reference).</w:t>
              </w:r>
            </w:hyperlink>
          </w:p>
        </w:tc>
        <w:tc>
          <w:tcPr>
            <w:tcW w:w="2780" w:type="dxa"/>
            <w:vAlign w:val="bottom"/>
            <w:gridSpan w:val="8"/>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4.7</w:t>
            </w:r>
          </w:p>
        </w:tc>
        <w:tc>
          <w:tcPr>
            <w:tcW w:w="10100" w:type="dxa"/>
            <w:vAlign w:val="bottom"/>
            <w:gridSpan w:val="13"/>
          </w:tcPr>
          <w:p>
            <w:pPr>
              <w:spacing w:after="0"/>
              <w:rPr>
                <w:rFonts w:ascii="Arial" w:cs="Arial" w:eastAsia="Arial" w:hAnsi="Arial"/>
                <w:sz w:val="12"/>
                <w:szCs w:val="12"/>
                <w:color w:val="0000FF"/>
              </w:rPr>
            </w:pPr>
            <w:hyperlink r:id="rId35">
              <w:r>
                <w:rPr>
                  <w:rFonts w:ascii="Arial" w:cs="Arial" w:eastAsia="Arial" w:hAnsi="Arial"/>
                  <w:sz w:val="12"/>
                  <w:szCs w:val="12"/>
                  <w:color w:val="0000FF"/>
                </w:rPr>
                <w:t>Assumption Agreement dated as of March 6, 2015, among CRC Construction Services, LLC and JP Morgan Chase Bank, N.A., as Administrative Agent for lenders (filed as Exhibit 10.31 to</w:t>
              </w:r>
            </w:hyperlink>
          </w:p>
        </w:tc>
      </w:tr>
      <w:tr>
        <w:trPr>
          <w:trHeight w:val="115"/>
        </w:trPr>
        <w:tc>
          <w:tcPr>
            <w:tcW w:w="1260" w:type="dxa"/>
            <w:vAlign w:val="bottom"/>
          </w:tcPr>
          <w:p>
            <w:pPr>
              <w:spacing w:after="0"/>
              <w:rPr>
                <w:sz w:val="10"/>
                <w:szCs w:val="10"/>
                <w:color w:val="auto"/>
              </w:rPr>
            </w:pPr>
          </w:p>
        </w:tc>
        <w:tc>
          <w:tcPr>
            <w:tcW w:w="9960" w:type="dxa"/>
            <w:vAlign w:val="bottom"/>
            <w:tcBorders>
              <w:top w:val="single" w:sz="8" w:color="0000FF"/>
            </w:tcBorders>
            <w:gridSpan w:val="9"/>
          </w:tcPr>
          <w:p>
            <w:pPr>
              <w:spacing w:after="0" w:line="115" w:lineRule="exact"/>
              <w:rPr>
                <w:rFonts w:ascii="Arial" w:cs="Arial" w:eastAsia="Arial" w:hAnsi="Arial"/>
                <w:sz w:val="12"/>
                <w:szCs w:val="12"/>
                <w:color w:val="0000FF"/>
              </w:rPr>
            </w:pPr>
            <w:hyperlink r:id="rId35">
              <w:r>
                <w:rPr>
                  <w:rFonts w:ascii="Arial" w:cs="Arial" w:eastAsia="Arial" w:hAnsi="Arial"/>
                  <w:sz w:val="12"/>
                  <w:szCs w:val="12"/>
                  <w:color w:val="0000FF"/>
                </w:rPr>
                <w:t>Registrant’s Registration Statement on Form S-4 filed March 12, 2015 and incorporated herein by reference).</w:t>
              </w:r>
            </w:hyperlink>
          </w:p>
        </w:tc>
        <w:tc>
          <w:tcPr>
            <w:tcW w:w="140" w:type="dxa"/>
            <w:vAlign w:val="bottom"/>
            <w:gridSpan w:val="4"/>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4.8</w:t>
            </w:r>
          </w:p>
        </w:tc>
        <w:tc>
          <w:tcPr>
            <w:tcW w:w="10100" w:type="dxa"/>
            <w:vAlign w:val="bottom"/>
            <w:tcBorders>
              <w:bottom w:val="single" w:sz="8" w:color="0000FF"/>
            </w:tcBorders>
            <w:gridSpan w:val="13"/>
          </w:tcPr>
          <w:p>
            <w:pPr>
              <w:spacing w:after="0"/>
              <w:rPr>
                <w:rFonts w:ascii="Arial" w:cs="Arial" w:eastAsia="Arial" w:hAnsi="Arial"/>
                <w:sz w:val="12"/>
                <w:szCs w:val="12"/>
                <w:color w:val="0000FF"/>
                <w:w w:val="99"/>
              </w:rPr>
            </w:pPr>
            <w:hyperlink r:id="rId36">
              <w:r>
                <w:rPr>
                  <w:rFonts w:ascii="Arial" w:cs="Arial" w:eastAsia="Arial" w:hAnsi="Arial"/>
                  <w:sz w:val="12"/>
                  <w:szCs w:val="12"/>
                  <w:color w:val="0000FF"/>
                  <w:w w:val="99"/>
                </w:rPr>
                <w:t>Registration Rights Agreement, dated October 1, 2014, by and among California Resources Corporation, the Guarantors and the Initial Purchasers (filed as Exhibit 4.3 to Amendment No. 4 to</w:t>
              </w:r>
            </w:hyperlink>
          </w:p>
        </w:tc>
      </w:tr>
      <w:tr>
        <w:trPr>
          <w:trHeight w:val="115"/>
        </w:trPr>
        <w:tc>
          <w:tcPr>
            <w:tcW w:w="1260" w:type="dxa"/>
            <w:vAlign w:val="bottom"/>
          </w:tcPr>
          <w:p>
            <w:pPr>
              <w:spacing w:after="0"/>
              <w:rPr>
                <w:sz w:val="10"/>
                <w:szCs w:val="10"/>
                <w:color w:val="auto"/>
              </w:rPr>
            </w:pPr>
          </w:p>
        </w:tc>
        <w:tc>
          <w:tcPr>
            <w:tcW w:w="5920" w:type="dxa"/>
            <w:vAlign w:val="bottom"/>
            <w:tcBorders>
              <w:bottom w:val="single" w:sz="8" w:color="0000FF"/>
            </w:tcBorders>
            <w:gridSpan w:val="4"/>
          </w:tcPr>
          <w:p>
            <w:pPr>
              <w:spacing w:after="0" w:line="115" w:lineRule="exact"/>
              <w:rPr>
                <w:rFonts w:ascii="Arial" w:cs="Arial" w:eastAsia="Arial" w:hAnsi="Arial"/>
                <w:sz w:val="12"/>
                <w:szCs w:val="12"/>
                <w:color w:val="0000FF"/>
                <w:w w:val="99"/>
              </w:rPr>
            </w:pPr>
            <w:hyperlink r:id="rId36">
              <w:r>
                <w:rPr>
                  <w:rFonts w:ascii="Arial" w:cs="Arial" w:eastAsia="Arial" w:hAnsi="Arial"/>
                  <w:sz w:val="12"/>
                  <w:szCs w:val="12"/>
                  <w:color w:val="0000FF"/>
                  <w:w w:val="99"/>
                </w:rPr>
                <w:t>the Registrant’s Information Statement on Form 10 filed October 8, 2014 and incorporated herein by reference).</w:t>
              </w:r>
            </w:hyperlink>
          </w:p>
        </w:tc>
        <w:tc>
          <w:tcPr>
            <w:tcW w:w="4180" w:type="dxa"/>
            <w:vAlign w:val="bottom"/>
            <w:gridSpan w:val="9"/>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4.9</w:t>
            </w:r>
          </w:p>
        </w:tc>
        <w:tc>
          <w:tcPr>
            <w:tcW w:w="10100" w:type="dxa"/>
            <w:vAlign w:val="bottom"/>
            <w:gridSpan w:val="13"/>
          </w:tcPr>
          <w:p>
            <w:pPr>
              <w:spacing w:after="0"/>
              <w:rPr>
                <w:rFonts w:ascii="Arial" w:cs="Arial" w:eastAsia="Arial" w:hAnsi="Arial"/>
                <w:sz w:val="12"/>
                <w:szCs w:val="12"/>
                <w:color w:val="0000FF"/>
              </w:rPr>
            </w:pPr>
            <w:hyperlink r:id="rId29">
              <w:r>
                <w:rPr>
                  <w:rFonts w:ascii="Arial" w:cs="Arial" w:eastAsia="Arial" w:hAnsi="Arial"/>
                  <w:sz w:val="12"/>
                  <w:szCs w:val="12"/>
                  <w:color w:val="0000FF"/>
                </w:rPr>
                <w:t>Form of 5% Senior Note due 2020 (included in Exhibit 4.2 to Amendment No. 4 to the Registrant's Information Statement on Form 10 filed October 8, 2014 and incorporated herein by</w:t>
              </w:r>
            </w:hyperlink>
          </w:p>
        </w:tc>
      </w:tr>
      <w:tr>
        <w:trPr>
          <w:trHeight w:val="115"/>
        </w:trPr>
        <w:tc>
          <w:tcPr>
            <w:tcW w:w="1260" w:type="dxa"/>
            <w:vAlign w:val="bottom"/>
          </w:tcPr>
          <w:p>
            <w:pPr>
              <w:spacing w:after="0"/>
              <w:rPr>
                <w:sz w:val="10"/>
                <w:szCs w:val="10"/>
                <w:color w:val="auto"/>
              </w:rPr>
            </w:pPr>
          </w:p>
        </w:tc>
        <w:tc>
          <w:tcPr>
            <w:tcW w:w="9660" w:type="dxa"/>
            <w:vAlign w:val="bottom"/>
            <w:tcBorders>
              <w:top w:val="single" w:sz="8" w:color="0000FF"/>
            </w:tcBorders>
            <w:gridSpan w:val="6"/>
          </w:tcPr>
          <w:p>
            <w:pPr>
              <w:spacing w:after="0" w:line="115" w:lineRule="exact"/>
              <w:rPr>
                <w:rFonts w:ascii="Arial" w:cs="Arial" w:eastAsia="Arial" w:hAnsi="Arial"/>
                <w:sz w:val="12"/>
                <w:szCs w:val="12"/>
                <w:color w:val="0000FF"/>
              </w:rPr>
            </w:pPr>
            <w:hyperlink r:id="rId29">
              <w:r>
                <w:rPr>
                  <w:rFonts w:ascii="Arial" w:cs="Arial" w:eastAsia="Arial" w:hAnsi="Arial"/>
                  <w:sz w:val="12"/>
                  <w:szCs w:val="12"/>
                  <w:color w:val="0000FF"/>
                </w:rPr>
                <w:t>reference).</w:t>
              </w:r>
            </w:hyperlink>
          </w:p>
        </w:tc>
        <w:tc>
          <w:tcPr>
            <w:tcW w:w="440" w:type="dxa"/>
            <w:vAlign w:val="bottom"/>
            <w:gridSpan w:val="7"/>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4.10</w:t>
            </w:r>
          </w:p>
        </w:tc>
        <w:tc>
          <w:tcPr>
            <w:tcW w:w="9780" w:type="dxa"/>
            <w:vAlign w:val="bottom"/>
            <w:tcBorders>
              <w:bottom w:val="single" w:sz="8" w:color="0000FF"/>
            </w:tcBorders>
            <w:gridSpan w:val="8"/>
          </w:tcPr>
          <w:p>
            <w:pPr>
              <w:spacing w:after="0"/>
              <w:rPr>
                <w:rFonts w:ascii="Arial" w:cs="Arial" w:eastAsia="Arial" w:hAnsi="Arial"/>
                <w:sz w:val="12"/>
                <w:szCs w:val="12"/>
                <w:color w:val="0000FF"/>
                <w:w w:val="99"/>
              </w:rPr>
            </w:pPr>
            <w:hyperlink r:id="rId29">
              <w:r>
                <w:rPr>
                  <w:rFonts w:ascii="Arial" w:cs="Arial" w:eastAsia="Arial" w:hAnsi="Arial"/>
                  <w:sz w:val="12"/>
                  <w:szCs w:val="12"/>
                  <w:color w:val="0000FF"/>
                  <w:w w:val="99"/>
                </w:rPr>
                <w:t>Form of 5½% Senior Note due 2021 (included in Exhibit 4.2 to Amendment No. 4 to the Registrant's Information Statement on Form 10 filed October 8, 2014 and incorporated herein by</w:t>
              </w:r>
            </w:hyperlink>
          </w:p>
        </w:tc>
        <w:tc>
          <w:tcPr>
            <w:tcW w:w="320" w:type="dxa"/>
            <w:vAlign w:val="bottom"/>
            <w:gridSpan w:val="5"/>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00" w:type="dxa"/>
            <w:vAlign w:val="bottom"/>
            <w:gridSpan w:val="13"/>
          </w:tcPr>
          <w:p>
            <w:pPr>
              <w:spacing w:after="0" w:line="115" w:lineRule="exact"/>
              <w:rPr>
                <w:rFonts w:ascii="Arial" w:cs="Arial" w:eastAsia="Arial" w:hAnsi="Arial"/>
                <w:sz w:val="12"/>
                <w:szCs w:val="12"/>
                <w:color w:val="0000FF"/>
              </w:rPr>
            </w:pPr>
            <w:hyperlink r:id="rId29">
              <w:r>
                <w:rPr>
                  <w:rFonts w:ascii="Arial" w:cs="Arial" w:eastAsia="Arial" w:hAnsi="Arial"/>
                  <w:sz w:val="12"/>
                  <w:szCs w:val="12"/>
                  <w:color w:val="0000FF"/>
                </w:rPr>
                <w:t>reference).</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4.11</w:t>
            </w:r>
          </w:p>
        </w:tc>
        <w:tc>
          <w:tcPr>
            <w:tcW w:w="10100" w:type="dxa"/>
            <w:vAlign w:val="bottom"/>
            <w:gridSpan w:val="13"/>
          </w:tcPr>
          <w:p>
            <w:pPr>
              <w:spacing w:after="0"/>
              <w:rPr>
                <w:rFonts w:ascii="Arial" w:cs="Arial" w:eastAsia="Arial" w:hAnsi="Arial"/>
                <w:sz w:val="12"/>
                <w:szCs w:val="12"/>
                <w:color w:val="0000FF"/>
              </w:rPr>
            </w:pPr>
            <w:hyperlink r:id="rId29">
              <w:r>
                <w:rPr>
                  <w:rFonts w:ascii="Arial" w:cs="Arial" w:eastAsia="Arial" w:hAnsi="Arial"/>
                  <w:sz w:val="12"/>
                  <w:szCs w:val="12"/>
                  <w:color w:val="0000FF"/>
                </w:rPr>
                <w:t>Form of 6% Senior Note due 2024 (included in Exhibit 4.2 to Amendment No. 4 to the Registrant's Information Statement on Form 10 filed October 8, 2014 and incorporated herein by</w:t>
              </w:r>
            </w:hyperlink>
          </w:p>
        </w:tc>
      </w:tr>
      <w:tr>
        <w:trPr>
          <w:trHeight w:val="115"/>
        </w:trPr>
        <w:tc>
          <w:tcPr>
            <w:tcW w:w="1260" w:type="dxa"/>
            <w:vAlign w:val="bottom"/>
          </w:tcPr>
          <w:p>
            <w:pPr>
              <w:spacing w:after="0"/>
              <w:rPr>
                <w:sz w:val="10"/>
                <w:szCs w:val="10"/>
                <w:color w:val="auto"/>
              </w:rPr>
            </w:pPr>
          </w:p>
        </w:tc>
        <w:tc>
          <w:tcPr>
            <w:tcW w:w="9660" w:type="dxa"/>
            <w:vAlign w:val="bottom"/>
            <w:tcBorders>
              <w:top w:val="single" w:sz="8" w:color="0000FF"/>
            </w:tcBorders>
            <w:gridSpan w:val="6"/>
          </w:tcPr>
          <w:p>
            <w:pPr>
              <w:spacing w:after="0" w:line="115" w:lineRule="exact"/>
              <w:rPr>
                <w:rFonts w:ascii="Arial" w:cs="Arial" w:eastAsia="Arial" w:hAnsi="Arial"/>
                <w:sz w:val="12"/>
                <w:szCs w:val="12"/>
                <w:color w:val="0000FF"/>
              </w:rPr>
            </w:pPr>
            <w:hyperlink r:id="rId29">
              <w:r>
                <w:rPr>
                  <w:rFonts w:ascii="Arial" w:cs="Arial" w:eastAsia="Arial" w:hAnsi="Arial"/>
                  <w:sz w:val="12"/>
                  <w:szCs w:val="12"/>
                  <w:color w:val="0000FF"/>
                </w:rPr>
                <w:t>reference).</w:t>
              </w:r>
            </w:hyperlink>
          </w:p>
        </w:tc>
        <w:tc>
          <w:tcPr>
            <w:tcW w:w="440" w:type="dxa"/>
            <w:vAlign w:val="bottom"/>
            <w:gridSpan w:val="7"/>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2"/>
                <w:szCs w:val="12"/>
                <w:color w:val="auto"/>
              </w:rPr>
              <w:t>4.12</w:t>
            </w:r>
          </w:p>
        </w:tc>
        <w:tc>
          <w:tcPr>
            <w:tcW w:w="10100" w:type="dxa"/>
            <w:vAlign w:val="bottom"/>
            <w:gridSpan w:val="13"/>
          </w:tcPr>
          <w:p>
            <w:pPr>
              <w:spacing w:after="0"/>
              <w:rPr>
                <w:rFonts w:ascii="Arial" w:cs="Arial" w:eastAsia="Arial" w:hAnsi="Arial"/>
                <w:sz w:val="12"/>
                <w:szCs w:val="12"/>
                <w:color w:val="0000FF"/>
              </w:rPr>
            </w:pPr>
            <w:hyperlink r:id="rId30">
              <w:r>
                <w:rPr>
                  <w:rFonts w:ascii="Arial" w:cs="Arial" w:eastAsia="Arial" w:hAnsi="Arial"/>
                  <w:sz w:val="12"/>
                  <w:szCs w:val="12"/>
                  <w:color w:val="0000FF"/>
                </w:rPr>
                <w:t>Form of 8% Senior Secured Second Lien Note due 2022 (included in Exhibit 4.1 to Registrant's Current Report on Form 8-K filed December 18, 2015 and incorporated herein by reference).</w:t>
              </w:r>
            </w:hyperlink>
          </w:p>
        </w:tc>
      </w:tr>
      <w:tr>
        <w:trPr>
          <w:trHeight w:val="20"/>
        </w:trPr>
        <w:tc>
          <w:tcPr>
            <w:tcW w:w="1260" w:type="dxa"/>
            <w:vAlign w:val="bottom"/>
          </w:tcPr>
          <w:p>
            <w:pPr>
              <w:spacing w:after="0" w:line="20" w:lineRule="exact"/>
              <w:rPr>
                <w:sz w:val="1"/>
                <w:szCs w:val="1"/>
                <w:color w:val="auto"/>
              </w:rPr>
            </w:pPr>
          </w:p>
        </w:tc>
        <w:tc>
          <w:tcPr>
            <w:tcW w:w="5200" w:type="dxa"/>
            <w:vAlign w:val="bottom"/>
            <w:gridSpan w:val="2"/>
            <w:shd w:val="clear" w:color="auto" w:fill="0000FF"/>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w:t>
            </w:r>
          </w:p>
        </w:tc>
        <w:tc>
          <w:tcPr>
            <w:tcW w:w="10100" w:type="dxa"/>
            <w:vAlign w:val="bottom"/>
            <w:gridSpan w:val="13"/>
          </w:tcPr>
          <w:p>
            <w:pPr>
              <w:spacing w:after="0"/>
              <w:rPr>
                <w:rFonts w:ascii="Arial" w:cs="Arial" w:eastAsia="Arial" w:hAnsi="Arial"/>
                <w:sz w:val="12"/>
                <w:szCs w:val="12"/>
                <w:color w:val="0000FF"/>
              </w:rPr>
            </w:pPr>
            <w:hyperlink r:id="rId37">
              <w:r>
                <w:rPr>
                  <w:rFonts w:ascii="Arial" w:cs="Arial" w:eastAsia="Arial" w:hAnsi="Arial"/>
                  <w:sz w:val="12"/>
                  <w:szCs w:val="12"/>
                  <w:color w:val="0000FF"/>
                </w:rPr>
                <w:t>Credit Agreement, dated as of September 24, 2014, among California Resources Corporation, the Lenders and JPMorgan Chase Bank, N.A. as Administrative Agent, a Swingline Lender and</w:t>
              </w:r>
            </w:hyperlink>
          </w:p>
        </w:tc>
      </w:tr>
      <w:tr>
        <w:trPr>
          <w:trHeight w:val="115"/>
        </w:trPr>
        <w:tc>
          <w:tcPr>
            <w:tcW w:w="1260" w:type="dxa"/>
            <w:vAlign w:val="bottom"/>
          </w:tcPr>
          <w:p>
            <w:pPr>
              <w:spacing w:after="0"/>
              <w:rPr>
                <w:sz w:val="10"/>
                <w:szCs w:val="10"/>
                <w:color w:val="auto"/>
              </w:rPr>
            </w:pPr>
          </w:p>
        </w:tc>
        <w:tc>
          <w:tcPr>
            <w:tcW w:w="9760" w:type="dxa"/>
            <w:vAlign w:val="bottom"/>
            <w:tcBorders>
              <w:top w:val="single" w:sz="8" w:color="0000FF"/>
              <w:bottom w:val="single" w:sz="8" w:color="0000FF"/>
            </w:tcBorders>
            <w:gridSpan w:val="7"/>
          </w:tcPr>
          <w:p>
            <w:pPr>
              <w:spacing w:after="0" w:line="115" w:lineRule="exact"/>
              <w:rPr>
                <w:rFonts w:ascii="Arial" w:cs="Arial" w:eastAsia="Arial" w:hAnsi="Arial"/>
                <w:sz w:val="12"/>
                <w:szCs w:val="12"/>
                <w:color w:val="0000FF"/>
                <w:w w:val="99"/>
              </w:rPr>
            </w:pPr>
            <w:hyperlink r:id="rId37">
              <w:r>
                <w:rPr>
                  <w:rFonts w:ascii="Arial" w:cs="Arial" w:eastAsia="Arial" w:hAnsi="Arial"/>
                  <w:sz w:val="12"/>
                  <w:szCs w:val="12"/>
                  <w:color w:val="0000FF"/>
                  <w:w w:val="99"/>
                </w:rPr>
                <w:t>a Letter of Credit Issuer and Bank of America, N.A. as Syndication Agent, a Swingline Lender and a Letter of Credit Issuer (filed as Exhibit 10.25 to Amendment No. 5 to the Company's</w:t>
              </w:r>
            </w:hyperlink>
          </w:p>
        </w:tc>
        <w:tc>
          <w:tcPr>
            <w:tcW w:w="32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260" w:type="dxa"/>
            <w:vAlign w:val="bottom"/>
          </w:tcPr>
          <w:p>
            <w:pPr>
              <w:spacing w:after="0"/>
              <w:rPr>
                <w:sz w:val="10"/>
                <w:szCs w:val="10"/>
                <w:color w:val="auto"/>
              </w:rPr>
            </w:pPr>
          </w:p>
        </w:tc>
        <w:tc>
          <w:tcPr>
            <w:tcW w:w="5200" w:type="dxa"/>
            <w:vAlign w:val="bottom"/>
            <w:tcBorders>
              <w:bottom w:val="single" w:sz="8" w:color="0000FF"/>
            </w:tcBorders>
            <w:gridSpan w:val="2"/>
          </w:tcPr>
          <w:p>
            <w:pPr>
              <w:spacing w:after="0" w:line="115" w:lineRule="exact"/>
              <w:rPr>
                <w:rFonts w:ascii="Arial" w:cs="Arial" w:eastAsia="Arial" w:hAnsi="Arial"/>
                <w:sz w:val="12"/>
                <w:szCs w:val="12"/>
                <w:color w:val="0000FF"/>
                <w:w w:val="99"/>
              </w:rPr>
            </w:pPr>
            <w:hyperlink r:id="rId37">
              <w:r>
                <w:rPr>
                  <w:rFonts w:ascii="Arial" w:cs="Arial" w:eastAsia="Arial" w:hAnsi="Arial"/>
                  <w:sz w:val="12"/>
                  <w:szCs w:val="12"/>
                  <w:color w:val="0000FF"/>
                  <w:w w:val="99"/>
                </w:rPr>
                <w:t>Registration Statement on Form 10 filed October 14, 2014, and incorporated herein by reference).</w:t>
              </w:r>
            </w:hyperlink>
          </w:p>
        </w:tc>
        <w:tc>
          <w:tcPr>
            <w:tcW w:w="4900" w:type="dxa"/>
            <w:vAlign w:val="bottom"/>
            <w:gridSpan w:val="11"/>
          </w:tcPr>
          <w:p>
            <w:pPr>
              <w:spacing w:after="0"/>
              <w:rPr>
                <w:sz w:val="10"/>
                <w:szCs w:val="10"/>
                <w:color w:val="auto"/>
              </w:rPr>
            </w:pPr>
          </w:p>
        </w:tc>
      </w:tr>
    </w:tbl>
    <w:p>
      <w:pPr>
        <w:spacing w:after="0" w:line="126" w:lineRule="exact"/>
        <w:rPr>
          <w:sz w:val="20"/>
          <w:szCs w:val="20"/>
          <w:color w:val="auto"/>
        </w:rPr>
      </w:pPr>
    </w:p>
    <w:p>
      <w:pPr>
        <w:sectPr>
          <w:pgSz w:w="11900" w:h="16838" w:orient="portrait"/>
          <w:cols w:equalWidth="0" w:num="1">
            <w:col w:w="11420"/>
          </w:cols>
          <w:pgMar w:left="240" w:top="389" w:right="239" w:bottom="1440" w:gutter="0" w:footer="0" w:header="0"/>
        </w:sectPr>
      </w:pPr>
    </w:p>
    <w:p>
      <w:pPr>
        <w:spacing w:after="0"/>
        <w:rPr>
          <w:sz w:val="20"/>
          <w:szCs w:val="20"/>
          <w:color w:val="auto"/>
        </w:rPr>
      </w:pPr>
      <w:r>
        <w:rPr>
          <w:rFonts w:ascii="Arial" w:cs="Arial" w:eastAsia="Arial" w:hAnsi="Arial"/>
          <w:sz w:val="11"/>
          <w:szCs w:val="11"/>
          <w:color w:val="auto"/>
        </w:rPr>
        <w:t>10.2</w:t>
      </w: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auto"/>
        </w:rPr>
        <w:t>10.3</w:t>
      </w:r>
    </w:p>
    <w:p>
      <w:pPr>
        <w:spacing w:after="0" w:line="20" w:lineRule="exact"/>
        <w:rPr>
          <w:sz w:val="20"/>
          <w:szCs w:val="20"/>
          <w:color w:val="auto"/>
        </w:rPr>
      </w:pPr>
      <w:r>
        <w:rPr>
          <w:sz w:val="20"/>
          <w:szCs w:val="20"/>
          <w:color w:val="auto"/>
        </w:rPr>
        <w:br w:type="column"/>
      </w:r>
    </w:p>
    <w:p>
      <w:pPr>
        <w:jc w:val="both"/>
        <w:ind w:right="300"/>
        <w:spacing w:after="0"/>
        <w:rPr>
          <w:rFonts w:ascii="Arial" w:cs="Arial" w:eastAsia="Arial" w:hAnsi="Arial"/>
          <w:sz w:val="12"/>
          <w:szCs w:val="12"/>
          <w:u w:val="single" w:color="auto"/>
          <w:color w:val="0000FF"/>
        </w:rPr>
      </w:pPr>
      <w:hyperlink r:id="rId38">
        <w:r>
          <w:rPr>
            <w:rFonts w:ascii="Arial" w:cs="Arial" w:eastAsia="Arial" w:hAnsi="Arial"/>
            <w:sz w:val="12"/>
            <w:szCs w:val="12"/>
            <w:u w:val="single" w:color="auto"/>
            <w:color w:val="0000FF"/>
          </w:rPr>
          <w:t>First Amendment to Credit Agreement, dated as of February 25, 2015, among California Resources Corporation, the Lenders and JPMorgan Chase Bank, N.A. as Administrative Agent, a</w:t>
        </w:r>
      </w:hyperlink>
      <w:r>
        <w:rPr>
          <w:rFonts w:ascii="Arial" w:cs="Arial" w:eastAsia="Arial" w:hAnsi="Arial"/>
          <w:sz w:val="12"/>
          <w:szCs w:val="12"/>
          <w:u w:val="single" w:color="auto"/>
          <w:color w:val="0000FF"/>
        </w:rPr>
        <w:t xml:space="preserve"> </w:t>
      </w:r>
      <w:hyperlink r:id="rId38">
        <w:r>
          <w:rPr>
            <w:rFonts w:ascii="Arial" w:cs="Arial" w:eastAsia="Arial" w:hAnsi="Arial"/>
            <w:sz w:val="12"/>
            <w:szCs w:val="12"/>
            <w:u w:val="single" w:color="auto"/>
            <w:color w:val="0000FF"/>
          </w:rPr>
          <w:t>Swingline Lender and a Letter of Credit Issuer and Bank of America, N.A. as Syndication Agent, a Swingline Lender and a Letter of Credit Issuer (filed as Exhibit 10.35 to the Registrant’s</w:t>
        </w:r>
      </w:hyperlink>
      <w:r>
        <w:rPr>
          <w:rFonts w:ascii="Arial" w:cs="Arial" w:eastAsia="Arial" w:hAnsi="Arial"/>
          <w:sz w:val="12"/>
          <w:szCs w:val="12"/>
          <w:u w:val="single" w:color="auto"/>
          <w:color w:val="0000FF"/>
        </w:rPr>
        <w:t xml:space="preserve"> </w:t>
      </w:r>
      <w:hyperlink r:id="rId38">
        <w:r>
          <w:rPr>
            <w:rFonts w:ascii="Arial" w:cs="Arial" w:eastAsia="Arial" w:hAnsi="Arial"/>
            <w:sz w:val="12"/>
            <w:szCs w:val="12"/>
            <w:u w:val="single" w:color="auto"/>
            <w:color w:val="0000FF"/>
          </w:rPr>
          <w:t>Annual Report on Form 10-K filed February 27, 2015, and incorporated herein by reference).</w:t>
        </w:r>
      </w:hyperlink>
    </w:p>
    <w:p>
      <w:pPr>
        <w:spacing w:after="0" w:line="126" w:lineRule="exact"/>
        <w:rPr>
          <w:rFonts w:ascii="Arial" w:cs="Arial" w:eastAsia="Arial" w:hAnsi="Arial"/>
          <w:sz w:val="12"/>
          <w:szCs w:val="12"/>
          <w:u w:val="single" w:color="auto"/>
          <w:color w:val="0000FF"/>
        </w:rPr>
      </w:pPr>
    </w:p>
    <w:p>
      <w:pPr>
        <w:jc w:val="both"/>
        <w:ind w:right="380"/>
        <w:spacing w:after="0"/>
        <w:rPr>
          <w:rFonts w:ascii="Arial" w:cs="Arial" w:eastAsia="Arial" w:hAnsi="Arial"/>
          <w:sz w:val="12"/>
          <w:szCs w:val="12"/>
          <w:u w:val="single" w:color="auto"/>
          <w:color w:val="0000FF"/>
        </w:rPr>
      </w:pPr>
      <w:hyperlink r:id="rId39">
        <w:r>
          <w:rPr>
            <w:rFonts w:ascii="Arial" w:cs="Arial" w:eastAsia="Arial" w:hAnsi="Arial"/>
            <w:sz w:val="12"/>
            <w:szCs w:val="12"/>
            <w:u w:val="single" w:color="auto"/>
            <w:color w:val="0000FF"/>
          </w:rPr>
          <w:t>Second Amendment to Credit Agreement, dated November 2, 2015, among California Resources Corporation, the Lenders and JPMorgan Chase Bank, N.A. as Administrative Agent, a</w:t>
        </w:r>
      </w:hyperlink>
      <w:r>
        <w:rPr>
          <w:rFonts w:ascii="Arial" w:cs="Arial" w:eastAsia="Arial" w:hAnsi="Arial"/>
          <w:sz w:val="12"/>
          <w:szCs w:val="12"/>
          <w:u w:val="single" w:color="auto"/>
          <w:color w:val="0000FF"/>
        </w:rPr>
        <w:t xml:space="preserve"> </w:t>
      </w:r>
      <w:hyperlink r:id="rId39">
        <w:r>
          <w:rPr>
            <w:rFonts w:ascii="Arial" w:cs="Arial" w:eastAsia="Arial" w:hAnsi="Arial"/>
            <w:sz w:val="12"/>
            <w:szCs w:val="12"/>
            <w:u w:val="single" w:color="auto"/>
            <w:color w:val="0000FF"/>
          </w:rPr>
          <w:t>Swingline Lender and a Letter of Credit Issuer and Bank of America, N.A. as Syndication Agent, a Swingline Lender and a Letter of Credit Issuer (filed as Exhibit 10.1 to the Registrant’s</w:t>
        </w:r>
      </w:hyperlink>
      <w:r>
        <w:rPr>
          <w:rFonts w:ascii="Arial" w:cs="Arial" w:eastAsia="Arial" w:hAnsi="Arial"/>
          <w:sz w:val="12"/>
          <w:szCs w:val="12"/>
          <w:u w:val="single" w:color="auto"/>
          <w:color w:val="0000FF"/>
        </w:rPr>
        <w:t xml:space="preserve"> </w:t>
      </w:r>
      <w:hyperlink r:id="rId39">
        <w:r>
          <w:rPr>
            <w:rFonts w:ascii="Arial" w:cs="Arial" w:eastAsia="Arial" w:hAnsi="Arial"/>
            <w:sz w:val="12"/>
            <w:szCs w:val="12"/>
            <w:u w:val="single" w:color="auto"/>
            <w:color w:val="0000FF"/>
          </w:rPr>
          <w:t>Quarterly Report on Form 10-Q filed November 6, 2015, and incorporated herein by reference).</w:t>
        </w:r>
      </w:hyperlink>
    </w:p>
    <w:p>
      <w:pPr>
        <w:spacing w:after="0" w:line="88" w:lineRule="exact"/>
        <w:rPr>
          <w:rFonts w:ascii="Arial" w:cs="Arial" w:eastAsia="Arial" w:hAnsi="Arial"/>
          <w:sz w:val="12"/>
          <w:szCs w:val="12"/>
          <w:u w:val="single" w:color="auto"/>
          <w:color w:val="0000FF"/>
        </w:rPr>
      </w:pPr>
    </w:p>
    <w:p>
      <w:pPr>
        <w:sectPr>
          <w:pgSz w:w="11900" w:h="16838" w:orient="portrait"/>
          <w:cols w:equalWidth="0" w:num="2">
            <w:col w:w="540" w:space="720"/>
            <w:col w:w="10160"/>
          </w:cols>
          <w:pgMar w:left="240" w:top="389"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260" w:type="dxa"/>
            <w:vAlign w:val="bottom"/>
          </w:tcPr>
          <w:p>
            <w:pPr>
              <w:jc w:val="right"/>
              <w:ind w:right="980"/>
              <w:spacing w:after="0"/>
              <w:rPr>
                <w:sz w:val="20"/>
                <w:szCs w:val="20"/>
                <w:color w:val="auto"/>
              </w:rPr>
            </w:pPr>
            <w:r>
              <w:rPr>
                <w:rFonts w:ascii="Arial" w:cs="Arial" w:eastAsia="Arial" w:hAnsi="Arial"/>
                <w:sz w:val="12"/>
                <w:szCs w:val="12"/>
                <w:color w:val="auto"/>
                <w:w w:val="85"/>
              </w:rPr>
              <w:t>10.4</w:t>
            </w:r>
          </w:p>
        </w:tc>
        <w:tc>
          <w:tcPr>
            <w:tcW w:w="10160" w:type="dxa"/>
            <w:vAlign w:val="bottom"/>
            <w:tcBorders>
              <w:bottom w:val="single" w:sz="8" w:color="0000FF"/>
            </w:tcBorders>
            <w:gridSpan w:val="12"/>
          </w:tcPr>
          <w:p>
            <w:pPr>
              <w:spacing w:after="0"/>
              <w:rPr>
                <w:rFonts w:ascii="Arial" w:cs="Arial" w:eastAsia="Arial" w:hAnsi="Arial"/>
                <w:sz w:val="12"/>
                <w:szCs w:val="12"/>
                <w:color w:val="0000FF"/>
                <w:w w:val="99"/>
              </w:rPr>
            </w:pPr>
            <w:hyperlink r:id="rId40">
              <w:r>
                <w:rPr>
                  <w:rFonts w:ascii="Arial" w:cs="Arial" w:eastAsia="Arial" w:hAnsi="Arial"/>
                  <w:sz w:val="12"/>
                  <w:szCs w:val="12"/>
                  <w:color w:val="0000FF"/>
                  <w:w w:val="99"/>
                </w:rPr>
                <w:t>Third Amendment to Credit Agreement, dated February 23, 2016, among California Resources Corporation and JP Morgan Chase Bank, N.A., as Administrative Agent, a Swingline Lender and</w:t>
              </w:r>
            </w:hyperlink>
          </w:p>
        </w:tc>
      </w:tr>
      <w:tr>
        <w:trPr>
          <w:trHeight w:val="115"/>
        </w:trPr>
        <w:tc>
          <w:tcPr>
            <w:tcW w:w="1260" w:type="dxa"/>
            <w:vAlign w:val="bottom"/>
          </w:tcPr>
          <w:p>
            <w:pPr>
              <w:spacing w:after="0"/>
              <w:rPr>
                <w:sz w:val="10"/>
                <w:szCs w:val="10"/>
                <w:color w:val="auto"/>
              </w:rPr>
            </w:pPr>
          </w:p>
        </w:tc>
        <w:tc>
          <w:tcPr>
            <w:tcW w:w="10120" w:type="dxa"/>
            <w:vAlign w:val="bottom"/>
            <w:tcBorders>
              <w:bottom w:val="single" w:sz="8" w:color="0000FF"/>
            </w:tcBorders>
            <w:gridSpan w:val="10"/>
          </w:tcPr>
          <w:p>
            <w:pPr>
              <w:spacing w:after="0" w:line="115" w:lineRule="exact"/>
              <w:rPr>
                <w:rFonts w:ascii="Arial" w:cs="Arial" w:eastAsia="Arial" w:hAnsi="Arial"/>
                <w:sz w:val="12"/>
                <w:szCs w:val="12"/>
                <w:color w:val="0000FF"/>
                <w:w w:val="99"/>
              </w:rPr>
            </w:pPr>
            <w:hyperlink r:id="rId40">
              <w:r>
                <w:rPr>
                  <w:rFonts w:ascii="Arial" w:cs="Arial" w:eastAsia="Arial" w:hAnsi="Arial"/>
                  <w:sz w:val="12"/>
                  <w:szCs w:val="12"/>
                  <w:color w:val="0000FF"/>
                  <w:w w:val="99"/>
                </w:rPr>
                <w:t>a Letter of Credit Issuer and Bank of America, N.A. as Syndication Agent, a Swingline Lender and a Letter of Credit Issuer (filed as Exhibit 99.1 to the Registrant's Current Report on Form 8-K</w:t>
              </w:r>
            </w:hyperlink>
          </w:p>
        </w:tc>
        <w:tc>
          <w:tcPr>
            <w:tcW w:w="40" w:type="dxa"/>
            <w:vAlign w:val="bottom"/>
            <w:gridSpan w:val="2"/>
          </w:tcPr>
          <w:p>
            <w:pPr>
              <w:spacing w:after="0"/>
              <w:rPr>
                <w:sz w:val="10"/>
                <w:szCs w:val="10"/>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12"/>
          </w:tcPr>
          <w:p>
            <w:pPr>
              <w:spacing w:after="0" w:line="115" w:lineRule="exact"/>
              <w:rPr>
                <w:rFonts w:ascii="Arial" w:cs="Arial" w:eastAsia="Arial" w:hAnsi="Arial"/>
                <w:sz w:val="12"/>
                <w:szCs w:val="12"/>
                <w:color w:val="0000FF"/>
              </w:rPr>
            </w:pPr>
            <w:hyperlink r:id="rId40">
              <w:r>
                <w:rPr>
                  <w:rFonts w:ascii="Arial" w:cs="Arial" w:eastAsia="Arial" w:hAnsi="Arial"/>
                  <w:sz w:val="12"/>
                  <w:szCs w:val="12"/>
                  <w:color w:val="0000FF"/>
                </w:rPr>
                <w:t>filed February 23, 2016, and incorporated herein by reference).</w:t>
              </w:r>
            </w:hyperlink>
          </w:p>
        </w:tc>
      </w:tr>
      <w:tr>
        <w:trPr>
          <w:trHeight w:val="20"/>
        </w:trPr>
        <w:tc>
          <w:tcPr>
            <w:tcW w:w="12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jc w:val="right"/>
              <w:ind w:right="980"/>
              <w:spacing w:after="0"/>
              <w:rPr>
                <w:sz w:val="20"/>
                <w:szCs w:val="20"/>
                <w:color w:val="auto"/>
              </w:rPr>
            </w:pPr>
            <w:r>
              <w:rPr>
                <w:rFonts w:ascii="Arial" w:cs="Arial" w:eastAsia="Arial" w:hAnsi="Arial"/>
                <w:sz w:val="12"/>
                <w:szCs w:val="12"/>
                <w:color w:val="auto"/>
                <w:w w:val="85"/>
              </w:rPr>
              <w:t>10.5</w:t>
            </w:r>
          </w:p>
        </w:tc>
        <w:tc>
          <w:tcPr>
            <w:tcW w:w="10160" w:type="dxa"/>
            <w:vAlign w:val="bottom"/>
            <w:gridSpan w:val="12"/>
          </w:tcPr>
          <w:p>
            <w:pPr>
              <w:spacing w:after="0"/>
              <w:rPr>
                <w:rFonts w:ascii="Arial" w:cs="Arial" w:eastAsia="Arial" w:hAnsi="Arial"/>
                <w:sz w:val="12"/>
                <w:szCs w:val="12"/>
                <w:color w:val="0000FF"/>
              </w:rPr>
            </w:pPr>
            <w:hyperlink r:id="rId41">
              <w:r>
                <w:rPr>
                  <w:rFonts w:ascii="Arial" w:cs="Arial" w:eastAsia="Arial" w:hAnsi="Arial"/>
                  <w:sz w:val="12"/>
                  <w:szCs w:val="12"/>
                  <w:color w:val="0000FF"/>
                </w:rPr>
                <w:t>Fourth Amendment to Credit Agreement dated as of April 22, 2016, among California Resources Corporation, as the Borrower and JP Morgan Chase Bank, N.A., as Administrative Agent, a</w:t>
              </w:r>
            </w:hyperlink>
          </w:p>
        </w:tc>
      </w:tr>
      <w:tr>
        <w:trPr>
          <w:trHeight w:val="20"/>
        </w:trPr>
        <w:tc>
          <w:tcPr>
            <w:tcW w:w="126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12"/>
          </w:tcPr>
          <w:p>
            <w:pPr>
              <w:spacing w:after="0" w:line="115" w:lineRule="exact"/>
              <w:rPr>
                <w:rFonts w:ascii="Arial" w:cs="Arial" w:eastAsia="Arial" w:hAnsi="Arial"/>
                <w:sz w:val="12"/>
                <w:szCs w:val="12"/>
                <w:color w:val="0000FF"/>
              </w:rPr>
            </w:pPr>
            <w:hyperlink r:id="rId41">
              <w:r>
                <w:rPr>
                  <w:rFonts w:ascii="Arial" w:cs="Arial" w:eastAsia="Arial" w:hAnsi="Arial"/>
                  <w:sz w:val="12"/>
                  <w:szCs w:val="12"/>
                  <w:color w:val="0000FF"/>
                </w:rPr>
                <w:t>Swingline Lender and a Letter of Credit Issuer and Bank of America, N.A., as Syndication Agent, Swingline Lender and a Letter of Credit Issuer (filed as Exhibit 99.1 to the Registrant’s Current</w:t>
              </w:r>
            </w:hyperlink>
          </w:p>
        </w:tc>
      </w:tr>
      <w:tr>
        <w:trPr>
          <w:trHeight w:val="115"/>
        </w:trPr>
        <w:tc>
          <w:tcPr>
            <w:tcW w:w="126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2"/>
          </w:tcPr>
          <w:p>
            <w:pPr>
              <w:spacing w:after="0" w:line="115" w:lineRule="exact"/>
              <w:rPr>
                <w:rFonts w:ascii="Arial" w:cs="Arial" w:eastAsia="Arial" w:hAnsi="Arial"/>
                <w:sz w:val="12"/>
                <w:szCs w:val="12"/>
                <w:color w:val="0000FF"/>
                <w:w w:val="99"/>
              </w:rPr>
            </w:pPr>
            <w:hyperlink r:id="rId41">
              <w:r>
                <w:rPr>
                  <w:rFonts w:ascii="Arial" w:cs="Arial" w:eastAsia="Arial" w:hAnsi="Arial"/>
                  <w:sz w:val="12"/>
                  <w:szCs w:val="12"/>
                  <w:color w:val="0000FF"/>
                  <w:w w:val="99"/>
                </w:rPr>
                <w:t>Report on Form 8-K filed April 22, 2016, and incorporated herein by reference).</w:t>
              </w:r>
            </w:hyperlink>
          </w:p>
        </w:tc>
        <w:tc>
          <w:tcPr>
            <w:tcW w:w="594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r>
      <w:tr>
        <w:trPr>
          <w:trHeight w:val="322"/>
        </w:trPr>
        <w:tc>
          <w:tcPr>
            <w:tcW w:w="1260" w:type="dxa"/>
            <w:vAlign w:val="bottom"/>
          </w:tcPr>
          <w:p>
            <w:pPr>
              <w:jc w:val="right"/>
              <w:ind w:right="980"/>
              <w:spacing w:after="0"/>
              <w:rPr>
                <w:sz w:val="20"/>
                <w:szCs w:val="20"/>
                <w:color w:val="auto"/>
              </w:rPr>
            </w:pPr>
            <w:r>
              <w:rPr>
                <w:rFonts w:ascii="Arial" w:cs="Arial" w:eastAsia="Arial" w:hAnsi="Arial"/>
                <w:sz w:val="12"/>
                <w:szCs w:val="12"/>
                <w:color w:val="auto"/>
                <w:w w:val="85"/>
              </w:rPr>
              <w:t>10.6</w:t>
            </w:r>
          </w:p>
        </w:tc>
        <w:tc>
          <w:tcPr>
            <w:tcW w:w="10160" w:type="dxa"/>
            <w:vAlign w:val="bottom"/>
            <w:gridSpan w:val="12"/>
          </w:tcPr>
          <w:p>
            <w:pPr>
              <w:spacing w:after="0"/>
              <w:rPr>
                <w:rFonts w:ascii="Arial" w:cs="Arial" w:eastAsia="Arial" w:hAnsi="Arial"/>
                <w:sz w:val="12"/>
                <w:szCs w:val="12"/>
                <w:color w:val="0000FF"/>
              </w:rPr>
            </w:pPr>
            <w:hyperlink r:id="rId42">
              <w:r>
                <w:rPr>
                  <w:rFonts w:ascii="Arial" w:cs="Arial" w:eastAsia="Arial" w:hAnsi="Arial"/>
                  <w:sz w:val="12"/>
                  <w:szCs w:val="12"/>
                  <w:color w:val="0000FF"/>
                </w:rPr>
                <w:t>Fifth Amendment and Waiver to Credit Agreement, dated August 12, 2016, among California Resources Corporation, as the Borrower and JP Morgan Chase Bank, N.A., as Administrative</w:t>
              </w:r>
            </w:hyperlink>
          </w:p>
        </w:tc>
      </w:tr>
      <w:tr>
        <w:trPr>
          <w:trHeight w:val="115"/>
        </w:trPr>
        <w:tc>
          <w:tcPr>
            <w:tcW w:w="1260" w:type="dxa"/>
            <w:vAlign w:val="bottom"/>
          </w:tcPr>
          <w:p>
            <w:pPr>
              <w:spacing w:after="0"/>
              <w:rPr>
                <w:sz w:val="10"/>
                <w:szCs w:val="10"/>
                <w:color w:val="auto"/>
              </w:rPr>
            </w:pPr>
          </w:p>
        </w:tc>
        <w:tc>
          <w:tcPr>
            <w:tcW w:w="9900" w:type="dxa"/>
            <w:vAlign w:val="bottom"/>
            <w:tcBorders>
              <w:top w:val="single" w:sz="8" w:color="0000FF"/>
            </w:tcBorders>
            <w:gridSpan w:val="8"/>
          </w:tcPr>
          <w:p>
            <w:pPr>
              <w:spacing w:after="0" w:line="115" w:lineRule="exact"/>
              <w:rPr>
                <w:rFonts w:ascii="Arial" w:cs="Arial" w:eastAsia="Arial" w:hAnsi="Arial"/>
                <w:sz w:val="12"/>
                <w:szCs w:val="12"/>
                <w:color w:val="0000FF"/>
              </w:rPr>
            </w:pPr>
            <w:hyperlink r:id="rId42">
              <w:r>
                <w:rPr>
                  <w:rFonts w:ascii="Arial" w:cs="Arial" w:eastAsia="Arial" w:hAnsi="Arial"/>
                  <w:sz w:val="12"/>
                  <w:szCs w:val="12"/>
                  <w:color w:val="0000FF"/>
                </w:rPr>
                <w:t>Agent, a Swingline Lender and a Letter of Credit Issuer and Bank of America, N.A., as Syndication Agent, a Swingline Lender and a Letter of Credit Issuer (filed as Exhibit 10.2 to the</w:t>
              </w:r>
            </w:hyperlink>
          </w:p>
        </w:tc>
        <w:tc>
          <w:tcPr>
            <w:tcW w:w="260" w:type="dxa"/>
            <w:vAlign w:val="bottom"/>
            <w:gridSpan w:val="4"/>
          </w:tcPr>
          <w:p>
            <w:pPr>
              <w:spacing w:after="0"/>
              <w:rPr>
                <w:sz w:val="10"/>
                <w:szCs w:val="10"/>
                <w:color w:val="auto"/>
              </w:rPr>
            </w:pPr>
          </w:p>
        </w:tc>
      </w:tr>
      <w:tr>
        <w:trPr>
          <w:trHeight w:val="115"/>
        </w:trPr>
        <w:tc>
          <w:tcPr>
            <w:tcW w:w="1260" w:type="dxa"/>
            <w:vAlign w:val="bottom"/>
          </w:tcPr>
          <w:p>
            <w:pPr>
              <w:spacing w:after="0"/>
              <w:rPr>
                <w:sz w:val="10"/>
                <w:szCs w:val="10"/>
                <w:color w:val="auto"/>
              </w:rPr>
            </w:pPr>
          </w:p>
        </w:tc>
        <w:tc>
          <w:tcPr>
            <w:tcW w:w="9620" w:type="dxa"/>
            <w:vAlign w:val="bottom"/>
            <w:tcBorders>
              <w:top w:val="single" w:sz="8" w:color="0000FF"/>
            </w:tcBorders>
            <w:gridSpan w:val="5"/>
          </w:tcPr>
          <w:p>
            <w:pPr>
              <w:spacing w:after="0" w:line="115" w:lineRule="exact"/>
              <w:rPr>
                <w:rFonts w:ascii="Arial" w:cs="Arial" w:eastAsia="Arial" w:hAnsi="Arial"/>
                <w:sz w:val="12"/>
                <w:szCs w:val="12"/>
                <w:color w:val="0000FF"/>
              </w:rPr>
            </w:pPr>
            <w:hyperlink r:id="rId42">
              <w:r>
                <w:rPr>
                  <w:rFonts w:ascii="Arial" w:cs="Arial" w:eastAsia="Arial" w:hAnsi="Arial"/>
                  <w:sz w:val="12"/>
                  <w:szCs w:val="12"/>
                  <w:color w:val="0000FF"/>
                </w:rPr>
                <w:t>Registration’s Current Report on Form 8-K filed August 17, 2016 and incorporated herein by reference).</w:t>
              </w:r>
            </w:hyperlink>
          </w:p>
        </w:tc>
        <w:tc>
          <w:tcPr>
            <w:tcW w:w="540" w:type="dxa"/>
            <w:vAlign w:val="bottom"/>
            <w:gridSpan w:val="7"/>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32"/>
        </w:trPr>
        <w:tc>
          <w:tcPr>
            <w:tcW w:w="1260" w:type="dxa"/>
            <w:vAlign w:val="bottom"/>
          </w:tcPr>
          <w:p>
            <w:pPr>
              <w:jc w:val="right"/>
              <w:ind w:right="980"/>
              <w:spacing w:after="0"/>
              <w:rPr>
                <w:sz w:val="20"/>
                <w:szCs w:val="20"/>
                <w:color w:val="auto"/>
              </w:rPr>
            </w:pPr>
            <w:r>
              <w:rPr>
                <w:rFonts w:ascii="Arial" w:cs="Arial" w:eastAsia="Arial" w:hAnsi="Arial"/>
                <w:sz w:val="12"/>
                <w:szCs w:val="12"/>
                <w:color w:val="auto"/>
                <w:w w:val="85"/>
              </w:rPr>
              <w:t>10.7</w:t>
            </w:r>
          </w:p>
        </w:tc>
        <w:tc>
          <w:tcPr>
            <w:tcW w:w="9880" w:type="dxa"/>
            <w:vAlign w:val="bottom"/>
            <w:tcBorders>
              <w:bottom w:val="single" w:sz="8" w:color="0000FF"/>
            </w:tcBorders>
            <w:gridSpan w:val="7"/>
          </w:tcPr>
          <w:p>
            <w:pPr>
              <w:spacing w:after="0"/>
              <w:rPr>
                <w:rFonts w:ascii="Arial" w:cs="Arial" w:eastAsia="Arial" w:hAnsi="Arial"/>
                <w:sz w:val="12"/>
                <w:szCs w:val="12"/>
                <w:color w:val="0000FF"/>
                <w:w w:val="99"/>
              </w:rPr>
            </w:pPr>
            <w:hyperlink r:id="rId43">
              <w:r>
                <w:rPr>
                  <w:rFonts w:ascii="Arial" w:cs="Arial" w:eastAsia="Arial" w:hAnsi="Arial"/>
                  <w:sz w:val="12"/>
                  <w:szCs w:val="12"/>
                  <w:color w:val="0000FF"/>
                  <w:w w:val="99"/>
                </w:rPr>
                <w:t>Sixth Amendment to Credit Agreement, dated as of February 14, 2017, among California Resources Corporation, as the Borrower, JP Morgan Chase Bank, N.A., as Administrative Agent,</w:t>
              </w:r>
            </w:hyperlink>
          </w:p>
        </w:tc>
        <w:tc>
          <w:tcPr>
            <w:tcW w:w="280" w:type="dxa"/>
            <w:vAlign w:val="bottom"/>
            <w:gridSpan w:val="5"/>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12"/>
          </w:tcPr>
          <w:p>
            <w:pPr>
              <w:spacing w:after="0" w:line="115" w:lineRule="exact"/>
              <w:rPr>
                <w:rFonts w:ascii="Arial" w:cs="Arial" w:eastAsia="Arial" w:hAnsi="Arial"/>
                <w:sz w:val="12"/>
                <w:szCs w:val="12"/>
                <w:color w:val="0000FF"/>
              </w:rPr>
            </w:pPr>
            <w:hyperlink r:id="rId43">
              <w:r>
                <w:rPr>
                  <w:rFonts w:ascii="Arial" w:cs="Arial" w:eastAsia="Arial" w:hAnsi="Arial"/>
                  <w:sz w:val="12"/>
                  <w:szCs w:val="12"/>
                  <w:color w:val="0000FF"/>
                </w:rPr>
                <w:t>Swingline Lender and a Letter of Credit Issuer, Bank of America, N.A., as Syndication Agent, Swingline Lender and a letter of Credit Issuer, and the Lenders (filed as Exhibit 10.1 to the</w:t>
              </w:r>
            </w:hyperlink>
          </w:p>
        </w:tc>
      </w:tr>
      <w:tr>
        <w:trPr>
          <w:trHeight w:val="115"/>
        </w:trPr>
        <w:tc>
          <w:tcPr>
            <w:tcW w:w="1260" w:type="dxa"/>
            <w:vAlign w:val="bottom"/>
          </w:tcPr>
          <w:p>
            <w:pPr>
              <w:spacing w:after="0"/>
              <w:rPr>
                <w:sz w:val="10"/>
                <w:szCs w:val="10"/>
                <w:color w:val="auto"/>
              </w:rPr>
            </w:pPr>
          </w:p>
        </w:tc>
        <w:tc>
          <w:tcPr>
            <w:tcW w:w="9720" w:type="dxa"/>
            <w:vAlign w:val="bottom"/>
            <w:tcBorders>
              <w:top w:val="single" w:sz="8" w:color="0000FF"/>
            </w:tcBorders>
            <w:gridSpan w:val="6"/>
          </w:tcPr>
          <w:p>
            <w:pPr>
              <w:spacing w:after="0" w:line="115" w:lineRule="exact"/>
              <w:rPr>
                <w:rFonts w:ascii="Arial" w:cs="Arial" w:eastAsia="Arial" w:hAnsi="Arial"/>
                <w:sz w:val="12"/>
                <w:szCs w:val="12"/>
                <w:color w:val="0000FF"/>
              </w:rPr>
            </w:pPr>
            <w:hyperlink r:id="rId43">
              <w:r>
                <w:rPr>
                  <w:rFonts w:ascii="Arial" w:cs="Arial" w:eastAsia="Arial" w:hAnsi="Arial"/>
                  <w:sz w:val="12"/>
                  <w:szCs w:val="12"/>
                  <w:color w:val="0000FF"/>
                </w:rPr>
                <w:t>Registrant’s Current Report on Form 8-K filed February 16, 2017, and incorporated herein by reference).</w:t>
              </w:r>
            </w:hyperlink>
          </w:p>
        </w:tc>
        <w:tc>
          <w:tcPr>
            <w:tcW w:w="440" w:type="dxa"/>
            <w:vAlign w:val="bottom"/>
            <w:gridSpan w:val="6"/>
          </w:tcPr>
          <w:p>
            <w:pPr>
              <w:spacing w:after="0"/>
              <w:rPr>
                <w:sz w:val="10"/>
                <w:szCs w:val="10"/>
                <w:color w:val="auto"/>
              </w:rPr>
            </w:pPr>
          </w:p>
        </w:tc>
      </w:tr>
      <w:tr>
        <w:trPr>
          <w:trHeight w:val="403"/>
        </w:trPr>
        <w:tc>
          <w:tcPr>
            <w:tcW w:w="1260" w:type="dxa"/>
            <w:vAlign w:val="bottom"/>
          </w:tcPr>
          <w:p>
            <w:pPr>
              <w:spacing w:after="0"/>
              <w:rPr>
                <w:sz w:val="24"/>
                <w:szCs w:val="24"/>
                <w:color w:val="auto"/>
              </w:rPr>
            </w:pPr>
          </w:p>
        </w:tc>
        <w:tc>
          <w:tcPr>
            <w:tcW w:w="5480" w:type="dxa"/>
            <w:vAlign w:val="bottom"/>
            <w:tcBorders>
              <w:top w:val="single" w:sz="8" w:color="0000FF"/>
            </w:tcBorders>
            <w:gridSpan w:val="3"/>
          </w:tcPr>
          <w:p>
            <w:pPr>
              <w:ind w:left="4360"/>
              <w:spacing w:after="0"/>
              <w:rPr>
                <w:sz w:val="20"/>
                <w:szCs w:val="20"/>
                <w:color w:val="auto"/>
              </w:rPr>
            </w:pPr>
            <w:r>
              <w:rPr>
                <w:rFonts w:ascii="Arial" w:cs="Arial" w:eastAsia="Arial" w:hAnsi="Arial"/>
                <w:sz w:val="12"/>
                <w:szCs w:val="12"/>
                <w:color w:val="auto"/>
              </w:rPr>
              <w:t>126</w:t>
            </w:r>
          </w:p>
        </w:tc>
        <w:tc>
          <w:tcPr>
            <w:tcW w:w="60" w:type="dxa"/>
            <w:vAlign w:val="bottom"/>
            <w:tcBorders>
              <w:top w:val="single" w:sz="8" w:color="0000FF"/>
            </w:tcBorders>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389" w:right="239" w:bottom="1440" w:gutter="0" w:footer="0" w:header="0"/>
          <w:type w:val="continuous"/>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10.8</w:t>
            </w:r>
          </w:p>
        </w:tc>
        <w:tc>
          <w:tcPr>
            <w:tcW w:w="10080" w:type="dxa"/>
            <w:vAlign w:val="bottom"/>
            <w:tcBorders>
              <w:bottom w:val="single" w:sz="8" w:color="0000FF"/>
            </w:tcBorders>
            <w:gridSpan w:val="22"/>
          </w:tcPr>
          <w:p>
            <w:pPr>
              <w:spacing w:after="0"/>
              <w:rPr>
                <w:rFonts w:ascii="Arial" w:cs="Arial" w:eastAsia="Arial" w:hAnsi="Arial"/>
                <w:sz w:val="12"/>
                <w:szCs w:val="12"/>
                <w:color w:val="0000FF"/>
              </w:rPr>
            </w:pPr>
            <w:hyperlink r:id="rId44">
              <w:r>
                <w:rPr>
                  <w:rFonts w:ascii="Arial" w:cs="Arial" w:eastAsia="Arial" w:hAnsi="Arial"/>
                  <w:sz w:val="12"/>
                  <w:szCs w:val="12"/>
                  <w:color w:val="0000FF"/>
                </w:rPr>
                <w:t>Seventh Amendment to Credit Agreement, dated as of November 9, 2017, among California Resources Corporation, as the Borrower, JP Morgan Chase Bank, N.A., as Administrative Agent,</w:t>
              </w:r>
            </w:hyperlink>
          </w:p>
        </w:tc>
        <w:tc>
          <w:tcPr>
            <w:tcW w:w="100" w:type="dxa"/>
            <w:vAlign w:val="bottom"/>
            <w:gridSpan w:val="5"/>
          </w:tcPr>
          <w:p>
            <w:pPr>
              <w:spacing w:after="0"/>
              <w:rPr>
                <w:sz w:val="12"/>
                <w:szCs w:val="12"/>
                <w:color w:val="auto"/>
              </w:rPr>
            </w:pPr>
          </w:p>
        </w:tc>
      </w:tr>
      <w:tr>
        <w:trPr>
          <w:trHeight w:val="115"/>
        </w:trPr>
        <w:tc>
          <w:tcPr>
            <w:tcW w:w="1260" w:type="dxa"/>
            <w:vAlign w:val="bottom"/>
          </w:tcPr>
          <w:p>
            <w:pPr>
              <w:spacing w:after="0"/>
              <w:rPr>
                <w:sz w:val="10"/>
                <w:szCs w:val="10"/>
                <w:color w:val="auto"/>
              </w:rPr>
            </w:pPr>
          </w:p>
        </w:tc>
        <w:tc>
          <w:tcPr>
            <w:tcW w:w="9940" w:type="dxa"/>
            <w:vAlign w:val="bottom"/>
            <w:tcBorders>
              <w:bottom w:val="single" w:sz="8" w:color="0000FF"/>
            </w:tcBorders>
            <w:gridSpan w:val="17"/>
          </w:tcPr>
          <w:p>
            <w:pPr>
              <w:spacing w:after="0" w:line="115" w:lineRule="exact"/>
              <w:rPr>
                <w:rFonts w:ascii="Arial" w:cs="Arial" w:eastAsia="Arial" w:hAnsi="Arial"/>
                <w:sz w:val="12"/>
                <w:szCs w:val="12"/>
                <w:color w:val="0000FF"/>
                <w:w w:val="99"/>
              </w:rPr>
            </w:pPr>
            <w:hyperlink r:id="rId44">
              <w:r>
                <w:rPr>
                  <w:rFonts w:ascii="Arial" w:cs="Arial" w:eastAsia="Arial" w:hAnsi="Arial"/>
                  <w:sz w:val="12"/>
                  <w:szCs w:val="12"/>
                  <w:color w:val="0000FF"/>
                  <w:w w:val="99"/>
                </w:rPr>
                <w:t>Swingline Lender and a Letter of Credit Issuer, Bank of America, N.A., as Syndication Agent, Swingline Lender and a Letter of Credit Issuer (filed as Exhibit 10.1 to the Registrant’s Current</w:t>
              </w:r>
            </w:hyperlink>
          </w:p>
        </w:tc>
        <w:tc>
          <w:tcPr>
            <w:tcW w:w="240" w:type="dxa"/>
            <w:vAlign w:val="bottom"/>
            <w:gridSpan w:val="10"/>
          </w:tcPr>
          <w:p>
            <w:pPr>
              <w:spacing w:after="0"/>
              <w:rPr>
                <w:sz w:val="10"/>
                <w:szCs w:val="10"/>
                <w:color w:val="auto"/>
              </w:rPr>
            </w:pPr>
          </w:p>
        </w:tc>
      </w:tr>
      <w:tr>
        <w:trPr>
          <w:trHeight w:val="115"/>
        </w:trPr>
        <w:tc>
          <w:tcPr>
            <w:tcW w:w="1260" w:type="dxa"/>
            <w:vAlign w:val="bottom"/>
          </w:tcPr>
          <w:p>
            <w:pPr>
              <w:spacing w:after="0"/>
              <w:rPr>
                <w:sz w:val="10"/>
                <w:szCs w:val="10"/>
                <w:color w:val="auto"/>
              </w:rPr>
            </w:pPr>
          </w:p>
        </w:tc>
        <w:tc>
          <w:tcPr>
            <w:tcW w:w="4520" w:type="dxa"/>
            <w:vAlign w:val="bottom"/>
            <w:tcBorders>
              <w:bottom w:val="single" w:sz="8" w:color="0000FF"/>
            </w:tcBorders>
            <w:gridSpan w:val="5"/>
          </w:tcPr>
          <w:p>
            <w:pPr>
              <w:spacing w:after="0" w:line="115" w:lineRule="exact"/>
              <w:rPr>
                <w:rFonts w:ascii="Arial" w:cs="Arial" w:eastAsia="Arial" w:hAnsi="Arial"/>
                <w:sz w:val="12"/>
                <w:szCs w:val="12"/>
                <w:color w:val="0000FF"/>
                <w:w w:val="99"/>
              </w:rPr>
            </w:pPr>
            <w:hyperlink r:id="rId44">
              <w:r>
                <w:rPr>
                  <w:rFonts w:ascii="Arial" w:cs="Arial" w:eastAsia="Arial" w:hAnsi="Arial"/>
                  <w:sz w:val="12"/>
                  <w:szCs w:val="12"/>
                  <w:color w:val="0000FF"/>
                  <w:w w:val="99"/>
                </w:rPr>
                <w:t>Report on Form 8-K filed November 13, 2017, and incorporated herein by reference).</w:t>
              </w:r>
            </w:hyperlink>
          </w:p>
        </w:tc>
        <w:tc>
          <w:tcPr>
            <w:tcW w:w="5660" w:type="dxa"/>
            <w:vAlign w:val="bottom"/>
            <w:gridSpan w:val="22"/>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10.9</w:t>
            </w:r>
          </w:p>
        </w:tc>
        <w:tc>
          <w:tcPr>
            <w:tcW w:w="9920" w:type="dxa"/>
            <w:vAlign w:val="bottom"/>
            <w:tcBorders>
              <w:bottom w:val="single" w:sz="8" w:color="0000FF"/>
            </w:tcBorders>
            <w:gridSpan w:val="16"/>
          </w:tcPr>
          <w:p>
            <w:pPr>
              <w:spacing w:after="0"/>
              <w:rPr>
                <w:rFonts w:ascii="Arial" w:cs="Arial" w:eastAsia="Arial" w:hAnsi="Arial"/>
                <w:sz w:val="12"/>
                <w:szCs w:val="12"/>
                <w:color w:val="0000FF"/>
                <w:w w:val="99"/>
              </w:rPr>
            </w:pPr>
            <w:hyperlink r:id="rId45">
              <w:r>
                <w:rPr>
                  <w:rFonts w:ascii="Arial" w:cs="Arial" w:eastAsia="Arial" w:hAnsi="Arial"/>
                  <w:sz w:val="12"/>
                  <w:szCs w:val="12"/>
                  <w:color w:val="0000FF"/>
                  <w:w w:val="99"/>
                </w:rPr>
                <w:t>Credit Agreement, dated August 12, 2016, among California Resources Corporation, as the Borrower, the several Lenders from time to time parties thereto, Goldman Sachs Bank USA, as</w:t>
              </w:r>
            </w:hyperlink>
          </w:p>
        </w:tc>
        <w:tc>
          <w:tcPr>
            <w:tcW w:w="260" w:type="dxa"/>
            <w:vAlign w:val="bottom"/>
            <w:gridSpan w:val="11"/>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60" w:type="dxa"/>
            <w:vAlign w:val="bottom"/>
            <w:tcBorders>
              <w:bottom w:val="single" w:sz="8" w:color="0000FF"/>
            </w:tcBorders>
            <w:gridSpan w:val="26"/>
          </w:tcPr>
          <w:p>
            <w:pPr>
              <w:spacing w:after="0" w:line="115" w:lineRule="exact"/>
              <w:rPr>
                <w:rFonts w:ascii="Arial" w:cs="Arial" w:eastAsia="Arial" w:hAnsi="Arial"/>
                <w:sz w:val="12"/>
                <w:szCs w:val="12"/>
                <w:color w:val="0000FF"/>
                <w:w w:val="99"/>
              </w:rPr>
            </w:pPr>
            <w:hyperlink r:id="rId45">
              <w:r>
                <w:rPr>
                  <w:rFonts w:ascii="Arial" w:cs="Arial" w:eastAsia="Arial" w:hAnsi="Arial"/>
                  <w:sz w:val="12"/>
                  <w:szCs w:val="12"/>
                  <w:color w:val="0000FF"/>
                  <w:w w:val="99"/>
                </w:rPr>
                <w:t>Lead Arranger and Bookrunner, and The Bank of New York Mellon Trust Company, N.A., as Administrative Agent and Collateral Agent (filed as Exhibit 10.1 to the Registration’s Current Report</w:t>
              </w:r>
            </w:hyperlink>
          </w:p>
        </w:tc>
        <w:tc>
          <w:tcPr>
            <w:tcW w:w="20" w:type="dxa"/>
            <w:vAlign w:val="bottom"/>
          </w:tcPr>
          <w:p>
            <w:pPr>
              <w:spacing w:after="0"/>
              <w:rPr>
                <w:sz w:val="10"/>
                <w:szCs w:val="10"/>
                <w:color w:val="auto"/>
              </w:rPr>
            </w:pPr>
          </w:p>
        </w:tc>
      </w:tr>
      <w:tr>
        <w:trPr>
          <w:trHeight w:val="115"/>
        </w:trPr>
        <w:tc>
          <w:tcPr>
            <w:tcW w:w="1260" w:type="dxa"/>
            <w:vAlign w:val="bottom"/>
          </w:tcPr>
          <w:p>
            <w:pPr>
              <w:spacing w:after="0"/>
              <w:rPr>
                <w:sz w:val="10"/>
                <w:szCs w:val="10"/>
                <w:color w:val="auto"/>
              </w:rPr>
            </w:pPr>
          </w:p>
        </w:tc>
        <w:tc>
          <w:tcPr>
            <w:tcW w:w="10180" w:type="dxa"/>
            <w:vAlign w:val="bottom"/>
            <w:gridSpan w:val="27"/>
          </w:tcPr>
          <w:p>
            <w:pPr>
              <w:spacing w:after="0" w:line="115" w:lineRule="exact"/>
              <w:rPr>
                <w:rFonts w:ascii="Arial" w:cs="Arial" w:eastAsia="Arial" w:hAnsi="Arial"/>
                <w:sz w:val="12"/>
                <w:szCs w:val="12"/>
                <w:color w:val="0000FF"/>
              </w:rPr>
            </w:pPr>
            <w:hyperlink r:id="rId45">
              <w:r>
                <w:rPr>
                  <w:rFonts w:ascii="Arial" w:cs="Arial" w:eastAsia="Arial" w:hAnsi="Arial"/>
                  <w:sz w:val="12"/>
                  <w:szCs w:val="12"/>
                  <w:color w:val="0000FF"/>
                </w:rPr>
                <w:t>on Form 8-K filed August 17, 2016 and incorporated herein by reference).</w:t>
              </w:r>
            </w:hyperlink>
          </w:p>
        </w:tc>
      </w:tr>
      <w:tr>
        <w:trPr>
          <w:trHeight w:val="20"/>
        </w:trPr>
        <w:tc>
          <w:tcPr>
            <w:tcW w:w="12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10.10</w:t>
            </w:r>
          </w:p>
        </w:tc>
        <w:tc>
          <w:tcPr>
            <w:tcW w:w="9860" w:type="dxa"/>
            <w:vAlign w:val="bottom"/>
            <w:tcBorders>
              <w:bottom w:val="single" w:sz="8" w:color="0000FF"/>
            </w:tcBorders>
            <w:gridSpan w:val="14"/>
          </w:tcPr>
          <w:p>
            <w:pPr>
              <w:spacing w:after="0"/>
              <w:rPr>
                <w:rFonts w:ascii="Arial" w:cs="Arial" w:eastAsia="Arial" w:hAnsi="Arial"/>
                <w:sz w:val="12"/>
                <w:szCs w:val="12"/>
                <w:color w:val="0000FF"/>
                <w:w w:val="99"/>
              </w:rPr>
            </w:pPr>
            <w:hyperlink r:id="rId46">
              <w:r>
                <w:rPr>
                  <w:rFonts w:ascii="Arial" w:cs="Arial" w:eastAsia="Arial" w:hAnsi="Arial"/>
                  <w:sz w:val="12"/>
                  <w:szCs w:val="12"/>
                  <w:color w:val="0000FF"/>
                  <w:w w:val="99"/>
                </w:rPr>
                <w:t>Credit Agreement, dated as of November 17, 2017, by and among the Company, as the Borrower, Bank of New York Mellon Trust, N.A., as Administrative Agent, and the various Lenders</w:t>
              </w:r>
            </w:hyperlink>
          </w:p>
        </w:tc>
        <w:tc>
          <w:tcPr>
            <w:tcW w:w="320" w:type="dxa"/>
            <w:vAlign w:val="bottom"/>
            <w:gridSpan w:val="13"/>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7980" w:type="dxa"/>
            <w:vAlign w:val="bottom"/>
            <w:tcBorders>
              <w:bottom w:val="single" w:sz="8" w:color="0000FF"/>
            </w:tcBorders>
            <w:gridSpan w:val="10"/>
          </w:tcPr>
          <w:p>
            <w:pPr>
              <w:spacing w:after="0" w:line="115" w:lineRule="exact"/>
              <w:rPr>
                <w:rFonts w:ascii="Arial" w:cs="Arial" w:eastAsia="Arial" w:hAnsi="Arial"/>
                <w:sz w:val="12"/>
                <w:szCs w:val="12"/>
                <w:color w:val="0000FF"/>
                <w:w w:val="99"/>
              </w:rPr>
            </w:pPr>
            <w:hyperlink r:id="rId46">
              <w:r>
                <w:rPr>
                  <w:rFonts w:ascii="Arial" w:cs="Arial" w:eastAsia="Arial" w:hAnsi="Arial"/>
                  <w:sz w:val="12"/>
                  <w:szCs w:val="12"/>
                  <w:color w:val="0000FF"/>
                  <w:w w:val="99"/>
                </w:rPr>
                <w:t>identified therein (filed as Exhibit 10.1 to the Registrant’s Current Report on Form 8-K filed November 17, 2017, and incorporated herein by reference).</w:t>
              </w:r>
            </w:hyperlink>
          </w:p>
        </w:tc>
        <w:tc>
          <w:tcPr>
            <w:tcW w:w="2200" w:type="dxa"/>
            <w:vAlign w:val="bottom"/>
            <w:gridSpan w:val="17"/>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10.11</w:t>
            </w:r>
          </w:p>
        </w:tc>
        <w:tc>
          <w:tcPr>
            <w:tcW w:w="10080" w:type="dxa"/>
            <w:vAlign w:val="bottom"/>
            <w:tcBorders>
              <w:bottom w:val="single" w:sz="8" w:color="0000FF"/>
            </w:tcBorders>
            <w:gridSpan w:val="22"/>
          </w:tcPr>
          <w:p>
            <w:pPr>
              <w:spacing w:after="0"/>
              <w:rPr>
                <w:rFonts w:ascii="Arial" w:cs="Arial" w:eastAsia="Arial" w:hAnsi="Arial"/>
                <w:sz w:val="12"/>
                <w:szCs w:val="12"/>
                <w:color w:val="0000FF"/>
              </w:rPr>
            </w:pPr>
            <w:hyperlink r:id="rId47">
              <w:r>
                <w:rPr>
                  <w:rFonts w:ascii="Arial" w:cs="Arial" w:eastAsia="Arial" w:hAnsi="Arial"/>
                  <w:sz w:val="12"/>
                  <w:szCs w:val="12"/>
                  <w:color w:val="0000FF"/>
                </w:rPr>
                <w:t>Omnibus Amendment, dated September 12 2016, among California Resources Corporation, the Guarantors party thereto, the Collateral Trustee and the other party lien representatives party</w:t>
              </w:r>
            </w:hyperlink>
          </w:p>
        </w:tc>
        <w:tc>
          <w:tcPr>
            <w:tcW w:w="100" w:type="dxa"/>
            <w:vAlign w:val="bottom"/>
            <w:gridSpan w:val="5"/>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7640" w:type="dxa"/>
            <w:vAlign w:val="bottom"/>
            <w:tcBorders>
              <w:bottom w:val="single" w:sz="8" w:color="0000FF"/>
            </w:tcBorders>
            <w:gridSpan w:val="9"/>
          </w:tcPr>
          <w:p>
            <w:pPr>
              <w:spacing w:after="0" w:line="115" w:lineRule="exact"/>
              <w:rPr>
                <w:rFonts w:ascii="Arial" w:cs="Arial" w:eastAsia="Arial" w:hAnsi="Arial"/>
                <w:sz w:val="12"/>
                <w:szCs w:val="12"/>
                <w:color w:val="0000FF"/>
                <w:w w:val="99"/>
              </w:rPr>
            </w:pPr>
            <w:hyperlink r:id="rId47">
              <w:r>
                <w:rPr>
                  <w:rFonts w:ascii="Arial" w:cs="Arial" w:eastAsia="Arial" w:hAnsi="Arial"/>
                  <w:sz w:val="12"/>
                  <w:szCs w:val="12"/>
                  <w:color w:val="0000FF"/>
                  <w:w w:val="99"/>
                </w:rPr>
                <w:t>thereto (filed as Exhibit 10.3 to the Registration’s Quarterly Report on Form 10-Q filed November 3, 2016 and incorporated herein by reference).</w:t>
              </w:r>
            </w:hyperlink>
          </w:p>
        </w:tc>
        <w:tc>
          <w:tcPr>
            <w:tcW w:w="2540" w:type="dxa"/>
            <w:vAlign w:val="bottom"/>
            <w:gridSpan w:val="18"/>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10.12</w:t>
            </w:r>
          </w:p>
        </w:tc>
        <w:tc>
          <w:tcPr>
            <w:tcW w:w="10180" w:type="dxa"/>
            <w:vAlign w:val="bottom"/>
            <w:gridSpan w:val="27"/>
          </w:tcPr>
          <w:p>
            <w:pPr>
              <w:spacing w:after="0"/>
              <w:rPr>
                <w:rFonts w:ascii="Arial" w:cs="Arial" w:eastAsia="Arial" w:hAnsi="Arial"/>
                <w:sz w:val="12"/>
                <w:szCs w:val="12"/>
                <w:color w:val="0000FF"/>
              </w:rPr>
            </w:pPr>
            <w:hyperlink r:id="rId48">
              <w:r>
                <w:rPr>
                  <w:rFonts w:ascii="Arial" w:cs="Arial" w:eastAsia="Arial" w:hAnsi="Arial"/>
                  <w:sz w:val="12"/>
                  <w:szCs w:val="12"/>
                  <w:color w:val="0000FF"/>
                </w:rPr>
                <w:t>Transition Services Agreement, dated November 25, 2014, between Occidental Petroleum Corporation and California Resources Corporation (filed as Exhibit 10.4 to Registrant’s Current</w:t>
              </w:r>
            </w:hyperlink>
          </w:p>
        </w:tc>
      </w:tr>
      <w:tr>
        <w:trPr>
          <w:trHeight w:val="115"/>
        </w:trPr>
        <w:tc>
          <w:tcPr>
            <w:tcW w:w="1260" w:type="dxa"/>
            <w:vAlign w:val="bottom"/>
          </w:tcPr>
          <w:p>
            <w:pPr>
              <w:spacing w:after="0"/>
              <w:rPr>
                <w:sz w:val="10"/>
                <w:szCs w:val="10"/>
                <w:color w:val="auto"/>
              </w:rPr>
            </w:pPr>
          </w:p>
        </w:tc>
        <w:tc>
          <w:tcPr>
            <w:tcW w:w="4420" w:type="dxa"/>
            <w:vAlign w:val="bottom"/>
            <w:tcBorders>
              <w:top w:val="single" w:sz="8" w:color="0000FF"/>
              <w:bottom w:val="single" w:sz="8" w:color="0000FF"/>
            </w:tcBorders>
            <w:gridSpan w:val="4"/>
          </w:tcPr>
          <w:p>
            <w:pPr>
              <w:spacing w:after="0" w:line="115" w:lineRule="exact"/>
              <w:rPr>
                <w:rFonts w:ascii="Arial" w:cs="Arial" w:eastAsia="Arial" w:hAnsi="Arial"/>
                <w:sz w:val="12"/>
                <w:szCs w:val="12"/>
                <w:color w:val="0000FF"/>
                <w:w w:val="99"/>
              </w:rPr>
            </w:pPr>
            <w:hyperlink r:id="rId48">
              <w:r>
                <w:rPr>
                  <w:rFonts w:ascii="Arial" w:cs="Arial" w:eastAsia="Arial" w:hAnsi="Arial"/>
                  <w:sz w:val="12"/>
                  <w:szCs w:val="12"/>
                  <w:color w:val="0000FF"/>
                  <w:w w:val="99"/>
                </w:rPr>
                <w:t>Report on Form 8-K filed December 1, 2014 and incorporated herein by reference).</w:t>
              </w:r>
            </w:hyperlink>
          </w:p>
        </w:tc>
        <w:tc>
          <w:tcPr>
            <w:tcW w:w="5420" w:type="dxa"/>
            <w:vAlign w:val="bottom"/>
            <w:tcBorders>
              <w:top w:val="single" w:sz="8" w:color="0000FF"/>
            </w:tcBorders>
            <w:gridSpan w:val="9"/>
          </w:tcPr>
          <w:p>
            <w:pPr>
              <w:spacing w:after="0"/>
              <w:rPr>
                <w:sz w:val="10"/>
                <w:szCs w:val="10"/>
                <w:color w:val="auto"/>
              </w:rPr>
            </w:pPr>
          </w:p>
        </w:tc>
        <w:tc>
          <w:tcPr>
            <w:tcW w:w="340" w:type="dxa"/>
            <w:vAlign w:val="bottom"/>
            <w:gridSpan w:val="14"/>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10.13</w:t>
            </w:r>
          </w:p>
        </w:tc>
        <w:tc>
          <w:tcPr>
            <w:tcW w:w="10180" w:type="dxa"/>
            <w:vAlign w:val="bottom"/>
            <w:gridSpan w:val="27"/>
          </w:tcPr>
          <w:p>
            <w:pPr>
              <w:spacing w:after="0"/>
              <w:rPr>
                <w:rFonts w:ascii="Arial" w:cs="Arial" w:eastAsia="Arial" w:hAnsi="Arial"/>
                <w:sz w:val="12"/>
                <w:szCs w:val="12"/>
                <w:color w:val="0000FF"/>
              </w:rPr>
            </w:pPr>
            <w:hyperlink r:id="rId49">
              <w:r>
                <w:rPr>
                  <w:rFonts w:ascii="Arial" w:cs="Arial" w:eastAsia="Arial" w:hAnsi="Arial"/>
                  <w:sz w:val="12"/>
                  <w:szCs w:val="12"/>
                  <w:color w:val="0000FF"/>
                </w:rPr>
                <w:t>Tax Sharing Agreement, dated November 25, 2014, between Occidental Petroleum Corporation and California Resources Corporation (filed as Exhibit 10.2 to Registrant’s Current Report on</w:t>
              </w:r>
            </w:hyperlink>
          </w:p>
        </w:tc>
      </w:tr>
      <w:tr>
        <w:trPr>
          <w:trHeight w:val="115"/>
        </w:trPr>
        <w:tc>
          <w:tcPr>
            <w:tcW w:w="1260" w:type="dxa"/>
            <w:vAlign w:val="bottom"/>
          </w:tcPr>
          <w:p>
            <w:pPr>
              <w:spacing w:after="0"/>
              <w:rPr>
                <w:sz w:val="10"/>
                <w:szCs w:val="10"/>
                <w:color w:val="auto"/>
              </w:rPr>
            </w:pPr>
          </w:p>
        </w:tc>
        <w:tc>
          <w:tcPr>
            <w:tcW w:w="3900" w:type="dxa"/>
            <w:vAlign w:val="bottom"/>
            <w:tcBorders>
              <w:top w:val="single" w:sz="8" w:color="0000FF"/>
              <w:bottom w:val="single" w:sz="8" w:color="0000FF"/>
            </w:tcBorders>
            <w:gridSpan w:val="3"/>
          </w:tcPr>
          <w:p>
            <w:pPr>
              <w:spacing w:after="0" w:line="115" w:lineRule="exact"/>
              <w:rPr>
                <w:rFonts w:ascii="Arial" w:cs="Arial" w:eastAsia="Arial" w:hAnsi="Arial"/>
                <w:sz w:val="12"/>
                <w:szCs w:val="12"/>
                <w:color w:val="0000FF"/>
              </w:rPr>
            </w:pPr>
            <w:hyperlink r:id="rId49">
              <w:r>
                <w:rPr>
                  <w:rFonts w:ascii="Arial" w:cs="Arial" w:eastAsia="Arial" w:hAnsi="Arial"/>
                  <w:sz w:val="12"/>
                  <w:szCs w:val="12"/>
                  <w:color w:val="0000FF"/>
                </w:rPr>
                <w:t>Form 8-K filed December 1, 2014 and incorporated herein by reference).</w:t>
              </w:r>
            </w:hyperlink>
          </w:p>
        </w:tc>
        <w:tc>
          <w:tcPr>
            <w:tcW w:w="6120" w:type="dxa"/>
            <w:vAlign w:val="bottom"/>
            <w:tcBorders>
              <w:top w:val="single" w:sz="8" w:color="0000FF"/>
            </w:tcBorders>
            <w:gridSpan w:val="16"/>
          </w:tcPr>
          <w:p>
            <w:pPr>
              <w:spacing w:after="0"/>
              <w:rPr>
                <w:sz w:val="10"/>
                <w:szCs w:val="10"/>
                <w:color w:val="auto"/>
              </w:rPr>
            </w:pPr>
          </w:p>
        </w:tc>
        <w:tc>
          <w:tcPr>
            <w:tcW w:w="160" w:type="dxa"/>
            <w:vAlign w:val="bottom"/>
            <w:gridSpan w:val="8"/>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10.14</w:t>
            </w:r>
          </w:p>
        </w:tc>
        <w:tc>
          <w:tcPr>
            <w:tcW w:w="9800" w:type="dxa"/>
            <w:vAlign w:val="bottom"/>
            <w:tcBorders>
              <w:bottom w:val="single" w:sz="8" w:color="0000FF"/>
            </w:tcBorders>
            <w:gridSpan w:val="12"/>
          </w:tcPr>
          <w:p>
            <w:pPr>
              <w:spacing w:after="0"/>
              <w:rPr>
                <w:rFonts w:ascii="Arial" w:cs="Arial" w:eastAsia="Arial" w:hAnsi="Arial"/>
                <w:sz w:val="12"/>
                <w:szCs w:val="12"/>
                <w:color w:val="0000FF"/>
                <w:w w:val="99"/>
              </w:rPr>
            </w:pPr>
            <w:hyperlink r:id="rId50">
              <w:r>
                <w:rPr>
                  <w:rFonts w:ascii="Arial" w:cs="Arial" w:eastAsia="Arial" w:hAnsi="Arial"/>
                  <w:sz w:val="12"/>
                  <w:szCs w:val="12"/>
                  <w:color w:val="0000FF"/>
                  <w:w w:val="99"/>
                </w:rPr>
                <w:t>Employee Matters Agreement, dated November 25, 2014, between Occidental Petroleum Corporation and California Resources Corporation (filed as Exhibit 10.3 to Registrant’s Current</w:t>
              </w:r>
            </w:hyperlink>
          </w:p>
        </w:tc>
        <w:tc>
          <w:tcPr>
            <w:tcW w:w="380" w:type="dxa"/>
            <w:vAlign w:val="bottom"/>
            <w:gridSpan w:val="15"/>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4420" w:type="dxa"/>
            <w:vAlign w:val="bottom"/>
            <w:tcBorders>
              <w:bottom w:val="single" w:sz="8" w:color="0000FF"/>
            </w:tcBorders>
            <w:gridSpan w:val="4"/>
          </w:tcPr>
          <w:p>
            <w:pPr>
              <w:spacing w:after="0" w:line="115" w:lineRule="exact"/>
              <w:rPr>
                <w:rFonts w:ascii="Arial" w:cs="Arial" w:eastAsia="Arial" w:hAnsi="Arial"/>
                <w:sz w:val="12"/>
                <w:szCs w:val="12"/>
                <w:color w:val="0000FF"/>
                <w:w w:val="99"/>
              </w:rPr>
            </w:pPr>
            <w:hyperlink r:id="rId50">
              <w:r>
                <w:rPr>
                  <w:rFonts w:ascii="Arial" w:cs="Arial" w:eastAsia="Arial" w:hAnsi="Arial"/>
                  <w:sz w:val="12"/>
                  <w:szCs w:val="12"/>
                  <w:color w:val="0000FF"/>
                  <w:w w:val="99"/>
                </w:rPr>
                <w:t>Report on Form 8-K filed December 1, 2014 and incorporated herein by reference).</w:t>
              </w:r>
            </w:hyperlink>
          </w:p>
        </w:tc>
        <w:tc>
          <w:tcPr>
            <w:tcW w:w="5760" w:type="dxa"/>
            <w:vAlign w:val="bottom"/>
            <w:gridSpan w:val="23"/>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10.15</w:t>
            </w:r>
          </w:p>
        </w:tc>
        <w:tc>
          <w:tcPr>
            <w:tcW w:w="10180" w:type="dxa"/>
            <w:vAlign w:val="bottom"/>
            <w:gridSpan w:val="27"/>
          </w:tcPr>
          <w:p>
            <w:pPr>
              <w:spacing w:after="0"/>
              <w:rPr>
                <w:rFonts w:ascii="Arial" w:cs="Arial" w:eastAsia="Arial" w:hAnsi="Arial"/>
                <w:sz w:val="12"/>
                <w:szCs w:val="12"/>
                <w:color w:val="0000FF"/>
              </w:rPr>
            </w:pPr>
            <w:hyperlink r:id="rId51">
              <w:r>
                <w:rPr>
                  <w:rFonts w:ascii="Arial" w:cs="Arial" w:eastAsia="Arial" w:hAnsi="Arial"/>
                  <w:sz w:val="12"/>
                  <w:szCs w:val="12"/>
                  <w:color w:val="0000FF"/>
                </w:rPr>
                <w:t>Intellectual Property License Agreement, dated November 25, 2014, between Occidental Petroleum Corporation and California Resources Corporation (filed as Exhibit 10.7 to Registrant’s</w:t>
              </w:r>
            </w:hyperlink>
          </w:p>
        </w:tc>
      </w:tr>
      <w:tr>
        <w:trPr>
          <w:trHeight w:val="115"/>
        </w:trPr>
        <w:tc>
          <w:tcPr>
            <w:tcW w:w="1260" w:type="dxa"/>
            <w:vAlign w:val="bottom"/>
          </w:tcPr>
          <w:p>
            <w:pPr>
              <w:spacing w:after="0"/>
              <w:rPr>
                <w:sz w:val="10"/>
                <w:szCs w:val="10"/>
                <w:color w:val="auto"/>
              </w:rPr>
            </w:pPr>
          </w:p>
        </w:tc>
        <w:tc>
          <w:tcPr>
            <w:tcW w:w="9900" w:type="dxa"/>
            <w:vAlign w:val="bottom"/>
            <w:tcBorders>
              <w:top w:val="single" w:sz="8" w:color="0000FF"/>
            </w:tcBorders>
            <w:gridSpan w:val="15"/>
          </w:tcPr>
          <w:p>
            <w:pPr>
              <w:spacing w:after="0" w:line="115" w:lineRule="exact"/>
              <w:rPr>
                <w:rFonts w:ascii="Arial" w:cs="Arial" w:eastAsia="Arial" w:hAnsi="Arial"/>
                <w:sz w:val="12"/>
                <w:szCs w:val="12"/>
                <w:color w:val="0000FF"/>
              </w:rPr>
            </w:pPr>
            <w:hyperlink r:id="rId51">
              <w:r>
                <w:rPr>
                  <w:rFonts w:ascii="Arial" w:cs="Arial" w:eastAsia="Arial" w:hAnsi="Arial"/>
                  <w:sz w:val="12"/>
                  <w:szCs w:val="12"/>
                  <w:color w:val="0000FF"/>
                </w:rPr>
                <w:t>Current Report on Form 8-K filed December 1, 2014 and incorporated herein by reference).</w:t>
              </w:r>
            </w:hyperlink>
          </w:p>
        </w:tc>
        <w:tc>
          <w:tcPr>
            <w:tcW w:w="280" w:type="dxa"/>
            <w:vAlign w:val="bottom"/>
            <w:gridSpan w:val="12"/>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10.16</w:t>
            </w:r>
          </w:p>
        </w:tc>
        <w:tc>
          <w:tcPr>
            <w:tcW w:w="10060" w:type="dxa"/>
            <w:vAlign w:val="bottom"/>
            <w:tcBorders>
              <w:bottom w:val="single" w:sz="8" w:color="0000FF"/>
            </w:tcBorders>
            <w:gridSpan w:val="21"/>
          </w:tcPr>
          <w:p>
            <w:pPr>
              <w:spacing w:after="0"/>
              <w:rPr>
                <w:rFonts w:ascii="Arial" w:cs="Arial" w:eastAsia="Arial" w:hAnsi="Arial"/>
                <w:sz w:val="12"/>
                <w:szCs w:val="12"/>
                <w:color w:val="0000FF"/>
              </w:rPr>
            </w:pPr>
            <w:hyperlink r:id="rId52">
              <w:r>
                <w:rPr>
                  <w:rFonts w:ascii="Arial" w:cs="Arial" w:eastAsia="Arial" w:hAnsi="Arial"/>
                  <w:sz w:val="12"/>
                  <w:szCs w:val="12"/>
                  <w:color w:val="0000FF"/>
                </w:rPr>
                <w:t>Area of Mutual Interest Agreement, dated November 25, 2014, between Occidental Petroleum Corporation and California Resources Corporation (filed as Exhibit 10.5 to Registrant’s Current</w:t>
              </w:r>
            </w:hyperlink>
          </w:p>
        </w:tc>
        <w:tc>
          <w:tcPr>
            <w:tcW w:w="120" w:type="dxa"/>
            <w:vAlign w:val="bottom"/>
            <w:gridSpan w:val="6"/>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4420" w:type="dxa"/>
            <w:vAlign w:val="bottom"/>
            <w:tcBorders>
              <w:bottom w:val="single" w:sz="8" w:color="0000FF"/>
            </w:tcBorders>
            <w:gridSpan w:val="4"/>
          </w:tcPr>
          <w:p>
            <w:pPr>
              <w:spacing w:after="0" w:line="115" w:lineRule="exact"/>
              <w:rPr>
                <w:rFonts w:ascii="Arial" w:cs="Arial" w:eastAsia="Arial" w:hAnsi="Arial"/>
                <w:sz w:val="12"/>
                <w:szCs w:val="12"/>
                <w:color w:val="0000FF"/>
                <w:w w:val="99"/>
              </w:rPr>
            </w:pPr>
            <w:hyperlink r:id="rId52">
              <w:r>
                <w:rPr>
                  <w:rFonts w:ascii="Arial" w:cs="Arial" w:eastAsia="Arial" w:hAnsi="Arial"/>
                  <w:sz w:val="12"/>
                  <w:szCs w:val="12"/>
                  <w:color w:val="0000FF"/>
                  <w:w w:val="99"/>
                </w:rPr>
                <w:t>Report on Form 8-K filed December 1, 2014 and incorporated herein by reference).</w:t>
              </w:r>
            </w:hyperlink>
          </w:p>
        </w:tc>
        <w:tc>
          <w:tcPr>
            <w:tcW w:w="5760" w:type="dxa"/>
            <w:vAlign w:val="bottom"/>
            <w:gridSpan w:val="23"/>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10.17</w:t>
            </w:r>
          </w:p>
        </w:tc>
        <w:tc>
          <w:tcPr>
            <w:tcW w:w="10040" w:type="dxa"/>
            <w:vAlign w:val="bottom"/>
            <w:tcBorders>
              <w:bottom w:val="single" w:sz="8" w:color="0000FF"/>
            </w:tcBorders>
            <w:gridSpan w:val="20"/>
          </w:tcPr>
          <w:p>
            <w:pPr>
              <w:spacing w:after="0"/>
              <w:rPr>
                <w:rFonts w:ascii="Arial" w:cs="Arial" w:eastAsia="Arial" w:hAnsi="Arial"/>
                <w:sz w:val="12"/>
                <w:szCs w:val="12"/>
                <w:color w:val="0000FF"/>
                <w:w w:val="99"/>
              </w:rPr>
            </w:pPr>
            <w:hyperlink r:id="rId53">
              <w:r>
                <w:rPr>
                  <w:rFonts w:ascii="Arial" w:cs="Arial" w:eastAsia="Arial" w:hAnsi="Arial"/>
                  <w:sz w:val="12"/>
                  <w:szCs w:val="12"/>
                  <w:color w:val="0000FF"/>
                  <w:w w:val="99"/>
                </w:rPr>
                <w:t>Agreement for Implementation of an Optimized Waterflood Program for the Long Beach Unit, dated November 5, 1991, by and among the State of California, by and through the State Lands</w:t>
              </w:r>
            </w:hyperlink>
          </w:p>
        </w:tc>
        <w:tc>
          <w:tcPr>
            <w:tcW w:w="140" w:type="dxa"/>
            <w:vAlign w:val="bottom"/>
            <w:gridSpan w:val="7"/>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80" w:type="dxa"/>
            <w:vAlign w:val="bottom"/>
            <w:tcBorders>
              <w:bottom w:val="single" w:sz="8" w:color="0000FF"/>
            </w:tcBorders>
            <w:gridSpan w:val="27"/>
          </w:tcPr>
          <w:p>
            <w:pPr>
              <w:spacing w:after="0" w:line="115" w:lineRule="exact"/>
              <w:rPr>
                <w:rFonts w:ascii="Arial" w:cs="Arial" w:eastAsia="Arial" w:hAnsi="Arial"/>
                <w:sz w:val="12"/>
                <w:szCs w:val="12"/>
                <w:color w:val="0000FF"/>
                <w:w w:val="99"/>
              </w:rPr>
            </w:pPr>
            <w:hyperlink r:id="rId53">
              <w:r>
                <w:rPr>
                  <w:rFonts w:ascii="Arial" w:cs="Arial" w:eastAsia="Arial" w:hAnsi="Arial"/>
                  <w:sz w:val="12"/>
                  <w:szCs w:val="12"/>
                  <w:color w:val="0000FF"/>
                  <w:w w:val="99"/>
                </w:rPr>
                <w:t>Commission, the City of Long Beach, Atlantic Richfield Company and ARCO Long Beach, Inc. (filed as Exhibit 10.10 to Amendment No. 2 to the Company's Registration Statement on Form 10</w:t>
              </w:r>
            </w:hyperlink>
          </w:p>
        </w:tc>
      </w:tr>
      <w:tr>
        <w:trPr>
          <w:trHeight w:val="115"/>
        </w:trPr>
        <w:tc>
          <w:tcPr>
            <w:tcW w:w="1260" w:type="dxa"/>
            <w:vAlign w:val="bottom"/>
          </w:tcPr>
          <w:p>
            <w:pPr>
              <w:spacing w:after="0"/>
              <w:rPr>
                <w:sz w:val="10"/>
                <w:szCs w:val="10"/>
                <w:color w:val="auto"/>
              </w:rPr>
            </w:pPr>
          </w:p>
        </w:tc>
        <w:tc>
          <w:tcPr>
            <w:tcW w:w="3240" w:type="dxa"/>
            <w:vAlign w:val="bottom"/>
            <w:tcBorders>
              <w:bottom w:val="single" w:sz="8" w:color="0000FF"/>
            </w:tcBorders>
            <w:gridSpan w:val="2"/>
          </w:tcPr>
          <w:p>
            <w:pPr>
              <w:spacing w:after="0" w:line="115" w:lineRule="exact"/>
              <w:rPr>
                <w:rFonts w:ascii="Arial" w:cs="Arial" w:eastAsia="Arial" w:hAnsi="Arial"/>
                <w:sz w:val="12"/>
                <w:szCs w:val="12"/>
                <w:color w:val="0000FF"/>
                <w:w w:val="99"/>
              </w:rPr>
            </w:pPr>
            <w:hyperlink r:id="rId53">
              <w:r>
                <w:rPr>
                  <w:rFonts w:ascii="Arial" w:cs="Arial" w:eastAsia="Arial" w:hAnsi="Arial"/>
                  <w:sz w:val="12"/>
                  <w:szCs w:val="12"/>
                  <w:color w:val="0000FF"/>
                  <w:w w:val="99"/>
                </w:rPr>
                <w:t>filed August 20, 2014, and incorporated herein by reference).</w:t>
              </w:r>
            </w:hyperlink>
          </w:p>
        </w:tc>
        <w:tc>
          <w:tcPr>
            <w:tcW w:w="6940" w:type="dxa"/>
            <w:vAlign w:val="bottom"/>
            <w:gridSpan w:val="25"/>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10.18</w:t>
            </w:r>
          </w:p>
        </w:tc>
        <w:tc>
          <w:tcPr>
            <w:tcW w:w="10140" w:type="dxa"/>
            <w:vAlign w:val="bottom"/>
            <w:tcBorders>
              <w:bottom w:val="single" w:sz="8" w:color="0000FF"/>
            </w:tcBorders>
            <w:gridSpan w:val="25"/>
          </w:tcPr>
          <w:p>
            <w:pPr>
              <w:spacing w:after="0"/>
              <w:rPr>
                <w:rFonts w:ascii="Arial" w:cs="Arial" w:eastAsia="Arial" w:hAnsi="Arial"/>
                <w:sz w:val="12"/>
                <w:szCs w:val="12"/>
                <w:color w:val="0000FF"/>
              </w:rPr>
            </w:pPr>
            <w:hyperlink r:id="rId54">
              <w:r>
                <w:rPr>
                  <w:rFonts w:ascii="Arial" w:cs="Arial" w:eastAsia="Arial" w:hAnsi="Arial"/>
                  <w:sz w:val="12"/>
                  <w:szCs w:val="12"/>
                  <w:color w:val="0000FF"/>
                </w:rPr>
                <w:t>Amendment to the Agreement for Implementation of an Optimized Waterflood Program for the Long Beach Unit, dated January 16, 2009, by and among the State of California, by and through</w:t>
              </w:r>
            </w:hyperlink>
          </w:p>
        </w:tc>
        <w:tc>
          <w:tcPr>
            <w:tcW w:w="40" w:type="dxa"/>
            <w:vAlign w:val="bottom"/>
            <w:gridSpan w:val="2"/>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80" w:type="dxa"/>
            <w:vAlign w:val="bottom"/>
            <w:gridSpan w:val="27"/>
          </w:tcPr>
          <w:p>
            <w:pPr>
              <w:spacing w:after="0" w:line="115" w:lineRule="exact"/>
              <w:rPr>
                <w:rFonts w:ascii="Arial" w:cs="Arial" w:eastAsia="Arial" w:hAnsi="Arial"/>
                <w:sz w:val="12"/>
                <w:szCs w:val="12"/>
                <w:color w:val="0000FF"/>
              </w:rPr>
            </w:pPr>
            <w:hyperlink r:id="rId54">
              <w:r>
                <w:rPr>
                  <w:rFonts w:ascii="Arial" w:cs="Arial" w:eastAsia="Arial" w:hAnsi="Arial"/>
                  <w:sz w:val="12"/>
                  <w:szCs w:val="12"/>
                  <w:color w:val="0000FF"/>
                </w:rPr>
                <w:t>the State Lands Commission, the City of Long Beach, and Oxy Long Beach, Inc. (filed as Exhibit 10.11 to Amendment No. 2 to the Company's Registration Statement on Form 10 filed August</w:t>
              </w:r>
            </w:hyperlink>
          </w:p>
        </w:tc>
      </w:tr>
      <w:tr>
        <w:trPr>
          <w:trHeight w:val="115"/>
        </w:trPr>
        <w:tc>
          <w:tcPr>
            <w:tcW w:w="1260" w:type="dxa"/>
            <w:vAlign w:val="bottom"/>
          </w:tcPr>
          <w:p>
            <w:pPr>
              <w:spacing w:after="0"/>
              <w:rPr>
                <w:sz w:val="10"/>
                <w:szCs w:val="10"/>
                <w:color w:val="auto"/>
              </w:rPr>
            </w:pPr>
          </w:p>
        </w:tc>
        <w:tc>
          <w:tcPr>
            <w:tcW w:w="2580" w:type="dxa"/>
            <w:vAlign w:val="bottom"/>
            <w:tcBorders>
              <w:top w:val="single" w:sz="8" w:color="0000FF"/>
              <w:bottom w:val="single" w:sz="8" w:color="0000FF"/>
            </w:tcBorders>
          </w:tcPr>
          <w:p>
            <w:pPr>
              <w:spacing w:after="0" w:line="115" w:lineRule="exact"/>
              <w:rPr>
                <w:rFonts w:ascii="Arial" w:cs="Arial" w:eastAsia="Arial" w:hAnsi="Arial"/>
                <w:sz w:val="12"/>
                <w:szCs w:val="12"/>
                <w:color w:val="0000FF"/>
                <w:w w:val="99"/>
              </w:rPr>
            </w:pPr>
            <w:hyperlink r:id="rId54">
              <w:r>
                <w:rPr>
                  <w:rFonts w:ascii="Arial" w:cs="Arial" w:eastAsia="Arial" w:hAnsi="Arial"/>
                  <w:sz w:val="12"/>
                  <w:szCs w:val="12"/>
                  <w:color w:val="0000FF"/>
                  <w:w w:val="99"/>
                </w:rPr>
                <w:t>20, 2014, and incorporated herein by reference).</w:t>
              </w:r>
            </w:hyperlink>
          </w:p>
        </w:tc>
        <w:tc>
          <w:tcPr>
            <w:tcW w:w="7520" w:type="dxa"/>
            <w:vAlign w:val="bottom"/>
            <w:tcBorders>
              <w:top w:val="single" w:sz="8" w:color="0000FF"/>
            </w:tcBorders>
            <w:gridSpan w:val="22"/>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10.19</w:t>
            </w:r>
          </w:p>
        </w:tc>
        <w:tc>
          <w:tcPr>
            <w:tcW w:w="9980" w:type="dxa"/>
            <w:vAlign w:val="bottom"/>
            <w:tcBorders>
              <w:bottom w:val="single" w:sz="8" w:color="0000FF"/>
            </w:tcBorders>
            <w:gridSpan w:val="18"/>
          </w:tcPr>
          <w:p>
            <w:pPr>
              <w:spacing w:after="0"/>
              <w:rPr>
                <w:rFonts w:ascii="Arial" w:cs="Arial" w:eastAsia="Arial" w:hAnsi="Arial"/>
                <w:sz w:val="12"/>
                <w:szCs w:val="12"/>
                <w:color w:val="0000FF"/>
                <w:w w:val="99"/>
              </w:rPr>
            </w:pPr>
            <w:hyperlink r:id="rId55">
              <w:r>
                <w:rPr>
                  <w:rFonts w:ascii="Arial" w:cs="Arial" w:eastAsia="Arial" w:hAnsi="Arial"/>
                  <w:sz w:val="12"/>
                  <w:szCs w:val="12"/>
                  <w:color w:val="0000FF"/>
                  <w:w w:val="99"/>
                </w:rPr>
                <w:t>Contractors' Agreement, by and between the City of Long Beach, Humble Oil &amp; Refining Company, Shell Oil Company, Socony Mobil Oil Company, Inc., Texaco, Inc., Union Oil Company of</w:t>
              </w:r>
            </w:hyperlink>
          </w:p>
        </w:tc>
        <w:tc>
          <w:tcPr>
            <w:tcW w:w="200" w:type="dxa"/>
            <w:vAlign w:val="bottom"/>
            <w:gridSpan w:val="9"/>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40" w:type="dxa"/>
            <w:vAlign w:val="bottom"/>
            <w:tcBorders>
              <w:bottom w:val="single" w:sz="8" w:color="0000FF"/>
            </w:tcBorders>
            <w:gridSpan w:val="25"/>
          </w:tcPr>
          <w:p>
            <w:pPr>
              <w:spacing w:after="0" w:line="115" w:lineRule="exact"/>
              <w:rPr>
                <w:rFonts w:ascii="Arial" w:cs="Arial" w:eastAsia="Arial" w:hAnsi="Arial"/>
                <w:sz w:val="12"/>
                <w:szCs w:val="12"/>
                <w:color w:val="0000FF"/>
                <w:w w:val="99"/>
              </w:rPr>
            </w:pPr>
            <w:hyperlink r:id="rId55">
              <w:r>
                <w:rPr>
                  <w:rFonts w:ascii="Arial" w:cs="Arial" w:eastAsia="Arial" w:hAnsi="Arial"/>
                  <w:sz w:val="12"/>
                  <w:szCs w:val="12"/>
                  <w:color w:val="0000FF"/>
                  <w:w w:val="99"/>
                </w:rPr>
                <w:t>California, Pauley Petroleum, Inc., Allied Chemical Corporation, Richfield Oil Corporation and Standard Oil Company of California (filed as Exhibit 10.12 to Amendment No. 2 to the Company's</w:t>
              </w:r>
            </w:hyperlink>
          </w:p>
        </w:tc>
        <w:tc>
          <w:tcPr>
            <w:tcW w:w="40" w:type="dxa"/>
            <w:vAlign w:val="bottom"/>
            <w:gridSpan w:val="2"/>
          </w:tcPr>
          <w:p>
            <w:pPr>
              <w:spacing w:after="0"/>
              <w:rPr>
                <w:sz w:val="10"/>
                <w:szCs w:val="10"/>
                <w:color w:val="auto"/>
              </w:rPr>
            </w:pPr>
          </w:p>
        </w:tc>
      </w:tr>
      <w:tr>
        <w:trPr>
          <w:trHeight w:val="115"/>
        </w:trPr>
        <w:tc>
          <w:tcPr>
            <w:tcW w:w="1260" w:type="dxa"/>
            <w:vAlign w:val="bottom"/>
          </w:tcPr>
          <w:p>
            <w:pPr>
              <w:spacing w:after="0"/>
              <w:rPr>
                <w:sz w:val="10"/>
                <w:szCs w:val="10"/>
                <w:color w:val="auto"/>
              </w:rPr>
            </w:pPr>
          </w:p>
        </w:tc>
        <w:tc>
          <w:tcPr>
            <w:tcW w:w="5140" w:type="dxa"/>
            <w:vAlign w:val="bottom"/>
            <w:tcBorders>
              <w:bottom w:val="single" w:sz="8" w:color="0000FF"/>
            </w:tcBorders>
            <w:gridSpan w:val="7"/>
          </w:tcPr>
          <w:p>
            <w:pPr>
              <w:spacing w:after="0" w:line="115" w:lineRule="exact"/>
              <w:rPr>
                <w:rFonts w:ascii="Arial" w:cs="Arial" w:eastAsia="Arial" w:hAnsi="Arial"/>
                <w:sz w:val="12"/>
                <w:szCs w:val="12"/>
                <w:color w:val="0000FF"/>
                <w:w w:val="99"/>
              </w:rPr>
            </w:pPr>
            <w:hyperlink r:id="rId55">
              <w:r>
                <w:rPr>
                  <w:rFonts w:ascii="Arial" w:cs="Arial" w:eastAsia="Arial" w:hAnsi="Arial"/>
                  <w:sz w:val="12"/>
                  <w:szCs w:val="12"/>
                  <w:color w:val="0000FF"/>
                  <w:w w:val="99"/>
                </w:rPr>
                <w:t>Registration Statement on Form 10 filed August 20, 2014, and incorporated herein by reference).</w:t>
              </w:r>
            </w:hyperlink>
          </w:p>
        </w:tc>
        <w:tc>
          <w:tcPr>
            <w:tcW w:w="5040" w:type="dxa"/>
            <w:vAlign w:val="bottom"/>
            <w:gridSpan w:val="20"/>
          </w:tcPr>
          <w:p>
            <w:pPr>
              <w:spacing w:after="0"/>
              <w:rPr>
                <w:sz w:val="10"/>
                <w:szCs w:val="10"/>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10.20</w:t>
            </w:r>
          </w:p>
        </w:tc>
        <w:tc>
          <w:tcPr>
            <w:tcW w:w="10120" w:type="dxa"/>
            <w:vAlign w:val="bottom"/>
            <w:tcBorders>
              <w:bottom w:val="single" w:sz="8" w:color="0000FF"/>
            </w:tcBorders>
            <w:gridSpan w:val="24"/>
          </w:tcPr>
          <w:p>
            <w:pPr>
              <w:spacing w:after="0"/>
              <w:rPr>
                <w:rFonts w:ascii="Arial" w:cs="Arial" w:eastAsia="Arial" w:hAnsi="Arial"/>
                <w:sz w:val="12"/>
                <w:szCs w:val="12"/>
                <w:color w:val="0000FF"/>
                <w:w w:val="99"/>
              </w:rPr>
            </w:pPr>
            <w:hyperlink r:id="rId56">
              <w:r>
                <w:rPr>
                  <w:rFonts w:ascii="Arial" w:cs="Arial" w:eastAsia="Arial" w:hAnsi="Arial"/>
                  <w:sz w:val="12"/>
                  <w:szCs w:val="12"/>
                  <w:color w:val="0000FF"/>
                  <w:w w:val="99"/>
                </w:rPr>
                <w:t>Confidentiality and Trade Secret Protection Agreement, dated November 25, 2014, by and between Occidental Petroleum Corporation and California Resources Corporation, dated November</w:t>
              </w:r>
            </w:hyperlink>
          </w:p>
        </w:tc>
        <w:tc>
          <w:tcPr>
            <w:tcW w:w="60" w:type="dxa"/>
            <w:vAlign w:val="bottom"/>
            <w:gridSpan w:val="3"/>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80" w:type="dxa"/>
            <w:vAlign w:val="bottom"/>
            <w:gridSpan w:val="27"/>
          </w:tcPr>
          <w:p>
            <w:pPr>
              <w:spacing w:after="0" w:line="115" w:lineRule="exact"/>
              <w:rPr>
                <w:rFonts w:ascii="Arial" w:cs="Arial" w:eastAsia="Arial" w:hAnsi="Arial"/>
                <w:sz w:val="12"/>
                <w:szCs w:val="12"/>
                <w:color w:val="0000FF"/>
              </w:rPr>
            </w:pPr>
            <w:hyperlink r:id="rId56">
              <w:r>
                <w:rPr>
                  <w:rFonts w:ascii="Arial" w:cs="Arial" w:eastAsia="Arial" w:hAnsi="Arial"/>
                  <w:sz w:val="12"/>
                  <w:szCs w:val="12"/>
                  <w:color w:val="0000FF"/>
                </w:rPr>
                <w:t>24, 2014 (filed as Exhibit 10.6 to the Company's Current Report on Form 8-K filed on December 1, 2014, and incorporated herein by reference).</w:t>
              </w:r>
            </w:hyperlink>
          </w:p>
        </w:tc>
      </w:tr>
      <w:tr>
        <w:trPr>
          <w:trHeight w:val="20"/>
        </w:trPr>
        <w:tc>
          <w:tcPr>
            <w:tcW w:w="1260" w:type="dxa"/>
            <w:vAlign w:val="bottom"/>
          </w:tcPr>
          <w:p>
            <w:pPr>
              <w:spacing w:after="0" w:line="20" w:lineRule="exact"/>
              <w:rPr>
                <w:sz w:val="1"/>
                <w:szCs w:val="1"/>
                <w:color w:val="auto"/>
              </w:rPr>
            </w:pPr>
          </w:p>
        </w:tc>
        <w:tc>
          <w:tcPr>
            <w:tcW w:w="7620" w:type="dxa"/>
            <w:vAlign w:val="bottom"/>
            <w:gridSpan w:val="8"/>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10.21</w:t>
            </w:r>
          </w:p>
        </w:tc>
        <w:tc>
          <w:tcPr>
            <w:tcW w:w="10180" w:type="dxa"/>
            <w:vAlign w:val="bottom"/>
            <w:gridSpan w:val="27"/>
          </w:tcPr>
          <w:p>
            <w:pPr>
              <w:spacing w:after="0"/>
              <w:rPr>
                <w:rFonts w:ascii="Arial" w:cs="Arial" w:eastAsia="Arial" w:hAnsi="Arial"/>
                <w:sz w:val="12"/>
                <w:szCs w:val="12"/>
                <w:color w:val="0000FF"/>
              </w:rPr>
            </w:pPr>
            <w:hyperlink r:id="rId57">
              <w:r>
                <w:rPr>
                  <w:rFonts w:ascii="Arial" w:cs="Arial" w:eastAsia="Arial" w:hAnsi="Arial"/>
                  <w:sz w:val="12"/>
                  <w:szCs w:val="12"/>
                  <w:color w:val="0000FF"/>
                </w:rPr>
                <w:t>Second Amended and Restated Limited Liability Company Agreement of Elk Hills Power, LLC, dated as of February 7, 2018, by and among Elk Hills Power, LLC, California Resources Elk</w:t>
              </w:r>
            </w:hyperlink>
          </w:p>
        </w:tc>
      </w:tr>
      <w:tr>
        <w:trPr>
          <w:trHeight w:val="115"/>
        </w:trPr>
        <w:tc>
          <w:tcPr>
            <w:tcW w:w="1260" w:type="dxa"/>
            <w:vAlign w:val="bottom"/>
          </w:tcPr>
          <w:p>
            <w:pPr>
              <w:spacing w:after="0"/>
              <w:rPr>
                <w:sz w:val="10"/>
                <w:szCs w:val="10"/>
                <w:color w:val="auto"/>
              </w:rPr>
            </w:pPr>
          </w:p>
        </w:tc>
        <w:tc>
          <w:tcPr>
            <w:tcW w:w="9900" w:type="dxa"/>
            <w:vAlign w:val="bottom"/>
            <w:tcBorders>
              <w:top w:val="single" w:sz="8" w:color="0000FF"/>
            </w:tcBorders>
            <w:gridSpan w:val="15"/>
          </w:tcPr>
          <w:p>
            <w:pPr>
              <w:spacing w:after="0" w:line="115" w:lineRule="exact"/>
              <w:rPr>
                <w:rFonts w:ascii="Arial" w:cs="Arial" w:eastAsia="Arial" w:hAnsi="Arial"/>
                <w:sz w:val="12"/>
                <w:szCs w:val="12"/>
                <w:color w:val="0000FF"/>
              </w:rPr>
            </w:pPr>
            <w:hyperlink r:id="rId57">
              <w:r>
                <w:rPr>
                  <w:rFonts w:ascii="Arial" w:cs="Arial" w:eastAsia="Arial" w:hAnsi="Arial"/>
                  <w:sz w:val="12"/>
                  <w:szCs w:val="12"/>
                  <w:color w:val="0000FF"/>
                </w:rPr>
                <w:t>Hills, LLC and ECR Corporate Holdings L.P. (filed as Exhibit 10.1 to the Company’s Current Report on Form 8-K filed on February 7, 2018, and incorporated herein by reference).</w:t>
              </w:r>
            </w:hyperlink>
          </w:p>
        </w:tc>
        <w:tc>
          <w:tcPr>
            <w:tcW w:w="280" w:type="dxa"/>
            <w:vAlign w:val="bottom"/>
            <w:gridSpan w:val="12"/>
          </w:tcPr>
          <w:p>
            <w:pPr>
              <w:spacing w:after="0"/>
              <w:rPr>
                <w:sz w:val="10"/>
                <w:szCs w:val="10"/>
                <w:color w:val="auto"/>
              </w:rPr>
            </w:pPr>
          </w:p>
        </w:tc>
      </w:tr>
      <w:tr>
        <w:trPr>
          <w:trHeight w:val="403"/>
        </w:trPr>
        <w:tc>
          <w:tcPr>
            <w:tcW w:w="1260" w:type="dxa"/>
            <w:vAlign w:val="bottom"/>
          </w:tcPr>
          <w:p>
            <w:pPr>
              <w:spacing w:after="0"/>
              <w:rPr>
                <w:sz w:val="24"/>
                <w:szCs w:val="24"/>
                <w:color w:val="auto"/>
              </w:rPr>
            </w:pPr>
          </w:p>
        </w:tc>
        <w:tc>
          <w:tcPr>
            <w:tcW w:w="4840" w:type="dxa"/>
            <w:vAlign w:val="bottom"/>
            <w:tcBorders>
              <w:top w:val="single" w:sz="8" w:color="0000FF"/>
            </w:tcBorders>
            <w:gridSpan w:val="6"/>
          </w:tcPr>
          <w:p>
            <w:pPr>
              <w:ind w:left="4360"/>
              <w:spacing w:after="0"/>
              <w:rPr>
                <w:sz w:val="20"/>
                <w:szCs w:val="20"/>
                <w:color w:val="auto"/>
              </w:rPr>
            </w:pPr>
            <w:r>
              <w:rPr>
                <w:rFonts w:ascii="Arial" w:cs="Arial" w:eastAsia="Arial" w:hAnsi="Arial"/>
                <w:sz w:val="12"/>
                <w:szCs w:val="12"/>
                <w:color w:val="auto"/>
              </w:rPr>
              <w:t>127</w:t>
            </w:r>
          </w:p>
        </w:tc>
        <w:tc>
          <w:tcPr>
            <w:tcW w:w="300" w:type="dxa"/>
            <w:vAlign w:val="bottom"/>
            <w:tcBorders>
              <w:top w:val="single" w:sz="8" w:color="0000FF"/>
            </w:tcBorders>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389" w:right="21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10.22</w:t>
            </w:r>
          </w:p>
        </w:tc>
        <w:tc>
          <w:tcPr>
            <w:tcW w:w="10100" w:type="dxa"/>
            <w:vAlign w:val="bottom"/>
            <w:tcBorders>
              <w:bottom w:val="single" w:sz="8" w:color="0000FF"/>
            </w:tcBorders>
            <w:gridSpan w:val="20"/>
          </w:tcPr>
          <w:p>
            <w:pPr>
              <w:spacing w:after="0"/>
              <w:rPr>
                <w:rFonts w:ascii="Arial" w:cs="Arial" w:eastAsia="Arial" w:hAnsi="Arial"/>
                <w:sz w:val="12"/>
                <w:szCs w:val="12"/>
                <w:color w:val="0000FF"/>
                <w:w w:val="99"/>
              </w:rPr>
            </w:pPr>
            <w:hyperlink r:id="rId58">
              <w:r>
                <w:rPr>
                  <w:rFonts w:ascii="Arial" w:cs="Arial" w:eastAsia="Arial" w:hAnsi="Arial"/>
                  <w:sz w:val="12"/>
                  <w:szCs w:val="12"/>
                  <w:color w:val="0000FF"/>
                  <w:w w:val="99"/>
                </w:rPr>
                <w:t>Commercial Agreement, dated as of February 7, 2018, by and between Elk Hills Power, LLC and California Resources Elk Hills, LLC (filed as Exhibit 10.2 to the Company’s Current Report on</w:t>
              </w:r>
            </w:hyperlink>
          </w:p>
        </w:tc>
        <w:tc>
          <w:tcPr>
            <w:tcW w:w="60" w:type="dxa"/>
            <w:vAlign w:val="bottom"/>
            <w:gridSpan w:val="3"/>
          </w:tcPr>
          <w:p>
            <w:pPr>
              <w:spacing w:after="0"/>
              <w:rPr>
                <w:sz w:val="12"/>
                <w:szCs w:val="12"/>
                <w:color w:val="auto"/>
              </w:rPr>
            </w:pPr>
          </w:p>
        </w:tc>
      </w:tr>
      <w:tr>
        <w:trPr>
          <w:trHeight w:val="115"/>
        </w:trPr>
        <w:tc>
          <w:tcPr>
            <w:tcW w:w="1260" w:type="dxa"/>
            <w:vAlign w:val="bottom"/>
          </w:tcPr>
          <w:p>
            <w:pPr>
              <w:spacing w:after="0"/>
              <w:rPr>
                <w:sz w:val="10"/>
                <w:szCs w:val="10"/>
                <w:color w:val="auto"/>
              </w:rPr>
            </w:pPr>
          </w:p>
        </w:tc>
        <w:tc>
          <w:tcPr>
            <w:tcW w:w="3980" w:type="dxa"/>
            <w:vAlign w:val="bottom"/>
            <w:tcBorders>
              <w:bottom w:val="single" w:sz="8" w:color="0000FF"/>
            </w:tcBorders>
            <w:gridSpan w:val="7"/>
          </w:tcPr>
          <w:p>
            <w:pPr>
              <w:spacing w:after="0" w:line="115" w:lineRule="exact"/>
              <w:rPr>
                <w:rFonts w:ascii="Arial" w:cs="Arial" w:eastAsia="Arial" w:hAnsi="Arial"/>
                <w:sz w:val="12"/>
                <w:szCs w:val="12"/>
                <w:color w:val="0000FF"/>
                <w:w w:val="99"/>
              </w:rPr>
            </w:pPr>
            <w:hyperlink r:id="rId58">
              <w:r>
                <w:rPr>
                  <w:rFonts w:ascii="Arial" w:cs="Arial" w:eastAsia="Arial" w:hAnsi="Arial"/>
                  <w:sz w:val="12"/>
                  <w:szCs w:val="12"/>
                  <w:color w:val="0000FF"/>
                  <w:w w:val="99"/>
                </w:rPr>
                <w:t>Form 8-K filed on February 7, 2018, and incorporated herein by reference).</w:t>
              </w:r>
            </w:hyperlink>
          </w:p>
        </w:tc>
        <w:tc>
          <w:tcPr>
            <w:tcW w:w="6180" w:type="dxa"/>
            <w:vAlign w:val="bottom"/>
            <w:gridSpan w:val="16"/>
          </w:tcPr>
          <w:p>
            <w:pPr>
              <w:spacing w:after="0"/>
              <w:rPr>
                <w:sz w:val="10"/>
                <w:szCs w:val="1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10.23</w:t>
            </w:r>
          </w:p>
        </w:tc>
        <w:tc>
          <w:tcPr>
            <w:tcW w:w="10160" w:type="dxa"/>
            <w:vAlign w:val="bottom"/>
            <w:tcBorders>
              <w:bottom w:val="single" w:sz="8" w:color="0000FF"/>
            </w:tcBorders>
            <w:gridSpan w:val="23"/>
          </w:tcPr>
          <w:p>
            <w:pPr>
              <w:spacing w:after="0"/>
              <w:rPr>
                <w:rFonts w:ascii="Arial" w:cs="Arial" w:eastAsia="Arial" w:hAnsi="Arial"/>
                <w:sz w:val="12"/>
                <w:szCs w:val="12"/>
                <w:color w:val="0000FF"/>
                <w:w w:val="99"/>
              </w:rPr>
            </w:pPr>
            <w:hyperlink r:id="rId59">
              <w:r>
                <w:rPr>
                  <w:rFonts w:ascii="Arial" w:cs="Arial" w:eastAsia="Arial" w:hAnsi="Arial"/>
                  <w:sz w:val="12"/>
                  <w:szCs w:val="12"/>
                  <w:color w:val="0000FF"/>
                  <w:w w:val="99"/>
                </w:rPr>
                <w:t>Master Services Agreement, dated as of February 7, 2018, by and between Elk Hills Power, LLC and California Resources Elk Hills, LLC (filed as Exhibit 10.3 to the Company’s Current Report</w:t>
              </w:r>
            </w:hyperlink>
          </w:p>
        </w:tc>
      </w:tr>
      <w:tr>
        <w:trPr>
          <w:trHeight w:val="115"/>
        </w:trPr>
        <w:tc>
          <w:tcPr>
            <w:tcW w:w="1260" w:type="dxa"/>
            <w:vAlign w:val="bottom"/>
          </w:tcPr>
          <w:p>
            <w:pPr>
              <w:spacing w:after="0"/>
              <w:rPr>
                <w:sz w:val="10"/>
                <w:szCs w:val="10"/>
                <w:color w:val="auto"/>
              </w:rPr>
            </w:pPr>
          </w:p>
        </w:tc>
        <w:tc>
          <w:tcPr>
            <w:tcW w:w="10160" w:type="dxa"/>
            <w:vAlign w:val="bottom"/>
            <w:gridSpan w:val="23"/>
          </w:tcPr>
          <w:p>
            <w:pPr>
              <w:spacing w:after="0" w:line="115" w:lineRule="exact"/>
              <w:rPr>
                <w:rFonts w:ascii="Arial" w:cs="Arial" w:eastAsia="Arial" w:hAnsi="Arial"/>
                <w:sz w:val="12"/>
                <w:szCs w:val="12"/>
                <w:color w:val="0000FF"/>
              </w:rPr>
            </w:pPr>
            <w:hyperlink r:id="rId59">
              <w:r>
                <w:rPr>
                  <w:rFonts w:ascii="Arial" w:cs="Arial" w:eastAsia="Arial" w:hAnsi="Arial"/>
                  <w:sz w:val="12"/>
                  <w:szCs w:val="12"/>
                  <w:color w:val="0000FF"/>
                </w:rPr>
                <w:t>on Form 8-K filed on February 7, 2018, and incorporated herein by reference).</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10.24</w:t>
            </w:r>
          </w:p>
        </w:tc>
        <w:tc>
          <w:tcPr>
            <w:tcW w:w="10160" w:type="dxa"/>
            <w:vAlign w:val="bottom"/>
            <w:gridSpan w:val="23"/>
          </w:tcPr>
          <w:p>
            <w:pPr>
              <w:spacing w:after="0"/>
              <w:rPr>
                <w:rFonts w:ascii="Arial" w:cs="Arial" w:eastAsia="Arial" w:hAnsi="Arial"/>
                <w:sz w:val="12"/>
                <w:szCs w:val="12"/>
                <w:color w:val="0000FF"/>
              </w:rPr>
            </w:pPr>
            <w:hyperlink r:id="rId60">
              <w:r>
                <w:rPr>
                  <w:rFonts w:ascii="Arial" w:cs="Arial" w:eastAsia="Arial" w:hAnsi="Arial"/>
                  <w:sz w:val="12"/>
                  <w:szCs w:val="12"/>
                  <w:color w:val="0000FF"/>
                </w:rPr>
                <w:t>Form of Stock Purchase Agreement, dated as of February 7, 2018 (filed as Exhibit 10.4 to the Company’s Current Report on Form 8-K filed on February 7, 2018, and incorporated herein by</w:t>
              </w:r>
            </w:hyperlink>
          </w:p>
        </w:tc>
      </w:tr>
      <w:tr>
        <w:trPr>
          <w:trHeight w:val="115"/>
        </w:trPr>
        <w:tc>
          <w:tcPr>
            <w:tcW w:w="1260" w:type="dxa"/>
            <w:vAlign w:val="bottom"/>
          </w:tcPr>
          <w:p>
            <w:pPr>
              <w:spacing w:after="0"/>
              <w:rPr>
                <w:sz w:val="10"/>
                <w:szCs w:val="10"/>
                <w:color w:val="auto"/>
              </w:rPr>
            </w:pPr>
          </w:p>
        </w:tc>
        <w:tc>
          <w:tcPr>
            <w:tcW w:w="600" w:type="dxa"/>
            <w:vAlign w:val="bottom"/>
            <w:tcBorders>
              <w:top w:val="single" w:sz="8" w:color="0000FF"/>
              <w:bottom w:val="single" w:sz="8" w:color="0000FF"/>
            </w:tcBorders>
            <w:gridSpan w:val="2"/>
          </w:tcPr>
          <w:p>
            <w:pPr>
              <w:spacing w:after="0" w:line="115" w:lineRule="exact"/>
              <w:rPr>
                <w:rFonts w:ascii="Arial" w:cs="Arial" w:eastAsia="Arial" w:hAnsi="Arial"/>
                <w:sz w:val="12"/>
                <w:szCs w:val="12"/>
                <w:color w:val="0000FF"/>
                <w:w w:val="99"/>
              </w:rPr>
            </w:pPr>
            <w:hyperlink r:id="rId60">
              <w:r>
                <w:rPr>
                  <w:rFonts w:ascii="Arial" w:cs="Arial" w:eastAsia="Arial" w:hAnsi="Arial"/>
                  <w:sz w:val="12"/>
                  <w:szCs w:val="12"/>
                  <w:color w:val="0000FF"/>
                  <w:w w:val="99"/>
                </w:rPr>
                <w:t>reference).</w:t>
              </w:r>
            </w:hyperlink>
          </w:p>
        </w:tc>
        <w:tc>
          <w:tcPr>
            <w:tcW w:w="9380" w:type="dxa"/>
            <w:vAlign w:val="bottom"/>
            <w:tcBorders>
              <w:top w:val="single" w:sz="8" w:color="0000FF"/>
            </w:tcBorders>
            <w:gridSpan w:val="14"/>
          </w:tcPr>
          <w:p>
            <w:pPr>
              <w:spacing w:after="0"/>
              <w:rPr>
                <w:sz w:val="10"/>
                <w:szCs w:val="10"/>
                <w:color w:val="auto"/>
              </w:rPr>
            </w:pPr>
          </w:p>
        </w:tc>
        <w:tc>
          <w:tcPr>
            <w:tcW w:w="180" w:type="dxa"/>
            <w:vAlign w:val="bottom"/>
            <w:gridSpan w:val="7"/>
          </w:tcPr>
          <w:p>
            <w:pPr>
              <w:spacing w:after="0"/>
              <w:rPr>
                <w:sz w:val="10"/>
                <w:szCs w:val="1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10.25</w:t>
            </w:r>
          </w:p>
        </w:tc>
        <w:tc>
          <w:tcPr>
            <w:tcW w:w="10160" w:type="dxa"/>
            <w:vAlign w:val="bottom"/>
            <w:gridSpan w:val="23"/>
          </w:tcPr>
          <w:p>
            <w:pPr>
              <w:spacing w:after="0"/>
              <w:rPr>
                <w:rFonts w:ascii="Arial" w:cs="Arial" w:eastAsia="Arial" w:hAnsi="Arial"/>
                <w:sz w:val="12"/>
                <w:szCs w:val="12"/>
                <w:color w:val="0000FF"/>
              </w:rPr>
            </w:pPr>
            <w:hyperlink r:id="rId61">
              <w:r>
                <w:rPr>
                  <w:rFonts w:ascii="Arial" w:cs="Arial" w:eastAsia="Arial" w:hAnsi="Arial"/>
                  <w:sz w:val="12"/>
                  <w:szCs w:val="12"/>
                  <w:color w:val="0000FF"/>
                </w:rPr>
                <w:t>Registration Rights Agreement, dated as of February 7, 2018, by and between California Resources Corporation and the purchasers named therein (filed as Exhibit 10.5 to the Company’s</w:t>
              </w:r>
            </w:hyperlink>
          </w:p>
        </w:tc>
      </w:tr>
      <w:tr>
        <w:trPr>
          <w:trHeight w:val="115"/>
        </w:trPr>
        <w:tc>
          <w:tcPr>
            <w:tcW w:w="1260" w:type="dxa"/>
            <w:vAlign w:val="bottom"/>
          </w:tcPr>
          <w:p>
            <w:pPr>
              <w:spacing w:after="0"/>
              <w:rPr>
                <w:sz w:val="10"/>
                <w:szCs w:val="10"/>
                <w:color w:val="auto"/>
              </w:rPr>
            </w:pPr>
          </w:p>
        </w:tc>
        <w:tc>
          <w:tcPr>
            <w:tcW w:w="4980" w:type="dxa"/>
            <w:vAlign w:val="bottom"/>
            <w:tcBorders>
              <w:top w:val="single" w:sz="8" w:color="0000FF"/>
              <w:bottom w:val="single" w:sz="8" w:color="0000FF"/>
            </w:tcBorders>
            <w:gridSpan w:val="9"/>
          </w:tcPr>
          <w:p>
            <w:pPr>
              <w:spacing w:after="0" w:line="115" w:lineRule="exact"/>
              <w:rPr>
                <w:rFonts w:ascii="Arial" w:cs="Arial" w:eastAsia="Arial" w:hAnsi="Arial"/>
                <w:sz w:val="12"/>
                <w:szCs w:val="12"/>
                <w:color w:val="0000FF"/>
                <w:w w:val="99"/>
              </w:rPr>
            </w:pPr>
            <w:hyperlink r:id="rId61">
              <w:r>
                <w:rPr>
                  <w:rFonts w:ascii="Arial" w:cs="Arial" w:eastAsia="Arial" w:hAnsi="Arial"/>
                  <w:sz w:val="12"/>
                  <w:szCs w:val="12"/>
                  <w:color w:val="0000FF"/>
                  <w:w w:val="99"/>
                </w:rPr>
                <w:t>Current Report on Form 8-K filed on February 7, 2018, and incorporated herein by reference).</w:t>
              </w:r>
            </w:hyperlink>
          </w:p>
        </w:tc>
        <w:tc>
          <w:tcPr>
            <w:tcW w:w="4920" w:type="dxa"/>
            <w:vAlign w:val="bottom"/>
            <w:tcBorders>
              <w:top w:val="single" w:sz="8" w:color="0000FF"/>
            </w:tcBorders>
            <w:gridSpan w:val="5"/>
          </w:tcPr>
          <w:p>
            <w:pPr>
              <w:spacing w:after="0"/>
              <w:rPr>
                <w:sz w:val="10"/>
                <w:szCs w:val="10"/>
                <w:color w:val="auto"/>
              </w:rPr>
            </w:pPr>
          </w:p>
        </w:tc>
        <w:tc>
          <w:tcPr>
            <w:tcW w:w="260" w:type="dxa"/>
            <w:vAlign w:val="bottom"/>
            <w:gridSpan w:val="9"/>
          </w:tcPr>
          <w:p>
            <w:pPr>
              <w:spacing w:after="0"/>
              <w:rPr>
                <w:sz w:val="10"/>
                <w:szCs w:val="10"/>
                <w:color w:val="auto"/>
              </w:rPr>
            </w:pPr>
          </w:p>
        </w:tc>
      </w:tr>
      <w:tr>
        <w:trPr>
          <w:trHeight w:val="250"/>
        </w:trPr>
        <w:tc>
          <w:tcPr>
            <w:tcW w:w="1260" w:type="dxa"/>
            <w:vAlign w:val="bottom"/>
          </w:tcPr>
          <w:p>
            <w:pPr>
              <w:spacing w:after="0"/>
              <w:rPr>
                <w:sz w:val="21"/>
                <w:szCs w:val="21"/>
                <w:color w:val="auto"/>
              </w:rPr>
            </w:pPr>
          </w:p>
        </w:tc>
        <w:tc>
          <w:tcPr>
            <w:tcW w:w="10160" w:type="dxa"/>
            <w:vAlign w:val="bottom"/>
            <w:gridSpan w:val="23"/>
          </w:tcPr>
          <w:p>
            <w:pPr>
              <w:spacing w:after="0"/>
              <w:rPr>
                <w:sz w:val="20"/>
                <w:szCs w:val="20"/>
                <w:color w:val="auto"/>
              </w:rPr>
            </w:pPr>
            <w:r>
              <w:rPr>
                <w:rFonts w:ascii="Arial" w:cs="Arial" w:eastAsia="Arial" w:hAnsi="Arial"/>
                <w:sz w:val="12"/>
                <w:szCs w:val="12"/>
                <w:color w:val="auto"/>
              </w:rPr>
              <w:t>The following are management contracts and compensatory plans required to be identified specifically as responsive to Item 601(b)(10)(iii)(A) of Regulation S-K pursuant to Item 15(b) of Form</w:t>
            </w:r>
          </w:p>
        </w:tc>
      </w:tr>
      <w:tr>
        <w:trPr>
          <w:trHeight w:val="145"/>
        </w:trPr>
        <w:tc>
          <w:tcPr>
            <w:tcW w:w="1260" w:type="dxa"/>
            <w:vAlign w:val="bottom"/>
          </w:tcPr>
          <w:p>
            <w:pPr>
              <w:spacing w:after="0"/>
              <w:rPr>
                <w:sz w:val="12"/>
                <w:szCs w:val="12"/>
                <w:color w:val="auto"/>
              </w:rPr>
            </w:pPr>
          </w:p>
        </w:tc>
        <w:tc>
          <w:tcPr>
            <w:tcW w:w="10160" w:type="dxa"/>
            <w:vAlign w:val="bottom"/>
            <w:gridSpan w:val="23"/>
          </w:tcPr>
          <w:p>
            <w:pPr>
              <w:spacing w:after="0"/>
              <w:rPr>
                <w:sz w:val="20"/>
                <w:szCs w:val="20"/>
                <w:color w:val="auto"/>
              </w:rPr>
            </w:pPr>
            <w:r>
              <w:rPr>
                <w:rFonts w:ascii="Arial" w:cs="Arial" w:eastAsia="Arial" w:hAnsi="Arial"/>
                <w:sz w:val="12"/>
                <w:szCs w:val="12"/>
                <w:color w:val="auto"/>
              </w:rPr>
              <w:t>10-K.</w:t>
            </w:r>
          </w:p>
        </w:tc>
      </w:tr>
      <w:tr>
        <w:trPr>
          <w:trHeight w:val="225"/>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10.26</w:t>
            </w:r>
          </w:p>
        </w:tc>
        <w:tc>
          <w:tcPr>
            <w:tcW w:w="9800" w:type="dxa"/>
            <w:vAlign w:val="bottom"/>
            <w:tcBorders>
              <w:bottom w:val="single" w:sz="8" w:color="0000FF"/>
            </w:tcBorders>
            <w:gridSpan w:val="11"/>
          </w:tcPr>
          <w:p>
            <w:pPr>
              <w:spacing w:after="0"/>
              <w:rPr>
                <w:rFonts w:ascii="Arial" w:cs="Arial" w:eastAsia="Arial" w:hAnsi="Arial"/>
                <w:sz w:val="12"/>
                <w:szCs w:val="12"/>
                <w:color w:val="0000FF"/>
                <w:w w:val="99"/>
              </w:rPr>
            </w:pPr>
            <w:hyperlink r:id="rId62">
              <w:r>
                <w:rPr>
                  <w:rFonts w:ascii="Arial" w:cs="Arial" w:eastAsia="Arial" w:hAnsi="Arial"/>
                  <w:sz w:val="12"/>
                  <w:szCs w:val="12"/>
                  <w:color w:val="0000FF"/>
                  <w:w w:val="99"/>
                </w:rPr>
                <w:t>California Resources Corporation Long-Term Incentive Plan Restricted Stock Unit Award Terms and Conditions (filed as Exhibit 10.3 to the Registrant’s Quarterly Report Form 10-Q filed</w:t>
              </w:r>
            </w:hyperlink>
          </w:p>
        </w:tc>
        <w:tc>
          <w:tcPr>
            <w:tcW w:w="360" w:type="dxa"/>
            <w:vAlign w:val="bottom"/>
            <w:gridSpan w:val="12"/>
          </w:tcPr>
          <w:p>
            <w:pPr>
              <w:spacing w:after="0"/>
              <w:rPr>
                <w:sz w:val="19"/>
                <w:szCs w:val="19"/>
                <w:color w:val="auto"/>
              </w:rPr>
            </w:pPr>
          </w:p>
        </w:tc>
      </w:tr>
      <w:tr>
        <w:trPr>
          <w:trHeight w:val="115"/>
        </w:trPr>
        <w:tc>
          <w:tcPr>
            <w:tcW w:w="1260" w:type="dxa"/>
            <w:vAlign w:val="bottom"/>
          </w:tcPr>
          <w:p>
            <w:pPr>
              <w:spacing w:after="0"/>
              <w:rPr>
                <w:sz w:val="10"/>
                <w:szCs w:val="10"/>
                <w:color w:val="auto"/>
              </w:rPr>
            </w:pPr>
          </w:p>
        </w:tc>
        <w:tc>
          <w:tcPr>
            <w:tcW w:w="3100" w:type="dxa"/>
            <w:vAlign w:val="bottom"/>
            <w:tcBorders>
              <w:bottom w:val="single" w:sz="8" w:color="0000FF"/>
            </w:tcBorders>
            <w:gridSpan w:val="6"/>
          </w:tcPr>
          <w:p>
            <w:pPr>
              <w:spacing w:after="0" w:line="115" w:lineRule="exact"/>
              <w:rPr>
                <w:rFonts w:ascii="Arial" w:cs="Arial" w:eastAsia="Arial" w:hAnsi="Arial"/>
                <w:sz w:val="12"/>
                <w:szCs w:val="12"/>
                <w:color w:val="0000FF"/>
                <w:w w:val="99"/>
              </w:rPr>
            </w:pPr>
            <w:hyperlink r:id="rId62">
              <w:r>
                <w:rPr>
                  <w:rFonts w:ascii="Arial" w:cs="Arial" w:eastAsia="Arial" w:hAnsi="Arial"/>
                  <w:sz w:val="12"/>
                  <w:szCs w:val="12"/>
                  <w:color w:val="0000FF"/>
                  <w:w w:val="99"/>
                </w:rPr>
                <w:t>November 6, 2015, and incorporated herein by reference).</w:t>
              </w:r>
            </w:hyperlink>
          </w:p>
        </w:tc>
        <w:tc>
          <w:tcPr>
            <w:tcW w:w="7060" w:type="dxa"/>
            <w:vAlign w:val="bottom"/>
            <w:gridSpan w:val="17"/>
          </w:tcPr>
          <w:p>
            <w:pPr>
              <w:spacing w:after="0"/>
              <w:rPr>
                <w:sz w:val="10"/>
                <w:szCs w:val="1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10.27</w:t>
            </w:r>
          </w:p>
        </w:tc>
        <w:tc>
          <w:tcPr>
            <w:tcW w:w="10100" w:type="dxa"/>
            <w:vAlign w:val="bottom"/>
            <w:tcBorders>
              <w:bottom w:val="single" w:sz="8" w:color="0000FF"/>
            </w:tcBorders>
            <w:gridSpan w:val="20"/>
          </w:tcPr>
          <w:p>
            <w:pPr>
              <w:spacing w:after="0"/>
              <w:rPr>
                <w:rFonts w:ascii="Arial" w:cs="Arial" w:eastAsia="Arial" w:hAnsi="Arial"/>
                <w:sz w:val="12"/>
                <w:szCs w:val="12"/>
                <w:color w:val="0000FF"/>
                <w:w w:val="99"/>
              </w:rPr>
            </w:pPr>
            <w:hyperlink r:id="rId63">
              <w:r>
                <w:rPr>
                  <w:rFonts w:ascii="Arial" w:cs="Arial" w:eastAsia="Arial" w:hAnsi="Arial"/>
                  <w:sz w:val="12"/>
                  <w:szCs w:val="12"/>
                  <w:color w:val="0000FF"/>
                  <w:w w:val="99"/>
                </w:rPr>
                <w:t>California Resources Corporation Long-Term Incentive Plan, 2016 Annual Incentive Award Summary (filed as Exhibit 10.5 on Registrant’s Quarterly Report on Form 10-Q filed August 4, 2016</w:t>
              </w:r>
            </w:hyperlink>
          </w:p>
        </w:tc>
        <w:tc>
          <w:tcPr>
            <w:tcW w:w="60" w:type="dxa"/>
            <w:vAlign w:val="bottom"/>
            <w:gridSpan w:val="3"/>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3"/>
          </w:tcPr>
          <w:p>
            <w:pPr>
              <w:spacing w:after="0" w:line="115" w:lineRule="exact"/>
              <w:rPr>
                <w:rFonts w:ascii="Arial" w:cs="Arial" w:eastAsia="Arial" w:hAnsi="Arial"/>
                <w:sz w:val="12"/>
                <w:szCs w:val="12"/>
                <w:color w:val="0000FF"/>
              </w:rPr>
            </w:pPr>
            <w:hyperlink r:id="rId63">
              <w:r>
                <w:rPr>
                  <w:rFonts w:ascii="Arial" w:cs="Arial" w:eastAsia="Arial" w:hAnsi="Arial"/>
                  <w:sz w:val="12"/>
                  <w:szCs w:val="12"/>
                  <w:color w:val="0000FF"/>
                </w:rPr>
                <w:t>and incorporated herein by reference).</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10.28</w:t>
            </w:r>
          </w:p>
        </w:tc>
        <w:tc>
          <w:tcPr>
            <w:tcW w:w="10160" w:type="dxa"/>
            <w:vAlign w:val="bottom"/>
            <w:gridSpan w:val="23"/>
          </w:tcPr>
          <w:p>
            <w:pPr>
              <w:spacing w:after="0"/>
              <w:rPr>
                <w:rFonts w:ascii="Arial" w:cs="Arial" w:eastAsia="Arial" w:hAnsi="Arial"/>
                <w:sz w:val="12"/>
                <w:szCs w:val="12"/>
                <w:color w:val="0000FF"/>
              </w:rPr>
            </w:pPr>
            <w:hyperlink r:id="rId64">
              <w:r>
                <w:rPr>
                  <w:rFonts w:ascii="Arial" w:cs="Arial" w:eastAsia="Arial" w:hAnsi="Arial"/>
                  <w:sz w:val="12"/>
                  <w:szCs w:val="12"/>
                  <w:color w:val="0000FF"/>
                </w:rPr>
                <w:t>California Resources Corporation Long-Term Incentive Plan Performance Stock Unit Award Terms and Conditions (filed as Exhibit 10.2 to the Registrant’s Quarterly Report on Form 10-Q filed</w:t>
              </w:r>
            </w:hyperlink>
          </w:p>
        </w:tc>
      </w:tr>
      <w:tr>
        <w:trPr>
          <w:trHeight w:val="115"/>
        </w:trPr>
        <w:tc>
          <w:tcPr>
            <w:tcW w:w="1260" w:type="dxa"/>
            <w:vAlign w:val="bottom"/>
          </w:tcPr>
          <w:p>
            <w:pPr>
              <w:spacing w:after="0"/>
              <w:rPr>
                <w:sz w:val="10"/>
                <w:szCs w:val="10"/>
                <w:color w:val="auto"/>
              </w:rPr>
            </w:pPr>
          </w:p>
        </w:tc>
        <w:tc>
          <w:tcPr>
            <w:tcW w:w="3100" w:type="dxa"/>
            <w:vAlign w:val="bottom"/>
            <w:tcBorders>
              <w:top w:val="single" w:sz="8" w:color="0000FF"/>
              <w:bottom w:val="single" w:sz="8" w:color="0000FF"/>
            </w:tcBorders>
            <w:gridSpan w:val="6"/>
          </w:tcPr>
          <w:p>
            <w:pPr>
              <w:spacing w:after="0" w:line="115" w:lineRule="exact"/>
              <w:rPr>
                <w:rFonts w:ascii="Arial" w:cs="Arial" w:eastAsia="Arial" w:hAnsi="Arial"/>
                <w:sz w:val="12"/>
                <w:szCs w:val="12"/>
                <w:color w:val="0000FF"/>
                <w:w w:val="99"/>
              </w:rPr>
            </w:pPr>
            <w:hyperlink r:id="rId64">
              <w:r>
                <w:rPr>
                  <w:rFonts w:ascii="Arial" w:cs="Arial" w:eastAsia="Arial" w:hAnsi="Arial"/>
                  <w:sz w:val="12"/>
                  <w:szCs w:val="12"/>
                  <w:color w:val="0000FF"/>
                  <w:w w:val="99"/>
                </w:rPr>
                <w:t>November 6, 2015, and incorporated herein by reference).</w:t>
              </w:r>
            </w:hyperlink>
          </w:p>
        </w:tc>
        <w:tc>
          <w:tcPr>
            <w:tcW w:w="7000" w:type="dxa"/>
            <w:vAlign w:val="bottom"/>
            <w:tcBorders>
              <w:top w:val="single" w:sz="8" w:color="0000FF"/>
            </w:tcBorders>
            <w:gridSpan w:val="14"/>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10.29</w:t>
            </w:r>
          </w:p>
        </w:tc>
        <w:tc>
          <w:tcPr>
            <w:tcW w:w="10080" w:type="dxa"/>
            <w:vAlign w:val="bottom"/>
            <w:tcBorders>
              <w:bottom w:val="single" w:sz="8" w:color="0000FF"/>
            </w:tcBorders>
            <w:gridSpan w:val="19"/>
          </w:tcPr>
          <w:p>
            <w:pPr>
              <w:spacing w:after="0"/>
              <w:rPr>
                <w:rFonts w:ascii="Arial" w:cs="Arial" w:eastAsia="Arial" w:hAnsi="Arial"/>
                <w:sz w:val="12"/>
                <w:szCs w:val="12"/>
                <w:color w:val="0000FF"/>
                <w:w w:val="99"/>
              </w:rPr>
            </w:pPr>
            <w:hyperlink r:id="rId65">
              <w:r>
                <w:rPr>
                  <w:rFonts w:ascii="Arial" w:cs="Arial" w:eastAsia="Arial" w:hAnsi="Arial"/>
                  <w:sz w:val="12"/>
                  <w:szCs w:val="12"/>
                  <w:color w:val="0000FF"/>
                  <w:w w:val="99"/>
                </w:rPr>
                <w:t>California Resources Corporation Long-Term Incentive Plan Nonstatutory Stock Option Award Terms and Conditions (filed as Exhibit 10.4 to the Registrant’s Quarterly Report Form 10-Q filed</w:t>
              </w:r>
            </w:hyperlink>
          </w:p>
        </w:tc>
        <w:tc>
          <w:tcPr>
            <w:tcW w:w="80" w:type="dxa"/>
            <w:vAlign w:val="bottom"/>
            <w:gridSpan w:val="4"/>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3100" w:type="dxa"/>
            <w:vAlign w:val="bottom"/>
            <w:tcBorders>
              <w:bottom w:val="single" w:sz="8" w:color="0000FF"/>
            </w:tcBorders>
            <w:gridSpan w:val="6"/>
          </w:tcPr>
          <w:p>
            <w:pPr>
              <w:spacing w:after="0" w:line="115" w:lineRule="exact"/>
              <w:rPr>
                <w:rFonts w:ascii="Arial" w:cs="Arial" w:eastAsia="Arial" w:hAnsi="Arial"/>
                <w:sz w:val="12"/>
                <w:szCs w:val="12"/>
                <w:color w:val="0000FF"/>
                <w:w w:val="99"/>
              </w:rPr>
            </w:pPr>
            <w:hyperlink r:id="rId65">
              <w:r>
                <w:rPr>
                  <w:rFonts w:ascii="Arial" w:cs="Arial" w:eastAsia="Arial" w:hAnsi="Arial"/>
                  <w:sz w:val="12"/>
                  <w:szCs w:val="12"/>
                  <w:color w:val="0000FF"/>
                  <w:w w:val="99"/>
                </w:rPr>
                <w:t>November 6, 2015, and incorporated herein by reference).</w:t>
              </w:r>
            </w:hyperlink>
          </w:p>
        </w:tc>
        <w:tc>
          <w:tcPr>
            <w:tcW w:w="7060" w:type="dxa"/>
            <w:vAlign w:val="bottom"/>
            <w:gridSpan w:val="17"/>
          </w:tcPr>
          <w:p>
            <w:pPr>
              <w:spacing w:after="0"/>
              <w:rPr>
                <w:sz w:val="10"/>
                <w:szCs w:val="1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10.30</w:t>
            </w:r>
          </w:p>
        </w:tc>
        <w:tc>
          <w:tcPr>
            <w:tcW w:w="9860" w:type="dxa"/>
            <w:vAlign w:val="bottom"/>
            <w:tcBorders>
              <w:bottom w:val="single" w:sz="8" w:color="0000FF"/>
            </w:tcBorders>
            <w:gridSpan w:val="13"/>
          </w:tcPr>
          <w:p>
            <w:pPr>
              <w:spacing w:after="0"/>
              <w:rPr>
                <w:rFonts w:ascii="Arial" w:cs="Arial" w:eastAsia="Arial" w:hAnsi="Arial"/>
                <w:sz w:val="12"/>
                <w:szCs w:val="12"/>
                <w:color w:val="0000FF"/>
                <w:w w:val="99"/>
              </w:rPr>
            </w:pPr>
            <w:hyperlink r:id="rId66">
              <w:r>
                <w:rPr>
                  <w:rFonts w:ascii="Arial" w:cs="Arial" w:eastAsia="Arial" w:hAnsi="Arial"/>
                  <w:sz w:val="12"/>
                  <w:szCs w:val="12"/>
                  <w:color w:val="0000FF"/>
                  <w:w w:val="99"/>
                </w:rPr>
                <w:t>California Resources Corporation Supplemental Savings Plan (filed as Exhibit 10.1 to the Registrant’s Current Report on Form 8-K filed on December 2, 2014, and incorporated herein by</w:t>
              </w:r>
            </w:hyperlink>
          </w:p>
        </w:tc>
        <w:tc>
          <w:tcPr>
            <w:tcW w:w="300" w:type="dxa"/>
            <w:vAlign w:val="bottom"/>
            <w:gridSpan w:val="10"/>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600" w:type="dxa"/>
            <w:vAlign w:val="bottom"/>
            <w:tcBorders>
              <w:bottom w:val="single" w:sz="8" w:color="0000FF"/>
            </w:tcBorders>
            <w:gridSpan w:val="2"/>
          </w:tcPr>
          <w:p>
            <w:pPr>
              <w:spacing w:after="0" w:line="115" w:lineRule="exact"/>
              <w:rPr>
                <w:rFonts w:ascii="Arial" w:cs="Arial" w:eastAsia="Arial" w:hAnsi="Arial"/>
                <w:sz w:val="12"/>
                <w:szCs w:val="12"/>
                <w:color w:val="0000FF"/>
                <w:w w:val="99"/>
              </w:rPr>
            </w:pPr>
            <w:hyperlink r:id="rId66">
              <w:r>
                <w:rPr>
                  <w:rFonts w:ascii="Arial" w:cs="Arial" w:eastAsia="Arial" w:hAnsi="Arial"/>
                  <w:sz w:val="12"/>
                  <w:szCs w:val="12"/>
                  <w:color w:val="0000FF"/>
                  <w:w w:val="99"/>
                </w:rPr>
                <w:t>reference).</w:t>
              </w:r>
            </w:hyperlink>
          </w:p>
        </w:tc>
        <w:tc>
          <w:tcPr>
            <w:tcW w:w="9560" w:type="dxa"/>
            <w:vAlign w:val="bottom"/>
            <w:gridSpan w:val="21"/>
          </w:tcPr>
          <w:p>
            <w:pPr>
              <w:spacing w:after="0"/>
              <w:rPr>
                <w:sz w:val="10"/>
                <w:szCs w:val="1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10.31</w:t>
            </w:r>
          </w:p>
        </w:tc>
        <w:tc>
          <w:tcPr>
            <w:tcW w:w="9640" w:type="dxa"/>
            <w:vAlign w:val="bottom"/>
            <w:tcBorders>
              <w:bottom w:val="single" w:sz="8" w:color="0000FF"/>
            </w:tcBorders>
            <w:gridSpan w:val="10"/>
          </w:tcPr>
          <w:p>
            <w:pPr>
              <w:spacing w:after="0"/>
              <w:rPr>
                <w:rFonts w:ascii="Arial" w:cs="Arial" w:eastAsia="Arial" w:hAnsi="Arial"/>
                <w:sz w:val="12"/>
                <w:szCs w:val="12"/>
                <w:color w:val="0000FF"/>
                <w:w w:val="99"/>
              </w:rPr>
            </w:pPr>
            <w:hyperlink r:id="rId67">
              <w:r>
                <w:rPr>
                  <w:rFonts w:ascii="Arial" w:cs="Arial" w:eastAsia="Arial" w:hAnsi="Arial"/>
                  <w:sz w:val="12"/>
                  <w:szCs w:val="12"/>
                  <w:color w:val="0000FF"/>
                  <w:w w:val="99"/>
                </w:rPr>
                <w:t>First Amendment to California Resources Corporation Supplemental Savings Plan (filed as Exhibit 10.18 to the Registrant's Annual Report on Form 10-K filed February 29, 2016, and</w:t>
              </w:r>
            </w:hyperlink>
          </w:p>
        </w:tc>
        <w:tc>
          <w:tcPr>
            <w:tcW w:w="520" w:type="dxa"/>
            <w:vAlign w:val="bottom"/>
            <w:gridSpan w:val="13"/>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3"/>
          </w:tcPr>
          <w:p>
            <w:pPr>
              <w:spacing w:after="0" w:line="115" w:lineRule="exact"/>
              <w:rPr>
                <w:rFonts w:ascii="Arial" w:cs="Arial" w:eastAsia="Arial" w:hAnsi="Arial"/>
                <w:sz w:val="12"/>
                <w:szCs w:val="12"/>
                <w:color w:val="0000FF"/>
              </w:rPr>
            </w:pPr>
            <w:hyperlink r:id="rId67">
              <w:r>
                <w:rPr>
                  <w:rFonts w:ascii="Arial" w:cs="Arial" w:eastAsia="Arial" w:hAnsi="Arial"/>
                  <w:sz w:val="12"/>
                  <w:szCs w:val="12"/>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4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10.32</w:t>
            </w:r>
          </w:p>
        </w:tc>
        <w:tc>
          <w:tcPr>
            <w:tcW w:w="10120" w:type="dxa"/>
            <w:vAlign w:val="bottom"/>
            <w:tcBorders>
              <w:bottom w:val="single" w:sz="8" w:color="0000FF"/>
            </w:tcBorders>
            <w:gridSpan w:val="21"/>
          </w:tcPr>
          <w:p>
            <w:pPr>
              <w:spacing w:after="0"/>
              <w:rPr>
                <w:rFonts w:ascii="Arial" w:cs="Arial" w:eastAsia="Arial" w:hAnsi="Arial"/>
                <w:sz w:val="12"/>
                <w:szCs w:val="12"/>
                <w:color w:val="0000FF"/>
                <w:w w:val="99"/>
              </w:rPr>
            </w:pPr>
            <w:hyperlink r:id="rId68">
              <w:r>
                <w:rPr>
                  <w:rFonts w:ascii="Arial" w:cs="Arial" w:eastAsia="Arial" w:hAnsi="Arial"/>
                  <w:sz w:val="12"/>
                  <w:szCs w:val="12"/>
                  <w:color w:val="0000FF"/>
                  <w:w w:val="99"/>
                </w:rPr>
                <w:t>California Resources Corporation Supplemental Retirement Plan II (filed as Exhibit 10.3 to the Registrant’s Current Report on Form 8-K filed on December 2, 2014, and incorporated herein by</w:t>
              </w:r>
            </w:hyperlink>
          </w:p>
        </w:tc>
        <w:tc>
          <w:tcPr>
            <w:tcW w:w="40" w:type="dxa"/>
            <w:vAlign w:val="bottom"/>
            <w:gridSpan w:val="2"/>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600" w:type="dxa"/>
            <w:vAlign w:val="bottom"/>
            <w:tcBorders>
              <w:bottom w:val="single" w:sz="8" w:color="0000FF"/>
            </w:tcBorders>
            <w:gridSpan w:val="2"/>
          </w:tcPr>
          <w:p>
            <w:pPr>
              <w:spacing w:after="0" w:line="115" w:lineRule="exact"/>
              <w:rPr>
                <w:rFonts w:ascii="Arial" w:cs="Arial" w:eastAsia="Arial" w:hAnsi="Arial"/>
                <w:sz w:val="12"/>
                <w:szCs w:val="12"/>
                <w:color w:val="0000FF"/>
                <w:w w:val="99"/>
              </w:rPr>
            </w:pPr>
            <w:hyperlink r:id="rId68">
              <w:r>
                <w:rPr>
                  <w:rFonts w:ascii="Arial" w:cs="Arial" w:eastAsia="Arial" w:hAnsi="Arial"/>
                  <w:sz w:val="12"/>
                  <w:szCs w:val="12"/>
                  <w:color w:val="0000FF"/>
                  <w:w w:val="99"/>
                </w:rPr>
                <w:t>reference).</w:t>
              </w:r>
            </w:hyperlink>
          </w:p>
        </w:tc>
        <w:tc>
          <w:tcPr>
            <w:tcW w:w="9560" w:type="dxa"/>
            <w:vAlign w:val="bottom"/>
            <w:gridSpan w:val="21"/>
          </w:tcPr>
          <w:p>
            <w:pPr>
              <w:spacing w:after="0"/>
              <w:rPr>
                <w:sz w:val="10"/>
                <w:szCs w:val="1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10.33</w:t>
            </w:r>
          </w:p>
        </w:tc>
        <w:tc>
          <w:tcPr>
            <w:tcW w:w="9940" w:type="dxa"/>
            <w:vAlign w:val="bottom"/>
            <w:tcBorders>
              <w:bottom w:val="single" w:sz="8" w:color="0000FF"/>
            </w:tcBorders>
            <w:gridSpan w:val="15"/>
          </w:tcPr>
          <w:p>
            <w:pPr>
              <w:spacing w:after="0"/>
              <w:rPr>
                <w:rFonts w:ascii="Arial" w:cs="Arial" w:eastAsia="Arial" w:hAnsi="Arial"/>
                <w:sz w:val="12"/>
                <w:szCs w:val="12"/>
                <w:color w:val="0000FF"/>
                <w:w w:val="99"/>
              </w:rPr>
            </w:pPr>
            <w:hyperlink r:id="rId69">
              <w:r>
                <w:rPr>
                  <w:rFonts w:ascii="Arial" w:cs="Arial" w:eastAsia="Arial" w:hAnsi="Arial"/>
                  <w:sz w:val="12"/>
                  <w:szCs w:val="12"/>
                  <w:color w:val="0000FF"/>
                  <w:w w:val="99"/>
                </w:rPr>
                <w:t>California Resources Corporation Deferred Compensation Plan (filed as Exhibit 10.2 to the Registrant’s Current Report on Form 8-K filed on December 2, 2014, and incorporated herein by</w:t>
              </w:r>
            </w:hyperlink>
          </w:p>
        </w:tc>
        <w:tc>
          <w:tcPr>
            <w:tcW w:w="220" w:type="dxa"/>
            <w:vAlign w:val="bottom"/>
            <w:gridSpan w:val="8"/>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600" w:type="dxa"/>
            <w:vAlign w:val="bottom"/>
            <w:tcBorders>
              <w:bottom w:val="single" w:sz="8" w:color="0000FF"/>
            </w:tcBorders>
            <w:gridSpan w:val="2"/>
          </w:tcPr>
          <w:p>
            <w:pPr>
              <w:spacing w:after="0" w:line="115" w:lineRule="exact"/>
              <w:rPr>
                <w:rFonts w:ascii="Arial" w:cs="Arial" w:eastAsia="Arial" w:hAnsi="Arial"/>
                <w:sz w:val="12"/>
                <w:szCs w:val="12"/>
                <w:color w:val="0000FF"/>
                <w:w w:val="99"/>
              </w:rPr>
            </w:pPr>
            <w:hyperlink r:id="rId69">
              <w:r>
                <w:rPr>
                  <w:rFonts w:ascii="Arial" w:cs="Arial" w:eastAsia="Arial" w:hAnsi="Arial"/>
                  <w:sz w:val="12"/>
                  <w:szCs w:val="12"/>
                  <w:color w:val="0000FF"/>
                  <w:w w:val="99"/>
                </w:rPr>
                <w:t>reference).</w:t>
              </w:r>
            </w:hyperlink>
          </w:p>
        </w:tc>
        <w:tc>
          <w:tcPr>
            <w:tcW w:w="9560" w:type="dxa"/>
            <w:vAlign w:val="bottom"/>
            <w:gridSpan w:val="21"/>
          </w:tcPr>
          <w:p>
            <w:pPr>
              <w:spacing w:after="0"/>
              <w:rPr>
                <w:sz w:val="10"/>
                <w:szCs w:val="1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10.34</w:t>
            </w:r>
          </w:p>
        </w:tc>
        <w:tc>
          <w:tcPr>
            <w:tcW w:w="10160" w:type="dxa"/>
            <w:vAlign w:val="bottom"/>
            <w:gridSpan w:val="23"/>
          </w:tcPr>
          <w:p>
            <w:pPr>
              <w:spacing w:after="0"/>
              <w:rPr>
                <w:rFonts w:ascii="Arial" w:cs="Arial" w:eastAsia="Arial" w:hAnsi="Arial"/>
                <w:sz w:val="12"/>
                <w:szCs w:val="12"/>
                <w:color w:val="0000FF"/>
              </w:rPr>
            </w:pPr>
            <w:hyperlink r:id="rId70">
              <w:r>
                <w:rPr>
                  <w:rFonts w:ascii="Arial" w:cs="Arial" w:eastAsia="Arial" w:hAnsi="Arial"/>
                  <w:sz w:val="12"/>
                  <w:szCs w:val="12"/>
                  <w:color w:val="0000FF"/>
                </w:rPr>
                <w:t>California Resources Corporation Long-Term Incentive Plan (filed as Exhibit 4.3 to the Registrant’s related Registration Statement on Form S-8 filed November 26, 2014 and incorporated</w:t>
              </w:r>
            </w:hyperlink>
          </w:p>
        </w:tc>
      </w:tr>
      <w:tr>
        <w:trPr>
          <w:trHeight w:val="115"/>
        </w:trPr>
        <w:tc>
          <w:tcPr>
            <w:tcW w:w="1260" w:type="dxa"/>
            <w:vAlign w:val="bottom"/>
          </w:tcPr>
          <w:p>
            <w:pPr>
              <w:spacing w:after="0"/>
              <w:rPr>
                <w:sz w:val="10"/>
                <w:szCs w:val="10"/>
                <w:color w:val="auto"/>
              </w:rPr>
            </w:pPr>
          </w:p>
        </w:tc>
        <w:tc>
          <w:tcPr>
            <w:tcW w:w="9840" w:type="dxa"/>
            <w:vAlign w:val="bottom"/>
            <w:tcBorders>
              <w:top w:val="single" w:sz="8" w:color="0000FF"/>
            </w:tcBorders>
            <w:gridSpan w:val="12"/>
          </w:tcPr>
          <w:p>
            <w:pPr>
              <w:spacing w:after="0" w:line="115" w:lineRule="exact"/>
              <w:rPr>
                <w:rFonts w:ascii="Arial" w:cs="Arial" w:eastAsia="Arial" w:hAnsi="Arial"/>
                <w:sz w:val="12"/>
                <w:szCs w:val="12"/>
                <w:color w:val="0000FF"/>
              </w:rPr>
            </w:pPr>
            <w:hyperlink r:id="rId70">
              <w:r>
                <w:rPr>
                  <w:rFonts w:ascii="Arial" w:cs="Arial" w:eastAsia="Arial" w:hAnsi="Arial"/>
                  <w:sz w:val="12"/>
                  <w:szCs w:val="12"/>
                  <w:color w:val="0000FF"/>
                </w:rPr>
                <w:t>herein by reference).</w:t>
              </w:r>
            </w:hyperlink>
          </w:p>
        </w:tc>
        <w:tc>
          <w:tcPr>
            <w:tcW w:w="320" w:type="dxa"/>
            <w:vAlign w:val="bottom"/>
            <w:gridSpan w:val="11"/>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90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10.35</w:t>
            </w:r>
          </w:p>
        </w:tc>
        <w:tc>
          <w:tcPr>
            <w:tcW w:w="10160" w:type="dxa"/>
            <w:vAlign w:val="bottom"/>
            <w:gridSpan w:val="23"/>
          </w:tcPr>
          <w:p>
            <w:pPr>
              <w:spacing w:after="0"/>
              <w:rPr>
                <w:rFonts w:ascii="Arial" w:cs="Arial" w:eastAsia="Arial" w:hAnsi="Arial"/>
                <w:sz w:val="12"/>
                <w:szCs w:val="12"/>
                <w:color w:val="0000FF"/>
              </w:rPr>
            </w:pPr>
            <w:hyperlink r:id="rId71">
              <w:r>
                <w:rPr>
                  <w:rFonts w:ascii="Arial" w:cs="Arial" w:eastAsia="Arial" w:hAnsi="Arial"/>
                  <w:sz w:val="12"/>
                  <w:szCs w:val="12"/>
                  <w:color w:val="0000FF"/>
                </w:rPr>
                <w:t>Acknowledgment of Amendment to Long-Term Incentive Award Terms with William E. Albrecht (filed as Exhibit 10.22 to the Registrant's Annual Report on Form 10-K filed February 29, 2016,</w:t>
              </w:r>
            </w:hyperlink>
          </w:p>
        </w:tc>
      </w:tr>
      <w:tr>
        <w:trPr>
          <w:trHeight w:val="115"/>
        </w:trPr>
        <w:tc>
          <w:tcPr>
            <w:tcW w:w="1260" w:type="dxa"/>
            <w:vAlign w:val="bottom"/>
          </w:tcPr>
          <w:p>
            <w:pPr>
              <w:spacing w:after="0"/>
              <w:rPr>
                <w:sz w:val="10"/>
                <w:szCs w:val="10"/>
                <w:color w:val="auto"/>
              </w:rPr>
            </w:pPr>
          </w:p>
        </w:tc>
        <w:tc>
          <w:tcPr>
            <w:tcW w:w="10040" w:type="dxa"/>
            <w:vAlign w:val="bottom"/>
            <w:tcBorders>
              <w:top w:val="single" w:sz="8" w:color="0000FF"/>
            </w:tcBorders>
            <w:gridSpan w:val="18"/>
          </w:tcPr>
          <w:p>
            <w:pPr>
              <w:spacing w:after="0" w:line="115" w:lineRule="exact"/>
              <w:rPr>
                <w:rFonts w:ascii="Arial" w:cs="Arial" w:eastAsia="Arial" w:hAnsi="Arial"/>
                <w:sz w:val="12"/>
                <w:szCs w:val="12"/>
                <w:color w:val="0000FF"/>
              </w:rPr>
            </w:pPr>
            <w:hyperlink r:id="rId71">
              <w:r>
                <w:rPr>
                  <w:rFonts w:ascii="Arial" w:cs="Arial" w:eastAsia="Arial" w:hAnsi="Arial"/>
                  <w:sz w:val="12"/>
                  <w:szCs w:val="12"/>
                  <w:color w:val="0000FF"/>
                </w:rPr>
                <w:t>and incorporated herein by reference).</w:t>
              </w:r>
            </w:hyperlink>
          </w:p>
        </w:tc>
        <w:tc>
          <w:tcPr>
            <w:tcW w:w="120" w:type="dxa"/>
            <w:vAlign w:val="bottom"/>
            <w:gridSpan w:val="5"/>
          </w:tcPr>
          <w:p>
            <w:pPr>
              <w:spacing w:after="0"/>
              <w:rPr>
                <w:sz w:val="10"/>
                <w:szCs w:val="10"/>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10.36</w:t>
            </w:r>
          </w:p>
        </w:tc>
        <w:tc>
          <w:tcPr>
            <w:tcW w:w="10140" w:type="dxa"/>
            <w:vAlign w:val="bottom"/>
            <w:tcBorders>
              <w:bottom w:val="single" w:sz="8" w:color="0000FF"/>
            </w:tcBorders>
            <w:gridSpan w:val="22"/>
          </w:tcPr>
          <w:p>
            <w:pPr>
              <w:spacing w:after="0"/>
              <w:rPr>
                <w:rFonts w:ascii="Arial" w:cs="Arial" w:eastAsia="Arial" w:hAnsi="Arial"/>
                <w:sz w:val="12"/>
                <w:szCs w:val="12"/>
                <w:color w:val="0000FF"/>
                <w:w w:val="99"/>
              </w:rPr>
            </w:pPr>
            <w:hyperlink r:id="rId72">
              <w:r>
                <w:rPr>
                  <w:rFonts w:ascii="Arial" w:cs="Arial" w:eastAsia="Arial" w:hAnsi="Arial"/>
                  <w:sz w:val="12"/>
                  <w:szCs w:val="12"/>
                  <w:color w:val="0000FF"/>
                  <w:w w:val="99"/>
                </w:rPr>
                <w:t>Form of Nonstatutory Stock Option Award Terms and Conditions (filed as Exhibit 10.6 to Amendment No. 3 to the Registrant’s Information Statement on Form 10 filed September 22, 2014 and</w:t>
              </w:r>
            </w:hyperlink>
          </w:p>
        </w:tc>
        <w:tc>
          <w:tcPr>
            <w:tcW w:w="20" w:type="dxa"/>
            <w:vAlign w:val="bottom"/>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3"/>
          </w:tcPr>
          <w:p>
            <w:pPr>
              <w:spacing w:after="0" w:line="115" w:lineRule="exact"/>
              <w:rPr>
                <w:rFonts w:ascii="Arial" w:cs="Arial" w:eastAsia="Arial" w:hAnsi="Arial"/>
                <w:sz w:val="12"/>
                <w:szCs w:val="12"/>
                <w:color w:val="0000FF"/>
              </w:rPr>
            </w:pPr>
            <w:hyperlink r:id="rId72">
              <w:r>
                <w:rPr>
                  <w:rFonts w:ascii="Arial" w:cs="Arial" w:eastAsia="Arial" w:hAnsi="Arial"/>
                  <w:sz w:val="12"/>
                  <w:szCs w:val="12"/>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200" w:type="dxa"/>
            <w:vAlign w:val="bottom"/>
            <w:gridSpan w:val="1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10.37</w:t>
            </w:r>
          </w:p>
        </w:tc>
        <w:tc>
          <w:tcPr>
            <w:tcW w:w="10120" w:type="dxa"/>
            <w:vAlign w:val="bottom"/>
            <w:tcBorders>
              <w:bottom w:val="single" w:sz="8" w:color="0000FF"/>
            </w:tcBorders>
            <w:gridSpan w:val="21"/>
          </w:tcPr>
          <w:p>
            <w:pPr>
              <w:spacing w:after="0"/>
              <w:rPr>
                <w:rFonts w:ascii="Arial" w:cs="Arial" w:eastAsia="Arial" w:hAnsi="Arial"/>
                <w:sz w:val="12"/>
                <w:szCs w:val="12"/>
                <w:color w:val="0000FF"/>
                <w:w w:val="99"/>
              </w:rPr>
            </w:pPr>
            <w:hyperlink r:id="rId73">
              <w:r>
                <w:rPr>
                  <w:rFonts w:ascii="Arial" w:cs="Arial" w:eastAsia="Arial" w:hAnsi="Arial"/>
                  <w:sz w:val="12"/>
                  <w:szCs w:val="12"/>
                  <w:color w:val="0000FF"/>
                  <w:w w:val="99"/>
                </w:rPr>
                <w:t>Form of Restricted Stock Unit Award Terms and Conditions (filed as Exhibit 10.6 to the Registrant’s Quarterly Report on Form 10-Q filed August 4, 2016 and incorporated herein by reference).</w:t>
              </w:r>
            </w:hyperlink>
          </w:p>
        </w:tc>
        <w:tc>
          <w:tcPr>
            <w:tcW w:w="40" w:type="dxa"/>
            <w:vAlign w:val="bottom"/>
            <w:gridSpan w:val="2"/>
          </w:tcPr>
          <w:p>
            <w:pPr>
              <w:spacing w:after="0"/>
              <w:rPr>
                <w:sz w:val="20"/>
                <w:szCs w:val="20"/>
                <w:color w:val="auto"/>
              </w:rPr>
            </w:pPr>
          </w:p>
        </w:tc>
      </w:tr>
      <w:tr>
        <w:trPr>
          <w:trHeight w:val="232"/>
        </w:trPr>
        <w:tc>
          <w:tcPr>
            <w:tcW w:w="1260" w:type="dxa"/>
            <w:vAlign w:val="bottom"/>
          </w:tcPr>
          <w:p>
            <w:pPr>
              <w:jc w:val="right"/>
              <w:ind w:right="900"/>
              <w:spacing w:after="0"/>
              <w:rPr>
                <w:sz w:val="20"/>
                <w:szCs w:val="20"/>
                <w:color w:val="auto"/>
              </w:rPr>
            </w:pPr>
            <w:r>
              <w:rPr>
                <w:rFonts w:ascii="Arial" w:cs="Arial" w:eastAsia="Arial" w:hAnsi="Arial"/>
                <w:sz w:val="12"/>
                <w:szCs w:val="12"/>
                <w:color w:val="auto"/>
                <w:w w:val="93"/>
              </w:rPr>
              <w:t>10.38</w:t>
            </w:r>
          </w:p>
        </w:tc>
        <w:tc>
          <w:tcPr>
            <w:tcW w:w="10000" w:type="dxa"/>
            <w:vAlign w:val="bottom"/>
            <w:tcBorders>
              <w:bottom w:val="single" w:sz="8" w:color="0000FF"/>
            </w:tcBorders>
            <w:gridSpan w:val="17"/>
          </w:tcPr>
          <w:p>
            <w:pPr>
              <w:spacing w:after="0"/>
              <w:rPr>
                <w:rFonts w:ascii="Arial" w:cs="Arial" w:eastAsia="Arial" w:hAnsi="Arial"/>
                <w:sz w:val="12"/>
                <w:szCs w:val="12"/>
                <w:color w:val="0000FF"/>
                <w:w w:val="99"/>
              </w:rPr>
            </w:pPr>
            <w:hyperlink r:id="rId74">
              <w:r>
                <w:rPr>
                  <w:rFonts w:ascii="Arial" w:cs="Arial" w:eastAsia="Arial" w:hAnsi="Arial"/>
                  <w:sz w:val="12"/>
                  <w:szCs w:val="12"/>
                  <w:color w:val="0000FF"/>
                  <w:w w:val="99"/>
                </w:rPr>
                <w:t>Form of Nonstatutory Stock Option Award Terms and Conditions (filed as Exhibit 10.5 to the Registrant’s Quarterly Report on Form 10-Q filed November 3, 2016, and incorporated herein by</w:t>
              </w:r>
            </w:hyperlink>
          </w:p>
        </w:tc>
        <w:tc>
          <w:tcPr>
            <w:tcW w:w="160" w:type="dxa"/>
            <w:vAlign w:val="bottom"/>
            <w:gridSpan w:val="6"/>
          </w:tcPr>
          <w:p>
            <w:pPr>
              <w:spacing w:after="0"/>
              <w:rPr>
                <w:sz w:val="20"/>
                <w:szCs w:val="20"/>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3"/>
          </w:tcPr>
          <w:p>
            <w:pPr>
              <w:spacing w:after="0" w:line="115" w:lineRule="exact"/>
              <w:rPr>
                <w:rFonts w:ascii="Arial" w:cs="Arial" w:eastAsia="Arial" w:hAnsi="Arial"/>
                <w:sz w:val="12"/>
                <w:szCs w:val="12"/>
                <w:color w:val="0000FF"/>
              </w:rPr>
            </w:pPr>
            <w:hyperlink r:id="rId74">
              <w:r>
                <w:rPr>
                  <w:rFonts w:ascii="Arial" w:cs="Arial" w:eastAsia="Arial" w:hAnsi="Arial"/>
                  <w:sz w:val="12"/>
                  <w:szCs w:val="12"/>
                  <w:color w:val="0000FF"/>
                </w:rPr>
                <w:t>reference).</w:t>
              </w:r>
            </w:hyperlink>
          </w:p>
        </w:tc>
      </w:tr>
      <w:tr>
        <w:trPr>
          <w:trHeight w:val="403"/>
        </w:trPr>
        <w:tc>
          <w:tcPr>
            <w:tcW w:w="126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400" w:type="dxa"/>
            <w:vAlign w:val="bottom"/>
            <w:gridSpan w:val="8"/>
          </w:tcPr>
          <w:p>
            <w:pPr>
              <w:jc w:val="right"/>
              <w:ind w:right="420"/>
              <w:spacing w:after="0"/>
              <w:rPr>
                <w:sz w:val="20"/>
                <w:szCs w:val="20"/>
                <w:color w:val="auto"/>
              </w:rPr>
            </w:pPr>
            <w:r>
              <w:rPr>
                <w:rFonts w:ascii="Arial" w:cs="Arial" w:eastAsia="Arial" w:hAnsi="Arial"/>
                <w:sz w:val="12"/>
                <w:szCs w:val="12"/>
                <w:color w:val="auto"/>
              </w:rPr>
              <w:t>128</w:t>
            </w:r>
          </w:p>
        </w:tc>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389"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10.39</w:t>
            </w:r>
          </w:p>
        </w:tc>
        <w:tc>
          <w:tcPr>
            <w:tcW w:w="9800" w:type="dxa"/>
            <w:vAlign w:val="bottom"/>
            <w:tcBorders>
              <w:bottom w:val="single" w:sz="8" w:color="0000FF"/>
            </w:tcBorders>
            <w:gridSpan w:val="20"/>
          </w:tcPr>
          <w:p>
            <w:pPr>
              <w:spacing w:after="0"/>
              <w:rPr>
                <w:rFonts w:ascii="Arial" w:cs="Arial" w:eastAsia="Arial" w:hAnsi="Arial"/>
                <w:sz w:val="12"/>
                <w:szCs w:val="12"/>
                <w:color w:val="0000FF"/>
                <w:w w:val="99"/>
              </w:rPr>
            </w:pPr>
            <w:hyperlink r:id="rId75">
              <w:r>
                <w:rPr>
                  <w:rFonts w:ascii="Arial" w:cs="Arial" w:eastAsia="Arial" w:hAnsi="Arial"/>
                  <w:sz w:val="12"/>
                  <w:szCs w:val="12"/>
                  <w:color w:val="0000FF"/>
                  <w:w w:val="99"/>
                </w:rPr>
                <w:t>Form of Performance Incentive Award Terms and Conditions (filed as Exhibit 10.6 to the Registrant’s Quarterly Report on Form 10-Q filed November 3, 2016, and incorporated herein by</w:t>
              </w:r>
            </w:hyperlink>
          </w:p>
        </w:tc>
        <w:tc>
          <w:tcPr>
            <w:tcW w:w="3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4"/>
          </w:tcPr>
          <w:p>
            <w:pPr>
              <w:spacing w:after="0" w:line="115" w:lineRule="exact"/>
              <w:rPr>
                <w:rFonts w:ascii="Arial" w:cs="Arial" w:eastAsia="Arial" w:hAnsi="Arial"/>
                <w:sz w:val="12"/>
                <w:szCs w:val="12"/>
                <w:color w:val="0000FF"/>
              </w:rPr>
            </w:pPr>
            <w:hyperlink r:id="rId75">
              <w:r>
                <w:rPr>
                  <w:rFonts w:ascii="Arial" w:cs="Arial" w:eastAsia="Arial" w:hAnsi="Arial"/>
                  <w:sz w:val="12"/>
                  <w:szCs w:val="12"/>
                  <w:color w:val="0000FF"/>
                </w:rPr>
                <w:t>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10.40</w:t>
            </w:r>
          </w:p>
        </w:tc>
        <w:tc>
          <w:tcPr>
            <w:tcW w:w="10160" w:type="dxa"/>
            <w:vAlign w:val="bottom"/>
            <w:tcBorders>
              <w:bottom w:val="single" w:sz="8" w:color="0000FF"/>
            </w:tcBorders>
            <w:gridSpan w:val="24"/>
          </w:tcPr>
          <w:p>
            <w:pPr>
              <w:spacing w:after="0"/>
              <w:rPr>
                <w:rFonts w:ascii="Arial" w:cs="Arial" w:eastAsia="Arial" w:hAnsi="Arial"/>
                <w:sz w:val="12"/>
                <w:szCs w:val="12"/>
                <w:color w:val="0000FF"/>
                <w:w w:val="99"/>
              </w:rPr>
            </w:pPr>
            <w:hyperlink r:id="rId76">
              <w:r>
                <w:rPr>
                  <w:rFonts w:ascii="Arial" w:cs="Arial" w:eastAsia="Arial" w:hAnsi="Arial"/>
                  <w:sz w:val="12"/>
                  <w:szCs w:val="12"/>
                  <w:color w:val="0000FF"/>
                  <w:w w:val="99"/>
                </w:rPr>
                <w:t>Form of Restricted Stock Incentive Award Terms and Conditions (Not Performance-Based) (filed as Exhibit 10.8 to Amendment No. 3 to the Registrant’s Information Statement on Form 10 filed</w:t>
              </w:r>
            </w:hyperlink>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4"/>
          </w:tcPr>
          <w:p>
            <w:pPr>
              <w:spacing w:after="0" w:line="115" w:lineRule="exact"/>
              <w:rPr>
                <w:rFonts w:ascii="Arial" w:cs="Arial" w:eastAsia="Arial" w:hAnsi="Arial"/>
                <w:sz w:val="12"/>
                <w:szCs w:val="12"/>
                <w:color w:val="0000FF"/>
              </w:rPr>
            </w:pPr>
            <w:hyperlink r:id="rId76">
              <w:r>
                <w:rPr>
                  <w:rFonts w:ascii="Arial" w:cs="Arial" w:eastAsia="Arial" w:hAnsi="Arial"/>
                  <w:sz w:val="12"/>
                  <w:szCs w:val="12"/>
                  <w:color w:val="0000FF"/>
                </w:rPr>
                <w:t>September 22, 2014 and incorporated herein by 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10.41</w:t>
            </w:r>
          </w:p>
        </w:tc>
        <w:tc>
          <w:tcPr>
            <w:tcW w:w="9760" w:type="dxa"/>
            <w:vAlign w:val="bottom"/>
            <w:tcBorders>
              <w:bottom w:val="single" w:sz="8" w:color="0000FF"/>
            </w:tcBorders>
            <w:gridSpan w:val="18"/>
          </w:tcPr>
          <w:p>
            <w:pPr>
              <w:spacing w:after="0"/>
              <w:rPr>
                <w:rFonts w:ascii="Arial" w:cs="Arial" w:eastAsia="Arial" w:hAnsi="Arial"/>
                <w:sz w:val="12"/>
                <w:szCs w:val="12"/>
                <w:color w:val="0000FF"/>
                <w:w w:val="99"/>
              </w:rPr>
            </w:pPr>
            <w:hyperlink r:id="rId77">
              <w:r>
                <w:rPr>
                  <w:rFonts w:ascii="Arial" w:cs="Arial" w:eastAsia="Arial" w:hAnsi="Arial"/>
                  <w:sz w:val="12"/>
                  <w:szCs w:val="12"/>
                  <w:color w:val="0000FF"/>
                  <w:w w:val="99"/>
                </w:rPr>
                <w:t>Form of Restricted Stock Incentive Award Terms and Conditions (Performance-Based) (filed as Exhibit 10.1 to the Registrant's Current Report on Form 8-K filed February 10, 2015, and</w:t>
              </w:r>
            </w:hyperlink>
          </w:p>
        </w:tc>
        <w:tc>
          <w:tcPr>
            <w:tcW w:w="4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4"/>
          </w:tcPr>
          <w:p>
            <w:pPr>
              <w:spacing w:after="0" w:line="115" w:lineRule="exact"/>
              <w:rPr>
                <w:rFonts w:ascii="Arial" w:cs="Arial" w:eastAsia="Arial" w:hAnsi="Arial"/>
                <w:sz w:val="12"/>
                <w:szCs w:val="12"/>
                <w:color w:val="0000FF"/>
              </w:rPr>
            </w:pPr>
            <w:hyperlink r:id="rId77">
              <w:r>
                <w:rPr>
                  <w:rFonts w:ascii="Arial" w:cs="Arial" w:eastAsia="Arial" w:hAnsi="Arial"/>
                  <w:sz w:val="12"/>
                  <w:szCs w:val="12"/>
                  <w:color w:val="0000FF"/>
                </w:rPr>
                <w:t>incorporated herein by 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10.42</w:t>
            </w:r>
          </w:p>
        </w:tc>
        <w:tc>
          <w:tcPr>
            <w:tcW w:w="9780" w:type="dxa"/>
            <w:vAlign w:val="bottom"/>
            <w:tcBorders>
              <w:bottom w:val="single" w:sz="8" w:color="0000FF"/>
            </w:tcBorders>
            <w:gridSpan w:val="19"/>
          </w:tcPr>
          <w:p>
            <w:pPr>
              <w:spacing w:after="0"/>
              <w:rPr>
                <w:rFonts w:ascii="Arial" w:cs="Arial" w:eastAsia="Arial" w:hAnsi="Arial"/>
                <w:sz w:val="12"/>
                <w:szCs w:val="12"/>
                <w:color w:val="0000FF"/>
                <w:w w:val="99"/>
              </w:rPr>
            </w:pPr>
            <w:hyperlink r:id="rId78">
              <w:r>
                <w:rPr>
                  <w:rFonts w:ascii="Arial" w:cs="Arial" w:eastAsia="Arial" w:hAnsi="Arial"/>
                  <w:sz w:val="12"/>
                  <w:szCs w:val="12"/>
                  <w:color w:val="0000FF"/>
                  <w:w w:val="99"/>
                </w:rPr>
                <w:t>Form of Restricted Stock Unit Award for Non-Employee Directors Grant Agreement (filed as Exhibit 10.9 to Amendment No. 3 to the Registrant’s Information Statement on Form 10 filed</w:t>
              </w:r>
            </w:hyperlink>
          </w:p>
        </w:tc>
        <w:tc>
          <w:tcPr>
            <w:tcW w:w="3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4"/>
          </w:tcPr>
          <w:p>
            <w:pPr>
              <w:spacing w:after="0" w:line="115" w:lineRule="exact"/>
              <w:rPr>
                <w:rFonts w:ascii="Arial" w:cs="Arial" w:eastAsia="Arial" w:hAnsi="Arial"/>
                <w:sz w:val="12"/>
                <w:szCs w:val="12"/>
                <w:color w:val="0000FF"/>
              </w:rPr>
            </w:pPr>
            <w:hyperlink r:id="rId78">
              <w:r>
                <w:rPr>
                  <w:rFonts w:ascii="Arial" w:cs="Arial" w:eastAsia="Arial" w:hAnsi="Arial"/>
                  <w:sz w:val="12"/>
                  <w:szCs w:val="12"/>
                  <w:color w:val="0000FF"/>
                </w:rPr>
                <w:t>September 22, 2014 and incorporated herein by 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10.43</w:t>
            </w:r>
          </w:p>
        </w:tc>
        <w:tc>
          <w:tcPr>
            <w:tcW w:w="10160" w:type="dxa"/>
            <w:vAlign w:val="bottom"/>
            <w:gridSpan w:val="24"/>
          </w:tcPr>
          <w:p>
            <w:pPr>
              <w:spacing w:after="0"/>
              <w:rPr>
                <w:rFonts w:ascii="Arial" w:cs="Arial" w:eastAsia="Arial" w:hAnsi="Arial"/>
                <w:sz w:val="12"/>
                <w:szCs w:val="12"/>
                <w:color w:val="0000FF"/>
                <w:w w:val="99"/>
              </w:rPr>
            </w:pPr>
            <w:hyperlink r:id="rId79">
              <w:r>
                <w:rPr>
                  <w:rFonts w:ascii="Arial" w:cs="Arial" w:eastAsia="Arial" w:hAnsi="Arial"/>
                  <w:sz w:val="12"/>
                  <w:szCs w:val="12"/>
                  <w:color w:val="0000FF"/>
                  <w:w w:val="99"/>
                </w:rPr>
                <w:t>Form of Long-Term Incentive Award Terms and Conditions (Cash-based, Equity, and Cash-settled Award) (filed as Exhibit 10.10 to Amendment No. 3 to the Registrant’s Information Statement</w:t>
              </w:r>
            </w:hyperlink>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0120" w:type="dxa"/>
            <w:vAlign w:val="bottom"/>
            <w:tcBorders>
              <w:top w:val="single" w:sz="8" w:color="0000FF"/>
            </w:tcBorders>
            <w:gridSpan w:val="23"/>
          </w:tcPr>
          <w:p>
            <w:pPr>
              <w:spacing w:after="0" w:line="115" w:lineRule="exact"/>
              <w:rPr>
                <w:rFonts w:ascii="Arial" w:cs="Arial" w:eastAsia="Arial" w:hAnsi="Arial"/>
                <w:sz w:val="12"/>
                <w:szCs w:val="12"/>
                <w:color w:val="0000FF"/>
              </w:rPr>
            </w:pPr>
            <w:hyperlink r:id="rId79">
              <w:r>
                <w:rPr>
                  <w:rFonts w:ascii="Arial" w:cs="Arial" w:eastAsia="Arial" w:hAnsi="Arial"/>
                  <w:sz w:val="12"/>
                  <w:szCs w:val="12"/>
                  <w:color w:val="0000FF"/>
                </w:rPr>
                <w:t>on Form 10 filed September 22, 2014 and incorporated herein by reference).</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10.44</w:t>
            </w:r>
          </w:p>
        </w:tc>
        <w:tc>
          <w:tcPr>
            <w:tcW w:w="10160" w:type="dxa"/>
            <w:vAlign w:val="bottom"/>
            <w:gridSpan w:val="24"/>
          </w:tcPr>
          <w:p>
            <w:pPr>
              <w:spacing w:after="0"/>
              <w:rPr>
                <w:rFonts w:ascii="Arial" w:cs="Arial" w:eastAsia="Arial" w:hAnsi="Arial"/>
                <w:sz w:val="12"/>
                <w:szCs w:val="12"/>
                <w:color w:val="0000FF"/>
              </w:rPr>
            </w:pPr>
            <w:hyperlink r:id="rId80">
              <w:r>
                <w:rPr>
                  <w:rFonts w:ascii="Arial" w:cs="Arial" w:eastAsia="Arial" w:hAnsi="Arial"/>
                  <w:sz w:val="12"/>
                  <w:szCs w:val="12"/>
                  <w:color w:val="0000FF"/>
                </w:rPr>
                <w:t>Form of Restricted Stock Incentive Award Terms and Conditions (Replacement Award-Performance-Based) (filed as Exhibit 10.11 to Amendment No. 3 to the Registrant’s Information</w:t>
              </w:r>
            </w:hyperlink>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9640" w:type="dxa"/>
            <w:vAlign w:val="bottom"/>
            <w:tcBorders>
              <w:top w:val="single" w:sz="8" w:color="0000FF"/>
            </w:tcBorders>
            <w:gridSpan w:val="16"/>
          </w:tcPr>
          <w:p>
            <w:pPr>
              <w:spacing w:after="0" w:line="115" w:lineRule="exact"/>
              <w:rPr>
                <w:rFonts w:ascii="Arial" w:cs="Arial" w:eastAsia="Arial" w:hAnsi="Arial"/>
                <w:sz w:val="12"/>
                <w:szCs w:val="12"/>
                <w:color w:val="0000FF"/>
              </w:rPr>
            </w:pPr>
            <w:hyperlink r:id="rId80">
              <w:r>
                <w:rPr>
                  <w:rFonts w:ascii="Arial" w:cs="Arial" w:eastAsia="Arial" w:hAnsi="Arial"/>
                  <w:sz w:val="12"/>
                  <w:szCs w:val="12"/>
                  <w:color w:val="0000FF"/>
                </w:rPr>
                <w:t>Statement on Form 10 filed September 22, 2014 and incorporated herein by reference).</w:t>
              </w:r>
            </w:hyperlink>
          </w:p>
        </w:tc>
        <w:tc>
          <w:tcPr>
            <w:tcW w:w="52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10.45</w:t>
            </w:r>
          </w:p>
        </w:tc>
        <w:tc>
          <w:tcPr>
            <w:tcW w:w="10160" w:type="dxa"/>
            <w:vAlign w:val="bottom"/>
            <w:gridSpan w:val="24"/>
          </w:tcPr>
          <w:p>
            <w:pPr>
              <w:spacing w:after="0"/>
              <w:rPr>
                <w:rFonts w:ascii="Arial" w:cs="Arial" w:eastAsia="Arial" w:hAnsi="Arial"/>
                <w:sz w:val="12"/>
                <w:szCs w:val="12"/>
                <w:color w:val="0000FF"/>
              </w:rPr>
            </w:pPr>
            <w:hyperlink r:id="rId81">
              <w:r>
                <w:rPr>
                  <w:rFonts w:ascii="Arial" w:cs="Arial" w:eastAsia="Arial" w:hAnsi="Arial"/>
                  <w:sz w:val="12"/>
                  <w:szCs w:val="12"/>
                  <w:color w:val="0000FF"/>
                </w:rPr>
                <w:t>Form of Restricted Stock Incentive Award Terms and Conditions (Replacement Award-Not Performance-Based) (filed as Exhibit 10.12 to Amendment No. 3 to the Registrant’s Information</w:t>
              </w:r>
            </w:hyperlink>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9860" w:type="dxa"/>
            <w:vAlign w:val="bottom"/>
            <w:tcBorders>
              <w:top w:val="single" w:sz="8" w:color="0000FF"/>
            </w:tcBorders>
            <w:gridSpan w:val="21"/>
          </w:tcPr>
          <w:p>
            <w:pPr>
              <w:spacing w:after="0" w:line="115" w:lineRule="exact"/>
              <w:rPr>
                <w:rFonts w:ascii="Arial" w:cs="Arial" w:eastAsia="Arial" w:hAnsi="Arial"/>
                <w:sz w:val="12"/>
                <w:szCs w:val="12"/>
                <w:color w:val="0000FF"/>
              </w:rPr>
            </w:pPr>
            <w:hyperlink r:id="rId81">
              <w:r>
                <w:rPr>
                  <w:rFonts w:ascii="Arial" w:cs="Arial" w:eastAsia="Arial" w:hAnsi="Arial"/>
                  <w:sz w:val="12"/>
                  <w:szCs w:val="12"/>
                  <w:color w:val="0000FF"/>
                </w:rPr>
                <w:t>Statement on Form 10 filed September 22, 2014 and incorporated herein by reference).</w:t>
              </w:r>
            </w:hyperlink>
          </w:p>
        </w:tc>
        <w:tc>
          <w:tcPr>
            <w:tcW w:w="3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10.46</w:t>
            </w:r>
          </w:p>
        </w:tc>
        <w:tc>
          <w:tcPr>
            <w:tcW w:w="9720" w:type="dxa"/>
            <w:vAlign w:val="bottom"/>
            <w:tcBorders>
              <w:bottom w:val="single" w:sz="8" w:color="0000FF"/>
            </w:tcBorders>
            <w:gridSpan w:val="17"/>
          </w:tcPr>
          <w:p>
            <w:pPr>
              <w:spacing w:after="0"/>
              <w:rPr>
                <w:rFonts w:ascii="Arial" w:cs="Arial" w:eastAsia="Arial" w:hAnsi="Arial"/>
                <w:sz w:val="12"/>
                <w:szCs w:val="12"/>
                <w:color w:val="0000FF"/>
                <w:w w:val="99"/>
              </w:rPr>
            </w:pPr>
            <w:hyperlink r:id="rId82">
              <w:r>
                <w:rPr>
                  <w:rFonts w:ascii="Arial" w:cs="Arial" w:eastAsia="Arial" w:hAnsi="Arial"/>
                  <w:sz w:val="12"/>
                  <w:szCs w:val="12"/>
                  <w:color w:val="0000FF"/>
                  <w:w w:val="99"/>
                </w:rPr>
                <w:t>Form of Phantom Share Unit Award Terms and Conditions (Replacement Award) (filed as Exhibit 10.13 to Amendment No. 3 to the Registrant’s Information Statement on Form 10 filed</w:t>
              </w:r>
            </w:hyperlink>
          </w:p>
        </w:tc>
        <w:tc>
          <w:tcPr>
            <w:tcW w:w="4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4"/>
          </w:tcPr>
          <w:p>
            <w:pPr>
              <w:spacing w:after="0" w:line="115" w:lineRule="exact"/>
              <w:rPr>
                <w:rFonts w:ascii="Arial" w:cs="Arial" w:eastAsia="Arial" w:hAnsi="Arial"/>
                <w:sz w:val="12"/>
                <w:szCs w:val="12"/>
                <w:color w:val="0000FF"/>
              </w:rPr>
            </w:pPr>
            <w:hyperlink r:id="rId82">
              <w:r>
                <w:rPr>
                  <w:rFonts w:ascii="Arial" w:cs="Arial" w:eastAsia="Arial" w:hAnsi="Arial"/>
                  <w:sz w:val="12"/>
                  <w:szCs w:val="12"/>
                  <w:color w:val="0000FF"/>
                </w:rPr>
                <w:t>September 22, 2014 and incorporated herein by 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10.47</w:t>
            </w:r>
          </w:p>
        </w:tc>
        <w:tc>
          <w:tcPr>
            <w:tcW w:w="10160" w:type="dxa"/>
            <w:vAlign w:val="bottom"/>
            <w:gridSpan w:val="24"/>
          </w:tcPr>
          <w:p>
            <w:pPr>
              <w:spacing w:after="0"/>
              <w:rPr>
                <w:rFonts w:ascii="Arial" w:cs="Arial" w:eastAsia="Arial" w:hAnsi="Arial"/>
                <w:sz w:val="12"/>
                <w:szCs w:val="12"/>
                <w:color w:val="0000FF"/>
              </w:rPr>
            </w:pPr>
            <w:hyperlink r:id="rId83">
              <w:r>
                <w:rPr>
                  <w:rFonts w:ascii="Arial" w:cs="Arial" w:eastAsia="Arial" w:hAnsi="Arial"/>
                  <w:sz w:val="12"/>
                  <w:szCs w:val="12"/>
                  <w:color w:val="0000FF"/>
                </w:rPr>
                <w:t>California Resources Corporation 2014 Employee Stock Purchase Plan (filed as Exhibit 4.3 to the Registrant’s related Registration Statement on Form S-8 filed November 26, 2014 and</w:t>
              </w:r>
            </w:hyperlink>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9760" w:type="dxa"/>
            <w:vAlign w:val="bottom"/>
            <w:tcBorders>
              <w:top w:val="single" w:sz="8" w:color="0000FF"/>
            </w:tcBorders>
            <w:gridSpan w:val="18"/>
          </w:tcPr>
          <w:p>
            <w:pPr>
              <w:spacing w:after="0" w:line="115" w:lineRule="exact"/>
              <w:rPr>
                <w:rFonts w:ascii="Arial" w:cs="Arial" w:eastAsia="Arial" w:hAnsi="Arial"/>
                <w:sz w:val="12"/>
                <w:szCs w:val="12"/>
                <w:color w:val="0000FF"/>
              </w:rPr>
            </w:pPr>
            <w:hyperlink r:id="rId83">
              <w:r>
                <w:rPr>
                  <w:rFonts w:ascii="Arial" w:cs="Arial" w:eastAsia="Arial" w:hAnsi="Arial"/>
                  <w:sz w:val="12"/>
                  <w:szCs w:val="12"/>
                  <w:color w:val="0000FF"/>
                </w:rPr>
                <w:t>incorporated herein by reference).</w:t>
              </w:r>
            </w:hyperlink>
          </w:p>
        </w:tc>
        <w:tc>
          <w:tcPr>
            <w:tcW w:w="40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2"/>
                <w:szCs w:val="12"/>
                <w:color w:val="auto"/>
              </w:rPr>
              <w:t>10.48</w:t>
            </w:r>
          </w:p>
        </w:tc>
        <w:tc>
          <w:tcPr>
            <w:tcW w:w="9620" w:type="dxa"/>
            <w:vAlign w:val="bottom"/>
            <w:tcBorders>
              <w:bottom w:val="single" w:sz="8" w:color="0000FF"/>
            </w:tcBorders>
            <w:gridSpan w:val="15"/>
          </w:tcPr>
          <w:p>
            <w:pPr>
              <w:spacing w:after="0"/>
              <w:rPr>
                <w:rFonts w:ascii="Arial" w:cs="Arial" w:eastAsia="Arial" w:hAnsi="Arial"/>
                <w:sz w:val="12"/>
                <w:szCs w:val="12"/>
                <w:color w:val="0000FF"/>
                <w:w w:val="99"/>
              </w:rPr>
            </w:pPr>
            <w:hyperlink r:id="rId84">
              <w:r>
                <w:rPr>
                  <w:rFonts w:ascii="Arial" w:cs="Arial" w:eastAsia="Arial" w:hAnsi="Arial"/>
                  <w:sz w:val="12"/>
                  <w:szCs w:val="12"/>
                  <w:color w:val="0000FF"/>
                  <w:w w:val="99"/>
                </w:rPr>
                <w:t>Form of Indemnification Agreements (filed as Exhibit 10.14 to Amendment No. 3 Registrant’s Information Statement on Form 10 filed September 22, 2014 and incorporated herein by</w:t>
              </w:r>
            </w:hyperlink>
          </w:p>
        </w:tc>
        <w:tc>
          <w:tcPr>
            <w:tcW w:w="5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4"/>
          </w:tcPr>
          <w:p>
            <w:pPr>
              <w:spacing w:after="0" w:line="115" w:lineRule="exact"/>
              <w:rPr>
                <w:rFonts w:ascii="Arial" w:cs="Arial" w:eastAsia="Arial" w:hAnsi="Arial"/>
                <w:sz w:val="12"/>
                <w:szCs w:val="12"/>
                <w:color w:val="0000FF"/>
              </w:rPr>
            </w:pPr>
            <w:hyperlink r:id="rId84">
              <w:r>
                <w:rPr>
                  <w:rFonts w:ascii="Arial" w:cs="Arial" w:eastAsia="Arial" w:hAnsi="Arial"/>
                  <w:sz w:val="12"/>
                  <w:szCs w:val="12"/>
                  <w:color w:val="0000FF"/>
                </w:rPr>
                <w:t>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60" w:type="dxa"/>
            <w:vAlign w:val="bottom"/>
          </w:tcPr>
          <w:p>
            <w:pPr>
              <w:spacing w:after="0"/>
              <w:rPr>
                <w:sz w:val="20"/>
                <w:szCs w:val="20"/>
                <w:color w:val="auto"/>
              </w:rPr>
            </w:pPr>
            <w:r>
              <w:rPr>
                <w:rFonts w:ascii="Arial" w:cs="Arial" w:eastAsia="Arial" w:hAnsi="Arial"/>
                <w:sz w:val="12"/>
                <w:szCs w:val="12"/>
                <w:color w:val="auto"/>
              </w:rPr>
              <w:t>10.49</w:t>
            </w:r>
          </w:p>
        </w:tc>
        <w:tc>
          <w:tcPr>
            <w:tcW w:w="9920" w:type="dxa"/>
            <w:vAlign w:val="bottom"/>
            <w:tcBorders>
              <w:bottom w:val="single" w:sz="8" w:color="0000FF"/>
            </w:tcBorders>
            <w:gridSpan w:val="22"/>
          </w:tcPr>
          <w:p>
            <w:pPr>
              <w:spacing w:after="0"/>
              <w:rPr>
                <w:rFonts w:ascii="Arial" w:cs="Arial" w:eastAsia="Arial" w:hAnsi="Arial"/>
                <w:sz w:val="12"/>
                <w:szCs w:val="12"/>
                <w:color w:val="0000FF"/>
                <w:w w:val="99"/>
              </w:rPr>
            </w:pPr>
            <w:hyperlink r:id="rId85">
              <w:r>
                <w:rPr>
                  <w:rFonts w:ascii="Arial" w:cs="Arial" w:eastAsia="Arial" w:hAnsi="Arial"/>
                  <w:sz w:val="12"/>
                  <w:szCs w:val="12"/>
                  <w:color w:val="0000FF"/>
                  <w:w w:val="99"/>
                </w:rPr>
                <w:t>First Amendment to the California Resources Corporation 2014 Employee Stock Purchase Plan effective May 4, 2016 (filed as Annex C-1 to the Registrant’s Definitive Proxy Statement on</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Pr>
          <w:p>
            <w:pPr>
              <w:spacing w:after="0"/>
              <w:rPr>
                <w:sz w:val="10"/>
                <w:szCs w:val="10"/>
                <w:color w:val="auto"/>
              </w:rPr>
            </w:pPr>
          </w:p>
        </w:tc>
        <w:tc>
          <w:tcPr>
            <w:tcW w:w="10160" w:type="dxa"/>
            <w:vAlign w:val="bottom"/>
            <w:gridSpan w:val="24"/>
          </w:tcPr>
          <w:p>
            <w:pPr>
              <w:spacing w:after="0" w:line="115" w:lineRule="exact"/>
              <w:rPr>
                <w:rFonts w:ascii="Arial" w:cs="Arial" w:eastAsia="Arial" w:hAnsi="Arial"/>
                <w:sz w:val="12"/>
                <w:szCs w:val="12"/>
                <w:color w:val="0000FF"/>
              </w:rPr>
            </w:pPr>
            <w:hyperlink r:id="rId85">
              <w:r>
                <w:rPr>
                  <w:rFonts w:ascii="Arial" w:cs="Arial" w:eastAsia="Arial" w:hAnsi="Arial"/>
                  <w:sz w:val="12"/>
                  <w:szCs w:val="12"/>
                  <w:color w:val="0000FF"/>
                </w:rPr>
                <w:t>Schedule 14A filed March 23, 2016 and incorporated herein by reference).</w:t>
              </w:r>
            </w:hyperlink>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r>
              <w:rPr>
                <w:rFonts w:ascii="Arial" w:cs="Arial" w:eastAsia="Arial" w:hAnsi="Arial"/>
                <w:sz w:val="12"/>
                <w:szCs w:val="12"/>
                <w:color w:val="auto"/>
              </w:rPr>
              <w:t>12*</w:t>
            </w:r>
          </w:p>
        </w:tc>
        <w:tc>
          <w:tcPr>
            <w:tcW w:w="3940" w:type="dxa"/>
            <w:vAlign w:val="bottom"/>
            <w:tcBorders>
              <w:top w:val="single" w:sz="8" w:color="0000FF"/>
            </w:tcBorders>
            <w:gridSpan w:val="8"/>
          </w:tcPr>
          <w:p>
            <w:pPr>
              <w:spacing w:after="0"/>
              <w:rPr>
                <w:rFonts w:ascii="Arial" w:cs="Arial" w:eastAsia="Arial" w:hAnsi="Arial"/>
                <w:sz w:val="12"/>
                <w:szCs w:val="12"/>
                <w:color w:val="0000FF"/>
              </w:rPr>
            </w:pPr>
            <w:hyperlink w:anchor="page133">
              <w:r>
                <w:rPr>
                  <w:rFonts w:ascii="Arial" w:cs="Arial" w:eastAsia="Arial" w:hAnsi="Arial"/>
                  <w:sz w:val="12"/>
                  <w:szCs w:val="12"/>
                  <w:color w:val="0000FF"/>
                </w:rPr>
                <w:t>Computation of Ratio of Earnings to Fixed Charges.</w:t>
              </w:r>
            </w:hyperlink>
          </w:p>
        </w:tc>
        <w:tc>
          <w:tcPr>
            <w:tcW w:w="62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2"/>
                <w:szCs w:val="12"/>
                <w:color w:val="auto"/>
              </w:rPr>
              <w:t>21*</w:t>
            </w:r>
          </w:p>
        </w:tc>
        <w:tc>
          <w:tcPr>
            <w:tcW w:w="24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260" w:type="dxa"/>
            <w:vAlign w:val="bottom"/>
            <w:vMerge w:val="continue"/>
          </w:tcPr>
          <w:p>
            <w:pPr>
              <w:spacing w:after="0"/>
              <w:rPr>
                <w:sz w:val="20"/>
                <w:szCs w:val="20"/>
                <w:color w:val="auto"/>
              </w:rPr>
            </w:pPr>
          </w:p>
        </w:tc>
        <w:tc>
          <w:tcPr>
            <w:tcW w:w="10160" w:type="dxa"/>
            <w:vAlign w:val="bottom"/>
            <w:gridSpan w:val="24"/>
          </w:tcPr>
          <w:p>
            <w:pPr>
              <w:spacing w:after="0"/>
              <w:rPr>
                <w:rFonts w:ascii="Arial" w:cs="Arial" w:eastAsia="Arial" w:hAnsi="Arial"/>
                <w:sz w:val="12"/>
                <w:szCs w:val="12"/>
                <w:color w:val="0000FF"/>
              </w:rPr>
            </w:pPr>
            <w:hyperlink w:anchor="page134">
              <w:r>
                <w:rPr>
                  <w:rFonts w:ascii="Arial" w:cs="Arial" w:eastAsia="Arial" w:hAnsi="Arial"/>
                  <w:sz w:val="12"/>
                  <w:szCs w:val="12"/>
                  <w:color w:val="0000FF"/>
                </w:rPr>
                <w:t>List of Subsidiaries of California Resources Corporation.</w:t>
              </w:r>
            </w:hyperlink>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2"/>
                <w:szCs w:val="12"/>
                <w:color w:val="auto"/>
              </w:rPr>
              <w:t>23.1*</w:t>
            </w:r>
          </w:p>
        </w:tc>
        <w:tc>
          <w:tcPr>
            <w:tcW w:w="2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260" w:type="dxa"/>
            <w:vAlign w:val="bottom"/>
            <w:vMerge w:val="continue"/>
          </w:tcPr>
          <w:p>
            <w:pPr>
              <w:spacing w:after="0"/>
              <w:rPr>
                <w:sz w:val="20"/>
                <w:szCs w:val="20"/>
                <w:color w:val="auto"/>
              </w:rPr>
            </w:pPr>
          </w:p>
        </w:tc>
        <w:tc>
          <w:tcPr>
            <w:tcW w:w="10160" w:type="dxa"/>
            <w:vAlign w:val="bottom"/>
            <w:gridSpan w:val="24"/>
          </w:tcPr>
          <w:p>
            <w:pPr>
              <w:spacing w:after="0"/>
              <w:rPr>
                <w:rFonts w:ascii="Arial" w:cs="Arial" w:eastAsia="Arial" w:hAnsi="Arial"/>
                <w:sz w:val="12"/>
                <w:szCs w:val="12"/>
                <w:color w:val="0000FF"/>
              </w:rPr>
            </w:pPr>
            <w:hyperlink w:anchor="page135">
              <w:r>
                <w:rPr>
                  <w:rFonts w:ascii="Arial" w:cs="Arial" w:eastAsia="Arial" w:hAnsi="Arial"/>
                  <w:sz w:val="12"/>
                  <w:szCs w:val="12"/>
                  <w:color w:val="0000FF"/>
                </w:rPr>
                <w:t>Consent of Independent Registered Public Accounting Firm.</w:t>
              </w:r>
            </w:hyperlink>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r>
              <w:rPr>
                <w:rFonts w:ascii="Arial" w:cs="Arial" w:eastAsia="Arial" w:hAnsi="Arial"/>
                <w:sz w:val="12"/>
                <w:szCs w:val="12"/>
                <w:color w:val="auto"/>
              </w:rPr>
              <w:t>23.2*</w:t>
            </w:r>
          </w:p>
        </w:tc>
        <w:tc>
          <w:tcPr>
            <w:tcW w:w="3180" w:type="dxa"/>
            <w:vAlign w:val="bottom"/>
            <w:tcBorders>
              <w:top w:val="single" w:sz="8" w:color="0000FF"/>
            </w:tcBorders>
            <w:gridSpan w:val="7"/>
          </w:tcPr>
          <w:p>
            <w:pPr>
              <w:spacing w:after="0"/>
              <w:rPr>
                <w:rFonts w:ascii="Arial" w:cs="Arial" w:eastAsia="Arial" w:hAnsi="Arial"/>
                <w:sz w:val="12"/>
                <w:szCs w:val="12"/>
                <w:color w:val="0000FF"/>
              </w:rPr>
            </w:pPr>
            <w:hyperlink w:anchor="page136">
              <w:r>
                <w:rPr>
                  <w:rFonts w:ascii="Arial" w:cs="Arial" w:eastAsia="Arial" w:hAnsi="Arial"/>
                  <w:sz w:val="12"/>
                  <w:szCs w:val="12"/>
                  <w:color w:val="0000FF"/>
                </w:rPr>
                <w:t>Consent of Independent Petroleum Engineers.</w:t>
              </w:r>
            </w:hyperlink>
          </w:p>
        </w:tc>
        <w:tc>
          <w:tcPr>
            <w:tcW w:w="698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2"/>
                <w:szCs w:val="12"/>
                <w:color w:val="auto"/>
              </w:rPr>
              <w:t>31.1*</w:t>
            </w:r>
          </w:p>
        </w:tc>
        <w:tc>
          <w:tcPr>
            <w:tcW w:w="2460" w:type="dxa"/>
            <w:vAlign w:val="bottom"/>
            <w:gridSpan w:val="3"/>
            <w:shd w:val="clear" w:color="auto" w:fill="0000FF"/>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260" w:type="dxa"/>
            <w:vAlign w:val="bottom"/>
            <w:vMerge w:val="continue"/>
          </w:tcPr>
          <w:p>
            <w:pPr>
              <w:spacing w:after="0"/>
              <w:rPr>
                <w:sz w:val="20"/>
                <w:szCs w:val="20"/>
                <w:color w:val="auto"/>
              </w:rPr>
            </w:pPr>
          </w:p>
        </w:tc>
        <w:tc>
          <w:tcPr>
            <w:tcW w:w="10160" w:type="dxa"/>
            <w:vAlign w:val="bottom"/>
            <w:gridSpan w:val="24"/>
          </w:tcPr>
          <w:p>
            <w:pPr>
              <w:spacing w:after="0"/>
              <w:rPr>
                <w:rFonts w:ascii="Arial" w:cs="Arial" w:eastAsia="Arial" w:hAnsi="Arial"/>
                <w:sz w:val="12"/>
                <w:szCs w:val="12"/>
                <w:color w:val="0000FF"/>
              </w:rPr>
            </w:pPr>
            <w:hyperlink w:anchor="page137">
              <w:r>
                <w:rPr>
                  <w:rFonts w:ascii="Arial" w:cs="Arial" w:eastAsia="Arial" w:hAnsi="Arial"/>
                  <w:sz w:val="12"/>
                  <w:szCs w:val="12"/>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r>
              <w:rPr>
                <w:rFonts w:ascii="Arial" w:cs="Arial" w:eastAsia="Arial" w:hAnsi="Arial"/>
                <w:sz w:val="12"/>
                <w:szCs w:val="12"/>
                <w:color w:val="auto"/>
              </w:rPr>
              <w:t>31.2*</w:t>
            </w:r>
          </w:p>
        </w:tc>
        <w:tc>
          <w:tcPr>
            <w:tcW w:w="5220" w:type="dxa"/>
            <w:vAlign w:val="bottom"/>
            <w:tcBorders>
              <w:top w:val="single" w:sz="8" w:color="0000FF"/>
            </w:tcBorders>
            <w:gridSpan w:val="12"/>
          </w:tcPr>
          <w:p>
            <w:pPr>
              <w:spacing w:after="0"/>
              <w:rPr>
                <w:rFonts w:ascii="Arial" w:cs="Arial" w:eastAsia="Arial" w:hAnsi="Arial"/>
                <w:sz w:val="12"/>
                <w:szCs w:val="12"/>
                <w:color w:val="0000FF"/>
              </w:rPr>
            </w:pPr>
            <w:hyperlink w:anchor="page138">
              <w:r>
                <w:rPr>
                  <w:rFonts w:ascii="Arial" w:cs="Arial" w:eastAsia="Arial" w:hAnsi="Arial"/>
                  <w:sz w:val="12"/>
                  <w:szCs w:val="12"/>
                  <w:color w:val="0000FF"/>
                </w:rPr>
                <w:t>Certification of Chief Financial Officer pursuant to Section 302 of the Sarbanes-Oxley Act of 2002.</w:t>
              </w:r>
            </w:hyperlink>
          </w:p>
        </w:tc>
        <w:tc>
          <w:tcPr>
            <w:tcW w:w="494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2"/>
                <w:szCs w:val="12"/>
                <w:color w:val="auto"/>
              </w:rPr>
              <w:t>32.1*</w:t>
            </w:r>
          </w:p>
        </w:tc>
        <w:tc>
          <w:tcPr>
            <w:tcW w:w="5180" w:type="dxa"/>
            <w:vAlign w:val="bottom"/>
            <w:gridSpan w:val="11"/>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260" w:type="dxa"/>
            <w:vAlign w:val="bottom"/>
            <w:vMerge w:val="continue"/>
          </w:tcPr>
          <w:p>
            <w:pPr>
              <w:spacing w:after="0"/>
              <w:rPr>
                <w:sz w:val="20"/>
                <w:szCs w:val="20"/>
                <w:color w:val="auto"/>
              </w:rPr>
            </w:pPr>
          </w:p>
        </w:tc>
        <w:tc>
          <w:tcPr>
            <w:tcW w:w="10160" w:type="dxa"/>
            <w:vAlign w:val="bottom"/>
            <w:gridSpan w:val="24"/>
          </w:tcPr>
          <w:p>
            <w:pPr>
              <w:spacing w:after="0"/>
              <w:rPr>
                <w:rFonts w:ascii="Arial" w:cs="Arial" w:eastAsia="Arial" w:hAnsi="Arial"/>
                <w:sz w:val="12"/>
                <w:szCs w:val="12"/>
                <w:color w:val="0000FF"/>
              </w:rPr>
            </w:pPr>
            <w:hyperlink w:anchor="page139">
              <w:r>
                <w:rPr>
                  <w:rFonts w:ascii="Arial" w:cs="Arial" w:eastAsia="Arial" w:hAnsi="Arial"/>
                  <w:sz w:val="12"/>
                  <w:szCs w:val="12"/>
                  <w:color w:val="0000FF"/>
                </w:rPr>
                <w:t>Certifications of Chief Executive Officer and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2"/>
                <w:szCs w:val="12"/>
                <w:color w:val="auto"/>
              </w:rPr>
              <w:t>99.1*</w:t>
            </w:r>
          </w:p>
        </w:tc>
        <w:tc>
          <w:tcPr>
            <w:tcW w:w="6720" w:type="dxa"/>
            <w:vAlign w:val="bottom"/>
            <w:gridSpan w:val="1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260" w:type="dxa"/>
            <w:vAlign w:val="bottom"/>
            <w:vMerge w:val="continue"/>
          </w:tcPr>
          <w:p>
            <w:pPr>
              <w:spacing w:after="0"/>
              <w:rPr>
                <w:sz w:val="20"/>
                <w:szCs w:val="20"/>
                <w:color w:val="auto"/>
              </w:rPr>
            </w:pPr>
          </w:p>
        </w:tc>
        <w:tc>
          <w:tcPr>
            <w:tcW w:w="7020" w:type="dxa"/>
            <w:vAlign w:val="bottom"/>
            <w:tcBorders>
              <w:bottom w:val="single" w:sz="8" w:color="0000FF"/>
            </w:tcBorders>
            <w:gridSpan w:val="14"/>
          </w:tcPr>
          <w:p>
            <w:pPr>
              <w:spacing w:after="0"/>
              <w:rPr>
                <w:rFonts w:ascii="Arial" w:cs="Arial" w:eastAsia="Arial" w:hAnsi="Arial"/>
                <w:sz w:val="12"/>
                <w:szCs w:val="12"/>
                <w:color w:val="0000FF"/>
                <w:w w:val="99"/>
              </w:rPr>
            </w:pPr>
            <w:hyperlink w:anchor="page140">
              <w:r>
                <w:rPr>
                  <w:rFonts w:ascii="Arial" w:cs="Arial" w:eastAsia="Arial" w:hAnsi="Arial"/>
                  <w:sz w:val="12"/>
                  <w:szCs w:val="12"/>
                  <w:color w:val="0000FF"/>
                  <w:w w:val="99"/>
                </w:rPr>
                <w:t>Ryder Scott Company Estimated Future Reserves Attributable to Certain Leasehold and Royalty Interests as of December 31, 2017.</w:t>
              </w:r>
            </w:hyperlink>
          </w:p>
        </w:tc>
        <w:tc>
          <w:tcPr>
            <w:tcW w:w="31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260" w:type="dxa"/>
            <w:vAlign w:val="bottom"/>
          </w:tcPr>
          <w:p>
            <w:pPr>
              <w:spacing w:after="0"/>
              <w:rPr>
                <w:sz w:val="20"/>
                <w:szCs w:val="20"/>
                <w:color w:val="auto"/>
              </w:rPr>
            </w:pPr>
            <w:r>
              <w:rPr>
                <w:rFonts w:ascii="Arial" w:cs="Arial" w:eastAsia="Arial" w:hAnsi="Arial"/>
                <w:sz w:val="12"/>
                <w:szCs w:val="12"/>
                <w:color w:val="auto"/>
              </w:rPr>
              <w:t>101.INS*</w:t>
            </w:r>
          </w:p>
        </w:tc>
        <w:tc>
          <w:tcPr>
            <w:tcW w:w="10160" w:type="dxa"/>
            <w:vAlign w:val="bottom"/>
            <w:gridSpan w:val="24"/>
          </w:tcPr>
          <w:p>
            <w:pPr>
              <w:spacing w:after="0"/>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0"/>
                <w:szCs w:val="20"/>
                <w:color w:val="auto"/>
              </w:rPr>
            </w:pPr>
            <w:r>
              <w:rPr>
                <w:rFonts w:ascii="Arial" w:cs="Arial" w:eastAsia="Arial" w:hAnsi="Arial"/>
                <w:sz w:val="12"/>
                <w:szCs w:val="12"/>
                <w:color w:val="auto"/>
              </w:rPr>
              <w:t>101.SCH*</w:t>
            </w:r>
          </w:p>
        </w:tc>
        <w:tc>
          <w:tcPr>
            <w:tcW w:w="10160" w:type="dxa"/>
            <w:vAlign w:val="bottom"/>
            <w:gridSpan w:val="24"/>
          </w:tcPr>
          <w:p>
            <w:pPr>
              <w:spacing w:after="0"/>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0"/>
                <w:szCs w:val="20"/>
                <w:color w:val="auto"/>
              </w:rPr>
            </w:pPr>
            <w:r>
              <w:rPr>
                <w:rFonts w:ascii="Arial" w:cs="Arial" w:eastAsia="Arial" w:hAnsi="Arial"/>
                <w:sz w:val="12"/>
                <w:szCs w:val="12"/>
                <w:color w:val="auto"/>
              </w:rPr>
              <w:t>101.CAL*</w:t>
            </w:r>
          </w:p>
        </w:tc>
        <w:tc>
          <w:tcPr>
            <w:tcW w:w="10160" w:type="dxa"/>
            <w:vAlign w:val="bottom"/>
            <w:gridSpan w:val="24"/>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0"/>
                <w:szCs w:val="20"/>
                <w:color w:val="auto"/>
              </w:rPr>
            </w:pPr>
            <w:r>
              <w:rPr>
                <w:rFonts w:ascii="Arial" w:cs="Arial" w:eastAsia="Arial" w:hAnsi="Arial"/>
                <w:sz w:val="12"/>
                <w:szCs w:val="12"/>
                <w:color w:val="auto"/>
              </w:rPr>
              <w:t>101.LAB*</w:t>
            </w:r>
          </w:p>
        </w:tc>
        <w:tc>
          <w:tcPr>
            <w:tcW w:w="10160" w:type="dxa"/>
            <w:vAlign w:val="bottom"/>
            <w:gridSpan w:val="24"/>
          </w:tcPr>
          <w:p>
            <w:pPr>
              <w:spacing w:after="0"/>
              <w:rPr>
                <w:sz w:val="20"/>
                <w:szCs w:val="20"/>
                <w:color w:val="auto"/>
              </w:rPr>
            </w:pPr>
            <w:r>
              <w:rPr>
                <w:rFonts w:ascii="Arial" w:cs="Arial" w:eastAsia="Arial" w:hAnsi="Arial"/>
                <w:sz w:val="12"/>
                <w:szCs w:val="12"/>
                <w:color w:val="auto"/>
              </w:rPr>
              <w:t>XBRL Taxonomy Extension Labels Linkbase Document.</w:t>
            </w: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0"/>
                <w:szCs w:val="20"/>
                <w:color w:val="auto"/>
              </w:rPr>
            </w:pPr>
            <w:r>
              <w:rPr>
                <w:rFonts w:ascii="Arial" w:cs="Arial" w:eastAsia="Arial" w:hAnsi="Arial"/>
                <w:sz w:val="12"/>
                <w:szCs w:val="12"/>
                <w:color w:val="auto"/>
              </w:rPr>
              <w:t>101.PRE*</w:t>
            </w:r>
          </w:p>
        </w:tc>
        <w:tc>
          <w:tcPr>
            <w:tcW w:w="10160" w:type="dxa"/>
            <w:vAlign w:val="bottom"/>
            <w:gridSpan w:val="24"/>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0"/>
                <w:szCs w:val="20"/>
                <w:color w:val="auto"/>
              </w:rPr>
            </w:pPr>
            <w:r>
              <w:rPr>
                <w:rFonts w:ascii="Arial" w:cs="Arial" w:eastAsia="Arial" w:hAnsi="Arial"/>
                <w:sz w:val="12"/>
                <w:szCs w:val="12"/>
                <w:color w:val="auto"/>
              </w:rPr>
              <w:t>101.DEF*</w:t>
            </w:r>
          </w:p>
        </w:tc>
        <w:tc>
          <w:tcPr>
            <w:tcW w:w="10160" w:type="dxa"/>
            <w:vAlign w:val="bottom"/>
            <w:gridSpan w:val="24"/>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4640" w:type="dxa"/>
            <w:vAlign w:val="bottom"/>
            <w:gridSpan w:val="10"/>
          </w:tcPr>
          <w:p>
            <w:pPr>
              <w:ind w:left="4360"/>
              <w:spacing w:after="0"/>
              <w:rPr>
                <w:sz w:val="20"/>
                <w:szCs w:val="20"/>
                <w:color w:val="auto"/>
              </w:rPr>
            </w:pPr>
            <w:r>
              <w:rPr>
                <w:rFonts w:ascii="Arial" w:cs="Arial" w:eastAsia="Arial" w:hAnsi="Arial"/>
                <w:sz w:val="12"/>
                <w:szCs w:val="12"/>
                <w:color w:val="auto"/>
              </w:rPr>
              <w:t>129</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9" w:right="239" w:bottom="1440" w:gutter="0" w:footer="0" w:header="0"/>
        </w:sectPr>
      </w:pPr>
    </w:p>
    <w:bookmarkStart w:id="129" w:name="page130"/>
    <w:bookmarkEnd w:id="129"/>
    <w:p>
      <w:pPr>
        <w:spacing w:after="0"/>
        <w:rPr>
          <w:sz w:val="20"/>
          <w:szCs w:val="20"/>
          <w:color w:val="auto"/>
        </w:rPr>
      </w:pPr>
      <w:r>
        <w:rPr>
          <w:rFonts w:ascii="Arial" w:cs="Arial" w:eastAsia="Arial" w:hAnsi="Arial"/>
          <w:sz w:val="12"/>
          <w:szCs w:val="12"/>
          <w:color w:val="auto"/>
        </w:rPr>
        <w:t>* - Filed herewith.</w:t>
      </w:r>
    </w:p>
    <w:p>
      <w:pPr>
        <w:spacing w:after="0" w:line="168" w:lineRule="exact"/>
        <w:rPr>
          <w:sz w:val="20"/>
          <w:szCs w:val="20"/>
          <w:color w:val="auto"/>
        </w:rPr>
      </w:pPr>
    </w:p>
    <w:p>
      <w:pPr>
        <w:jc w:val="right"/>
        <w:ind w:right="4399"/>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0239"/>
          </w:cols>
          <w:pgMar w:left="220" w:top="301" w:right="1440" w:bottom="1440" w:gutter="0" w:footer="0" w:header="0"/>
        </w:sectPr>
      </w:pPr>
    </w:p>
    <w:bookmarkStart w:id="130" w:name="page131"/>
    <w:bookmarkEnd w:id="130"/>
    <w:p>
      <w:pPr>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14" w:lineRule="exact"/>
        <w:rPr>
          <w:sz w:val="20"/>
          <w:szCs w:val="20"/>
          <w:color w:val="auto"/>
        </w:rPr>
      </w:pPr>
    </w:p>
    <w:p>
      <w:pPr>
        <w:ind w:left="5760"/>
        <w:spacing w:after="0"/>
        <w:rPr>
          <w:sz w:val="20"/>
          <w:szCs w:val="20"/>
          <w:color w:val="auto"/>
        </w:rPr>
      </w:pPr>
      <w:r>
        <w:rPr>
          <w:rFonts w:ascii="Arial" w:cs="Arial" w:eastAsia="Arial" w:hAnsi="Arial"/>
          <w:sz w:val="12"/>
          <w:szCs w:val="12"/>
          <w:color w:val="auto"/>
        </w:rPr>
        <w:t>CALIFORNIA RESOURCES CORPORATION</w:t>
      </w:r>
    </w:p>
    <w:p>
      <w:pPr>
        <w:sectPr>
          <w:pgSz w:w="11900" w:h="16838" w:orient="portrait"/>
          <w:cols w:equalWidth="0" w:num="1">
            <w:col w:w="11160"/>
          </w:cols>
          <w:pgMar w:left="220" w:top="287" w:right="51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1"/>
          <w:szCs w:val="11"/>
          <w:color w:val="auto"/>
        </w:rPr>
        <w:t>February 26, 2018</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17145</wp:posOffset>
            </wp:positionV>
            <wp:extent cx="335153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6">
                      <a:extLst>
                        <a:ext uri="{28A0092B-C50C-407E-A947-70E740481C1C}"/>
                      </a:extLst>
                    </a:blip>
                    <a:srcRect/>
                    <a:stretch>
                      <a:fillRect/>
                    </a:stretch>
                  </pic:blipFill>
                  <pic:spPr bwMode="auto">
                    <a:xfrm>
                      <a:off x="0" y="0"/>
                      <a:ext cx="3351530" cy="571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3">
            <w:col w:w="5040" w:space="720"/>
            <w:col w:w="1840" w:space="720"/>
            <w:col w:w="2840"/>
          </w:cols>
          <w:pgMar w:left="220" w:top="287" w:right="519" w:bottom="1440" w:gutter="0" w:footer="0" w:header="0"/>
          <w:type w:val="continuous"/>
        </w:sectPr>
      </w:pPr>
    </w:p>
    <w:p>
      <w:pPr>
        <w:jc w:val="center"/>
        <w:ind w:left="6220"/>
        <w:spacing w:after="0"/>
        <w:rPr>
          <w:sz w:val="20"/>
          <w:szCs w:val="20"/>
          <w:color w:val="auto"/>
        </w:rPr>
      </w:pPr>
      <w:r>
        <w:rPr>
          <w:rFonts w:ascii="Arial" w:cs="Arial" w:eastAsia="Arial" w:hAnsi="Arial"/>
          <w:sz w:val="12"/>
          <w:szCs w:val="12"/>
          <w:color w:val="auto"/>
        </w:rPr>
        <w:t>Todd A. Stevens</w:t>
      </w:r>
    </w:p>
    <w:p>
      <w:pPr>
        <w:spacing w:after="0" w:line="33" w:lineRule="exact"/>
        <w:rPr>
          <w:sz w:val="20"/>
          <w:szCs w:val="20"/>
          <w:color w:val="auto"/>
        </w:rPr>
      </w:pPr>
    </w:p>
    <w:p>
      <w:pPr>
        <w:jc w:val="center"/>
        <w:ind w:left="6220"/>
        <w:spacing w:after="0"/>
        <w:rPr>
          <w:sz w:val="20"/>
          <w:szCs w:val="20"/>
          <w:color w:val="auto"/>
        </w:rPr>
      </w:pPr>
      <w:r>
        <w:rPr>
          <w:rFonts w:ascii="Arial" w:cs="Arial" w:eastAsia="Arial" w:hAnsi="Arial"/>
          <w:sz w:val="12"/>
          <w:szCs w:val="12"/>
          <w:color w:val="auto"/>
        </w:rPr>
        <w:t>President</w:t>
      </w:r>
    </w:p>
    <w:p>
      <w:pPr>
        <w:spacing w:after="0" w:line="33" w:lineRule="exact"/>
        <w:rPr>
          <w:sz w:val="20"/>
          <w:szCs w:val="20"/>
          <w:color w:val="auto"/>
        </w:rPr>
      </w:pPr>
    </w:p>
    <w:p>
      <w:pPr>
        <w:jc w:val="center"/>
        <w:ind w:left="6220"/>
        <w:spacing w:after="0"/>
        <w:rPr>
          <w:sz w:val="20"/>
          <w:szCs w:val="20"/>
          <w:color w:val="auto"/>
        </w:rPr>
      </w:pPr>
      <w:r>
        <w:rPr>
          <w:rFonts w:ascii="Arial" w:cs="Arial" w:eastAsia="Arial" w:hAnsi="Arial"/>
          <w:sz w:val="12"/>
          <w:szCs w:val="12"/>
          <w:color w:val="auto"/>
        </w:rPr>
        <w:t>and Chief Executive Officer</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0" w:type="dxa"/>
            <w:vAlign w:val="bottom"/>
          </w:tcPr>
          <w:p>
            <w:pPr>
              <w:jc w:val="center"/>
              <w:spacing w:after="0"/>
              <w:rPr>
                <w:sz w:val="20"/>
                <w:szCs w:val="20"/>
                <w:color w:val="auto"/>
              </w:rPr>
            </w:pPr>
            <w:r>
              <w:rPr>
                <w:rFonts w:ascii="Arial" w:cs="Arial" w:eastAsia="Arial" w:hAnsi="Arial"/>
                <w:sz w:val="10"/>
                <w:szCs w:val="10"/>
                <w:b w:val="1"/>
                <w:bCs w:val="1"/>
                <w:color w:val="auto"/>
                <w:w w:val="97"/>
              </w:rPr>
              <w:t>Title</w:t>
            </w:r>
          </w:p>
        </w:tc>
        <w:tc>
          <w:tcPr>
            <w:tcW w:w="1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Date</w:t>
            </w:r>
          </w:p>
        </w:tc>
      </w:tr>
      <w:tr>
        <w:trPr>
          <w:trHeight w:val="20"/>
        </w:trPr>
        <w:tc>
          <w:tcPr>
            <w:tcW w:w="4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49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9"/>
              </w:rPr>
              <w:t>/s/ Todd A. Stevens</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President,</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40"/>
              <w:spacing w:after="0"/>
              <w:rPr>
                <w:sz w:val="20"/>
                <w:szCs w:val="20"/>
                <w:color w:val="auto"/>
              </w:rPr>
            </w:pPr>
            <w:r>
              <w:rPr>
                <w:rFonts w:ascii="Arial" w:cs="Arial" w:eastAsia="Arial" w:hAnsi="Arial"/>
                <w:sz w:val="12"/>
                <w:szCs w:val="12"/>
                <w:color w:val="auto"/>
                <w:w w:val="99"/>
              </w:rPr>
              <w:t>Todd A. Stevens</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Chief Executive Officer and 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9"/>
              </w:rPr>
              <w:t>/s/ Marshall D. Smith</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Senior Executive Vice President and</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60"/>
              <w:spacing w:after="0"/>
              <w:rPr>
                <w:sz w:val="20"/>
                <w:szCs w:val="20"/>
                <w:color w:val="auto"/>
              </w:rPr>
            </w:pPr>
            <w:r>
              <w:rPr>
                <w:rFonts w:ascii="Arial" w:cs="Arial" w:eastAsia="Arial" w:hAnsi="Arial"/>
                <w:sz w:val="12"/>
                <w:szCs w:val="12"/>
                <w:color w:val="auto"/>
                <w:w w:val="99"/>
              </w:rPr>
              <w:t>Marshall D. Smith</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Chief Financial Officer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rPr>
              <w:t>/s/ Roy Pineci</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rPr>
              <w:t>Executive Vice President - Finance and</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60"/>
              <w:spacing w:after="0"/>
              <w:rPr>
                <w:sz w:val="20"/>
                <w:szCs w:val="20"/>
                <w:color w:val="auto"/>
              </w:rPr>
            </w:pPr>
            <w:r>
              <w:rPr>
                <w:rFonts w:ascii="Arial" w:cs="Arial" w:eastAsia="Arial" w:hAnsi="Arial"/>
                <w:sz w:val="12"/>
                <w:szCs w:val="12"/>
                <w:color w:val="auto"/>
              </w:rPr>
              <w:t>Roy Pineci</w:t>
            </w:r>
          </w:p>
        </w:tc>
        <w:tc>
          <w:tcPr>
            <w:tcW w:w="4140" w:type="dxa"/>
            <w:vAlign w:val="bottom"/>
            <w:gridSpan w:val="3"/>
          </w:tcPr>
          <w:p>
            <w:pPr>
              <w:jc w:val="center"/>
              <w:ind w:left="280"/>
              <w:spacing w:after="0"/>
              <w:rPr>
                <w:sz w:val="20"/>
                <w:szCs w:val="20"/>
                <w:color w:val="auto"/>
              </w:rPr>
            </w:pPr>
            <w:r>
              <w:rPr>
                <w:rFonts w:ascii="Arial" w:cs="Arial" w:eastAsia="Arial" w:hAnsi="Arial"/>
                <w:sz w:val="12"/>
                <w:szCs w:val="12"/>
                <w:color w:val="auto"/>
              </w:rPr>
              <w:t>Principal Accounting Officer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9"/>
              </w:rPr>
              <w:t>/s/ William E. Albrecht</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40"/>
              <w:spacing w:after="0"/>
              <w:rPr>
                <w:sz w:val="20"/>
                <w:szCs w:val="20"/>
                <w:color w:val="auto"/>
              </w:rPr>
            </w:pPr>
            <w:r>
              <w:rPr>
                <w:rFonts w:ascii="Arial" w:cs="Arial" w:eastAsia="Arial" w:hAnsi="Arial"/>
                <w:sz w:val="12"/>
                <w:szCs w:val="12"/>
                <w:color w:val="auto"/>
                <w:w w:val="99"/>
              </w:rPr>
              <w:t>William E. Albrecht</w:t>
            </w:r>
          </w:p>
        </w:tc>
        <w:tc>
          <w:tcPr>
            <w:tcW w:w="4140" w:type="dxa"/>
            <w:vAlign w:val="bottom"/>
            <w:gridSpan w:val="3"/>
          </w:tcPr>
          <w:p>
            <w:pPr>
              <w:jc w:val="center"/>
              <w:ind w:left="280"/>
              <w:spacing w:after="0"/>
              <w:rPr>
                <w:sz w:val="20"/>
                <w:szCs w:val="20"/>
                <w:color w:val="auto"/>
              </w:rPr>
            </w:pPr>
            <w:r>
              <w:rPr>
                <w:rFonts w:ascii="Arial" w:cs="Arial" w:eastAsia="Arial" w:hAnsi="Arial"/>
                <w:sz w:val="12"/>
                <w:szCs w:val="12"/>
                <w:color w:val="auto"/>
                <w:w w:val="99"/>
              </w:rPr>
              <w:t>Chairman of the Board</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9"/>
              </w:rPr>
              <w:t>/s/ Justin A. Gannon</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40"/>
              <w:spacing w:after="0"/>
              <w:rPr>
                <w:sz w:val="20"/>
                <w:szCs w:val="20"/>
                <w:color w:val="auto"/>
              </w:rPr>
            </w:pPr>
            <w:r>
              <w:rPr>
                <w:rFonts w:ascii="Arial" w:cs="Arial" w:eastAsia="Arial" w:hAnsi="Arial"/>
                <w:sz w:val="12"/>
                <w:szCs w:val="12"/>
                <w:color w:val="auto"/>
                <w:w w:val="99"/>
              </w:rPr>
              <w:t>Justin A. Gannon</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rPr>
              <w:t>/s/ Ronald L. Havner</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60"/>
              <w:spacing w:after="0"/>
              <w:rPr>
                <w:sz w:val="20"/>
                <w:szCs w:val="20"/>
                <w:color w:val="auto"/>
              </w:rPr>
            </w:pPr>
            <w:r>
              <w:rPr>
                <w:rFonts w:ascii="Arial" w:cs="Arial" w:eastAsia="Arial" w:hAnsi="Arial"/>
                <w:sz w:val="12"/>
                <w:szCs w:val="12"/>
                <w:color w:val="auto"/>
              </w:rPr>
              <w:t>Ronald L. Havner</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9"/>
              </w:rPr>
              <w:t>/s/ Harold M. Korell</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60"/>
              <w:spacing w:after="0"/>
              <w:rPr>
                <w:sz w:val="20"/>
                <w:szCs w:val="20"/>
                <w:color w:val="auto"/>
              </w:rPr>
            </w:pPr>
            <w:r>
              <w:rPr>
                <w:rFonts w:ascii="Arial" w:cs="Arial" w:eastAsia="Arial" w:hAnsi="Arial"/>
                <w:sz w:val="12"/>
                <w:szCs w:val="12"/>
                <w:color w:val="auto"/>
                <w:w w:val="99"/>
              </w:rPr>
              <w:t>Harold M. Korell</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8"/>
              </w:rPr>
              <w:t>/s/ Harry T. McMahon</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60"/>
              <w:spacing w:after="0"/>
              <w:rPr>
                <w:sz w:val="20"/>
                <w:szCs w:val="20"/>
                <w:color w:val="auto"/>
              </w:rPr>
            </w:pPr>
            <w:r>
              <w:rPr>
                <w:rFonts w:ascii="Arial" w:cs="Arial" w:eastAsia="Arial" w:hAnsi="Arial"/>
                <w:sz w:val="12"/>
                <w:szCs w:val="12"/>
                <w:color w:val="auto"/>
                <w:w w:val="98"/>
              </w:rPr>
              <w:t>Harry T. McMahon</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9"/>
              </w:rPr>
              <w:t>/s/ Richard W. Moncrief</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40"/>
              <w:spacing w:after="0"/>
              <w:rPr>
                <w:sz w:val="20"/>
                <w:szCs w:val="20"/>
                <w:color w:val="auto"/>
              </w:rPr>
            </w:pPr>
            <w:r>
              <w:rPr>
                <w:rFonts w:ascii="Arial" w:cs="Arial" w:eastAsia="Arial" w:hAnsi="Arial"/>
                <w:sz w:val="12"/>
                <w:szCs w:val="12"/>
                <w:color w:val="auto"/>
                <w:w w:val="99"/>
              </w:rPr>
              <w:t>Richard W. Moncrief</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9"/>
              </w:rPr>
              <w:t>/s/ Avedick B. Poladian</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60"/>
              <w:spacing w:after="0"/>
              <w:rPr>
                <w:sz w:val="20"/>
                <w:szCs w:val="20"/>
                <w:color w:val="auto"/>
              </w:rPr>
            </w:pPr>
            <w:r>
              <w:rPr>
                <w:rFonts w:ascii="Arial" w:cs="Arial" w:eastAsia="Arial" w:hAnsi="Arial"/>
                <w:sz w:val="12"/>
                <w:szCs w:val="12"/>
                <w:color w:val="auto"/>
                <w:w w:val="99"/>
              </w:rPr>
              <w:t>Avedick B. Poladian</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rPr>
              <w:t>/s/ Anita M. Powers</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40"/>
              <w:spacing w:after="0"/>
              <w:rPr>
                <w:sz w:val="20"/>
                <w:szCs w:val="20"/>
                <w:color w:val="auto"/>
              </w:rPr>
            </w:pPr>
            <w:r>
              <w:rPr>
                <w:rFonts w:ascii="Arial" w:cs="Arial" w:eastAsia="Arial" w:hAnsi="Arial"/>
                <w:sz w:val="12"/>
                <w:szCs w:val="12"/>
                <w:color w:val="auto"/>
              </w:rPr>
              <w:t>Anita M. Powers</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293"/>
        </w:trPr>
        <w:tc>
          <w:tcPr>
            <w:tcW w:w="49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8"/>
              </w:rPr>
              <w:t>/s/ Robert V. Sinnott</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5"/>
        </w:trPr>
        <w:tc>
          <w:tcPr>
            <w:tcW w:w="4940" w:type="dxa"/>
            <w:vAlign w:val="bottom"/>
          </w:tcPr>
          <w:p>
            <w:pPr>
              <w:jc w:val="center"/>
              <w:ind w:right="60"/>
              <w:spacing w:after="0"/>
              <w:rPr>
                <w:sz w:val="20"/>
                <w:szCs w:val="20"/>
                <w:color w:val="auto"/>
              </w:rPr>
            </w:pPr>
            <w:r>
              <w:rPr>
                <w:rFonts w:ascii="Arial" w:cs="Arial" w:eastAsia="Arial" w:hAnsi="Arial"/>
                <w:sz w:val="12"/>
                <w:szCs w:val="12"/>
                <w:color w:val="auto"/>
                <w:w w:val="98"/>
              </w:rPr>
              <w:t>Robert V. Sinnott</w:t>
            </w:r>
          </w:p>
        </w:tc>
        <w:tc>
          <w:tcPr>
            <w:tcW w:w="4140" w:type="dxa"/>
            <w:vAlign w:val="bottom"/>
            <w:gridSpan w:val="3"/>
          </w:tcPr>
          <w:p>
            <w:pPr>
              <w:jc w:val="center"/>
              <w:ind w:left="260"/>
              <w:spacing w:after="0"/>
              <w:rPr>
                <w:sz w:val="20"/>
                <w:szCs w:val="20"/>
                <w:color w:val="auto"/>
              </w:rPr>
            </w:pPr>
            <w:r>
              <w:rPr>
                <w:rFonts w:ascii="Arial" w:cs="Arial" w:eastAsia="Arial" w:hAnsi="Arial"/>
                <w:sz w:val="12"/>
                <w:szCs w:val="12"/>
                <w:color w:val="auto"/>
                <w:w w:val="99"/>
              </w:rPr>
              <w:t>Director</w:t>
            </w:r>
          </w:p>
        </w:tc>
        <w:tc>
          <w:tcPr>
            <w:tcW w:w="1860" w:type="dxa"/>
            <w:vAlign w:val="bottom"/>
            <w:gridSpan w:val="3"/>
          </w:tcPr>
          <w:p>
            <w:pPr>
              <w:jc w:val="center"/>
              <w:ind w:left="820"/>
              <w:spacing w:after="0"/>
              <w:rPr>
                <w:sz w:val="20"/>
                <w:szCs w:val="20"/>
                <w:color w:val="auto"/>
              </w:rPr>
            </w:pPr>
            <w:r>
              <w:rPr>
                <w:rFonts w:ascii="Arial" w:cs="Arial" w:eastAsia="Arial" w:hAnsi="Arial"/>
                <w:sz w:val="12"/>
                <w:szCs w:val="12"/>
                <w:color w:val="auto"/>
                <w:w w:val="99"/>
              </w:rPr>
              <w:t>February 26, 2018</w:t>
            </w:r>
          </w:p>
        </w:tc>
      </w:tr>
      <w:tr>
        <w:trPr>
          <w:trHeight w:val="315"/>
        </w:trPr>
        <w:tc>
          <w:tcPr>
            <w:tcW w:w="4940" w:type="dxa"/>
            <w:vAlign w:val="bottom"/>
          </w:tcPr>
          <w:p>
            <w:pPr>
              <w:spacing w:after="0"/>
              <w:rPr>
                <w:sz w:val="24"/>
                <w:szCs w:val="24"/>
                <w:color w:val="auto"/>
              </w:rPr>
            </w:pPr>
          </w:p>
        </w:tc>
        <w:tc>
          <w:tcPr>
            <w:tcW w:w="2140" w:type="dxa"/>
            <w:vAlign w:val="bottom"/>
          </w:tcPr>
          <w:p>
            <w:pPr>
              <w:jc w:val="right"/>
              <w:ind w:right="1180"/>
              <w:spacing w:after="0"/>
              <w:rPr>
                <w:sz w:val="20"/>
                <w:szCs w:val="20"/>
                <w:color w:val="auto"/>
              </w:rPr>
            </w:pPr>
            <w:r>
              <w:rPr>
                <w:rFonts w:ascii="Arial" w:cs="Arial" w:eastAsia="Arial" w:hAnsi="Arial"/>
                <w:sz w:val="12"/>
                <w:szCs w:val="12"/>
                <w:color w:val="auto"/>
              </w:rPr>
              <w:t>131</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160"/>
          </w:cols>
          <w:pgMar w:left="220" w:top="287" w:right="519" w:bottom="1440" w:gutter="0" w:footer="0" w:header="0"/>
          <w:type w:val="continuous"/>
        </w:sectPr>
      </w:pPr>
    </w:p>
    <w:bookmarkStart w:id="131" w:name="page132"/>
    <w:bookmarkEnd w:id="131"/>
    <w:p>
      <w:pPr>
        <w:spacing w:after="0" w:line="302"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EXHIBITS</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2"/>
          <w:szCs w:val="12"/>
          <w:color w:val="auto"/>
        </w:rPr>
        <w:t>12</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21</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23.1</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23.2</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31.1</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31.2</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32.1</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99.1</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101.INS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101.SCH</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101.CAL</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101.LAB</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101.PRE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101.DEF</w:t>
      </w:r>
    </w:p>
    <w:p>
      <w:pPr>
        <w:spacing w:after="0" w:line="20" w:lineRule="exact"/>
        <w:rPr>
          <w:sz w:val="20"/>
          <w:szCs w:val="20"/>
          <w:color w:val="auto"/>
        </w:rPr>
      </w:pPr>
      <w:r>
        <w:rPr>
          <w:sz w:val="20"/>
          <w:szCs w:val="20"/>
          <w:color w:val="auto"/>
        </w:rPr>
        <w:br w:type="column"/>
      </w:r>
    </w:p>
    <w:p>
      <w:pPr>
        <w:ind w:left="4000"/>
        <w:spacing w:after="0"/>
        <w:rPr>
          <w:sz w:val="20"/>
          <w:szCs w:val="20"/>
          <w:color w:val="auto"/>
        </w:rPr>
      </w:pPr>
      <w:r>
        <w:rPr>
          <w:rFonts w:ascii="Arial" w:cs="Arial" w:eastAsia="Arial" w:hAnsi="Arial"/>
          <w:sz w:val="12"/>
          <w:szCs w:val="12"/>
          <w:b w:val="1"/>
          <w:bCs w:val="1"/>
          <w:color w:val="auto"/>
        </w:rPr>
        <w:t>EXHIBIT INDEX</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auto"/>
        </w:rPr>
        <w:t>Computation of Ratio of Earnings to Fixed Charges.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List of Subsidiaries of California Resources Corporation.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Consent of Independent Petroleum Engineers.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Certification of Chief Executive Officer pursuant to Section 302 of the Sarbanes-Oxley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Certification of Chief Financial Officer pursuant to Section 302 of the Sarbanes-Oxley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Certifications of Chief Executive Officer and Chief Financial Officer pursuant to Section 906 of the Sarbanes-Oxley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Ryder Scott Company Estimated Future Reserves Attributable to Certain Leasehold and Royalty Interests as of December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XBRL Instance Document.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Schema Document.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Calculation Linkbase Document.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Labels Linkbase Document.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Presentation Linkbase Document.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Definition Linkbase Document.</w:t>
      </w:r>
    </w:p>
    <w:p>
      <w:pPr>
        <w:spacing w:after="0" w:line="321" w:lineRule="exact"/>
        <w:rPr>
          <w:sz w:val="20"/>
          <w:szCs w:val="20"/>
          <w:color w:val="auto"/>
        </w:rPr>
      </w:pPr>
    </w:p>
    <w:p>
      <w:pPr>
        <w:ind w:left="4340"/>
        <w:spacing w:after="0"/>
        <w:rPr>
          <w:sz w:val="20"/>
          <w:szCs w:val="20"/>
          <w:color w:val="auto"/>
        </w:rPr>
      </w:pPr>
      <w:r>
        <w:rPr>
          <w:rFonts w:ascii="Arial" w:cs="Arial" w:eastAsia="Arial" w:hAnsi="Arial"/>
          <w:sz w:val="12"/>
          <w:szCs w:val="12"/>
          <w:color w:val="auto"/>
        </w:rPr>
        <w:t>132</w:t>
      </w:r>
    </w:p>
    <w:p>
      <w:pPr>
        <w:sectPr>
          <w:pgSz w:w="11900" w:h="16838" w:orient="portrait"/>
          <w:cols w:equalWidth="0" w:num="2">
            <w:col w:w="580" w:space="720"/>
            <w:col w:w="8939"/>
          </w:cols>
          <w:pgMar w:left="220" w:top="287"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2"/>
          <w:szCs w:val="12"/>
          <w:b w:val="1"/>
          <w:bCs w:val="1"/>
          <w:color w:val="auto"/>
        </w:rPr>
        <w:t>EXHIBIT 12</w:t>
      </w:r>
    </w:p>
    <w:p>
      <w:pPr>
        <w:spacing w:after="0" w:line="314" w:lineRule="exact"/>
        <w:rPr>
          <w:sz w:val="20"/>
          <w:szCs w:val="20"/>
          <w:color w:val="auto"/>
        </w:rPr>
      </w:pPr>
    </w:p>
    <w:p>
      <w:pPr>
        <w:ind w:left="3928"/>
        <w:spacing w:after="0"/>
        <w:rPr>
          <w:sz w:val="20"/>
          <w:szCs w:val="20"/>
          <w:color w:val="auto"/>
        </w:rPr>
      </w:pPr>
      <w:r>
        <w:rPr>
          <w:rFonts w:ascii="Arial" w:cs="Arial" w:eastAsia="Arial" w:hAnsi="Arial"/>
          <w:sz w:val="12"/>
          <w:szCs w:val="12"/>
          <w:b w:val="1"/>
          <w:bCs w:val="1"/>
          <w:color w:val="auto"/>
        </w:rPr>
        <w:t>CALIFORNIA RESOURCES CORPORATION AND SUBSIDIARIES</w:t>
      </w:r>
    </w:p>
    <w:p>
      <w:pPr>
        <w:spacing w:after="0" w:line="20" w:lineRule="exact"/>
        <w:rPr>
          <w:sz w:val="20"/>
          <w:szCs w:val="20"/>
          <w:color w:val="auto"/>
        </w:rPr>
      </w:pPr>
    </w:p>
    <w:p>
      <w:pPr>
        <w:ind w:left="3928"/>
        <w:spacing w:after="0"/>
        <w:rPr>
          <w:sz w:val="20"/>
          <w:szCs w:val="20"/>
          <w:color w:val="auto"/>
        </w:rPr>
      </w:pPr>
      <w:r>
        <w:rPr>
          <w:rFonts w:ascii="Arial" w:cs="Arial" w:eastAsia="Arial" w:hAnsi="Arial"/>
          <w:sz w:val="12"/>
          <w:szCs w:val="12"/>
          <w:b w:val="1"/>
          <w:bCs w:val="1"/>
          <w:color w:val="auto"/>
        </w:rPr>
        <w:t>COMPUTATION OF RATIOS OF EARNINGS TO FIXED CHARGES</w:t>
      </w:r>
    </w:p>
    <w:p>
      <w:pPr>
        <w:spacing w:after="0" w:line="150" w:lineRule="exact"/>
        <w:rPr>
          <w:sz w:val="20"/>
          <w:szCs w:val="20"/>
          <w:color w:val="auto"/>
        </w:rPr>
      </w:pPr>
    </w:p>
    <w:p>
      <w:pPr>
        <w:ind w:left="8" w:right="100" w:firstLine="216"/>
        <w:spacing w:after="0" w:line="262" w:lineRule="auto"/>
        <w:rPr>
          <w:sz w:val="20"/>
          <w:szCs w:val="20"/>
          <w:color w:val="auto"/>
        </w:rPr>
      </w:pPr>
      <w:r>
        <w:rPr>
          <w:rFonts w:ascii="Arial" w:cs="Arial" w:eastAsia="Arial" w:hAnsi="Arial"/>
          <w:sz w:val="12"/>
          <w:szCs w:val="12"/>
          <w:color w:val="auto"/>
        </w:rPr>
        <w:t>The following table sets forth our historical ratios of earnings to fixed charges for the periods indicated. You should read these ratios of earnings to fixed charges in connection with our consolidated and combined financial statements, including the notes to those statements.</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5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w w:val="97"/>
              </w:rPr>
              <w:t>Year ended December 31,</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7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 millions, except ratios)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2016</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2014</w:t>
            </w:r>
            <w:r>
              <w:rPr>
                <w:rFonts w:ascii="Arial" w:cs="Arial" w:eastAsia="Arial" w:hAnsi="Arial"/>
                <w:sz w:val="14"/>
                <w:szCs w:val="14"/>
                <w:b w:val="1"/>
                <w:bCs w:val="1"/>
                <w:color w:val="auto"/>
                <w:vertAlign w:val="superscript"/>
              </w:rPr>
              <w:t>(a)</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2013</w:t>
            </w:r>
          </w:p>
        </w:tc>
      </w:tr>
      <w:tr>
        <w:trPr>
          <w:trHeight w:val="160"/>
        </w:trPr>
        <w:tc>
          <w:tcPr>
            <w:tcW w:w="5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income before income taxes</w:t>
            </w:r>
            <w:r>
              <w:rPr>
                <w:rFonts w:ascii="Arial" w:cs="Arial" w:eastAsia="Arial" w:hAnsi="Arial"/>
                <w:sz w:val="14"/>
                <w:szCs w:val="14"/>
                <w:color w:val="auto"/>
                <w:vertAlign w:val="superscript"/>
              </w:rPr>
              <w:t>(b)(c)</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(262)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201</w:t>
            </w:r>
          </w:p>
        </w:tc>
        <w:tc>
          <w:tcPr>
            <w:tcW w:w="420" w:type="dxa"/>
            <w:vAlign w:val="bottom"/>
            <w:gridSpan w:val="3"/>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(5,476)</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(2,421)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1,447</w:t>
            </w:r>
          </w:p>
        </w:tc>
      </w:tr>
      <w:tr>
        <w:trPr>
          <w:trHeight w:val="174"/>
        </w:trPr>
        <w:tc>
          <w:tcPr>
            <w:tcW w:w="5860" w:type="dxa"/>
            <w:vAlign w:val="bottom"/>
          </w:tcPr>
          <w:p>
            <w:pPr>
              <w:ind w:left="20"/>
              <w:spacing w:after="0"/>
              <w:rPr>
                <w:sz w:val="20"/>
                <w:szCs w:val="20"/>
                <w:color w:val="auto"/>
              </w:rPr>
            </w:pPr>
            <w:r>
              <w:rPr>
                <w:rFonts w:ascii="Arial" w:cs="Arial" w:eastAsia="Arial" w:hAnsi="Arial"/>
                <w:sz w:val="11"/>
                <w:szCs w:val="11"/>
                <w:color w:val="auto"/>
              </w:rPr>
              <w:t>Add (deduct):</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7"/>
        </w:trPr>
        <w:tc>
          <w:tcPr>
            <w:tcW w:w="5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attributable to noncontrolling interest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5860" w:type="dxa"/>
            <w:vAlign w:val="bottom"/>
          </w:tcPr>
          <w:p>
            <w:pPr>
              <w:ind w:left="100"/>
              <w:spacing w:after="0"/>
              <w:rPr>
                <w:sz w:val="20"/>
                <w:szCs w:val="20"/>
                <w:color w:val="auto"/>
              </w:rPr>
            </w:pPr>
            <w:r>
              <w:rPr>
                <w:rFonts w:ascii="Arial" w:cs="Arial" w:eastAsia="Arial" w:hAnsi="Arial"/>
                <w:sz w:val="11"/>
                <w:szCs w:val="11"/>
                <w:color w:val="auto"/>
              </w:rPr>
              <w:t>Fixed charges</w:t>
            </w:r>
          </w:p>
        </w:tc>
        <w:tc>
          <w:tcPr>
            <w:tcW w:w="24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334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339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w:t>
            </w:r>
          </w:p>
        </w:tc>
      </w:tr>
      <w:tr>
        <w:trPr>
          <w:trHeight w:val="180"/>
        </w:trPr>
        <w:tc>
          <w:tcPr>
            <w:tcW w:w="5860" w:type="dxa"/>
            <w:vAlign w:val="bottom"/>
            <w:shd w:val="clear" w:color="auto" w:fill="CCEEFF"/>
          </w:tcPr>
          <w:p>
            <w:pPr>
              <w:ind w:left="60"/>
              <w:spacing w:after="0"/>
              <w:rPr>
                <w:sz w:val="20"/>
                <w:szCs w:val="20"/>
                <w:color w:val="auto"/>
              </w:rPr>
            </w:pPr>
            <w:r>
              <w:rPr>
                <w:rFonts w:ascii="Arial" w:cs="Arial" w:eastAsia="Arial" w:hAnsi="Arial"/>
                <w:sz w:val="11"/>
                <w:szCs w:val="11"/>
                <w:color w:val="auto"/>
              </w:rPr>
              <w:t>Capitalized interest</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65"/>
        </w:trPr>
        <w:tc>
          <w:tcPr>
            <w:tcW w:w="5860" w:type="dxa"/>
            <w:vAlign w:val="bottom"/>
          </w:tcPr>
          <w:p>
            <w:pPr>
              <w:ind w:left="180"/>
              <w:spacing w:after="0"/>
              <w:rPr>
                <w:sz w:val="20"/>
                <w:szCs w:val="20"/>
                <w:color w:val="auto"/>
              </w:rPr>
            </w:pPr>
            <w:r>
              <w:rPr>
                <w:rFonts w:ascii="Arial" w:cs="Arial" w:eastAsia="Arial" w:hAnsi="Arial"/>
                <w:sz w:val="11"/>
                <w:szCs w:val="11"/>
                <w:color w:val="auto"/>
              </w:rPr>
              <w:t>Earnings (loss) before fixed charges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4"/>
                <w:szCs w:val="14"/>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533</w:t>
            </w:r>
          </w:p>
        </w:tc>
        <w:tc>
          <w:tcPr>
            <w:tcW w:w="420" w:type="dxa"/>
            <w:vAlign w:val="bottom"/>
            <w:gridSpan w:val="3"/>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(5,146)</w:t>
            </w:r>
          </w:p>
        </w:tc>
        <w:tc>
          <w:tcPr>
            <w:tcW w:w="12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(2,346)</w:t>
            </w:r>
          </w:p>
        </w:tc>
        <w:tc>
          <w:tcPr>
            <w:tcW w:w="100" w:type="dxa"/>
            <w:vAlign w:val="bottom"/>
          </w:tcPr>
          <w:p>
            <w:pPr>
              <w:spacing w:after="0"/>
              <w:rPr>
                <w:sz w:val="14"/>
                <w:szCs w:val="14"/>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1,451</w:t>
            </w:r>
          </w:p>
        </w:tc>
      </w:tr>
      <w:tr>
        <w:trPr>
          <w:trHeight w:val="189"/>
        </w:trPr>
        <w:tc>
          <w:tcPr>
            <w:tcW w:w="58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174"/>
        </w:trPr>
        <w:tc>
          <w:tcPr>
            <w:tcW w:w="5860" w:type="dxa"/>
            <w:vAlign w:val="bottom"/>
          </w:tcPr>
          <w:p>
            <w:pPr>
              <w:ind w:left="20"/>
              <w:spacing w:after="0"/>
              <w:rPr>
                <w:sz w:val="20"/>
                <w:szCs w:val="20"/>
                <w:color w:val="auto"/>
              </w:rPr>
            </w:pPr>
            <w:r>
              <w:rPr>
                <w:rFonts w:ascii="Arial" w:cs="Arial" w:eastAsia="Arial" w:hAnsi="Arial"/>
                <w:sz w:val="11"/>
                <w:szCs w:val="11"/>
                <w:color w:val="auto"/>
              </w:rPr>
              <w:t>Fixed charges: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7"/>
        </w:trPr>
        <w:tc>
          <w:tcPr>
            <w:tcW w:w="5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 and debt expense, net</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328</w:t>
            </w:r>
          </w:p>
        </w:tc>
        <w:tc>
          <w:tcPr>
            <w:tcW w:w="420" w:type="dxa"/>
            <w:vAlign w:val="bottom"/>
            <w:gridSpan w:val="3"/>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326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5860" w:type="dxa"/>
            <w:vAlign w:val="bottom"/>
          </w:tcPr>
          <w:p>
            <w:pPr>
              <w:ind w:left="100"/>
              <w:spacing w:after="0"/>
              <w:rPr>
                <w:sz w:val="20"/>
                <w:szCs w:val="20"/>
                <w:color w:val="auto"/>
              </w:rPr>
            </w:pPr>
            <w:r>
              <w:rPr>
                <w:rFonts w:ascii="Arial" w:cs="Arial" w:eastAsia="Arial" w:hAnsi="Arial"/>
                <w:sz w:val="11"/>
                <w:szCs w:val="11"/>
                <w:color w:val="auto"/>
              </w:rPr>
              <w:t>Capitalized interest</w:t>
            </w:r>
          </w:p>
        </w:tc>
        <w:tc>
          <w:tcPr>
            <w:tcW w:w="24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0"/>
        </w:trPr>
        <w:tc>
          <w:tcPr>
            <w:tcW w:w="5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Rental expense representative of interest factor</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r>
      <w:tr>
        <w:trPr>
          <w:trHeight w:val="165"/>
        </w:trPr>
        <w:tc>
          <w:tcPr>
            <w:tcW w:w="5860" w:type="dxa"/>
            <w:vAlign w:val="bottom"/>
          </w:tcPr>
          <w:p>
            <w:pPr>
              <w:ind w:left="180"/>
              <w:spacing w:after="0"/>
              <w:rPr>
                <w:sz w:val="20"/>
                <w:szCs w:val="20"/>
                <w:color w:val="auto"/>
              </w:rPr>
            </w:pPr>
            <w:r>
              <w:rPr>
                <w:rFonts w:ascii="Arial" w:cs="Arial" w:eastAsia="Arial" w:hAnsi="Arial"/>
                <w:sz w:val="11"/>
                <w:szCs w:val="11"/>
                <w:color w:val="auto"/>
              </w:rPr>
              <w:t>Total fixed charges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4"/>
                <w:szCs w:val="14"/>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334</w:t>
            </w:r>
          </w:p>
        </w:tc>
        <w:tc>
          <w:tcPr>
            <w:tcW w:w="420" w:type="dxa"/>
            <w:vAlign w:val="bottom"/>
            <w:gridSpan w:val="3"/>
          </w:tcPr>
          <w:p>
            <w:pPr>
              <w:jc w:val="right"/>
              <w:ind w:right="10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339</w:t>
            </w:r>
          </w:p>
        </w:tc>
        <w:tc>
          <w:tcPr>
            <w:tcW w:w="120" w:type="dxa"/>
            <w:vAlign w:val="bottom"/>
          </w:tcPr>
          <w:p>
            <w:pPr>
              <w:spacing w:after="0"/>
              <w:rPr>
                <w:sz w:val="14"/>
                <w:szCs w:val="14"/>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4"/>
                <w:szCs w:val="14"/>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w:t>
            </w:r>
          </w:p>
        </w:tc>
      </w:tr>
      <w:tr>
        <w:trPr>
          <w:trHeight w:val="189"/>
        </w:trPr>
        <w:tc>
          <w:tcPr>
            <w:tcW w:w="58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178"/>
        </w:trPr>
        <w:tc>
          <w:tcPr>
            <w:tcW w:w="5860" w:type="dxa"/>
            <w:vAlign w:val="bottom"/>
          </w:tcPr>
          <w:p>
            <w:pPr>
              <w:ind w:left="20"/>
              <w:spacing w:after="0"/>
              <w:rPr>
                <w:sz w:val="20"/>
                <w:szCs w:val="20"/>
                <w:color w:val="auto"/>
              </w:rPr>
            </w:pPr>
            <w:r>
              <w:rPr>
                <w:rFonts w:ascii="Arial" w:cs="Arial" w:eastAsia="Arial" w:hAnsi="Arial"/>
                <w:sz w:val="11"/>
                <w:szCs w:val="11"/>
                <w:color w:val="auto"/>
              </w:rPr>
              <w:t>Ratio of earnings to fixed charges</w:t>
            </w:r>
          </w:p>
        </w:tc>
        <w:tc>
          <w:tcPr>
            <w:tcW w:w="240" w:type="dxa"/>
            <w:vAlign w:val="bottom"/>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5"/>
                <w:szCs w:val="15"/>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Arial" w:cs="Arial" w:eastAsia="Arial" w:hAnsi="Arial"/>
                <w:sz w:val="11"/>
                <w:szCs w:val="11"/>
                <w:color w:val="auto"/>
              </w:rPr>
              <w:t>n/a</w:t>
            </w:r>
          </w:p>
        </w:tc>
        <w:tc>
          <w:tcPr>
            <w:tcW w:w="200" w:type="dxa"/>
            <w:vAlign w:val="bottom"/>
          </w:tcPr>
          <w:p>
            <w:pPr>
              <w:spacing w:after="0"/>
              <w:rPr>
                <w:sz w:val="15"/>
                <w:szCs w:val="15"/>
                <w:color w:val="auto"/>
              </w:rPr>
            </w:pP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363</w:t>
            </w:r>
          </w:p>
        </w:tc>
      </w:tr>
      <w:tr>
        <w:trPr>
          <w:trHeight w:val="189"/>
        </w:trPr>
        <w:tc>
          <w:tcPr>
            <w:tcW w:w="58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178"/>
        </w:trPr>
        <w:tc>
          <w:tcPr>
            <w:tcW w:w="5860" w:type="dxa"/>
            <w:vAlign w:val="bottom"/>
          </w:tcPr>
          <w:p>
            <w:pPr>
              <w:ind w:left="20"/>
              <w:spacing w:after="0"/>
              <w:rPr>
                <w:sz w:val="20"/>
                <w:szCs w:val="20"/>
                <w:color w:val="auto"/>
              </w:rPr>
            </w:pPr>
            <w:r>
              <w:rPr>
                <w:rFonts w:ascii="Arial" w:cs="Arial" w:eastAsia="Arial" w:hAnsi="Arial"/>
                <w:sz w:val="11"/>
                <w:szCs w:val="11"/>
                <w:color w:val="auto"/>
              </w:rPr>
              <w:t>Insufficient coverage</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5,485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2,425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r>
    </w:tbl>
    <w:p>
      <w:pPr>
        <w:spacing w:after="0" w:line="147" w:lineRule="exact"/>
        <w:rPr>
          <w:sz w:val="20"/>
          <w:szCs w:val="20"/>
          <w:color w:val="auto"/>
        </w:rPr>
      </w:pPr>
    </w:p>
    <w:p>
      <w:pPr>
        <w:jc w:val="both"/>
        <w:ind w:left="208" w:right="160" w:hanging="208"/>
        <w:spacing w:after="0" w:line="230" w:lineRule="auto"/>
        <w:tabs>
          <w:tab w:leader="none" w:pos="208" w:val="left"/>
        </w:tabs>
        <w:numPr>
          <w:ilvl w:val="0"/>
          <w:numId w:val="71"/>
        </w:numPr>
        <w:rPr>
          <w:rFonts w:ascii="Arial" w:cs="Arial" w:eastAsia="Arial" w:hAnsi="Arial"/>
          <w:sz w:val="10"/>
          <w:szCs w:val="10"/>
          <w:color w:val="auto"/>
        </w:rPr>
      </w:pPr>
      <w:r>
        <w:rPr>
          <w:rFonts w:ascii="Arial" w:cs="Arial" w:eastAsia="Arial" w:hAnsi="Arial"/>
          <w:sz w:val="10"/>
          <w:szCs w:val="10"/>
          <w:color w:val="auto"/>
        </w:rPr>
        <w:t>Note: Had we been a stand-alone company for the full year 2014, and had the same level of debt throughout the year as we did on December 31, 2014, of approximately $6.4 billion, we would have incurred $314 million of pre-tax interest expense, on a pro-forma basis, for the year ended December 31, 2014, compared to the $72 million pre-tax interest expense reported on our statement of operations for the year then ended. Therefore, the insufficient coverage on a pro-forma basis would have been approximately $2,667 million.</w:t>
      </w:r>
    </w:p>
    <w:p>
      <w:pPr>
        <w:spacing w:after="0" w:line="101" w:lineRule="exact"/>
        <w:rPr>
          <w:rFonts w:ascii="Arial" w:cs="Arial" w:eastAsia="Arial" w:hAnsi="Arial"/>
          <w:sz w:val="10"/>
          <w:szCs w:val="10"/>
          <w:color w:val="auto"/>
        </w:rPr>
      </w:pPr>
    </w:p>
    <w:p>
      <w:pPr>
        <w:ind w:left="208" w:right="80" w:hanging="208"/>
        <w:spacing w:after="0" w:line="230" w:lineRule="auto"/>
        <w:tabs>
          <w:tab w:leader="none" w:pos="208" w:val="left"/>
        </w:tabs>
        <w:numPr>
          <w:ilvl w:val="0"/>
          <w:numId w:val="71"/>
        </w:numPr>
        <w:rPr>
          <w:rFonts w:ascii="Arial" w:cs="Arial" w:eastAsia="Arial" w:hAnsi="Arial"/>
          <w:sz w:val="10"/>
          <w:szCs w:val="10"/>
          <w:color w:val="auto"/>
        </w:rPr>
      </w:pPr>
      <w:r>
        <w:rPr>
          <w:rFonts w:ascii="Arial" w:cs="Arial" w:eastAsia="Arial" w:hAnsi="Arial"/>
          <w:sz w:val="10"/>
          <w:szCs w:val="10"/>
          <w:color w:val="auto"/>
        </w:rPr>
        <w:t>The year ended December 31, 2017 amount includes unusual and infrequent items consisting of $78 million of non-cash derivative losses on outstanding hedges, $21 million of gains from asset divestitures, $4 million of net gains on the early extinguishment of debt and $26 million of other unusual, out-of-period and infrequent charges. Excluding these items, our earnings before fixed charges for the year ended December 31, 2017 would have been approximately $160 million. Therefore, the insufficient coverage would have been approximately $190 million.</w:t>
      </w:r>
    </w:p>
    <w:p>
      <w:pPr>
        <w:spacing w:after="0" w:line="101" w:lineRule="exact"/>
        <w:rPr>
          <w:rFonts w:ascii="Arial" w:cs="Arial" w:eastAsia="Arial" w:hAnsi="Arial"/>
          <w:sz w:val="10"/>
          <w:szCs w:val="10"/>
          <w:color w:val="auto"/>
        </w:rPr>
      </w:pPr>
    </w:p>
    <w:p>
      <w:pPr>
        <w:ind w:left="208" w:right="40" w:hanging="208"/>
        <w:spacing w:after="0" w:line="230" w:lineRule="auto"/>
        <w:tabs>
          <w:tab w:leader="none" w:pos="208" w:val="left"/>
        </w:tabs>
        <w:numPr>
          <w:ilvl w:val="0"/>
          <w:numId w:val="71"/>
        </w:numPr>
        <w:rPr>
          <w:rFonts w:ascii="Arial" w:cs="Arial" w:eastAsia="Arial" w:hAnsi="Arial"/>
          <w:sz w:val="10"/>
          <w:szCs w:val="10"/>
          <w:color w:val="auto"/>
        </w:rPr>
      </w:pPr>
      <w:r>
        <w:rPr>
          <w:rFonts w:ascii="Arial" w:cs="Arial" w:eastAsia="Arial" w:hAnsi="Arial"/>
          <w:sz w:val="10"/>
          <w:szCs w:val="10"/>
          <w:color w:val="auto"/>
        </w:rPr>
        <w:t>The year ended December 31, 2016 amount includes unusual and infrequent items consisting of $805 million of net gains on the early extinguishment of debt, $283 million of non-cash derivative losses on outstanding hedges, $30 million of gains from asset divestitures and $12 million deferred debt issuance cost write-off and $7 million, net, of other unusual and infrequent charges. Excluding these items, our loss before fixed charges for the year ended December 31, 2016 would have been approximately $0. Therefore, the insufficient coverage would have been approximately $334 million.</w:t>
      </w:r>
    </w:p>
    <w:p>
      <w:pPr>
        <w:spacing w:after="0" w:line="101" w:lineRule="exact"/>
        <w:rPr>
          <w:rFonts w:ascii="Arial" w:cs="Arial" w:eastAsia="Arial" w:hAnsi="Arial"/>
          <w:sz w:val="10"/>
          <w:szCs w:val="10"/>
          <w:color w:val="auto"/>
        </w:rPr>
      </w:pPr>
    </w:p>
    <w:p>
      <w:pPr>
        <w:ind w:left="208" w:right="60"/>
        <w:spacing w:after="0" w:line="230" w:lineRule="auto"/>
        <w:rPr>
          <w:rFonts w:ascii="Arial" w:cs="Arial" w:eastAsia="Arial" w:hAnsi="Arial"/>
          <w:sz w:val="10"/>
          <w:szCs w:val="10"/>
          <w:color w:val="auto"/>
        </w:rPr>
      </w:pPr>
      <w:r>
        <w:rPr>
          <w:rFonts w:ascii="Arial" w:cs="Arial" w:eastAsia="Arial" w:hAnsi="Arial"/>
          <w:sz w:val="10"/>
          <w:szCs w:val="10"/>
          <w:color w:val="auto"/>
        </w:rPr>
        <w:t>The year ended December 31, 2015 amount includes unusual and infrequent items consisting of $4.9 billion of asset impairments, $71 million of write-down of certain assets, $67 million of early retirement and severance costs, $28 million of debt issuance costs and $11 million of rig termination and other costs, partially offset by $52 million of non-cash derivative gains and $20 million of net gains on the early extinguishment of debt. Excluding these items, our loss before fixed charges for the year ended December 31, 2015 would have been approximately $189 million. Therefore, the insufficient coverage would have been approximately $528 million.</w:t>
      </w:r>
    </w:p>
    <w:p>
      <w:pPr>
        <w:spacing w:after="0" w:line="101" w:lineRule="exact"/>
        <w:rPr>
          <w:rFonts w:ascii="Arial" w:cs="Arial" w:eastAsia="Arial" w:hAnsi="Arial"/>
          <w:sz w:val="10"/>
          <w:szCs w:val="10"/>
          <w:color w:val="auto"/>
        </w:rPr>
      </w:pPr>
    </w:p>
    <w:p>
      <w:pPr>
        <w:ind w:left="208" w:right="280"/>
        <w:spacing w:after="0" w:line="232" w:lineRule="auto"/>
        <w:rPr>
          <w:rFonts w:ascii="Arial" w:cs="Arial" w:eastAsia="Arial" w:hAnsi="Arial"/>
          <w:sz w:val="10"/>
          <w:szCs w:val="10"/>
          <w:color w:val="auto"/>
        </w:rPr>
      </w:pPr>
      <w:r>
        <w:rPr>
          <w:rFonts w:ascii="Arial" w:cs="Arial" w:eastAsia="Arial" w:hAnsi="Arial"/>
          <w:sz w:val="10"/>
          <w:szCs w:val="10"/>
          <w:color w:val="auto"/>
        </w:rPr>
        <w:t>The December 31, 2014 amount includes unusual and infrequent items consisting of $3.4 billion of asset impairments, $52 million of rig termination and other price-related costs, and $55 million of Spin-off and transition related costs. Excluding these items, our earnings before fixed charges for the year ended December 31, 2014 would have been approximately $1.2 billion, and the ratio of earnings to fixed charges would have been 14.7.</w:t>
      </w:r>
    </w:p>
    <w:p>
      <w:pPr>
        <w:sectPr>
          <w:pgSz w:w="11900" w:h="16838" w:orient="portrait"/>
          <w:cols w:equalWidth="0" w:num="1">
            <w:col w:w="11488"/>
          </w:cols>
          <w:pgMar w:left="212" w:top="124" w:right="1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2"/>
          <w:szCs w:val="12"/>
          <w:b w:val="1"/>
          <w:bCs w:val="1"/>
          <w:color w:val="auto"/>
        </w:rPr>
        <w:t>EXHIBIT 21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80" w:type="dxa"/>
            <w:vAlign w:val="bottom"/>
            <w:gridSpan w:val="3"/>
          </w:tcPr>
          <w:p>
            <w:pPr>
              <w:ind w:left="4620"/>
              <w:spacing w:after="0"/>
              <w:rPr>
                <w:sz w:val="20"/>
                <w:szCs w:val="20"/>
                <w:color w:val="auto"/>
              </w:rPr>
            </w:pPr>
            <w:r>
              <w:rPr>
                <w:rFonts w:ascii="Arial" w:cs="Arial" w:eastAsia="Arial" w:hAnsi="Arial"/>
                <w:sz w:val="12"/>
                <w:szCs w:val="12"/>
                <w:b w:val="1"/>
                <w:bCs w:val="1"/>
                <w:color w:val="auto"/>
              </w:rPr>
              <w:t>LIST OF OPERATING SUBSIDIARIES</w:t>
            </w:r>
          </w:p>
        </w:tc>
        <w:tc>
          <w:tcPr>
            <w:tcW w:w="2720" w:type="dxa"/>
            <w:vAlign w:val="bottom"/>
          </w:tcPr>
          <w:p>
            <w:pPr>
              <w:spacing w:after="0"/>
              <w:rPr>
                <w:sz w:val="13"/>
                <w:szCs w:val="13"/>
                <w:color w:val="auto"/>
              </w:rPr>
            </w:pPr>
          </w:p>
        </w:tc>
      </w:tr>
      <w:tr>
        <w:trPr>
          <w:trHeight w:val="315"/>
        </w:trPr>
        <w:tc>
          <w:tcPr>
            <w:tcW w:w="8580" w:type="dxa"/>
            <w:vAlign w:val="bottom"/>
            <w:gridSpan w:val="3"/>
          </w:tcPr>
          <w:p>
            <w:pPr>
              <w:ind w:left="120"/>
              <w:spacing w:after="0"/>
              <w:rPr>
                <w:sz w:val="20"/>
                <w:szCs w:val="20"/>
                <w:color w:val="auto"/>
              </w:rPr>
            </w:pPr>
            <w:r>
              <w:rPr>
                <w:rFonts w:ascii="Arial" w:cs="Arial" w:eastAsia="Arial" w:hAnsi="Arial"/>
                <w:sz w:val="12"/>
                <w:szCs w:val="12"/>
                <w:color w:val="auto"/>
              </w:rPr>
              <w:t>The following is a list of our subsidiaries at December 31, 2017 other than certain subsidiaries that did not in the aggregate constitute a significant subsidiary.</w:t>
            </w:r>
          </w:p>
        </w:tc>
        <w:tc>
          <w:tcPr>
            <w:tcW w:w="2720" w:type="dxa"/>
            <w:vAlign w:val="bottom"/>
          </w:tcPr>
          <w:p>
            <w:pPr>
              <w:spacing w:after="0"/>
              <w:rPr>
                <w:sz w:val="24"/>
                <w:szCs w:val="24"/>
                <w:color w:val="auto"/>
              </w:rPr>
            </w:pPr>
          </w:p>
        </w:tc>
      </w:tr>
      <w:tr>
        <w:trPr>
          <w:trHeight w:val="39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Name</w:t>
            </w:r>
          </w:p>
        </w:tc>
        <w:tc>
          <w:tcPr>
            <w:tcW w:w="22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center"/>
              <w:ind w:right="1040"/>
              <w:spacing w:after="0"/>
              <w:rPr>
                <w:sz w:val="20"/>
                <w:szCs w:val="20"/>
                <w:color w:val="auto"/>
              </w:rPr>
            </w:pPr>
            <w:r>
              <w:rPr>
                <w:rFonts w:ascii="Arial" w:cs="Arial" w:eastAsia="Arial" w:hAnsi="Arial"/>
                <w:sz w:val="12"/>
                <w:szCs w:val="12"/>
                <w:color w:val="auto"/>
                <w:w w:val="99"/>
              </w:rPr>
              <w:t>Jurisdiction of Formation</w:t>
            </w:r>
          </w:p>
        </w:tc>
      </w:tr>
      <w:tr>
        <w:trPr>
          <w:trHeight w:val="156"/>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Heavy Oil, Inc.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Coles Levee, LLC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Coles Levee, L.P.</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Development JV, LLC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Elk Hills, LLC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Long Beach, Inc.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Petroleum Corporation</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Production Corporation</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Tidelands, Inc.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California Resources Wilmington, LLC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CRC Construction Services, LLC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CRC Marketing, Inc.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CRC Services, LLC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Elk Hills Power, LLC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Socal Holding, LLC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Southern San Joaquin Production, Inc.</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Thums Long Beach Company</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8"/>
              </w:rPr>
              <w:t>Delaware</w:t>
            </w:r>
          </w:p>
        </w:tc>
      </w:tr>
      <w:tr>
        <w:trPr>
          <w:trHeight w:val="180"/>
        </w:trPr>
        <w:tc>
          <w:tcPr>
            <w:tcW w:w="8580" w:type="dxa"/>
            <w:vAlign w:val="bottom"/>
            <w:gridSpan w:val="3"/>
          </w:tcPr>
          <w:p>
            <w:pPr>
              <w:ind w:left="20"/>
              <w:spacing w:after="0"/>
              <w:rPr>
                <w:sz w:val="20"/>
                <w:szCs w:val="20"/>
                <w:color w:val="auto"/>
              </w:rPr>
            </w:pPr>
            <w:r>
              <w:rPr>
                <w:rFonts w:ascii="Arial" w:cs="Arial" w:eastAsia="Arial" w:hAnsi="Arial"/>
                <w:sz w:val="12"/>
                <w:szCs w:val="12"/>
                <w:color w:val="auto"/>
              </w:rPr>
              <w:t>Tidelands Oil Production Company</w:t>
            </w:r>
          </w:p>
        </w:tc>
        <w:tc>
          <w:tcPr>
            <w:tcW w:w="2720" w:type="dxa"/>
            <w:vAlign w:val="bottom"/>
          </w:tcPr>
          <w:p>
            <w:pPr>
              <w:jc w:val="center"/>
              <w:ind w:right="1040"/>
              <w:spacing w:after="0"/>
              <w:rPr>
                <w:sz w:val="20"/>
                <w:szCs w:val="20"/>
                <w:color w:val="auto"/>
              </w:rPr>
            </w:pPr>
            <w:r>
              <w:rPr>
                <w:rFonts w:ascii="Arial" w:cs="Arial" w:eastAsia="Arial" w:hAnsi="Arial"/>
                <w:sz w:val="12"/>
                <w:szCs w:val="12"/>
                <w:color w:val="auto"/>
                <w:w w:val="91"/>
              </w:rPr>
              <w:t>Texas</w:t>
            </w:r>
          </w:p>
        </w:tc>
      </w:tr>
    </w:tbl>
    <w:p>
      <w:pPr>
        <w:sectPr>
          <w:pgSz w:w="11900" w:h="16838" w:orient="portrait"/>
          <w:cols w:equalWidth="0" w:num="1">
            <w:col w:w="11400"/>
          </w:cols>
          <w:pgMar w:left="300" w:top="125" w:right="1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2"/>
          <w:szCs w:val="12"/>
          <w:b w:val="1"/>
          <w:bCs w:val="1"/>
          <w:color w:val="auto"/>
        </w:rPr>
        <w:t>EXHIBIT 23.1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California Resources Corporation:</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We consent to the incorporation by reference in the registration statement (Nos. 333-200610, 333-200611, 333 -211106, and 333-208671) on Forms S-8 and S-3 of California Resources Corporation and subsidiaries of our report dated February 26, 2018, with respect to the consolidated balance sheets of California Resources Corporation and subsidiaries as of December 31, 2017 and 2016, the related consolidated statements of operations, comprehensive income, equity and cash flows for each of the years in the three-year period ended December 31, 2017, and the related notes (collectively, the consolidated financial statements), and the effectiveness of internal control over financial reporting as of December 31, 2017, that appears in the December 31, 2017 annual report on Form 10-K of California Resources Corporation.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26, 2018</w:t>
      </w:r>
    </w:p>
    <w:p>
      <w:pPr>
        <w:sectPr>
          <w:pgSz w:w="11900" w:h="16838" w:orient="portrait"/>
          <w:cols w:equalWidth="0" w:num="1">
            <w:col w:w="11480"/>
          </w:cols>
          <w:pgMar w:left="220" w:top="124" w:right="1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2"/>
          <w:szCs w:val="12"/>
          <w:b w:val="1"/>
          <w:bCs w:val="1"/>
          <w:color w:val="auto"/>
        </w:rPr>
        <w:t>EXHIBIT 23.2</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PETROLEUM ENGINEERS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California Resources Corporation:</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consent to the (i) inclusion in the California Resources Corporation ("CRC") Form 10-K for the year ended December 31, 2017, and the incorporation by reference in CRC's registration statements (Nos. 333-200610, 333-200611, 333-211106, 333-211107 and 333-208671) (the "Registration Statements"), of references to our name and to our letter dated February 13, 2018, relating to our audit of CRC's 2017 oil and gas proved reserves (our "Report"), (ii) filing of our Letter with the Securities and Exchange Commission as Exhibit 99.1 to the Form 10-K and (iii) incorporation by reference of our Letter in the Registration Statements.</w:t>
      </w:r>
    </w:p>
    <w:p>
      <w:pPr>
        <w:spacing w:after="0" w:line="250" w:lineRule="exact"/>
        <w:rPr>
          <w:sz w:val="20"/>
          <w:szCs w:val="20"/>
          <w:color w:val="auto"/>
        </w:rPr>
      </w:pPr>
    </w:p>
    <w:p>
      <w:pPr>
        <w:ind w:left="5760"/>
        <w:spacing w:after="0"/>
        <w:rPr>
          <w:sz w:val="20"/>
          <w:szCs w:val="20"/>
          <w:color w:val="auto"/>
        </w:rPr>
      </w:pPr>
      <w:r>
        <w:rPr>
          <w:rFonts w:ascii="Arial" w:cs="Arial" w:eastAsia="Arial" w:hAnsi="Arial"/>
          <w:sz w:val="13"/>
          <w:szCs w:val="13"/>
          <w:color w:val="auto"/>
        </w:rPr>
        <w:t>/s/ Ryder Scott Company, L.P.</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3"/>
          <w:szCs w:val="13"/>
          <w:b w:val="1"/>
          <w:bCs w:val="1"/>
          <w:color w:val="auto"/>
        </w:rPr>
        <w:t>RYDER SCOTT COMPANY, L.P.</w:t>
      </w:r>
    </w:p>
    <w:p>
      <w:pPr>
        <w:spacing w:after="0" w:line="47" w:lineRule="exact"/>
        <w:rPr>
          <w:sz w:val="20"/>
          <w:szCs w:val="20"/>
          <w:color w:val="auto"/>
        </w:rPr>
      </w:pPr>
    </w:p>
    <w:p>
      <w:pPr>
        <w:ind w:left="5760"/>
        <w:spacing w:after="0"/>
        <w:rPr>
          <w:sz w:val="20"/>
          <w:szCs w:val="20"/>
          <w:color w:val="auto"/>
        </w:rPr>
      </w:pPr>
      <w:r>
        <w:rPr>
          <w:rFonts w:ascii="Arial" w:cs="Arial" w:eastAsia="Arial" w:hAnsi="Arial"/>
          <w:sz w:val="13"/>
          <w:szCs w:val="13"/>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February 22, 2018</w:t>
      </w:r>
    </w:p>
    <w:p>
      <w:pPr>
        <w:sectPr>
          <w:pgSz w:w="11900" w:h="16838" w:orient="portrait"/>
          <w:cols w:equalWidth="0" w:num="1">
            <w:col w:w="11480"/>
          </w:cols>
          <w:pgMar w:left="220" w:top="125" w:right="1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2"/>
          <w:szCs w:val="12"/>
          <w:b w:val="1"/>
          <w:bCs w:val="1"/>
          <w:color w:val="auto"/>
        </w:rPr>
        <w:t>EXHIBIT 31.1</w:t>
      </w:r>
    </w:p>
    <w:p>
      <w:pPr>
        <w:spacing w:after="0" w:line="310"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RULE 13a – 14(a) / 15d – 14(a)</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CERTIFICATION</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PURSUANT TO §302 OF THE SARBANES-OXLEY ACT OF 2002</w:t>
      </w:r>
    </w:p>
    <w:p>
      <w:pPr>
        <w:spacing w:after="0" w:line="63" w:lineRule="exact"/>
        <w:rPr>
          <w:sz w:val="20"/>
          <w:szCs w:val="20"/>
          <w:color w:val="auto"/>
        </w:rPr>
      </w:pPr>
    </w:p>
    <w:p>
      <w:pPr>
        <w:ind w:left="8"/>
        <w:spacing w:after="0"/>
        <w:rPr>
          <w:sz w:val="20"/>
          <w:szCs w:val="20"/>
          <w:color w:val="auto"/>
        </w:rPr>
      </w:pPr>
      <w:r>
        <w:rPr>
          <w:rFonts w:ascii="Arial" w:cs="Arial" w:eastAsia="Arial" w:hAnsi="Arial"/>
          <w:sz w:val="11"/>
          <w:szCs w:val="11"/>
          <w:color w:val="auto"/>
        </w:rPr>
        <w:t>I, Todd A. Stevens, certify that:</w:t>
      </w:r>
    </w:p>
    <w:p>
      <w:pPr>
        <w:spacing w:after="0" w:line="198" w:lineRule="exact"/>
        <w:rPr>
          <w:sz w:val="20"/>
          <w:szCs w:val="20"/>
          <w:color w:val="auto"/>
        </w:rPr>
      </w:pPr>
    </w:p>
    <w:p>
      <w:pPr>
        <w:ind w:left="428" w:hanging="428"/>
        <w:spacing w:after="0"/>
        <w:tabs>
          <w:tab w:leader="none" w:pos="428" w:val="left"/>
        </w:tabs>
        <w:numPr>
          <w:ilvl w:val="0"/>
          <w:numId w:val="72"/>
        </w:numPr>
        <w:rPr>
          <w:rFonts w:ascii="Arial" w:cs="Arial" w:eastAsia="Arial" w:hAnsi="Arial"/>
          <w:sz w:val="11"/>
          <w:szCs w:val="11"/>
          <w:color w:val="auto"/>
        </w:rPr>
      </w:pPr>
      <w:r>
        <w:rPr>
          <w:rFonts w:ascii="Arial" w:cs="Arial" w:eastAsia="Arial" w:hAnsi="Arial"/>
          <w:sz w:val="11"/>
          <w:szCs w:val="11"/>
          <w:color w:val="auto"/>
        </w:rPr>
        <w:t>I have reviewed this annual report on Form 10-K of California Resources Corporation;</w:t>
      </w:r>
    </w:p>
    <w:p>
      <w:pPr>
        <w:spacing w:after="0" w:line="143" w:lineRule="exact"/>
        <w:rPr>
          <w:rFonts w:ascii="Arial" w:cs="Arial" w:eastAsia="Arial" w:hAnsi="Arial"/>
          <w:sz w:val="11"/>
          <w:szCs w:val="11"/>
          <w:color w:val="auto"/>
        </w:rPr>
      </w:pPr>
    </w:p>
    <w:p>
      <w:pPr>
        <w:ind w:left="428" w:right="400" w:hanging="428"/>
        <w:spacing w:after="0" w:line="276" w:lineRule="auto"/>
        <w:tabs>
          <w:tab w:leader="none" w:pos="428" w:val="left"/>
        </w:tabs>
        <w:numPr>
          <w:ilvl w:val="0"/>
          <w:numId w:val="72"/>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1"/>
          <w:szCs w:val="11"/>
          <w:color w:val="auto"/>
        </w:rPr>
      </w:pPr>
    </w:p>
    <w:p>
      <w:pPr>
        <w:ind w:left="428" w:right="140" w:hanging="428"/>
        <w:spacing w:after="0" w:line="276" w:lineRule="auto"/>
        <w:tabs>
          <w:tab w:leader="none" w:pos="428" w:val="left"/>
        </w:tabs>
        <w:numPr>
          <w:ilvl w:val="0"/>
          <w:numId w:val="72"/>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1"/>
          <w:szCs w:val="11"/>
          <w:color w:val="auto"/>
        </w:rPr>
      </w:pPr>
    </w:p>
    <w:p>
      <w:pPr>
        <w:ind w:left="428" w:right="140" w:hanging="428"/>
        <w:spacing w:after="0" w:line="276" w:lineRule="auto"/>
        <w:tabs>
          <w:tab w:leader="none" w:pos="428"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1"/>
          <w:szCs w:val="11"/>
          <w:color w:val="auto"/>
        </w:rPr>
      </w:pPr>
    </w:p>
    <w:p>
      <w:pPr>
        <w:ind w:left="868" w:right="480" w:hanging="436"/>
        <w:spacing w:after="0" w:line="276" w:lineRule="auto"/>
        <w:tabs>
          <w:tab w:leader="none" w:pos="868" w:val="left"/>
        </w:tabs>
        <w:numPr>
          <w:ilvl w:val="1"/>
          <w:numId w:val="72"/>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1"/>
          <w:szCs w:val="11"/>
          <w:color w:val="auto"/>
        </w:rPr>
      </w:pPr>
    </w:p>
    <w:p>
      <w:pPr>
        <w:ind w:left="868" w:right="180" w:hanging="436"/>
        <w:spacing w:after="0" w:line="276" w:lineRule="auto"/>
        <w:tabs>
          <w:tab w:leader="none" w:pos="868" w:val="left"/>
        </w:tabs>
        <w:numPr>
          <w:ilvl w:val="1"/>
          <w:numId w:val="7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1"/>
          <w:szCs w:val="11"/>
          <w:color w:val="auto"/>
        </w:rPr>
      </w:pPr>
    </w:p>
    <w:p>
      <w:pPr>
        <w:ind w:left="868" w:right="120" w:hanging="436"/>
        <w:spacing w:after="0" w:line="276" w:lineRule="auto"/>
        <w:tabs>
          <w:tab w:leader="none" w:pos="868" w:val="left"/>
        </w:tabs>
        <w:numPr>
          <w:ilvl w:val="1"/>
          <w:numId w:val="72"/>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1"/>
          <w:szCs w:val="11"/>
          <w:color w:val="auto"/>
        </w:rPr>
      </w:pPr>
    </w:p>
    <w:p>
      <w:pPr>
        <w:ind w:left="868" w:right="160" w:hanging="436"/>
        <w:spacing w:after="0" w:line="276" w:lineRule="auto"/>
        <w:tabs>
          <w:tab w:leader="none" w:pos="868" w:val="left"/>
        </w:tabs>
        <w:numPr>
          <w:ilvl w:val="1"/>
          <w:numId w:val="72"/>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1"/>
          <w:szCs w:val="11"/>
          <w:color w:val="auto"/>
        </w:rPr>
      </w:pPr>
    </w:p>
    <w:p>
      <w:pPr>
        <w:ind w:left="428" w:right="100" w:hanging="428"/>
        <w:spacing w:after="0" w:line="276" w:lineRule="auto"/>
        <w:tabs>
          <w:tab w:leader="none" w:pos="428"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1"/>
          <w:szCs w:val="11"/>
          <w:color w:val="auto"/>
        </w:rPr>
      </w:pPr>
    </w:p>
    <w:p>
      <w:pPr>
        <w:ind w:left="868" w:right="180" w:hanging="436"/>
        <w:spacing w:after="0" w:line="276" w:lineRule="auto"/>
        <w:tabs>
          <w:tab w:leader="none" w:pos="868" w:val="left"/>
        </w:tabs>
        <w:numPr>
          <w:ilvl w:val="1"/>
          <w:numId w:val="72"/>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1"/>
          <w:szCs w:val="11"/>
          <w:color w:val="auto"/>
        </w:rPr>
      </w:pPr>
    </w:p>
    <w:p>
      <w:pPr>
        <w:ind w:left="868" w:hanging="436"/>
        <w:spacing w:after="0"/>
        <w:tabs>
          <w:tab w:leader="none" w:pos="868" w:val="left"/>
        </w:tabs>
        <w:numPr>
          <w:ilvl w:val="1"/>
          <w:numId w:val="72"/>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1"/>
          <w:szCs w:val="11"/>
          <w:color w:val="auto"/>
        </w:rPr>
        <w:t>Date: February 26, 2018</w:t>
      </w:r>
    </w:p>
    <w:p>
      <w:pPr>
        <w:spacing w:after="0" w:line="135"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13970</wp:posOffset>
            </wp:positionV>
            <wp:extent cx="298577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7">
                      <a:extLst>
                        <a:ext uri="{28A0092B-C50C-407E-A947-70E740481C1C}"/>
                      </a:extLst>
                    </a:blip>
                    <a:srcRect/>
                    <a:stretch>
                      <a:fillRect/>
                    </a:stretch>
                  </pic:blipFill>
                  <pic:spPr bwMode="auto">
                    <a:xfrm>
                      <a:off x="0" y="0"/>
                      <a:ext cx="2985770" cy="5715"/>
                    </a:xfrm>
                    <a:prstGeom prst="rect">
                      <a:avLst/>
                    </a:prstGeom>
                    <a:noFill/>
                  </pic:spPr>
                </pic:pic>
              </a:graphicData>
            </a:graphic>
          </wp:anchor>
        </w:drawing>
      </w:r>
    </w:p>
    <w:p>
      <w:pPr>
        <w:spacing w:after="0" w:line="34"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Todd A. Stevens</w:t>
      </w:r>
    </w:p>
    <w:p>
      <w:pPr>
        <w:spacing w:after="0" w:line="54"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President and Chief Executive Officer</w:t>
      </w:r>
    </w:p>
    <w:p>
      <w:pPr>
        <w:spacing w:after="0" w:line="54"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(Principal Executive Officer)</w:t>
      </w:r>
    </w:p>
    <w:p>
      <w:pPr>
        <w:sectPr>
          <w:pgSz w:w="11900" w:h="16838" w:orient="portrait"/>
          <w:cols w:equalWidth="0" w:num="1">
            <w:col w:w="11488"/>
          </w:cols>
          <w:pgMar w:left="212" w:top="124" w:right="1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2"/>
          <w:szCs w:val="12"/>
          <w:b w:val="1"/>
          <w:bCs w:val="1"/>
          <w:color w:val="auto"/>
        </w:rPr>
        <w:t>EXHIBIT 31.2</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13a – 14(a) / 15d – 14(a)</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§302 OF THE SARBANES-OXLEY ACT OF 2002</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1"/>
          <w:szCs w:val="11"/>
          <w:color w:val="auto"/>
        </w:rPr>
        <w:t>I, Marshall D. Smith, certify that:</w:t>
      </w:r>
    </w:p>
    <w:p>
      <w:pPr>
        <w:spacing w:after="0" w:line="198" w:lineRule="exact"/>
        <w:rPr>
          <w:sz w:val="20"/>
          <w:szCs w:val="20"/>
          <w:color w:val="auto"/>
        </w:rPr>
      </w:pPr>
    </w:p>
    <w:p>
      <w:pPr>
        <w:ind w:left="428" w:hanging="428"/>
        <w:spacing w:after="0"/>
        <w:tabs>
          <w:tab w:leader="none" w:pos="428" w:val="left"/>
        </w:tabs>
        <w:numPr>
          <w:ilvl w:val="0"/>
          <w:numId w:val="73"/>
        </w:numPr>
        <w:rPr>
          <w:rFonts w:ascii="Arial" w:cs="Arial" w:eastAsia="Arial" w:hAnsi="Arial"/>
          <w:sz w:val="11"/>
          <w:szCs w:val="11"/>
          <w:color w:val="auto"/>
        </w:rPr>
      </w:pPr>
      <w:r>
        <w:rPr>
          <w:rFonts w:ascii="Arial" w:cs="Arial" w:eastAsia="Arial" w:hAnsi="Arial"/>
          <w:sz w:val="11"/>
          <w:szCs w:val="11"/>
          <w:color w:val="auto"/>
        </w:rPr>
        <w:t>I have reviewed this annual report on Form 10-K of California Resources Corporation;</w:t>
      </w:r>
    </w:p>
    <w:p>
      <w:pPr>
        <w:spacing w:after="0" w:line="143" w:lineRule="exact"/>
        <w:rPr>
          <w:rFonts w:ascii="Arial" w:cs="Arial" w:eastAsia="Arial" w:hAnsi="Arial"/>
          <w:sz w:val="11"/>
          <w:szCs w:val="11"/>
          <w:color w:val="auto"/>
        </w:rPr>
      </w:pPr>
    </w:p>
    <w:p>
      <w:pPr>
        <w:ind w:left="428" w:right="400" w:hanging="428"/>
        <w:spacing w:after="0" w:line="276" w:lineRule="auto"/>
        <w:tabs>
          <w:tab w:leader="none" w:pos="428" w:val="left"/>
        </w:tabs>
        <w:numPr>
          <w:ilvl w:val="0"/>
          <w:numId w:val="73"/>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1"/>
          <w:szCs w:val="11"/>
          <w:color w:val="auto"/>
        </w:rPr>
      </w:pPr>
    </w:p>
    <w:p>
      <w:pPr>
        <w:ind w:left="428" w:right="140" w:hanging="428"/>
        <w:spacing w:after="0" w:line="276" w:lineRule="auto"/>
        <w:tabs>
          <w:tab w:leader="none" w:pos="428" w:val="left"/>
        </w:tabs>
        <w:numPr>
          <w:ilvl w:val="0"/>
          <w:numId w:val="73"/>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1"/>
          <w:szCs w:val="11"/>
          <w:color w:val="auto"/>
        </w:rPr>
      </w:pPr>
    </w:p>
    <w:p>
      <w:pPr>
        <w:ind w:left="428" w:right="140" w:hanging="428"/>
        <w:spacing w:after="0" w:line="276" w:lineRule="auto"/>
        <w:tabs>
          <w:tab w:leader="none" w:pos="428"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1"/>
          <w:szCs w:val="11"/>
          <w:color w:val="auto"/>
        </w:rPr>
      </w:pPr>
    </w:p>
    <w:p>
      <w:pPr>
        <w:ind w:left="868" w:right="480" w:hanging="436"/>
        <w:spacing w:after="0" w:line="276" w:lineRule="auto"/>
        <w:tabs>
          <w:tab w:leader="none" w:pos="868" w:val="left"/>
        </w:tabs>
        <w:numPr>
          <w:ilvl w:val="1"/>
          <w:numId w:val="73"/>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1"/>
          <w:szCs w:val="11"/>
          <w:color w:val="auto"/>
        </w:rPr>
      </w:pPr>
    </w:p>
    <w:p>
      <w:pPr>
        <w:ind w:left="868" w:right="180" w:hanging="436"/>
        <w:spacing w:after="0" w:line="276" w:lineRule="auto"/>
        <w:tabs>
          <w:tab w:leader="none" w:pos="868" w:val="left"/>
        </w:tabs>
        <w:numPr>
          <w:ilvl w:val="1"/>
          <w:numId w:val="73"/>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1"/>
          <w:szCs w:val="11"/>
          <w:color w:val="auto"/>
        </w:rPr>
      </w:pPr>
    </w:p>
    <w:p>
      <w:pPr>
        <w:ind w:left="868" w:right="120" w:hanging="436"/>
        <w:spacing w:after="0" w:line="276" w:lineRule="auto"/>
        <w:tabs>
          <w:tab w:leader="none" w:pos="868" w:val="left"/>
        </w:tabs>
        <w:numPr>
          <w:ilvl w:val="1"/>
          <w:numId w:val="73"/>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1"/>
          <w:szCs w:val="11"/>
          <w:color w:val="auto"/>
        </w:rPr>
      </w:pPr>
    </w:p>
    <w:p>
      <w:pPr>
        <w:ind w:left="868" w:right="160" w:hanging="436"/>
        <w:spacing w:after="0" w:line="276" w:lineRule="auto"/>
        <w:tabs>
          <w:tab w:leader="none" w:pos="868" w:val="left"/>
        </w:tabs>
        <w:numPr>
          <w:ilvl w:val="1"/>
          <w:numId w:val="73"/>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1"/>
          <w:szCs w:val="11"/>
          <w:color w:val="auto"/>
        </w:rPr>
      </w:pPr>
    </w:p>
    <w:p>
      <w:pPr>
        <w:ind w:left="428" w:right="100" w:hanging="428"/>
        <w:spacing w:after="0" w:line="276" w:lineRule="auto"/>
        <w:tabs>
          <w:tab w:leader="none" w:pos="428"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1"/>
          <w:szCs w:val="11"/>
          <w:color w:val="auto"/>
        </w:rPr>
      </w:pPr>
    </w:p>
    <w:p>
      <w:pPr>
        <w:ind w:left="868" w:right="180" w:hanging="436"/>
        <w:spacing w:after="0" w:line="276" w:lineRule="auto"/>
        <w:tabs>
          <w:tab w:leader="none" w:pos="868" w:val="left"/>
        </w:tabs>
        <w:numPr>
          <w:ilvl w:val="1"/>
          <w:numId w:val="73"/>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1"/>
          <w:szCs w:val="11"/>
          <w:color w:val="auto"/>
        </w:rPr>
      </w:pPr>
    </w:p>
    <w:p>
      <w:pPr>
        <w:ind w:left="868" w:hanging="436"/>
        <w:spacing w:after="0"/>
        <w:tabs>
          <w:tab w:leader="none" w:pos="868" w:val="left"/>
        </w:tabs>
        <w:numPr>
          <w:ilvl w:val="1"/>
          <w:numId w:val="73"/>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1"/>
          <w:szCs w:val="11"/>
          <w:color w:val="auto"/>
        </w:rPr>
        <w:t>Date: February 26, 2018</w:t>
      </w:r>
    </w:p>
    <w:p>
      <w:pPr>
        <w:spacing w:after="0" w:line="135"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13970</wp:posOffset>
            </wp:positionV>
            <wp:extent cx="298577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8">
                      <a:extLst>
                        <a:ext uri="{28A0092B-C50C-407E-A947-70E740481C1C}"/>
                      </a:extLst>
                    </a:blip>
                    <a:srcRect/>
                    <a:stretch>
                      <a:fillRect/>
                    </a:stretch>
                  </pic:blipFill>
                  <pic:spPr bwMode="auto">
                    <a:xfrm>
                      <a:off x="0" y="0"/>
                      <a:ext cx="2985770" cy="5715"/>
                    </a:xfrm>
                    <a:prstGeom prst="rect">
                      <a:avLst/>
                    </a:prstGeom>
                    <a:noFill/>
                  </pic:spPr>
                </pic:pic>
              </a:graphicData>
            </a:graphic>
          </wp:anchor>
        </w:drawing>
      </w:r>
    </w:p>
    <w:p>
      <w:pPr>
        <w:spacing w:after="0" w:line="34"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Marshall D. Smith</w:t>
      </w:r>
    </w:p>
    <w:p>
      <w:pPr>
        <w:spacing w:after="0" w:line="54"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Senior Executive Vice President and</w:t>
      </w:r>
    </w:p>
    <w:p>
      <w:pPr>
        <w:spacing w:after="0" w:line="54"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Chief Financial Officer</w:t>
      </w:r>
    </w:p>
    <w:p>
      <w:pPr>
        <w:spacing w:after="0" w:line="54" w:lineRule="exact"/>
        <w:rPr>
          <w:sz w:val="20"/>
          <w:szCs w:val="20"/>
          <w:color w:val="auto"/>
        </w:rPr>
      </w:pPr>
    </w:p>
    <w:p>
      <w:pPr>
        <w:ind w:left="6808"/>
        <w:spacing w:after="0"/>
        <w:rPr>
          <w:sz w:val="20"/>
          <w:szCs w:val="20"/>
          <w:color w:val="auto"/>
        </w:rPr>
      </w:pPr>
      <w:r>
        <w:rPr>
          <w:rFonts w:ascii="Arial" w:cs="Arial" w:eastAsia="Arial" w:hAnsi="Arial"/>
          <w:sz w:val="11"/>
          <w:szCs w:val="11"/>
          <w:color w:val="auto"/>
        </w:rPr>
        <w:t>(Principal Financial Officer)</w:t>
      </w:r>
    </w:p>
    <w:p>
      <w:pPr>
        <w:sectPr>
          <w:pgSz w:w="11900" w:h="16838" w:orient="portrait"/>
          <w:cols w:equalWidth="0" w:num="1">
            <w:col w:w="11488"/>
          </w:cols>
          <w:pgMar w:left="212" w:top="125" w:right="1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2"/>
          <w:szCs w:val="12"/>
          <w:b w:val="1"/>
          <w:bCs w:val="1"/>
          <w:color w:val="auto"/>
        </w:rPr>
        <w:t>EXHIBIT 32.1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AND CFO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906 OF THE SARBANES-OXLEY ACT OF 2002</w:t>
      </w:r>
    </w:p>
    <w:p>
      <w:pPr>
        <w:spacing w:after="0" w:line="312" w:lineRule="exact"/>
        <w:rPr>
          <w:sz w:val="20"/>
          <w:szCs w:val="20"/>
          <w:color w:val="auto"/>
        </w:rPr>
      </w:pPr>
    </w:p>
    <w:p>
      <w:pPr>
        <w:ind w:right="80" w:firstLine="216"/>
        <w:spacing w:after="0" w:line="256" w:lineRule="auto"/>
        <w:rPr>
          <w:sz w:val="20"/>
          <w:szCs w:val="20"/>
          <w:color w:val="auto"/>
        </w:rPr>
      </w:pPr>
      <w:r>
        <w:rPr>
          <w:rFonts w:ascii="Arial" w:cs="Arial" w:eastAsia="Arial" w:hAnsi="Arial"/>
          <w:sz w:val="12"/>
          <w:szCs w:val="12"/>
          <w:color w:val="auto"/>
        </w:rPr>
        <w:t>In connection with the Annual Report on Form 10-K of California Resources Corporation (the “Company”) for the fiscal period ended December 31, 2017, as filed with the Securities and Exchange Commission on February 26, 2018 (the “Report”), Todd A. Stevens, as Chief Executive Officer of the Company, and Marshall D. Smith, as Chief Financial Officer of the Company, each hereby certifies, pursuant to 18 U.S.C. § 1350, as adopted pursuant to § 906 of the Sarbanes-Oxley Act of 2002, that, to the best of his or her knowledge, respectively:</w:t>
      </w:r>
    </w:p>
    <w:p>
      <w:pPr>
        <w:spacing w:after="0" w:line="297" w:lineRule="exact"/>
        <w:rPr>
          <w:sz w:val="20"/>
          <w:szCs w:val="20"/>
          <w:color w:val="auto"/>
        </w:rPr>
      </w:pPr>
    </w:p>
    <w:p>
      <w:pPr>
        <w:ind w:left="420" w:hanging="212"/>
        <w:spacing w:after="0"/>
        <w:tabs>
          <w:tab w:leader="none" w:pos="4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444944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9">
                      <a:extLst>
                        <a:ext uri="{28A0092B-C50C-407E-A947-70E740481C1C}"/>
                      </a:extLst>
                    </a:blip>
                    <a:srcRect/>
                    <a:stretch>
                      <a:fillRect/>
                    </a:stretch>
                  </pic:blipFill>
                  <pic:spPr bwMode="auto">
                    <a:xfrm>
                      <a:off x="0" y="0"/>
                      <a:ext cx="4449445" cy="571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60" w:type="dxa"/>
            <w:vAlign w:val="bottom"/>
          </w:tcPr>
          <w:p>
            <w:pPr>
              <w:ind w:left="20"/>
              <w:spacing w:after="0"/>
              <w:rPr>
                <w:sz w:val="20"/>
                <w:szCs w:val="20"/>
                <w:color w:val="auto"/>
              </w:rPr>
            </w:pPr>
            <w:r>
              <w:rPr>
                <w:rFonts w:ascii="Arial" w:cs="Arial" w:eastAsia="Arial" w:hAnsi="Arial"/>
                <w:sz w:val="12"/>
                <w:szCs w:val="12"/>
                <w:color w:val="auto"/>
              </w:rPr>
              <w:t>Name:</w:t>
            </w:r>
          </w:p>
        </w:tc>
        <w:tc>
          <w:tcPr>
            <w:tcW w:w="6340" w:type="dxa"/>
            <w:vAlign w:val="bottom"/>
          </w:tcPr>
          <w:p>
            <w:pPr>
              <w:ind w:left="280"/>
              <w:spacing w:after="0"/>
              <w:rPr>
                <w:sz w:val="20"/>
                <w:szCs w:val="20"/>
                <w:color w:val="auto"/>
              </w:rPr>
            </w:pPr>
            <w:r>
              <w:rPr>
                <w:rFonts w:ascii="Arial" w:cs="Arial" w:eastAsia="Arial" w:hAnsi="Arial"/>
                <w:sz w:val="12"/>
                <w:szCs w:val="12"/>
                <w:color w:val="auto"/>
              </w:rPr>
              <w:t>Todd A. Stevens</w:t>
            </w:r>
          </w:p>
        </w:tc>
      </w:tr>
      <w:tr>
        <w:trPr>
          <w:trHeight w:val="180"/>
        </w:trPr>
        <w:tc>
          <w:tcPr>
            <w:tcW w:w="660" w:type="dxa"/>
            <w:vAlign w:val="bottom"/>
          </w:tcPr>
          <w:p>
            <w:pPr>
              <w:ind w:left="20"/>
              <w:spacing w:after="0"/>
              <w:rPr>
                <w:sz w:val="20"/>
                <w:szCs w:val="20"/>
                <w:color w:val="auto"/>
              </w:rPr>
            </w:pPr>
            <w:r>
              <w:rPr>
                <w:rFonts w:ascii="Arial" w:cs="Arial" w:eastAsia="Arial" w:hAnsi="Arial"/>
                <w:sz w:val="12"/>
                <w:szCs w:val="12"/>
                <w:color w:val="auto"/>
              </w:rPr>
              <w:t>Title:</w:t>
            </w:r>
          </w:p>
        </w:tc>
        <w:tc>
          <w:tcPr>
            <w:tcW w:w="6340" w:type="dxa"/>
            <w:vAlign w:val="bottom"/>
          </w:tcPr>
          <w:p>
            <w:pPr>
              <w:ind w:left="280"/>
              <w:spacing w:after="0"/>
              <w:rPr>
                <w:sz w:val="20"/>
                <w:szCs w:val="20"/>
                <w:color w:val="auto"/>
              </w:rPr>
            </w:pPr>
            <w:r>
              <w:rPr>
                <w:rFonts w:ascii="Arial" w:cs="Arial" w:eastAsia="Arial" w:hAnsi="Arial"/>
                <w:sz w:val="12"/>
                <w:szCs w:val="12"/>
                <w:color w:val="auto"/>
              </w:rPr>
              <w:t>President and Chief Executive Officer</w:t>
            </w:r>
          </w:p>
        </w:tc>
      </w:tr>
      <w:tr>
        <w:trPr>
          <w:trHeight w:val="180"/>
        </w:trPr>
        <w:tc>
          <w:tcPr>
            <w:tcW w:w="660" w:type="dxa"/>
            <w:vAlign w:val="bottom"/>
          </w:tcPr>
          <w:p>
            <w:pPr>
              <w:ind w:left="20"/>
              <w:spacing w:after="0"/>
              <w:rPr>
                <w:sz w:val="20"/>
                <w:szCs w:val="20"/>
                <w:color w:val="auto"/>
              </w:rPr>
            </w:pPr>
            <w:r>
              <w:rPr>
                <w:rFonts w:ascii="Arial" w:cs="Arial" w:eastAsia="Arial" w:hAnsi="Arial"/>
                <w:sz w:val="12"/>
                <w:szCs w:val="12"/>
                <w:color w:val="auto"/>
              </w:rPr>
              <w:t>Date:</w:t>
            </w:r>
          </w:p>
        </w:tc>
        <w:tc>
          <w:tcPr>
            <w:tcW w:w="6340" w:type="dxa"/>
            <w:vAlign w:val="bottom"/>
          </w:tcPr>
          <w:p>
            <w:pPr>
              <w:ind w:left="280"/>
              <w:spacing w:after="0"/>
              <w:rPr>
                <w:sz w:val="20"/>
                <w:szCs w:val="20"/>
                <w:color w:val="auto"/>
              </w:rPr>
            </w:pPr>
            <w:r>
              <w:rPr>
                <w:rFonts w:ascii="Arial" w:cs="Arial" w:eastAsia="Arial" w:hAnsi="Arial"/>
                <w:sz w:val="12"/>
                <w:szCs w:val="12"/>
                <w:color w:val="auto"/>
              </w:rPr>
              <w:t>February 26, 2018</w:t>
            </w:r>
          </w:p>
        </w:tc>
      </w:tr>
      <w:tr>
        <w:trPr>
          <w:trHeight w:val="581"/>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/s/ Marshall D. Smith</w:t>
            </w:r>
          </w:p>
        </w:tc>
      </w:tr>
      <w:tr>
        <w:trPr>
          <w:trHeight w:val="165"/>
        </w:trPr>
        <w:tc>
          <w:tcPr>
            <w:tcW w:w="660" w:type="dxa"/>
            <w:vAlign w:val="bottom"/>
          </w:tcPr>
          <w:p>
            <w:pPr>
              <w:ind w:left="20"/>
              <w:spacing w:after="0"/>
              <w:rPr>
                <w:sz w:val="20"/>
                <w:szCs w:val="20"/>
                <w:color w:val="auto"/>
              </w:rPr>
            </w:pPr>
            <w:r>
              <w:rPr>
                <w:rFonts w:ascii="Arial" w:cs="Arial" w:eastAsia="Arial" w:hAnsi="Arial"/>
                <w:sz w:val="12"/>
                <w:szCs w:val="12"/>
                <w:color w:val="auto"/>
              </w:rPr>
              <w:t>Name:</w:t>
            </w:r>
          </w:p>
        </w:tc>
        <w:tc>
          <w:tcPr>
            <w:tcW w:w="6340" w:type="dxa"/>
            <w:vAlign w:val="bottom"/>
          </w:tcPr>
          <w:p>
            <w:pPr>
              <w:ind w:left="280"/>
              <w:spacing w:after="0"/>
              <w:rPr>
                <w:sz w:val="20"/>
                <w:szCs w:val="20"/>
                <w:color w:val="auto"/>
              </w:rPr>
            </w:pPr>
            <w:r>
              <w:rPr>
                <w:rFonts w:ascii="Arial" w:cs="Arial" w:eastAsia="Arial" w:hAnsi="Arial"/>
                <w:sz w:val="12"/>
                <w:szCs w:val="12"/>
                <w:color w:val="auto"/>
              </w:rPr>
              <w:t>Marshall D. Smith</w:t>
            </w:r>
          </w:p>
        </w:tc>
      </w:tr>
      <w:tr>
        <w:trPr>
          <w:trHeight w:val="180"/>
        </w:trPr>
        <w:tc>
          <w:tcPr>
            <w:tcW w:w="660" w:type="dxa"/>
            <w:vAlign w:val="bottom"/>
          </w:tcPr>
          <w:p>
            <w:pPr>
              <w:ind w:left="20"/>
              <w:spacing w:after="0"/>
              <w:rPr>
                <w:sz w:val="20"/>
                <w:szCs w:val="20"/>
                <w:color w:val="auto"/>
              </w:rPr>
            </w:pPr>
            <w:r>
              <w:rPr>
                <w:rFonts w:ascii="Arial" w:cs="Arial" w:eastAsia="Arial" w:hAnsi="Arial"/>
                <w:sz w:val="12"/>
                <w:szCs w:val="12"/>
                <w:color w:val="auto"/>
              </w:rPr>
              <w:t>Title:</w:t>
            </w:r>
          </w:p>
        </w:tc>
        <w:tc>
          <w:tcPr>
            <w:tcW w:w="6340" w:type="dxa"/>
            <w:vAlign w:val="bottom"/>
          </w:tcPr>
          <w:p>
            <w:pPr>
              <w:ind w:left="280"/>
              <w:spacing w:after="0"/>
              <w:rPr>
                <w:sz w:val="20"/>
                <w:szCs w:val="20"/>
                <w:color w:val="auto"/>
              </w:rPr>
            </w:pPr>
            <w:r>
              <w:rPr>
                <w:rFonts w:ascii="Arial" w:cs="Arial" w:eastAsia="Arial" w:hAnsi="Arial"/>
                <w:sz w:val="12"/>
                <w:szCs w:val="12"/>
                <w:color w:val="auto"/>
              </w:rPr>
              <w:t>Senior Executive Vice President and Chief Financial Officer</w:t>
            </w:r>
          </w:p>
        </w:tc>
      </w:tr>
      <w:tr>
        <w:trPr>
          <w:trHeight w:val="180"/>
        </w:trPr>
        <w:tc>
          <w:tcPr>
            <w:tcW w:w="660" w:type="dxa"/>
            <w:vAlign w:val="bottom"/>
          </w:tcPr>
          <w:p>
            <w:pPr>
              <w:ind w:left="20"/>
              <w:spacing w:after="0"/>
              <w:rPr>
                <w:sz w:val="20"/>
                <w:szCs w:val="20"/>
                <w:color w:val="auto"/>
              </w:rPr>
            </w:pPr>
            <w:r>
              <w:rPr>
                <w:rFonts w:ascii="Arial" w:cs="Arial" w:eastAsia="Arial" w:hAnsi="Arial"/>
                <w:sz w:val="12"/>
                <w:szCs w:val="12"/>
                <w:color w:val="auto"/>
              </w:rPr>
              <w:t>Date:</w:t>
            </w:r>
          </w:p>
        </w:tc>
        <w:tc>
          <w:tcPr>
            <w:tcW w:w="6340" w:type="dxa"/>
            <w:vAlign w:val="bottom"/>
          </w:tcPr>
          <w:p>
            <w:pPr>
              <w:ind w:left="280"/>
              <w:spacing w:after="0"/>
              <w:rPr>
                <w:sz w:val="20"/>
                <w:szCs w:val="20"/>
                <w:color w:val="auto"/>
              </w:rPr>
            </w:pPr>
            <w:r>
              <w:rPr>
                <w:rFonts w:ascii="Arial" w:cs="Arial" w:eastAsia="Arial" w:hAnsi="Arial"/>
                <w:sz w:val="12"/>
                <w:szCs w:val="12"/>
                <w:color w:val="auto"/>
              </w:rPr>
              <w:t>February 26, 2018</w:t>
            </w:r>
          </w:p>
        </w:tc>
      </w:tr>
    </w:tbl>
    <w:p>
      <w:pPr>
        <w:spacing w:after="0" w:line="207" w:lineRule="exact"/>
        <w:rPr>
          <w:sz w:val="20"/>
          <w:szCs w:val="20"/>
          <w:color w:val="auto"/>
        </w:rPr>
      </w:pPr>
    </w:p>
    <w:p>
      <w:pPr>
        <w:ind w:right="120" w:firstLine="216"/>
        <w:spacing w:after="0" w:line="262" w:lineRule="auto"/>
        <w:rPr>
          <w:sz w:val="20"/>
          <w:szCs w:val="20"/>
          <w:color w:val="auto"/>
        </w:rPr>
      </w:pPr>
      <w:r>
        <w:rPr>
          <w:rFonts w:ascii="Arial" w:cs="Arial" w:eastAsia="Arial" w:hAnsi="Arial"/>
          <w:sz w:val="12"/>
          <w:szCs w:val="12"/>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95" w:lineRule="exact"/>
        <w:rPr>
          <w:sz w:val="20"/>
          <w:szCs w:val="20"/>
          <w:color w:val="auto"/>
        </w:rPr>
      </w:pPr>
    </w:p>
    <w:p>
      <w:pPr>
        <w:ind w:right="420" w:firstLine="216"/>
        <w:spacing w:after="0" w:line="262" w:lineRule="auto"/>
        <w:rPr>
          <w:sz w:val="20"/>
          <w:szCs w:val="20"/>
          <w:color w:val="auto"/>
        </w:rPr>
      </w:pPr>
      <w:r>
        <w:rPr>
          <w:rFonts w:ascii="Arial" w:cs="Arial" w:eastAsia="Arial" w:hAnsi="Arial"/>
          <w:sz w:val="12"/>
          <w:szCs w:val="12"/>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480"/>
          </w:cols>
          <w:pgMar w:left="220" w:top="126" w:right="1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2"/>
          <w:szCs w:val="1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Estimated</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Future Reserves</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Attributable to Certain</w:t>
      </w:r>
    </w:p>
    <w:p>
      <w:pPr>
        <w:spacing w:after="0" w:line="18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60"/>
        <w:spacing w:after="0"/>
        <w:rPr>
          <w:sz w:val="20"/>
          <w:szCs w:val="20"/>
          <w:color w:val="auto"/>
        </w:rPr>
      </w:pPr>
      <w:r>
        <w:rPr>
          <w:rFonts w:ascii="Arial" w:cs="Arial" w:eastAsia="Arial" w:hAnsi="Arial"/>
          <w:sz w:val="14"/>
          <w:szCs w:val="14"/>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As of</w:t>
      </w:r>
    </w:p>
    <w:p>
      <w:pPr>
        <w:spacing w:after="0" w:line="157"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December 31, 2017</w:t>
      </w:r>
    </w:p>
    <w:p>
      <w:pPr>
        <w:spacing w:after="0" w:line="200" w:lineRule="exact"/>
        <w:rPr>
          <w:sz w:val="20"/>
          <w:szCs w:val="20"/>
          <w:color w:val="auto"/>
        </w:rPr>
      </w:pPr>
    </w:p>
    <w:p>
      <w:pPr>
        <w:spacing w:after="0" w:line="23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 Larry P. Connor,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9525</wp:posOffset>
            </wp:positionV>
            <wp:extent cx="31972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0">
                      <a:extLst>
                        <a:ext uri="{28A0092B-C50C-407E-A947-70E740481C1C}"/>
                      </a:extLst>
                    </a:blip>
                    <a:srcRect/>
                    <a:stretch>
                      <a:fillRect/>
                    </a:stretch>
                  </pic:blipFill>
                  <pic:spPr bwMode="auto">
                    <a:xfrm>
                      <a:off x="0" y="0"/>
                      <a:ext cx="3197225" cy="5715"/>
                    </a:xfrm>
                    <a:prstGeom prst="rect">
                      <a:avLst/>
                    </a:prstGeom>
                    <a:noFill/>
                  </pic:spPr>
                </pic:pic>
              </a:graphicData>
            </a:graphic>
          </wp:anchor>
        </w:drawing>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Larry P. Connor, P.E.</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TBPE License No. 58639</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Advising Senior Vice President</w:t>
      </w:r>
    </w:p>
    <w:p>
      <w:pPr>
        <w:spacing w:after="0" w:line="141"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RYDER SCOTT COMPANY, L.P.</w:t>
      </w:r>
    </w:p>
    <w:p>
      <w:pPr>
        <w:spacing w:after="0" w:line="20"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TBPE Firm Registration No. F-1580</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[SEAL]</w:t>
      </w:r>
    </w:p>
    <w:p>
      <w:pPr>
        <w:sectPr>
          <w:pgSz w:w="11900" w:h="16838" w:orient="portrait"/>
          <w:cols w:equalWidth="0" w:num="1">
            <w:col w:w="10260"/>
          </w:cols>
          <w:pgMar w:left="1440" w:top="124" w:right="199" w:bottom="1440" w:gutter="0" w:footer="0" w:header="0"/>
        </w:sectPr>
      </w:pPr>
    </w:p>
    <w:bookmarkStart w:id="140" w:name="page141"/>
    <w:bookmarkEnd w:id="140"/>
    <w:p>
      <w:pPr>
        <w:ind w:left="10260"/>
        <w:spacing w:after="0"/>
        <w:rPr>
          <w:sz w:val="20"/>
          <w:szCs w:val="20"/>
          <w:color w:val="auto"/>
        </w:rPr>
      </w:pPr>
      <w:r>
        <w:rPr>
          <w:rFonts w:ascii="Arial" w:cs="Arial" w:eastAsia="Arial" w:hAnsi="Arial"/>
          <w:sz w:val="13"/>
          <w:szCs w:val="13"/>
          <w:color w:val="auto"/>
        </w:rPr>
        <w:t>February 13, 2018</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California Resources Corporation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9200 Oakdale Avenue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Los Angeles, CA 91311</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57"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3"/>
          <w:szCs w:val="13"/>
          <w:color w:val="auto"/>
        </w:rPr>
        <w:t>At the request of California Resources Corporation (CRC), Ryder Scott Company, L.P. (Ryder Scott) has conducted a reserves audit of the estimates of the proved reserves as of December 31, 2017 prepared by CRC’s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February 9, 2018 and presented herein, was prepared for public disclosure by CRC in filings made with the SEC in accordance with the disclosure requirements set forth in the SEC regulations. The estimated reserves shown herein represent CRC’s estimated net reserves attributable to the leasehold and royalty interests in certain properties owned by CRC and the portion of those reserves reviewed by Ryder Scott, as of December 31, 2017. The properties reviewed by Ryder Scott incorporate CRC reserve determinations and are located in the state of California.</w:t>
      </w:r>
    </w:p>
    <w:p>
      <w:pPr>
        <w:spacing w:after="0" w:line="145"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The properties reviewed by Ryder Scott account for a portion of CRC’s total net proved reserves as of December 31, 2017. Based on the estimates of total net proved reserves prepared by CRC, the reserves audit conducted by Ryder Scott addresses 82 percent of the total proved developed net liquid hydrocarbon reserves and 73 percent of the total proved developed net gas reserves or 80 percent of the total proved developed net reserves on a barrel of oil equivalent (BOE) basis and 87 percent of the total proved undeveloped net liquid hydrocarbon reserves and 88 percent of the total proved undeveloped net gas reserves or 87 percent of the total proved undeveloped net reserves on a BOE basis of CRC.</w:t>
      </w:r>
    </w:p>
    <w:p>
      <w:pPr>
        <w:spacing w:after="0" w:line="143"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 quantities and/or Reserves Information.” Reserves Information may consist of various estimates pertaining to the extent and value of petroleum properties.</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Based on our review, including the data, technical processes and interpretations presented by CRC, it is our opinion that the overall procedures and methodologies utilized by CRC in preparing their estimates of the proved reserves as of December 31, 2017 comply with the current SEC regulations and that the overall proved reserves for the reviewed properties as estimated by CRC are, in the aggregate, reasonable within the established audit tolerance guidelines of 10 percent as set forth in the SPE auditing standards.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407" w:right="199" w:bottom="1440" w:gutter="0" w:footer="0" w:header="0"/>
        </w:sectPr>
      </w:pPr>
    </w:p>
    <w:bookmarkStart w:id="141" w:name="page142"/>
    <w:bookmarkEnd w:id="141"/>
    <w:p>
      <w:pPr>
        <w:jc w:val="both"/>
        <w:ind w:firstLine="432"/>
        <w:spacing w:after="0" w:line="248" w:lineRule="auto"/>
        <w:rPr>
          <w:sz w:val="20"/>
          <w:szCs w:val="20"/>
          <w:color w:val="auto"/>
        </w:rPr>
      </w:pPr>
      <w:r>
        <w:rPr>
          <w:rFonts w:ascii="Arial" w:cs="Arial" w:eastAsia="Arial" w:hAnsi="Arial"/>
          <w:sz w:val="13"/>
          <w:szCs w:val="13"/>
          <w:color w:val="auto"/>
        </w:rPr>
        <w:t>The estimated reserves presented in this report are related to hydrocarbon prices. CRC has informed us that in the preparation of their reserve and income projections, as of December 31, 2017, they used average prices during the 12-month period prior to the “as of date” of this report, determined as the unweighted arithmetic averages of the prices in effect on the first-day-of-the-month for each month within such period and subject to adjustments for differentials, by geographic area where the hydrocarbons are sold;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net reserves as estimated by CRC attributable to CRC's interest in properties that we reviewed and for those that we did not review are summarized below:</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SEC PARAMETERS</w:t>
      </w: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Estimated Net Reserves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Certain Leasehold and Royalty Interests of</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California Resources Corporation</w:t>
      </w: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As of December 31, 2017</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rPr>
              <w:t>Proved</w:t>
            </w:r>
          </w:p>
        </w:tc>
        <w:tc>
          <w:tcPr>
            <w:tcW w:w="1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197"/>
              <w:spacing w:after="0"/>
              <w:rPr>
                <w:sz w:val="20"/>
                <w:szCs w:val="20"/>
                <w:color w:val="auto"/>
              </w:rPr>
            </w:pPr>
            <w:r>
              <w:rPr>
                <w:rFonts w:ascii="Arial" w:cs="Arial" w:eastAsia="Arial" w:hAnsi="Arial"/>
                <w:sz w:val="13"/>
                <w:szCs w:val="13"/>
                <w:color w:val="auto"/>
              </w:rPr>
              <w:t>Developed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ind w:left="640"/>
              <w:spacing w:after="0"/>
              <w:rPr>
                <w:sz w:val="20"/>
                <w:szCs w:val="20"/>
                <w:color w:val="auto"/>
              </w:rPr>
            </w:pPr>
            <w:r>
              <w:rPr>
                <w:rFonts w:ascii="Arial" w:cs="Arial" w:eastAsia="Arial" w:hAnsi="Arial"/>
                <w:sz w:val="13"/>
                <w:szCs w:val="13"/>
                <w:color w:val="auto"/>
              </w:rPr>
              <w:t>Producing</w:t>
            </w:r>
          </w:p>
        </w:tc>
        <w:tc>
          <w:tcPr>
            <w:tcW w:w="2060" w:type="dxa"/>
            <w:vAlign w:val="bottom"/>
          </w:tcPr>
          <w:p>
            <w:pPr>
              <w:jc w:val="right"/>
              <w:ind w:right="97"/>
              <w:spacing w:after="0"/>
              <w:rPr>
                <w:sz w:val="20"/>
                <w:szCs w:val="20"/>
                <w:color w:val="auto"/>
              </w:rPr>
            </w:pPr>
            <w:r>
              <w:rPr>
                <w:rFonts w:ascii="Arial" w:cs="Arial" w:eastAsia="Arial" w:hAnsi="Arial"/>
                <w:sz w:val="13"/>
                <w:szCs w:val="13"/>
                <w:color w:val="auto"/>
              </w:rPr>
              <w:t>Non-Producing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3"/>
                <w:szCs w:val="13"/>
                <w:color w:val="auto"/>
              </w:rPr>
              <w:t>Undeveloped</w:t>
            </w:r>
          </w:p>
        </w:tc>
        <w:tc>
          <w:tcPr>
            <w:tcW w:w="1820" w:type="dxa"/>
            <w:vAlign w:val="bottom"/>
          </w:tcPr>
          <w:p>
            <w:pPr>
              <w:jc w:val="right"/>
              <w:ind w:right="497"/>
              <w:spacing w:after="0"/>
              <w:rPr>
                <w:sz w:val="20"/>
                <w:szCs w:val="20"/>
                <w:color w:val="auto"/>
              </w:rPr>
            </w:pPr>
            <w:r>
              <w:rPr>
                <w:rFonts w:ascii="Arial" w:cs="Arial" w:eastAsia="Arial" w:hAnsi="Arial"/>
                <w:sz w:val="13"/>
                <w:szCs w:val="13"/>
                <w:color w:val="auto"/>
              </w:rPr>
              <w:t>Total Proved</w:t>
            </w:r>
          </w:p>
        </w:tc>
      </w:tr>
      <w:tr>
        <w:trPr>
          <w:trHeight w:val="131"/>
        </w:trPr>
        <w:tc>
          <w:tcPr>
            <w:tcW w:w="3760" w:type="dxa"/>
            <w:vAlign w:val="bottom"/>
            <w:gridSpan w:val="6"/>
          </w:tcPr>
          <w:p>
            <w:pPr>
              <w:spacing w:after="0" w:line="131" w:lineRule="exact"/>
              <w:rPr>
                <w:sz w:val="20"/>
                <w:szCs w:val="20"/>
                <w:color w:val="auto"/>
              </w:rPr>
            </w:pPr>
            <w:r>
              <w:rPr>
                <w:rFonts w:ascii="Arial" w:cs="Arial" w:eastAsia="Arial" w:hAnsi="Arial"/>
                <w:sz w:val="13"/>
                <w:szCs w:val="13"/>
                <w:b w:val="1"/>
                <w:bCs w:val="1"/>
                <w:i w:val="1"/>
                <w:iCs w:val="1"/>
                <w:color w:val="auto"/>
              </w:rPr>
              <w:t>Audited by Ryder Scott</w:t>
            </w:r>
          </w:p>
        </w:tc>
        <w:tc>
          <w:tcPr>
            <w:tcW w:w="140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r>
      <w:tr>
        <w:trPr>
          <w:trHeight w:val="124"/>
        </w:trPr>
        <w:tc>
          <w:tcPr>
            <w:tcW w:w="20" w:type="dxa"/>
            <w:vAlign w:val="bottom"/>
            <w:tcBorders>
              <w:bottom w:val="single" w:sz="8" w:color="auto"/>
            </w:tcBorders>
          </w:tcPr>
          <w:p>
            <w:pPr>
              <w:spacing w:after="0"/>
              <w:rPr>
                <w:sz w:val="10"/>
                <w:szCs w:val="10"/>
                <w:color w:val="auto"/>
              </w:rPr>
            </w:pPr>
          </w:p>
        </w:tc>
        <w:tc>
          <w:tcPr>
            <w:tcW w:w="780" w:type="dxa"/>
            <w:vAlign w:val="bottom"/>
            <w:tcBorders>
              <w:top w:val="single" w:sz="8" w:color="auto"/>
              <w:bottom w:val="single" w:sz="8" w:color="auto"/>
            </w:tcBorders>
            <w:gridSpan w:val="2"/>
          </w:tcPr>
          <w:p>
            <w:pPr>
              <w:spacing w:after="0" w:line="124" w:lineRule="exact"/>
              <w:rPr>
                <w:sz w:val="20"/>
                <w:szCs w:val="20"/>
                <w:color w:val="auto"/>
              </w:rPr>
            </w:pPr>
            <w:r>
              <w:rPr>
                <w:rFonts w:ascii="Arial" w:cs="Arial" w:eastAsia="Arial" w:hAnsi="Arial"/>
                <w:sz w:val="13"/>
                <w:szCs w:val="13"/>
                <w:b w:val="1"/>
                <w:bCs w:val="1"/>
                <w:i w:val="1"/>
                <w:iCs w:val="1"/>
                <w:color w:val="auto"/>
                <w:w w:val="92"/>
              </w:rPr>
              <w:t>Net Reserves</w:t>
            </w: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2"/>
          </w:tcPr>
          <w:p>
            <w:pPr>
              <w:spacing w:after="0"/>
              <w:rPr>
                <w:sz w:val="10"/>
                <w:szCs w:val="10"/>
                <w:color w:val="auto"/>
              </w:rPr>
            </w:pPr>
          </w:p>
        </w:tc>
        <w:tc>
          <w:tcPr>
            <w:tcW w:w="2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r>
      <w:tr>
        <w:trPr>
          <w:trHeight w:val="189"/>
        </w:trPr>
        <w:tc>
          <w:tcPr>
            <w:tcW w:w="5160" w:type="dxa"/>
            <w:vAlign w:val="bottom"/>
            <w:gridSpan w:val="7"/>
          </w:tcPr>
          <w:p>
            <w:pPr>
              <w:spacing w:after="0"/>
              <w:rPr>
                <w:sz w:val="20"/>
                <w:szCs w:val="20"/>
                <w:color w:val="auto"/>
              </w:rPr>
            </w:pPr>
            <w:r>
              <w:rPr>
                <w:rFonts w:ascii="Arial" w:cs="Arial" w:eastAsia="Arial" w:hAnsi="Arial"/>
                <w:sz w:val="13"/>
                <w:szCs w:val="13"/>
                <w:color w:val="auto"/>
              </w:rPr>
              <w:t>Oil/Condensate – MMBarrels</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200</w:t>
            </w:r>
          </w:p>
        </w:tc>
        <w:tc>
          <w:tcPr>
            <w:tcW w:w="3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370</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Plant Products – MMBarrels</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32</w:t>
            </w:r>
          </w:p>
        </w:tc>
        <w:tc>
          <w:tcPr>
            <w:tcW w:w="3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Gas – BCF</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341</w:t>
            </w:r>
          </w:p>
        </w:tc>
        <w:tc>
          <w:tcPr>
            <w:tcW w:w="34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540</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MMBOE</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289</w:t>
            </w:r>
          </w:p>
        </w:tc>
        <w:tc>
          <w:tcPr>
            <w:tcW w:w="34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506</w:t>
            </w:r>
          </w:p>
        </w:tc>
      </w:tr>
      <w:tr>
        <w:trPr>
          <w:trHeight w:val="295"/>
        </w:trPr>
        <w:tc>
          <w:tcPr>
            <w:tcW w:w="5160" w:type="dxa"/>
            <w:vAlign w:val="bottom"/>
            <w:gridSpan w:val="7"/>
          </w:tcPr>
          <w:p>
            <w:pPr>
              <w:spacing w:after="0"/>
              <w:rPr>
                <w:sz w:val="20"/>
                <w:szCs w:val="20"/>
                <w:color w:val="auto"/>
              </w:rPr>
            </w:pPr>
            <w:r>
              <w:rPr>
                <w:rFonts w:ascii="Arial" w:cs="Arial" w:eastAsia="Arial" w:hAnsi="Arial"/>
                <w:sz w:val="13"/>
                <w:szCs w:val="13"/>
                <w:b w:val="1"/>
                <w:bCs w:val="1"/>
                <w:i w:val="1"/>
                <w:iCs w:val="1"/>
                <w:color w:val="auto"/>
              </w:rPr>
              <w:t>Not Audited by Ryder Scott</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4"/>
        </w:trPr>
        <w:tc>
          <w:tcPr>
            <w:tcW w:w="800" w:type="dxa"/>
            <w:vAlign w:val="bottom"/>
            <w:tcBorders>
              <w:top w:val="single" w:sz="8" w:color="auto"/>
              <w:bottom w:val="single" w:sz="8" w:color="auto"/>
            </w:tcBorders>
            <w:gridSpan w:val="3"/>
          </w:tcPr>
          <w:p>
            <w:pPr>
              <w:spacing w:after="0" w:line="124" w:lineRule="exact"/>
              <w:rPr>
                <w:sz w:val="20"/>
                <w:szCs w:val="20"/>
                <w:color w:val="auto"/>
              </w:rPr>
            </w:pPr>
            <w:r>
              <w:rPr>
                <w:rFonts w:ascii="Arial" w:cs="Arial" w:eastAsia="Arial" w:hAnsi="Arial"/>
                <w:sz w:val="13"/>
                <w:szCs w:val="13"/>
                <w:b w:val="1"/>
                <w:bCs w:val="1"/>
                <w:i w:val="1"/>
                <w:iCs w:val="1"/>
                <w:color w:val="auto"/>
                <w:w w:val="94"/>
              </w:rPr>
              <w:t>Net Reserves</w:t>
            </w:r>
          </w:p>
        </w:tc>
        <w:tc>
          <w:tcPr>
            <w:tcW w:w="840" w:type="dxa"/>
            <w:vAlign w:val="bottom"/>
            <w:tcBorders>
              <w:top w:val="single" w:sz="8" w:color="auto"/>
            </w:tcBorders>
            <w:gridSpan w:val="2"/>
          </w:tcPr>
          <w:p>
            <w:pPr>
              <w:spacing w:after="0"/>
              <w:rPr>
                <w:sz w:val="10"/>
                <w:szCs w:val="10"/>
                <w:color w:val="auto"/>
              </w:rPr>
            </w:pPr>
          </w:p>
        </w:tc>
        <w:tc>
          <w:tcPr>
            <w:tcW w:w="3520" w:type="dxa"/>
            <w:vAlign w:val="bottom"/>
            <w:gridSpan w:val="2"/>
          </w:tcPr>
          <w:p>
            <w:pPr>
              <w:spacing w:after="0"/>
              <w:rPr>
                <w:sz w:val="10"/>
                <w:szCs w:val="10"/>
                <w:color w:val="auto"/>
              </w:rPr>
            </w:pPr>
          </w:p>
        </w:tc>
        <w:tc>
          <w:tcPr>
            <w:tcW w:w="2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r>
      <w:tr>
        <w:trPr>
          <w:trHeight w:val="189"/>
        </w:trPr>
        <w:tc>
          <w:tcPr>
            <w:tcW w:w="5160" w:type="dxa"/>
            <w:vAlign w:val="bottom"/>
            <w:gridSpan w:val="7"/>
          </w:tcPr>
          <w:p>
            <w:pPr>
              <w:spacing w:after="0"/>
              <w:rPr>
                <w:sz w:val="20"/>
                <w:szCs w:val="20"/>
                <w:color w:val="auto"/>
              </w:rPr>
            </w:pPr>
            <w:r>
              <w:rPr>
                <w:rFonts w:ascii="Arial" w:cs="Arial" w:eastAsia="Arial" w:hAnsi="Arial"/>
                <w:sz w:val="13"/>
                <w:szCs w:val="13"/>
                <w:color w:val="auto"/>
              </w:rPr>
              <w:t>Oil/Condensate – MMBarrels</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40</w:t>
            </w:r>
          </w:p>
        </w:tc>
        <w:tc>
          <w:tcPr>
            <w:tcW w:w="3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Plant Products – MMBarrels</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9</w:t>
            </w: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Gas – BCF</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121</w:t>
            </w:r>
          </w:p>
        </w:tc>
        <w:tc>
          <w:tcPr>
            <w:tcW w:w="34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166</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MMBOE</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69</w:t>
            </w:r>
          </w:p>
        </w:tc>
        <w:tc>
          <w:tcPr>
            <w:tcW w:w="3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295"/>
        </w:trPr>
        <w:tc>
          <w:tcPr>
            <w:tcW w:w="5160" w:type="dxa"/>
            <w:vAlign w:val="bottom"/>
            <w:gridSpan w:val="7"/>
          </w:tcPr>
          <w:p>
            <w:pPr>
              <w:spacing w:after="0"/>
              <w:rPr>
                <w:sz w:val="20"/>
                <w:szCs w:val="20"/>
                <w:color w:val="auto"/>
              </w:rPr>
            </w:pPr>
            <w:r>
              <w:rPr>
                <w:rFonts w:ascii="Arial" w:cs="Arial" w:eastAsia="Arial" w:hAnsi="Arial"/>
                <w:sz w:val="13"/>
                <w:szCs w:val="13"/>
                <w:b w:val="1"/>
                <w:bCs w:val="1"/>
                <w:i w:val="1"/>
                <w:iCs w:val="1"/>
                <w:color w:val="auto"/>
              </w:rPr>
              <w:t>Total</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4"/>
        </w:trPr>
        <w:tc>
          <w:tcPr>
            <w:tcW w:w="300" w:type="dxa"/>
            <w:vAlign w:val="bottom"/>
            <w:tcBorders>
              <w:top w:val="single" w:sz="8" w:color="auto"/>
              <w:bottom w:val="single" w:sz="8" w:color="auto"/>
            </w:tcBorders>
            <w:gridSpan w:val="2"/>
          </w:tcPr>
          <w:p>
            <w:pPr>
              <w:spacing w:after="0" w:line="124" w:lineRule="exact"/>
              <w:rPr>
                <w:sz w:val="20"/>
                <w:szCs w:val="20"/>
                <w:color w:val="auto"/>
              </w:rPr>
            </w:pPr>
            <w:r>
              <w:rPr>
                <w:rFonts w:ascii="Arial" w:cs="Arial" w:eastAsia="Arial" w:hAnsi="Arial"/>
                <w:sz w:val="13"/>
                <w:szCs w:val="13"/>
                <w:b w:val="1"/>
                <w:bCs w:val="1"/>
                <w:i w:val="1"/>
                <w:iCs w:val="1"/>
                <w:color w:val="auto"/>
              </w:rPr>
              <w:t>Net</w:t>
            </w:r>
          </w:p>
        </w:tc>
        <w:tc>
          <w:tcPr>
            <w:tcW w:w="500" w:type="dxa"/>
            <w:vAlign w:val="bottom"/>
            <w:tcBorders>
              <w:bottom w:val="single" w:sz="8" w:color="auto"/>
            </w:tcBorders>
          </w:tcPr>
          <w:p>
            <w:pPr>
              <w:spacing w:after="0" w:line="124" w:lineRule="exact"/>
              <w:rPr>
                <w:sz w:val="20"/>
                <w:szCs w:val="20"/>
                <w:color w:val="auto"/>
              </w:rPr>
            </w:pPr>
            <w:r>
              <w:rPr>
                <w:rFonts w:ascii="Arial" w:cs="Arial" w:eastAsia="Arial" w:hAnsi="Arial"/>
                <w:sz w:val="13"/>
                <w:szCs w:val="13"/>
                <w:b w:val="1"/>
                <w:bCs w:val="1"/>
                <w:i w:val="1"/>
                <w:iCs w:val="1"/>
                <w:color w:val="auto"/>
                <w:w w:val="82"/>
              </w:rPr>
              <w:t>Reserves</w:t>
            </w:r>
          </w:p>
        </w:tc>
        <w:tc>
          <w:tcPr>
            <w:tcW w:w="4360" w:type="dxa"/>
            <w:vAlign w:val="bottom"/>
            <w:gridSpan w:val="4"/>
          </w:tcPr>
          <w:p>
            <w:pPr>
              <w:spacing w:after="0"/>
              <w:rPr>
                <w:sz w:val="10"/>
                <w:szCs w:val="10"/>
                <w:color w:val="auto"/>
              </w:rPr>
            </w:pPr>
          </w:p>
        </w:tc>
        <w:tc>
          <w:tcPr>
            <w:tcW w:w="2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r>
      <w:tr>
        <w:trPr>
          <w:trHeight w:val="189"/>
        </w:trPr>
        <w:tc>
          <w:tcPr>
            <w:tcW w:w="5160" w:type="dxa"/>
            <w:vAlign w:val="bottom"/>
            <w:gridSpan w:val="7"/>
          </w:tcPr>
          <w:p>
            <w:pPr>
              <w:spacing w:after="0"/>
              <w:rPr>
                <w:sz w:val="20"/>
                <w:szCs w:val="20"/>
                <w:color w:val="auto"/>
              </w:rPr>
            </w:pPr>
            <w:r>
              <w:rPr>
                <w:rFonts w:ascii="Arial" w:cs="Arial" w:eastAsia="Arial" w:hAnsi="Arial"/>
                <w:sz w:val="13"/>
                <w:szCs w:val="13"/>
                <w:color w:val="auto"/>
              </w:rPr>
              <w:t>Oil/Condensate – MMBarrels</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240</w:t>
            </w:r>
          </w:p>
        </w:tc>
        <w:tc>
          <w:tcPr>
            <w:tcW w:w="34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442</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Plant Products – MMBarrels</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41</w:t>
            </w: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Gas – BCF</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462</w:t>
            </w:r>
          </w:p>
        </w:tc>
        <w:tc>
          <w:tcPr>
            <w:tcW w:w="34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706</w:t>
            </w:r>
          </w:p>
        </w:tc>
      </w:tr>
      <w:tr>
        <w:trPr>
          <w:trHeight w:val="180"/>
        </w:trPr>
        <w:tc>
          <w:tcPr>
            <w:tcW w:w="5160" w:type="dxa"/>
            <w:vAlign w:val="bottom"/>
            <w:gridSpan w:val="7"/>
          </w:tcPr>
          <w:p>
            <w:pPr>
              <w:spacing w:after="0"/>
              <w:rPr>
                <w:sz w:val="20"/>
                <w:szCs w:val="20"/>
                <w:color w:val="auto"/>
              </w:rPr>
            </w:pPr>
            <w:r>
              <w:rPr>
                <w:rFonts w:ascii="Arial" w:cs="Arial" w:eastAsia="Arial" w:hAnsi="Arial"/>
                <w:sz w:val="13"/>
                <w:szCs w:val="13"/>
                <w:color w:val="auto"/>
              </w:rPr>
              <w:t>MMBOE</w:t>
            </w:r>
          </w:p>
        </w:tc>
        <w:tc>
          <w:tcPr>
            <w:tcW w:w="2060" w:type="dxa"/>
            <w:vAlign w:val="bottom"/>
          </w:tcPr>
          <w:p>
            <w:pPr>
              <w:jc w:val="right"/>
              <w:ind w:right="1577"/>
              <w:spacing w:after="0"/>
              <w:rPr>
                <w:sz w:val="20"/>
                <w:szCs w:val="20"/>
                <w:color w:val="auto"/>
              </w:rPr>
            </w:pPr>
            <w:r>
              <w:rPr>
                <w:rFonts w:ascii="Arial" w:cs="Arial" w:eastAsia="Arial" w:hAnsi="Arial"/>
                <w:sz w:val="13"/>
                <w:szCs w:val="13"/>
                <w:color w:val="auto"/>
              </w:rPr>
              <w:t>358</w:t>
            </w:r>
          </w:p>
        </w:tc>
        <w:tc>
          <w:tcPr>
            <w:tcW w:w="3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618</w:t>
            </w:r>
          </w:p>
        </w:tc>
      </w:tr>
    </w:tbl>
    <w:p>
      <w:pPr>
        <w:spacing w:after="0" w:line="158"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Liquid hydrocarbons are expressed in millions of standard 42 gallon barrels (MMBarrels). The gas volumes are generally reported on an “as sold basis” expressed in billions of cubic feet (BCF) at the official temperature and pressure bases of the areas in which the gas reserves are located. These gas volumes do include volumes of gas consumed in operations; though these volumes are not material. The net remaining reserves are also shown herein on an equivalent unit basis wherein natural gas is converted to oil equivalent using a factor of 6,000 cubic feet of natural gas per one barrel of oil equivalent. MMBOE means million barrels of oil equivalent.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452" w:right="19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b w:val="1"/>
          <w:bCs w:val="1"/>
          <w:i w:val="1"/>
          <w:iCs w:val="1"/>
          <w:color w:val="auto"/>
        </w:rPr>
        <w:t>Reserves Included in This Report</w:t>
      </w:r>
    </w:p>
    <w:p>
      <w:pPr>
        <w:spacing w:after="0" w:line="173"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13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The various proved reserve status categories are defined under the attachment entitled “Petroleum Reserves Status Definitions and Guidelines” in this report. The proved developed non-producing reserves included herein consist of behind pipe zones and volumes associated with certain recently completed projects not yet reflected in the producing category (such as new injection patterns and recently installed compression).</w:t>
      </w:r>
    </w:p>
    <w:p>
      <w:pPr>
        <w:spacing w:after="0" w:line="142"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3"/>
          <w:szCs w:val="13"/>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CRC’s request, this report addresses only the proved reserves attributable to the properties reviewed herein.</w:t>
      </w:r>
    </w:p>
    <w:p>
      <w:pPr>
        <w:spacing w:after="0" w:line="145"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Proved oil and gas reserves are “those quantities of oil and gas, which, by analysis of geoscience and engineering data, can be estimated with reasonable certainty to be economically producible—from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142"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Proved 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could be more or less than the estimated amounts.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436" w:right="19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b w:val="1"/>
          <w:bCs w:val="1"/>
          <w:i w:val="1"/>
          <w:iCs w:val="1"/>
          <w:color w:val="auto"/>
        </w:rPr>
        <w:t>Audit Data, Methodology, Procedure and Assumptions</w:t>
      </w:r>
    </w:p>
    <w:p>
      <w:pPr>
        <w:spacing w:after="0" w:line="173"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3"/>
          <w:szCs w:val="13"/>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48"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3"/>
          <w:szCs w:val="13"/>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14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14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The proved reserves, prepared by CRC, for the properties that we reviewed were estimated by performance methods, the volumetric method, analogy, or a combination of methods. The proved producing reserves attributable to producing wells and/or reservoirs that we reviewed were estimated by performance methods. These performance methods include, but may not be limited to, decline curve analysis, which utilized extrapolations of historical production and pressure data available through December 2017, in those cases where such data were considered to be definitive. The data utilized in this analysis were furnished to Ryder Scott by CRC or obtained from public data sources and were considered sufficient for the purpose thereof.</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The proved developed non-producing and undeveloped reserves that we reviewed were estimated by the volumetric method, analogy, or a combination of methods. The volumetric analysis utilized pertinent well and seismic data furnished to Ryder Scott by CRC for our review or which we have obtained from public data sources that were available through December 2017. The data utilized from the analogs in conjunction with well and seismic data incorporated into the volumetric analysis were considered sufficient for the purpose thereof.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436" w:right="199" w:bottom="1440" w:gutter="0" w:footer="0" w:header="0"/>
        </w:sectPr>
      </w:pPr>
    </w:p>
    <w:bookmarkStart w:id="144" w:name="page145"/>
    <w:bookmarkEnd w:id="144"/>
    <w:p>
      <w:pPr>
        <w:jc w:val="both"/>
        <w:ind w:firstLine="432"/>
        <w:spacing w:after="0" w:line="258" w:lineRule="auto"/>
        <w:rPr>
          <w:sz w:val="20"/>
          <w:szCs w:val="20"/>
          <w:color w:val="auto"/>
        </w:rPr>
      </w:pPr>
      <w:r>
        <w:rPr>
          <w:rFonts w:ascii="Arial" w:cs="Arial" w:eastAsia="Arial" w:hAnsi="Arial"/>
          <w:sz w:val="13"/>
          <w:szCs w:val="13"/>
          <w:color w:val="auto"/>
        </w:rPr>
        <w:t>For the reserves audited by Ryder Scott, approximately 23 percent will be produced by steamflood and gas injection recovery processes, 43 percent will be produced by waterflood and water drive processes, and the remaining 34 percent will be produced by primary recovery. Approximately 21 percent of the reserves forecast are expected to be recovered from horizontal wells.</w:t>
      </w:r>
    </w:p>
    <w:p>
      <w:pPr>
        <w:spacing w:after="0" w:line="156"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3"/>
          <w:szCs w:val="13"/>
          <w:color w:val="auto"/>
        </w:rPr>
        <w:t>To estimate economically recoverable proved oil and gas reserves,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spacing w:after="0" w:line="145"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CRC relating to hydrocarbon prices and costs as noted herein.</w:t>
      </w:r>
    </w:p>
    <w:p>
      <w:pPr>
        <w:spacing w:after="0" w:line="14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The hydrocarbon prices furnished by CRC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4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The initial SEC hydrocarbon prices in effect on December 31, 2017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CRC for the geographic areas reviewed by us. In certain geographic areas, the price reference and benchmark prices may be defined by contractual arrangements.</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The product prices which were actually used by CRC to determine the future gross revenue for each property reviewed by us reflect adjustments to the benchmark prices for gravity, quality, local conditions, gathering and transportation fees and/or distance from market, referred to herein as “differentials.” The differentials used by CRC were reviewed by us for their reasonableness using information furnished by CRC for this purpose.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623" w:right="199" w:bottom="1440" w:gutter="0" w:footer="0" w:header="0"/>
        </w:sectPr>
      </w:pPr>
    </w:p>
    <w:bookmarkStart w:id="145" w:name="page146"/>
    <w:bookmarkEnd w:id="145"/>
    <w:p>
      <w:pPr>
        <w:jc w:val="both"/>
        <w:ind w:firstLine="432"/>
        <w:spacing w:after="0" w:line="250" w:lineRule="auto"/>
        <w:rPr>
          <w:sz w:val="20"/>
          <w:szCs w:val="20"/>
          <w:color w:val="auto"/>
        </w:rPr>
      </w:pPr>
      <w:r>
        <w:rPr>
          <w:rFonts w:ascii="Arial" w:cs="Arial" w:eastAsia="Arial" w:hAnsi="Arial"/>
          <w:sz w:val="13"/>
          <w:szCs w:val="13"/>
          <w:color w:val="auto"/>
        </w:rPr>
        <w:t>The following table summarizes CRC’s net volume weighted benchmark prices adjusted for differentials for the properties reviewed by us and referred to herein as CRC’s “average realized prices.” The average realized prices shown in the table below were determined from CRC’s estimate of the total future gross revenue before production taxes for the properties reviewed by us and CRC’s estimate of the total net reserves for the properties reviewed by us for the geographic area. The data shown in the following table is presented in accordance with SEC disclosure requirements for each of the geographic areas reviewed by us.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880" w:type="dxa"/>
            <w:vAlign w:val="bottom"/>
            <w:tcBorders>
              <w:top w:val="single" w:sz="8" w:color="00000A"/>
              <w:left w:val="single" w:sz="8" w:color="00000A"/>
              <w:right w:val="single" w:sz="8" w:color="00000A"/>
            </w:tcBorders>
          </w:tcPr>
          <w:p>
            <w:pPr>
              <w:spacing w:after="0"/>
              <w:rPr>
                <w:sz w:val="14"/>
                <w:szCs w:val="14"/>
                <w:color w:val="auto"/>
              </w:rPr>
            </w:pPr>
          </w:p>
        </w:tc>
        <w:tc>
          <w:tcPr>
            <w:tcW w:w="2420" w:type="dxa"/>
            <w:vAlign w:val="bottom"/>
            <w:tcBorders>
              <w:top w:val="single" w:sz="8" w:color="00000A"/>
              <w:right w:val="single" w:sz="8" w:color="00000A"/>
            </w:tcBorders>
          </w:tcPr>
          <w:p>
            <w:pPr>
              <w:spacing w:after="0"/>
              <w:rPr>
                <w:sz w:val="14"/>
                <w:szCs w:val="14"/>
                <w:color w:val="auto"/>
              </w:rPr>
            </w:pPr>
          </w:p>
        </w:tc>
        <w:tc>
          <w:tcPr>
            <w:tcW w:w="2180" w:type="dxa"/>
            <w:vAlign w:val="bottom"/>
            <w:tcBorders>
              <w:top w:val="single" w:sz="8" w:color="00000A"/>
              <w:right w:val="single" w:sz="8" w:color="00000A"/>
            </w:tcBorders>
          </w:tcPr>
          <w:p>
            <w:pPr>
              <w:spacing w:after="0"/>
              <w:rPr>
                <w:sz w:val="14"/>
                <w:szCs w:val="14"/>
                <w:color w:val="auto"/>
              </w:rPr>
            </w:pPr>
          </w:p>
        </w:tc>
        <w:tc>
          <w:tcPr>
            <w:tcW w:w="19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w w:val="99"/>
              </w:rPr>
              <w:t>Average</w:t>
            </w:r>
          </w:p>
        </w:tc>
        <w:tc>
          <w:tcPr>
            <w:tcW w:w="2060" w:type="dxa"/>
            <w:vAlign w:val="bottom"/>
            <w:tcBorders>
              <w:top w:val="single" w:sz="8" w:color="00000A"/>
              <w:right w:val="single" w:sz="8" w:color="00000A"/>
            </w:tcBorders>
          </w:tcPr>
          <w:p>
            <w:pPr>
              <w:spacing w:after="0"/>
              <w:rPr>
                <w:sz w:val="14"/>
                <w:szCs w:val="14"/>
                <w:color w:val="auto"/>
              </w:rPr>
            </w:pPr>
          </w:p>
        </w:tc>
      </w:tr>
      <w:tr>
        <w:trPr>
          <w:trHeight w:val="144"/>
        </w:trPr>
        <w:tc>
          <w:tcPr>
            <w:tcW w:w="2880" w:type="dxa"/>
            <w:vAlign w:val="bottom"/>
            <w:tcBorders>
              <w:left w:val="single" w:sz="8" w:color="00000A"/>
              <w:right w:val="single" w:sz="8" w:color="00000A"/>
            </w:tcBorders>
          </w:tcPr>
          <w:p>
            <w:pPr>
              <w:spacing w:after="0"/>
              <w:rPr>
                <w:sz w:val="12"/>
                <w:szCs w:val="12"/>
                <w:color w:val="auto"/>
              </w:rPr>
            </w:pPr>
          </w:p>
        </w:tc>
        <w:tc>
          <w:tcPr>
            <w:tcW w:w="2420" w:type="dxa"/>
            <w:vAlign w:val="bottom"/>
            <w:tcBorders>
              <w:right w:val="single" w:sz="8" w:color="00000A"/>
            </w:tcBorders>
          </w:tcPr>
          <w:p>
            <w:pPr>
              <w:spacing w:after="0"/>
              <w:rPr>
                <w:sz w:val="12"/>
                <w:szCs w:val="12"/>
                <w:color w:val="auto"/>
              </w:rPr>
            </w:pPr>
          </w:p>
        </w:tc>
        <w:tc>
          <w:tcPr>
            <w:tcW w:w="2180" w:type="dxa"/>
            <w:vAlign w:val="bottom"/>
            <w:tcBorders>
              <w:right w:val="single" w:sz="8" w:color="00000A"/>
            </w:tcBorders>
          </w:tcPr>
          <w:p>
            <w:pPr>
              <w:jc w:val="center"/>
              <w:spacing w:after="0" w:line="144" w:lineRule="exact"/>
              <w:rPr>
                <w:sz w:val="20"/>
                <w:szCs w:val="20"/>
                <w:color w:val="auto"/>
              </w:rPr>
            </w:pPr>
            <w:r>
              <w:rPr>
                <w:rFonts w:ascii="Arial" w:cs="Arial" w:eastAsia="Arial" w:hAnsi="Arial"/>
                <w:sz w:val="13"/>
                <w:szCs w:val="13"/>
                <w:color w:val="auto"/>
              </w:rPr>
              <w:t>Price</w:t>
            </w:r>
          </w:p>
        </w:tc>
        <w:tc>
          <w:tcPr>
            <w:tcW w:w="1960" w:type="dxa"/>
            <w:vAlign w:val="bottom"/>
            <w:tcBorders>
              <w:right w:val="single" w:sz="8" w:color="00000A"/>
            </w:tcBorders>
          </w:tcPr>
          <w:p>
            <w:pPr>
              <w:jc w:val="center"/>
              <w:spacing w:after="0" w:line="144" w:lineRule="exact"/>
              <w:rPr>
                <w:sz w:val="20"/>
                <w:szCs w:val="20"/>
                <w:color w:val="auto"/>
              </w:rPr>
            </w:pPr>
            <w:r>
              <w:rPr>
                <w:rFonts w:ascii="Arial" w:cs="Arial" w:eastAsia="Arial" w:hAnsi="Arial"/>
                <w:sz w:val="13"/>
                <w:szCs w:val="13"/>
                <w:color w:val="auto"/>
              </w:rPr>
              <w:t>Benchmark</w:t>
            </w:r>
          </w:p>
        </w:tc>
        <w:tc>
          <w:tcPr>
            <w:tcW w:w="2060" w:type="dxa"/>
            <w:vAlign w:val="bottom"/>
            <w:tcBorders>
              <w:right w:val="single" w:sz="8" w:color="00000A"/>
            </w:tcBorders>
          </w:tcPr>
          <w:p>
            <w:pPr>
              <w:jc w:val="center"/>
              <w:spacing w:after="0" w:line="144" w:lineRule="exact"/>
              <w:rPr>
                <w:sz w:val="20"/>
                <w:szCs w:val="20"/>
                <w:color w:val="auto"/>
              </w:rPr>
            </w:pPr>
            <w:r>
              <w:rPr>
                <w:rFonts w:ascii="Arial" w:cs="Arial" w:eastAsia="Arial" w:hAnsi="Arial"/>
                <w:sz w:val="13"/>
                <w:szCs w:val="13"/>
                <w:color w:val="auto"/>
              </w:rPr>
              <w:t>Average Realized</w:t>
            </w:r>
          </w:p>
        </w:tc>
      </w:tr>
      <w:tr>
        <w:trPr>
          <w:trHeight w:val="161"/>
        </w:trPr>
        <w:tc>
          <w:tcPr>
            <w:tcW w:w="288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Geographic Area</w:t>
            </w:r>
          </w:p>
        </w:tc>
        <w:tc>
          <w:tcPr>
            <w:tcW w:w="2420" w:type="dxa"/>
            <w:vAlign w:val="bottom"/>
            <w:tcBorders>
              <w:bottom w:val="single" w:sz="8" w:color="00000A"/>
              <w:right w:val="single" w:sz="8" w:color="00000A"/>
            </w:tcBorders>
          </w:tcPr>
          <w:p>
            <w:pPr>
              <w:ind w:left="960"/>
              <w:spacing w:after="0"/>
              <w:rPr>
                <w:sz w:val="20"/>
                <w:szCs w:val="20"/>
                <w:color w:val="auto"/>
              </w:rPr>
            </w:pPr>
            <w:r>
              <w:rPr>
                <w:rFonts w:ascii="Arial" w:cs="Arial" w:eastAsia="Arial" w:hAnsi="Arial"/>
                <w:sz w:val="13"/>
                <w:szCs w:val="13"/>
                <w:color w:val="auto"/>
              </w:rPr>
              <w:t>Product</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w w:val="99"/>
              </w:rPr>
              <w:t>Reference</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w w:val="99"/>
              </w:rPr>
              <w:t>Prices</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Prices</w:t>
            </w:r>
          </w:p>
        </w:tc>
      </w:tr>
      <w:tr>
        <w:trPr>
          <w:trHeight w:val="169"/>
        </w:trPr>
        <w:tc>
          <w:tcPr>
            <w:tcW w:w="2880" w:type="dxa"/>
            <w:vAlign w:val="bottom"/>
            <w:tcBorders>
              <w:left w:val="single" w:sz="8" w:color="00000A"/>
              <w:bottom w:val="single" w:sz="8" w:color="auto"/>
              <w:right w:val="single" w:sz="8" w:color="00000A"/>
            </w:tcBorders>
          </w:tcPr>
          <w:p>
            <w:pPr>
              <w:ind w:left="20"/>
              <w:spacing w:after="0"/>
              <w:rPr>
                <w:sz w:val="20"/>
                <w:szCs w:val="20"/>
                <w:color w:val="auto"/>
              </w:rPr>
            </w:pPr>
            <w:r>
              <w:rPr>
                <w:rFonts w:ascii="Arial" w:cs="Arial" w:eastAsia="Arial" w:hAnsi="Arial"/>
                <w:sz w:val="13"/>
                <w:szCs w:val="13"/>
                <w:color w:val="auto"/>
              </w:rPr>
              <w:t>North America</w:t>
            </w:r>
          </w:p>
        </w:tc>
        <w:tc>
          <w:tcPr>
            <w:tcW w:w="2420" w:type="dxa"/>
            <w:vAlign w:val="bottom"/>
            <w:tcBorders>
              <w:bottom w:val="single" w:sz="8" w:color="00000A"/>
              <w:right w:val="single" w:sz="8" w:color="00000A"/>
            </w:tcBorders>
          </w:tcPr>
          <w:p>
            <w:pPr>
              <w:spacing w:after="0"/>
              <w:rPr>
                <w:sz w:val="14"/>
                <w:szCs w:val="14"/>
                <w:color w:val="auto"/>
              </w:rPr>
            </w:pPr>
          </w:p>
        </w:tc>
        <w:tc>
          <w:tcPr>
            <w:tcW w:w="2180" w:type="dxa"/>
            <w:vAlign w:val="bottom"/>
            <w:tcBorders>
              <w:bottom w:val="single" w:sz="8" w:color="00000A"/>
              <w:right w:val="single" w:sz="8" w:color="00000A"/>
            </w:tcBorders>
          </w:tcPr>
          <w:p>
            <w:pPr>
              <w:spacing w:after="0"/>
              <w:rPr>
                <w:sz w:val="14"/>
                <w:szCs w:val="14"/>
                <w:color w:val="auto"/>
              </w:rPr>
            </w:pPr>
          </w:p>
        </w:tc>
        <w:tc>
          <w:tcPr>
            <w:tcW w:w="1960" w:type="dxa"/>
            <w:vAlign w:val="bottom"/>
            <w:tcBorders>
              <w:bottom w:val="single" w:sz="8" w:color="00000A"/>
              <w:right w:val="single" w:sz="8" w:color="00000A"/>
            </w:tcBorders>
          </w:tcPr>
          <w:p>
            <w:pPr>
              <w:spacing w:after="0"/>
              <w:rPr>
                <w:sz w:val="14"/>
                <w:szCs w:val="14"/>
                <w:color w:val="auto"/>
              </w:rPr>
            </w:pPr>
          </w:p>
        </w:tc>
        <w:tc>
          <w:tcPr>
            <w:tcW w:w="2060" w:type="dxa"/>
            <w:vAlign w:val="bottom"/>
            <w:tcBorders>
              <w:bottom w:val="single" w:sz="8" w:color="00000A"/>
              <w:right w:val="single" w:sz="8" w:color="00000A"/>
            </w:tcBorders>
          </w:tcPr>
          <w:p>
            <w:pPr>
              <w:spacing w:after="0"/>
              <w:rPr>
                <w:sz w:val="14"/>
                <w:szCs w:val="14"/>
                <w:color w:val="auto"/>
              </w:rPr>
            </w:pPr>
          </w:p>
        </w:tc>
      </w:tr>
      <w:tr>
        <w:trPr>
          <w:trHeight w:val="166"/>
        </w:trPr>
        <w:tc>
          <w:tcPr>
            <w:tcW w:w="2880" w:type="dxa"/>
            <w:vAlign w:val="bottom"/>
            <w:tcBorders>
              <w:left w:val="single" w:sz="8" w:color="00000A"/>
              <w:right w:val="single" w:sz="8" w:color="00000A"/>
            </w:tcBorders>
          </w:tcPr>
          <w:p>
            <w:pPr>
              <w:spacing w:after="0"/>
              <w:rPr>
                <w:sz w:val="14"/>
                <w:szCs w:val="14"/>
                <w:color w:val="auto"/>
              </w:rPr>
            </w:pPr>
          </w:p>
        </w:tc>
        <w:tc>
          <w:tcPr>
            <w:tcW w:w="2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Oil/Condensate</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Brent Spot</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$54.42/Bbl</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w w:val="99"/>
              </w:rPr>
              <w:t>$51.24/Bbl</w:t>
            </w:r>
          </w:p>
        </w:tc>
      </w:tr>
      <w:tr>
        <w:trPr>
          <w:trHeight w:val="173"/>
        </w:trPr>
        <w:tc>
          <w:tcPr>
            <w:tcW w:w="2880" w:type="dxa"/>
            <w:vAlign w:val="bottom"/>
            <w:tcBorders>
              <w:left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United States</w:t>
            </w:r>
          </w:p>
        </w:tc>
        <w:tc>
          <w:tcPr>
            <w:tcW w:w="2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NGLs</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Brent Spot</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$54.42/Bbl</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w w:val="99"/>
              </w:rPr>
              <w:t>$35.76/Bbl</w:t>
            </w:r>
          </w:p>
        </w:tc>
      </w:tr>
      <w:tr>
        <w:trPr>
          <w:trHeight w:val="169"/>
        </w:trPr>
        <w:tc>
          <w:tcPr>
            <w:tcW w:w="2880" w:type="dxa"/>
            <w:vAlign w:val="bottom"/>
            <w:tcBorders>
              <w:left w:val="single" w:sz="8" w:color="00000A"/>
              <w:bottom w:val="single" w:sz="8" w:color="00000A"/>
              <w:right w:val="single" w:sz="8" w:color="00000A"/>
            </w:tcBorders>
          </w:tcPr>
          <w:p>
            <w:pPr>
              <w:spacing w:after="0"/>
              <w:rPr>
                <w:sz w:val="14"/>
                <w:szCs w:val="14"/>
                <w:color w:val="auto"/>
              </w:rPr>
            </w:pPr>
          </w:p>
        </w:tc>
        <w:tc>
          <w:tcPr>
            <w:tcW w:w="24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3"/>
                <w:szCs w:val="13"/>
                <w:color w:val="auto"/>
              </w:rPr>
              <w:t>Gas</w:t>
            </w:r>
          </w:p>
        </w:tc>
        <w:tc>
          <w:tcPr>
            <w:tcW w:w="21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Henry Hub</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$2.98/MMBTU</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3"/>
                <w:szCs w:val="13"/>
                <w:color w:val="auto"/>
              </w:rPr>
              <w:t>$2.67/MCF</w:t>
            </w:r>
          </w:p>
        </w:tc>
      </w:tr>
    </w:tbl>
    <w:p>
      <w:pPr>
        <w:spacing w:after="0" w:line="15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effects of derivative instruments designated as price hedges of oil and gas quantities are not reflected in CRC’s individual property evaluations.</w:t>
      </w:r>
    </w:p>
    <w:p>
      <w:pPr>
        <w:spacing w:after="0" w:line="157"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Accumulated gas production imbalances, if any, were not taken into account in the proved gas reserve estimates reviewed. The proved gas volumes presented herein include volumes of gas consumed in operations as reserves; those volumes are not material.</w:t>
      </w:r>
    </w:p>
    <w:p>
      <w:pPr>
        <w:spacing w:after="0" w:line="138"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Operating costs furnished by CRC are based on the operating expense reports of CRC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Council of Petroleum Accounting Societies overhead costs (“COPAS costs”) that are allocated directly to the leases and wells under terms of operating agreements. The operating costs furnished by CRC were reviewed by us for their reasonableness using information furnished by CRC for this purpose. No deduction was made for loan repayments, interest expenses, or exploration and development prepayments that were not charged directly to the leases or wells.</w:t>
      </w:r>
    </w:p>
    <w:p>
      <w:pPr>
        <w:spacing w:after="0" w:line="14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Development costs furnished by CRC are based on authorizations for expenditure (AFE) for the proposed work or actual costs for similar projects. The development costs furnished by CRC were accepted as factual data and reviewed by us for their reasonableness; however, we have not conducted an independent verification of the data used by CRC. The estimated net cost of abandonment after salvage was included by CRC for properties where abandonment costs net of salvage were significant. CRC’s estimates of the net abandonment costs were accepted without independent verification.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452" w:right="199" w:bottom="1440" w:gutter="0" w:footer="0" w:header="0"/>
        </w:sectPr>
      </w:pPr>
    </w:p>
    <w:bookmarkStart w:id="146" w:name="page147"/>
    <w:bookmarkEnd w:id="146"/>
    <w:p>
      <w:pPr>
        <w:jc w:val="both"/>
        <w:ind w:firstLine="432"/>
        <w:spacing w:after="0" w:line="247" w:lineRule="auto"/>
        <w:rPr>
          <w:sz w:val="20"/>
          <w:szCs w:val="20"/>
          <w:color w:val="auto"/>
        </w:rPr>
      </w:pPr>
      <w:r>
        <w:rPr>
          <w:rFonts w:ascii="Arial" w:cs="Arial" w:eastAsia="Arial" w:hAnsi="Arial"/>
          <w:sz w:val="13"/>
          <w:szCs w:val="13"/>
          <w:color w:val="auto"/>
        </w:rPr>
        <w:t>The proved developed non-producing and undeveloped reserves for the properties reviewed by us have been incorporated herein in accordance with CRC’s plans to develop these reserves as of December 31, 2017. The implementation of CRC’s development plans as presented to us is subject to the approval process adopted by CRC’s management. As the result of our inquiries during the course of our review, CRC has informed us that the development activities for the properties reviewed by us have been subjected to and received the internal approvals required by CRC’s management at the appropriate local, regional and corporate level. In addition to the internal approvals as noted, certain development activities may still be subject to specific partner AFE processes, Joint Operating Agreement (JOA) requirements or other administrative approvals external to CRC. Where appropriate, CRC has provided written documentation supporting their commitment to proceed with the development activities as presented to us. Additionally, CRC has informed us that they are not aware of any legal, regulatory, or political obstacles that would significantly alter their plans. While these plans could change from those under existing economic conditions as of December 31, 2017, such changes were, in accordance with rules adopted by the SEC, omitted from consideration in making this evaluation.</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Current costs used by CRC were held constant throughout the life of the properties.</w:t>
      </w:r>
    </w:p>
    <w:p>
      <w:pPr>
        <w:spacing w:after="0" w:line="15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CRC’s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4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Test data and other related information were used by CRC to estimate the anticipated initial production rates for those wells or locations that are not currently producing. For reserves not yet on production, sales were estimated to commence at an anticipated date furnished by CRC. Wells or locations that are not currently producing may start producing earlier or later than anticipated in CRC’s estimates due to unforeseen factors causing a change in the timing to initiate production. Such factors may include delays due to weather, the availability of rigs, the sequence of drilling, completing and recompleting wells and constraints set by regulatory bodies.</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 operating conditions, producing market demand and allowables or other constraints set by regulatory bodies.</w:t>
      </w:r>
    </w:p>
    <w:p>
      <w:pPr>
        <w:spacing w:after="0" w:line="14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CRC’s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The estimates of proved reserves presented herein were based upon a review of the properties in which CRC owns an interest; however, we have not made any field examination of the properties. No consideration was given in this report to potential environmental liabilities that may exist nor were any costs included by CRC for potential liabilities to restore and clean up damages, if any, caused by past operating practices.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452" w:right="199" w:bottom="1440" w:gutter="0" w:footer="0" w:header="0"/>
        </w:sectPr>
      </w:pPr>
    </w:p>
    <w:bookmarkStart w:id="147" w:name="page148"/>
    <w:bookmarkEnd w:id="147"/>
    <w:p>
      <w:pPr>
        <w:jc w:val="both"/>
        <w:ind w:firstLine="432"/>
        <w:spacing w:after="0" w:line="252" w:lineRule="auto"/>
        <w:rPr>
          <w:sz w:val="20"/>
          <w:szCs w:val="20"/>
          <w:color w:val="auto"/>
        </w:rPr>
      </w:pPr>
      <w:r>
        <w:rPr>
          <w:rFonts w:ascii="Arial" w:cs="Arial" w:eastAsia="Arial" w:hAnsi="Arial"/>
          <w:sz w:val="13"/>
          <w:szCs w:val="13"/>
          <w:color w:val="auto"/>
        </w:rPr>
        <w:t>Certain technical personnel of CRC are responsible for the preparation of reserve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142"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3"/>
          <w:szCs w:val="13"/>
          <w:color w:val="auto"/>
        </w:rPr>
        <w:t>CRC has informed us that they have furnished or otherwise made available to us all of the material accounts, records, geological and engineering data, and reports and other data required for this investigation. In performing our audit of CRC’s forecast of future proved production, we have relied upon data furnished by CRC with respect to property interests owned or otherwise held, production and well tests from examined wells, normal direct costs of operating the wells or leases, ad valorem and production taxes,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CRC. We consider the factual data furnished to us by CRC to be appropriate and sufficient for the purpose of our review of CRC’s estimates of reserves. In summary, we consider the assumptions, data, methods and analytical procedures used by CRC and as reviewed by us appropriate for the purpose hereof, and we have used all such methods and procedures that we consider necessary and appropriate under the circumstances to render the conclusions set forth herein.</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Audit Opinion</w:t>
      </w:r>
    </w:p>
    <w:p>
      <w:pPr>
        <w:spacing w:after="0" w:line="17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Based on our review, including the data, technical processes and interpretations presented by CRC, it is our opinion that the overall procedures and methodologies utilized by CRC in preparing their estimates of the proved reserves as of December 31, 2017 comply with the current SEC regulations and that the overall proved reserves for the reviewed properties as estimated by CRC are, in the aggregate, reasonable within the established audit tolerance guidelines of 10 percent as set forth in the SPE auditing standards. Ryder Scott found the processes and controls used by CRC in their estimation of proved reserves to be effective and, in the aggregate, we found no bias in the utilization and analysis of data in estimates for these properties.</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In certain cases there was more than an acceptable variance between CRC's estimates and our estimates due to a difference in interpretation of data when reserve estimates were prepared. However, we were in reasonable agreement with CRC's estimates of proved reserves, in aggregate, for the properties which we reviewed. As a consequence, it is our opinion that on an aggregate basis the data presented herein for the properties that we reviewed fairly reflects the estimated net reserves owned by CRC.</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Properties</w:t>
      </w:r>
    </w:p>
    <w:p>
      <w:pPr>
        <w:spacing w:after="0" w:line="173" w:lineRule="exact"/>
        <w:rPr>
          <w:sz w:val="20"/>
          <w:szCs w:val="20"/>
          <w:color w:val="auto"/>
        </w:rPr>
      </w:pPr>
    </w:p>
    <w:p>
      <w:pPr>
        <w:jc w:val="both"/>
        <w:ind w:right="20" w:firstLine="432"/>
        <w:spacing w:after="0" w:line="252" w:lineRule="auto"/>
        <w:rPr>
          <w:sz w:val="20"/>
          <w:szCs w:val="20"/>
          <w:color w:val="auto"/>
        </w:rPr>
      </w:pPr>
      <w:r>
        <w:rPr>
          <w:rFonts w:ascii="Arial" w:cs="Arial" w:eastAsia="Arial" w:hAnsi="Arial"/>
          <w:sz w:val="13"/>
          <w:szCs w:val="13"/>
          <w:color w:val="auto"/>
        </w:rPr>
        <w:t>Other properties, as used herein, are those properties of CRC which we did not review. The proved net reserves attributable to the other properties account for 17 percent of the total proved net liquid hydrocarbon reserves and 24 percent of the total proved net gas reserves or 18 percent of the total proved net reserves on an equivalent barrel, BOE, basis based on estimates prepared by CRC as of December 31, 2017.</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same technical personnel of CRC were responsible for the preparation of the reserve estimates for the properties that we reviewed as well as for the properties not reviewed by Ryder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Scott.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452" w:right="19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b w:val="1"/>
          <w:bCs w:val="1"/>
          <w:i w:val="1"/>
          <w:iCs w:val="1"/>
          <w:color w:val="auto"/>
        </w:rPr>
        <w:t>Standards of Independence and Professional Qualification</w:t>
      </w:r>
    </w:p>
    <w:p>
      <w:pPr>
        <w:spacing w:after="0" w:line="173"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14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4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142"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We are independent petroleum engineers with respect to CRC. Neither we nor any of our employees have any financial interest in the subject properties, and neither the employment to do this work nor the compensation is contingent on our estimates of reserves for the properties which were reviewed.</w:t>
      </w:r>
    </w:p>
    <w:p>
      <w:pPr>
        <w:spacing w:after="0" w:line="13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The results of this audit, presented herein, are based on technical analysis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Terms of Usage</w:t>
      </w:r>
    </w:p>
    <w:p>
      <w:pPr>
        <w:spacing w:after="0" w:line="173"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3"/>
          <w:szCs w:val="13"/>
          <w:color w:val="auto"/>
        </w:rPr>
        <w:t>The results of our third party audit, presented in report form herein, were prepared in accordance with the disclosure requirements set forth in the SEC regulations and intended for public disclosure as an exhibit in filings made with the SEC by CRC.</w:t>
      </w:r>
    </w:p>
    <w:p>
      <w:pPr>
        <w:spacing w:after="0" w:line="138"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auto"/>
        </w:rPr>
        <w:t>CRC makes periodic filings on Form 10-K with the SEC under the 1934 Exchange Act. Furthermore, CRC has certain registration statements filed with the SEC under the 1933 Securities Act into which any subsequently filed Form 10-K is incorporated by reference. We have consented to the incorporation by reference in the registration statements on Form S-3 and Form S-8 of CRC of the references to our name as well as to the references to our third party report for CRC, which appears in the December 31, 2017 annual report on Form 10-K of CRC. Our written consent for such use is included as a separate exhibit to the filings made with the SEC by CRC.</w:t>
      </w:r>
    </w:p>
    <w:p>
      <w:pPr>
        <w:spacing w:after="0" w:line="143"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auto"/>
        </w:rPr>
        <w:t>We have provided CRC with a digital version of the original signed copy of this report letter. In the event there are any differences between the digital version included in filings made by CRC and the original signed report letter, the original signed report letter shall control and supersede the digital version.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436" w:right="199" w:bottom="1440" w:gutter="0" w:footer="0" w:header="0"/>
        </w:sectPr>
      </w:pPr>
    </w:p>
    <w:bookmarkStart w:id="149" w:name="page150"/>
    <w:bookmarkEnd w:id="149"/>
    <w:p>
      <w:pPr>
        <w:ind w:left="420"/>
        <w:spacing w:after="0"/>
        <w:rPr>
          <w:sz w:val="20"/>
          <w:szCs w:val="20"/>
          <w:color w:val="auto"/>
        </w:rPr>
      </w:pPr>
      <w:r>
        <w:rPr>
          <w:rFonts w:ascii="Arial" w:cs="Arial" w:eastAsia="Arial" w:hAnsi="Arial"/>
          <w:sz w:val="13"/>
          <w:szCs w:val="13"/>
          <w:color w:val="auto"/>
        </w:rPr>
        <w:t>The data and work papers used in the preparation of this report are available for examination by authorized parties in our offices. Please contact us if we can be of further service.</w:t>
      </w:r>
    </w:p>
    <w:p>
      <w:pPr>
        <w:spacing w:after="0" w:line="265"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Very truly yours,</w:t>
      </w:r>
    </w:p>
    <w:p>
      <w:pPr>
        <w:spacing w:after="0" w:line="375"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RYDER SCOTT COMPANY, L.P.</w:t>
      </w:r>
    </w:p>
    <w:p>
      <w:pPr>
        <w:spacing w:after="0" w:line="191"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TBPE Firm Registration No. F-1580</w:t>
      </w:r>
    </w:p>
    <w:p>
      <w:pPr>
        <w:spacing w:after="0" w:line="391"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/s/ Larry P. Connor,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9525</wp:posOffset>
            </wp:positionV>
            <wp:extent cx="34143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1">
                      <a:extLst>
                        <a:ext uri="{28A0092B-C50C-407E-A947-70E740481C1C}"/>
                      </a:extLst>
                    </a:blip>
                    <a:srcRect/>
                    <a:stretch>
                      <a:fillRect/>
                    </a:stretch>
                  </pic:blipFill>
                  <pic:spPr bwMode="auto">
                    <a:xfrm>
                      <a:off x="0" y="0"/>
                      <a:ext cx="3414395" cy="571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Larry P. Connor, P.E.</w:t>
      </w:r>
    </w:p>
    <w:p>
      <w:pPr>
        <w:spacing w:after="0" w:line="31"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TBPE License No. 58639</w:t>
      </w:r>
    </w:p>
    <w:p>
      <w:pPr>
        <w:spacing w:after="0" w:line="31" w:lineRule="exact"/>
        <w:rPr>
          <w:sz w:val="20"/>
          <w:szCs w:val="20"/>
          <w:color w:val="auto"/>
        </w:rPr>
      </w:pPr>
    </w:p>
    <w:p>
      <w:pPr>
        <w:ind w:left="6120"/>
        <w:spacing w:after="0"/>
        <w:rPr>
          <w:sz w:val="20"/>
          <w:szCs w:val="20"/>
          <w:color w:val="auto"/>
        </w:rPr>
      </w:pPr>
      <w:r>
        <w:rPr>
          <w:rFonts w:ascii="Arial" w:cs="Arial" w:eastAsia="Arial" w:hAnsi="Arial"/>
          <w:sz w:val="13"/>
          <w:szCs w:val="13"/>
          <w:color w:val="auto"/>
        </w:rPr>
        <w:t>Advising Senior Vice President</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[SEAL]</w:t>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LPC (FWZ)/pl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605" w:right="19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3"/>
          <w:szCs w:val="13"/>
          <w:b w:val="1"/>
          <w:bCs w:val="1"/>
          <w:color w:val="auto"/>
        </w:rPr>
        <w:t>Professional Qualifications of Primary Technical Person</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The conclusions presented in this report are the result of technical analysis conducted by teams of geoscientists and engineers from Ryder Scott Company, L.P. Larry Connor was the primary technical person responsible for preparing the estimate of the reserves and future production included in this report.</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Mr. Connor, an employee of Ryder Scott Company, L.P. (Ryder Scott) since 1981, is an Advising Senior Vice President and is responsible for coordinating and supervising staff and consulting engineers of the company in ongoing reservoir evaluation studies worldwide. Before joining Ryder Scott, Mr. Connor served in a number of engineering positions with Amoco Production Company. For more information regarding Mr. Connor’s geographic and job specific experience, please refer to the Ryder Scott Company website at www.ryderscott.com/Company/Employees.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Mr. Connor earned a Bachelor of Science degree in Industrial Engineering from Texas A&amp;M University in 1977 and is a licensed Professional Engineer in the State of Texas, and the Provinces of Alberta, British Columbia and Saskatchewan, Canada. He is also a member of the Society of Petroleum Engineers and the Society of Petroleum Evaluation Engineers. Mr. Connor has served as the Chairman of the Houston Chapter of the Society of Petroleum Evaluation Engineers.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Connor fulfills. Mr. Connor attended an additional 23 hours of formalized in-house training during 2017 covering such topics as the SPE/WPC/AAPG/SPEE Petroleum Resources Management System, reservoir engineering, geoscience and petroleum economics evaluation methods, procedures and software and ethics for consultants. In addition to internal training, Mr. Connor has organized and participated in a total of 40 hours of industry training to professionals outside of Ryder Scott. Mr. Connor has served as course instructor for the formalized in-house training of PSA programming using PHDWin</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software to analyze prospect evaluations.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Based on his educational background, professional training and more than 39 years of practical experience in the estimation and evaluation of petroleum reserves, Mr. Connor has attained the professional qualifications as a Reserves Estimator and Reserves Auditor set forth in Article III of the “Standards Pertaining to the Estimating and Auditing of Oil and Gas Reserves Information” promulgated by the Society of Petroleum Engineers as of February 19, 2007.</w:t>
      </w:r>
    </w:p>
    <w:p>
      <w:pPr>
        <w:sectPr>
          <w:pgSz w:w="11900" w:h="16838" w:orient="portrait"/>
          <w:cols w:equalWidth="0" w:num="1">
            <w:col w:w="11480"/>
          </w:cols>
          <w:pgMar w:left="220" w:top="743" w:right="19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3"/>
          <w:szCs w:val="13"/>
          <w:b w:val="1"/>
          <w:bCs w:val="1"/>
          <w:color w:val="auto"/>
        </w:rPr>
        <w:t>PETROLEUM RESERVES DEFINITIONS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Adapted From: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4-10(a) of REGULATION S-X PART 210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UNITED STATES SECURITIES AND EXCHANGE COMMISSION (SEC)</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PREAMBLE</w:t>
      </w:r>
    </w:p>
    <w:p>
      <w:pPr>
        <w:spacing w:after="0" w:line="173"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3"/>
          <w:szCs w:val="13"/>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131"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13"/>
          <w:szCs w:val="13"/>
          <w:color w:val="auto"/>
        </w:rPr>
        <w:t>All reserve estimates involve an assessment of the uncertainty relating the likelihood that the actual remaining quantities recovered will be greater or less than the estimated</w:t>
      </w:r>
      <w:r>
        <w:rPr>
          <w:rFonts w:ascii="Arial" w:cs="Arial" w:eastAsia="Arial" w:hAnsi="Arial"/>
          <w:sz w:val="13"/>
          <w:szCs w:val="13"/>
          <w:i w:val="1"/>
          <w:iCs w:val="1"/>
          <w:color w:val="auto"/>
        </w:rPr>
        <w:t xml:space="preserve"> </w:t>
      </w:r>
      <w:r>
        <w:rPr>
          <w:rFonts w:ascii="Arial" w:cs="Arial" w:eastAsia="Arial" w:hAnsi="Arial"/>
          <w:sz w:val="13"/>
          <w:szCs w:val="13"/>
          <w:color w:val="auto"/>
        </w:rPr>
        <w:t>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Reserves estimates will generally be revised only as additional geologic or engineering data become available or as economic conditions change.</w:t>
      </w:r>
    </w:p>
    <w:p>
      <w:pPr>
        <w:spacing w:after="0" w:line="15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436" w:right="199" w:bottom="1440" w:gutter="0" w:footer="0" w:header="0"/>
        </w:sectPr>
      </w:pPr>
    </w:p>
    <w:bookmarkStart w:id="152" w:name="page153"/>
    <w:bookmarkEnd w:id="152"/>
    <w:p>
      <w:pPr>
        <w:jc w:val="both"/>
        <w:ind w:firstLine="432"/>
        <w:spacing w:after="0" w:line="250" w:lineRule="auto"/>
        <w:rPr>
          <w:sz w:val="20"/>
          <w:szCs w:val="20"/>
          <w:color w:val="auto"/>
        </w:rPr>
      </w:pPr>
      <w:r>
        <w:rPr>
          <w:rFonts w:ascii="Arial" w:cs="Arial" w:eastAsia="Arial" w:hAnsi="Arial"/>
          <w:sz w:val="13"/>
          <w:szCs w:val="13"/>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Reserves do not include quantities of petroleum being held in inventory.</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Because of the differences in uncertainty, caution should be exercised when aggregating quantities of petroleum from different reserves categories.</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RESERVES (SEC DEFINITIONS)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Securities and Exchange Commission Regulation S-X §210.4-10(a)(26) defines reserves as follows: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b w:val="1"/>
          <w:bCs w:val="1"/>
          <w:i w:val="1"/>
          <w:iCs w:val="1"/>
          <w:color w:val="auto"/>
        </w:rPr>
        <w:t xml:space="preserve">Reserves. </w:t>
      </w:r>
      <w:r>
        <w:rPr>
          <w:rFonts w:ascii="Arial" w:cs="Arial" w:eastAsia="Arial" w:hAnsi="Arial"/>
          <w:sz w:val="13"/>
          <w:szCs w:val="13"/>
          <w:i w:val="1"/>
          <w:iCs w:val="1"/>
          <w:color w:val="auto"/>
        </w:rPr>
        <w:t>Reserves are estimated remaining quantities of oil and gas and related substances anticipated to be economically producible, as of a given date, by application of development projects</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3"/>
          <w:szCs w:val="13"/>
          <w:i w:val="1"/>
          <w:iCs w:val="1"/>
          <w:u w:val="single" w:color="auto"/>
          <w:color w:val="auto"/>
        </w:rPr>
        <w:t>Note to paragraph (a)(26):</w:t>
      </w:r>
      <w:r>
        <w:rPr>
          <w:rFonts w:ascii="Arial" w:cs="Arial" w:eastAsia="Arial" w:hAnsi="Arial"/>
          <w:sz w:val="13"/>
          <w:szCs w:val="13"/>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13"/>
          <w:szCs w:val="13"/>
          <w:i w:val="1"/>
          <w:iCs w:val="1"/>
          <w:u w:val="single" w:color="auto"/>
          <w:color w:val="auto"/>
        </w:rPr>
        <w:t>i.e.</w:t>
      </w:r>
      <w:r>
        <w:rPr>
          <w:rFonts w:ascii="Arial" w:cs="Arial" w:eastAsia="Arial" w:hAnsi="Arial"/>
          <w:sz w:val="13"/>
          <w:szCs w:val="13"/>
          <w:i w:val="1"/>
          <w:iCs w:val="1"/>
          <w:color w:val="auto"/>
        </w:rPr>
        <w:t>, absence of reservoir, structurally low reservoir, or negative test results). Such areas may contain prospective resources (</w:t>
      </w:r>
      <w:r>
        <w:rPr>
          <w:rFonts w:ascii="Arial" w:cs="Arial" w:eastAsia="Arial" w:hAnsi="Arial"/>
          <w:sz w:val="13"/>
          <w:szCs w:val="13"/>
          <w:i w:val="1"/>
          <w:iCs w:val="1"/>
          <w:u w:val="single" w:color="auto"/>
          <w:color w:val="auto"/>
        </w:rPr>
        <w:t>i.e.</w:t>
      </w:r>
      <w:r>
        <w:rPr>
          <w:rFonts w:ascii="Arial" w:cs="Arial" w:eastAsia="Arial" w:hAnsi="Arial"/>
          <w:sz w:val="13"/>
          <w:szCs w:val="13"/>
          <w:i w:val="1"/>
          <w:iCs w:val="1"/>
          <w:color w:val="auto"/>
        </w:rPr>
        <w:t>, potentially recoverable resources from undiscovered accumulations).</w:t>
      </w: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PROVED RESERVES (SEC DEFINITIONS)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Securities and Exchange Commission Regulation S-X §210.4-10(a)(22) defines proved oil and gas reserves as follows: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i w:val="1"/>
          <w:iCs w:val="1"/>
          <w:color w:val="auto"/>
        </w:rPr>
        <w:t xml:space="preserve">Proved oil and gas reserves. </w:t>
      </w:r>
      <w:r>
        <w:rPr>
          <w:rFonts w:ascii="Arial" w:cs="Arial" w:eastAsia="Arial" w:hAnsi="Arial"/>
          <w:sz w:val="13"/>
          <w:szCs w:val="13"/>
          <w:i w:val="1"/>
          <w:iCs w:val="1"/>
          <w:color w:val="auto"/>
        </w:rPr>
        <w:t>Proved oil and gas reserves are those quantities of oil and gas, which, by analysis of geoscience and engineering data, can be estimated with reasonable certainty to</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25" w:lineRule="exact"/>
        <w:rPr>
          <w:sz w:val="20"/>
          <w:szCs w:val="20"/>
          <w:color w:val="auto"/>
        </w:rPr>
      </w:pPr>
    </w:p>
    <w:p>
      <w:pPr>
        <w:ind w:left="580" w:hanging="156"/>
        <w:spacing w:after="0"/>
        <w:tabs>
          <w:tab w:leader="none" w:pos="58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The area of the reservoir considered as proved includes:</w:t>
      </w:r>
    </w:p>
    <w:p>
      <w:pPr>
        <w:spacing w:after="0" w:line="156" w:lineRule="exact"/>
        <w:rPr>
          <w:rFonts w:ascii="Arial" w:cs="Arial" w:eastAsia="Arial" w:hAnsi="Arial"/>
          <w:sz w:val="13"/>
          <w:szCs w:val="13"/>
          <w:i w:val="1"/>
          <w:iCs w:val="1"/>
          <w:color w:val="auto"/>
        </w:rPr>
      </w:pPr>
    </w:p>
    <w:p>
      <w:pPr>
        <w:ind w:left="1060" w:hanging="203"/>
        <w:spacing w:after="0"/>
        <w:tabs>
          <w:tab w:leader="none" w:pos="1060" w:val="left"/>
        </w:tabs>
        <w:numPr>
          <w:ilvl w:val="1"/>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The area identified by drilling and limited by fluid contacts, if any, and</w:t>
      </w:r>
    </w:p>
    <w:p>
      <w:pPr>
        <w:spacing w:after="0" w:line="156" w:lineRule="exact"/>
        <w:rPr>
          <w:rFonts w:ascii="Arial" w:cs="Arial" w:eastAsia="Arial" w:hAnsi="Arial"/>
          <w:sz w:val="13"/>
          <w:szCs w:val="13"/>
          <w:i w:val="1"/>
          <w:iCs w:val="1"/>
          <w:color w:val="auto"/>
        </w:rPr>
      </w:pPr>
    </w:p>
    <w:p>
      <w:pPr>
        <w:ind w:left="860" w:hanging="3"/>
        <w:spacing w:after="0" w:line="281" w:lineRule="auto"/>
        <w:tabs>
          <w:tab w:leader="none" w:pos="1076" w:val="left"/>
        </w:tabs>
        <w:numPr>
          <w:ilvl w:val="1"/>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606" w:right="19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b w:val="1"/>
          <w:bCs w:val="1"/>
          <w:u w:val="single" w:color="auto"/>
          <w:color w:val="auto"/>
        </w:rPr>
        <w:t>PROVED RESERVES (SEC DEFINITIONS) CONTINUED</w:t>
      </w:r>
    </w:p>
    <w:p>
      <w:pPr>
        <w:spacing w:after="0" w:line="159" w:lineRule="exact"/>
        <w:rPr>
          <w:sz w:val="20"/>
          <w:szCs w:val="20"/>
          <w:color w:val="auto"/>
        </w:rPr>
      </w:pPr>
    </w:p>
    <w:p>
      <w:pPr>
        <w:ind w:left="420" w:firstLine="4"/>
        <w:spacing w:after="0" w:line="281" w:lineRule="auto"/>
        <w:tabs>
          <w:tab w:leader="none" w:pos="628" w:val="left"/>
        </w:tabs>
        <w:numPr>
          <w:ilvl w:val="0"/>
          <w:numId w:val="76"/>
        </w:numPr>
        <w:rPr>
          <w:rFonts w:ascii="Arial" w:cs="Arial" w:eastAsia="Arial" w:hAnsi="Arial"/>
          <w:sz w:val="13"/>
          <w:szCs w:val="13"/>
          <w:i w:val="1"/>
          <w:iCs w:val="1"/>
          <w:color w:val="auto"/>
        </w:rPr>
      </w:pPr>
      <w:r>
        <w:rPr>
          <w:rFonts w:ascii="Arial" w:cs="Arial" w:eastAsia="Arial" w:hAnsi="Arial"/>
          <w:sz w:val="13"/>
          <w:szCs w:val="13"/>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09" w:lineRule="exact"/>
        <w:rPr>
          <w:rFonts w:ascii="Arial" w:cs="Arial" w:eastAsia="Arial" w:hAnsi="Arial"/>
          <w:sz w:val="13"/>
          <w:szCs w:val="13"/>
          <w:i w:val="1"/>
          <w:iCs w:val="1"/>
          <w:color w:val="auto"/>
        </w:rPr>
      </w:pPr>
    </w:p>
    <w:p>
      <w:pPr>
        <w:ind w:left="420" w:firstLine="4"/>
        <w:spacing w:after="0" w:line="281" w:lineRule="auto"/>
        <w:tabs>
          <w:tab w:leader="none" w:pos="634" w:val="left"/>
        </w:tabs>
        <w:numPr>
          <w:ilvl w:val="0"/>
          <w:numId w:val="76"/>
        </w:numPr>
        <w:rPr>
          <w:rFonts w:ascii="Arial" w:cs="Arial" w:eastAsia="Arial" w:hAnsi="Arial"/>
          <w:sz w:val="13"/>
          <w:szCs w:val="13"/>
          <w:i w:val="1"/>
          <w:iCs w:val="1"/>
          <w:color w:val="auto"/>
        </w:rPr>
      </w:pPr>
      <w:r>
        <w:rPr>
          <w:rFonts w:ascii="Arial" w:cs="Arial" w:eastAsia="Arial" w:hAnsi="Arial"/>
          <w:sz w:val="13"/>
          <w:szCs w:val="13"/>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09" w:lineRule="exact"/>
        <w:rPr>
          <w:rFonts w:ascii="Arial" w:cs="Arial" w:eastAsia="Arial" w:hAnsi="Arial"/>
          <w:sz w:val="13"/>
          <w:szCs w:val="13"/>
          <w:i w:val="1"/>
          <w:iCs w:val="1"/>
          <w:color w:val="auto"/>
        </w:rPr>
      </w:pPr>
    </w:p>
    <w:p>
      <w:pPr>
        <w:ind w:left="420" w:firstLine="4"/>
        <w:spacing w:after="0" w:line="257" w:lineRule="auto"/>
        <w:tabs>
          <w:tab w:leader="none" w:pos="645" w:val="left"/>
        </w:tabs>
        <w:numPr>
          <w:ilvl w:val="0"/>
          <w:numId w:val="76"/>
        </w:numPr>
        <w:rPr>
          <w:rFonts w:ascii="Arial" w:cs="Arial" w:eastAsia="Arial" w:hAnsi="Arial"/>
          <w:sz w:val="13"/>
          <w:szCs w:val="13"/>
          <w:i w:val="1"/>
          <w:iCs w:val="1"/>
          <w:color w:val="auto"/>
        </w:rPr>
      </w:pPr>
      <w:r>
        <w:rPr>
          <w:rFonts w:ascii="Arial" w:cs="Arial" w:eastAsia="Arial" w:hAnsi="Arial"/>
          <w:sz w:val="13"/>
          <w:szCs w:val="13"/>
          <w:i w:val="1"/>
          <w:iCs w:val="1"/>
          <w:color w:val="auto"/>
        </w:rPr>
        <w:t>Reserves which can be produced economically through application of improved recovery techniques (including, but not limited to, fluid injection) are included in the proved classification when:</w:t>
      </w:r>
    </w:p>
    <w:p>
      <w:pPr>
        <w:jc w:val="both"/>
        <w:ind w:left="860" w:hanging="3"/>
        <w:spacing w:after="0" w:line="252" w:lineRule="auto"/>
        <w:tabs>
          <w:tab w:leader="none" w:pos="1084" w:val="left"/>
        </w:tabs>
        <w:numPr>
          <w:ilvl w:val="1"/>
          <w:numId w:val="76"/>
        </w:numPr>
        <w:rPr>
          <w:rFonts w:ascii="Arial" w:cs="Arial" w:eastAsia="Arial" w:hAnsi="Arial"/>
          <w:sz w:val="13"/>
          <w:szCs w:val="13"/>
          <w:i w:val="1"/>
          <w:iCs w:val="1"/>
          <w:color w:val="auto"/>
        </w:rPr>
      </w:pPr>
      <w:r>
        <w:rPr>
          <w:rFonts w:ascii="Arial" w:cs="Arial" w:eastAsia="Arial" w:hAnsi="Arial"/>
          <w:sz w:val="13"/>
          <w:szCs w:val="13"/>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27" w:lineRule="exact"/>
        <w:rPr>
          <w:rFonts w:ascii="Arial" w:cs="Arial" w:eastAsia="Arial" w:hAnsi="Arial"/>
          <w:sz w:val="13"/>
          <w:szCs w:val="13"/>
          <w:i w:val="1"/>
          <w:iCs w:val="1"/>
          <w:color w:val="auto"/>
        </w:rPr>
      </w:pPr>
    </w:p>
    <w:p>
      <w:pPr>
        <w:ind w:left="1060" w:hanging="203"/>
        <w:spacing w:after="0"/>
        <w:tabs>
          <w:tab w:leader="none" w:pos="1060" w:val="left"/>
        </w:tabs>
        <w:numPr>
          <w:ilvl w:val="1"/>
          <w:numId w:val="76"/>
        </w:numPr>
        <w:rPr>
          <w:rFonts w:ascii="Arial" w:cs="Arial" w:eastAsia="Arial" w:hAnsi="Arial"/>
          <w:sz w:val="13"/>
          <w:szCs w:val="13"/>
          <w:i w:val="1"/>
          <w:iCs w:val="1"/>
          <w:color w:val="auto"/>
        </w:rPr>
      </w:pPr>
      <w:r>
        <w:rPr>
          <w:rFonts w:ascii="Arial" w:cs="Arial" w:eastAsia="Arial" w:hAnsi="Arial"/>
          <w:sz w:val="13"/>
          <w:szCs w:val="13"/>
          <w:i w:val="1"/>
          <w:iCs w:val="1"/>
          <w:color w:val="auto"/>
        </w:rPr>
        <w:t>The project has been approved for development by all necessary parties and entities, including governmental entities.</w:t>
      </w:r>
    </w:p>
    <w:p>
      <w:pPr>
        <w:spacing w:after="0" w:line="156" w:lineRule="exact"/>
        <w:rPr>
          <w:rFonts w:ascii="Arial" w:cs="Arial" w:eastAsia="Arial" w:hAnsi="Arial"/>
          <w:sz w:val="13"/>
          <w:szCs w:val="13"/>
          <w:i w:val="1"/>
          <w:iCs w:val="1"/>
          <w:color w:val="auto"/>
        </w:rPr>
      </w:pPr>
    </w:p>
    <w:p>
      <w:pPr>
        <w:jc w:val="both"/>
        <w:ind w:left="420" w:firstLine="4"/>
        <w:spacing w:after="0" w:line="263" w:lineRule="auto"/>
        <w:tabs>
          <w:tab w:leader="none" w:pos="623" w:val="left"/>
        </w:tabs>
        <w:numPr>
          <w:ilvl w:val="0"/>
          <w:numId w:val="76"/>
        </w:numPr>
        <w:rPr>
          <w:rFonts w:ascii="Arial" w:cs="Arial" w:eastAsia="Arial" w:hAnsi="Arial"/>
          <w:sz w:val="13"/>
          <w:szCs w:val="13"/>
          <w:i w:val="1"/>
          <w:iCs w:val="1"/>
          <w:color w:val="auto"/>
        </w:rPr>
      </w:pPr>
      <w:r>
        <w:rPr>
          <w:rFonts w:ascii="Arial" w:cs="Arial" w:eastAsia="Arial" w:hAnsi="Arial"/>
          <w:sz w:val="13"/>
          <w:szCs w:val="13"/>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590" w:right="19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3"/>
          <w:szCs w:val="13"/>
          <w:b w:val="1"/>
          <w:bCs w:val="1"/>
          <w:color w:val="auto"/>
        </w:rPr>
        <w:t>PETROLEUM RESERVES STATUS DEFINITIONS AND GUIDELINES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Adapted From:</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4-10(a) of REGULATION S-X PART 210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UNITED STATES SECURITIES AND EXCHANGE COMMISSION (SEC)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PETROLEUM RESOURCES MANAGEMENT SYSTEM (SPE-PRMS)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Sponsored and Approved by: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SOCIETY OF PETROLEUM ENGINEERS (SPE)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WORLD PETROLEUM COUNCIL (WPC)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AMERICAN ASSOCIATION OF PETROLEUM GEOLOGISTS (AAPG)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SOCIETY OF PETROLEUM EVALUATION ENGINEERS (SPEE)</w:t>
      </w:r>
    </w:p>
    <w:p>
      <w:pPr>
        <w:spacing w:after="0" w:line="366"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DEVELOPED RESERVES (SEC DEFINITIONS)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Securities and Exchange Commission Regulation S-X §210.4-10(a)(6) defines developed oil and gas reserves as follows: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Developed oil and gas reserves are reserves of any category that can be expected to be recovered:</w:t>
      </w:r>
    </w:p>
    <w:p>
      <w:pPr>
        <w:spacing w:after="0" w:line="157" w:lineRule="exact"/>
        <w:rPr>
          <w:sz w:val="20"/>
          <w:szCs w:val="20"/>
          <w:color w:val="auto"/>
        </w:rPr>
      </w:pPr>
    </w:p>
    <w:p>
      <w:pPr>
        <w:ind w:left="1020" w:hanging="163"/>
        <w:spacing w:after="0"/>
        <w:tabs>
          <w:tab w:leader="none" w:pos="1020" w:val="left"/>
        </w:tabs>
        <w:numPr>
          <w:ilvl w:val="0"/>
          <w:numId w:val="77"/>
        </w:numPr>
        <w:rPr>
          <w:rFonts w:ascii="Arial" w:cs="Arial" w:eastAsia="Arial" w:hAnsi="Arial"/>
          <w:sz w:val="13"/>
          <w:szCs w:val="13"/>
          <w:i w:val="1"/>
          <w:iCs w:val="1"/>
          <w:color w:val="auto"/>
        </w:rPr>
      </w:pPr>
      <w:r>
        <w:rPr>
          <w:rFonts w:ascii="Arial" w:cs="Arial" w:eastAsia="Arial" w:hAnsi="Arial"/>
          <w:sz w:val="13"/>
          <w:szCs w:val="13"/>
          <w:i w:val="1"/>
          <w:iCs w:val="1"/>
          <w:color w:val="auto"/>
        </w:rPr>
        <w:t>Through existing wells with existing equipment and operating methods or in which the cost of the required equipment is relatively minor compared to the cost of a new well; and</w:t>
      </w:r>
    </w:p>
    <w:p>
      <w:pPr>
        <w:spacing w:after="0" w:line="156" w:lineRule="exact"/>
        <w:rPr>
          <w:rFonts w:ascii="Arial" w:cs="Arial" w:eastAsia="Arial" w:hAnsi="Arial"/>
          <w:sz w:val="13"/>
          <w:szCs w:val="13"/>
          <w:i w:val="1"/>
          <w:iCs w:val="1"/>
          <w:color w:val="auto"/>
        </w:rPr>
      </w:pPr>
    </w:p>
    <w:p>
      <w:pPr>
        <w:ind w:left="1040" w:hanging="183"/>
        <w:spacing w:after="0"/>
        <w:tabs>
          <w:tab w:leader="none" w:pos="1040" w:val="left"/>
        </w:tabs>
        <w:numPr>
          <w:ilvl w:val="0"/>
          <w:numId w:val="77"/>
        </w:numPr>
        <w:rPr>
          <w:rFonts w:ascii="Arial" w:cs="Arial" w:eastAsia="Arial" w:hAnsi="Arial"/>
          <w:sz w:val="13"/>
          <w:szCs w:val="13"/>
          <w:i w:val="1"/>
          <w:iCs w:val="1"/>
          <w:color w:val="auto"/>
        </w:rPr>
      </w:pPr>
      <w:r>
        <w:rPr>
          <w:rFonts w:ascii="Arial" w:cs="Arial" w:eastAsia="Arial" w:hAnsi="Arial"/>
          <w:sz w:val="13"/>
          <w:szCs w:val="13"/>
          <w:i w:val="1"/>
          <w:iCs w:val="1"/>
          <w:color w:val="auto"/>
        </w:rPr>
        <w:t>Through installed extraction equipment and infrastructure operational at the time of the reserves estimate if the extraction is by means not involving a well.</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Developed Producing (SPE-PRMS Definitions)</w:t>
      </w:r>
    </w:p>
    <w:p>
      <w:pPr>
        <w:spacing w:after="0" w:line="173"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While not a requirement for disclosure under the SEC regulations, developed oil and gas reserves may be further sub-classified according to the guidance contained in the SPE-PRMS as Producing or Non-Producing.</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u w:val="single" w:color="auto"/>
          <w:color w:val="auto"/>
        </w:rPr>
        <w:t>Developed Producing Reserves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Developed Producing Reserves are expected to be recovered from completion intervals that are open and producing at the time of the estimate.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Improved recovery reserves are considered producing only after the improved recovery project is in operation.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896" w:right="199" w:bottom="1440" w:gutter="0" w:footer="0" w:header="0"/>
        </w:sectPr>
      </w:pPr>
    </w:p>
    <w:bookmarkStart w:id="155" w:name="page156"/>
    <w:bookmarkEnd w:id="155"/>
    <w:p>
      <w:pPr>
        <w:ind w:left="420"/>
        <w:spacing w:after="0"/>
        <w:rPr>
          <w:sz w:val="20"/>
          <w:szCs w:val="20"/>
          <w:color w:val="auto"/>
        </w:rPr>
      </w:pPr>
      <w:r>
        <w:rPr>
          <w:rFonts w:ascii="Arial" w:cs="Arial" w:eastAsia="Arial" w:hAnsi="Arial"/>
          <w:sz w:val="13"/>
          <w:szCs w:val="13"/>
          <w:b w:val="1"/>
          <w:bCs w:val="1"/>
          <w:i w:val="1"/>
          <w:iCs w:val="1"/>
          <w:u w:val="single" w:color="auto"/>
          <w:color w:val="auto"/>
        </w:rPr>
        <w:t>Developed Non-Producing</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Developed Non-Producing Reserves include shut-in and behind-pipe reserves.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u w:val="single" w:color="auto"/>
          <w:color w:val="auto"/>
        </w:rPr>
        <w:t>Shut-In</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Shut-in Reserves are expected to be recovered from:</w:t>
      </w:r>
    </w:p>
    <w:p>
      <w:pPr>
        <w:spacing w:after="0" w:line="4" w:lineRule="exact"/>
        <w:rPr>
          <w:sz w:val="20"/>
          <w:szCs w:val="20"/>
          <w:color w:val="auto"/>
        </w:rPr>
      </w:pPr>
    </w:p>
    <w:p>
      <w:pPr>
        <w:ind w:left="860" w:hanging="219"/>
        <w:spacing w:after="0"/>
        <w:tabs>
          <w:tab w:leader="none" w:pos="860"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completion intervals which are open at the time of the estimate, but which have not started producing;</w:t>
      </w:r>
    </w:p>
    <w:p>
      <w:pPr>
        <w:spacing w:after="0" w:line="3" w:lineRule="exact"/>
        <w:rPr>
          <w:rFonts w:ascii="Arial" w:cs="Arial" w:eastAsia="Arial" w:hAnsi="Arial"/>
          <w:sz w:val="13"/>
          <w:szCs w:val="13"/>
          <w:i w:val="1"/>
          <w:iCs w:val="1"/>
          <w:color w:val="auto"/>
        </w:rPr>
      </w:pPr>
    </w:p>
    <w:p>
      <w:pPr>
        <w:ind w:left="860" w:hanging="219"/>
        <w:spacing w:after="0"/>
        <w:tabs>
          <w:tab w:leader="none" w:pos="860"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wells which were shut-in for market conditions or pipeline connections; or</w:t>
      </w:r>
    </w:p>
    <w:p>
      <w:pPr>
        <w:spacing w:after="0" w:line="3" w:lineRule="exact"/>
        <w:rPr>
          <w:rFonts w:ascii="Arial" w:cs="Arial" w:eastAsia="Arial" w:hAnsi="Arial"/>
          <w:sz w:val="13"/>
          <w:szCs w:val="13"/>
          <w:i w:val="1"/>
          <w:iCs w:val="1"/>
          <w:color w:val="auto"/>
        </w:rPr>
      </w:pPr>
    </w:p>
    <w:p>
      <w:pPr>
        <w:ind w:left="860" w:hanging="219"/>
        <w:spacing w:after="0"/>
        <w:tabs>
          <w:tab w:leader="none" w:pos="860"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wells not capable of production for mechanical reasons.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u w:val="single" w:color="auto"/>
          <w:color w:val="auto"/>
        </w:rPr>
        <w:t>Behind-Pipe</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Behind-pipe Reserves are expected to be recovered from zones in existing wells, which will require additional completion work or future re-completion prior to start of production.</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In all cases, production can be initiated or restored with relatively low expenditure compared to the cost of drilling a new well.</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UNDEVELOPED RESERVES (SEC DEFINITIONS)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Securities and Exchange Commission Regulation S-X §210.4-10(a)(31) defines undeveloped oil and gas reserves as follows:</w:t>
      </w:r>
    </w:p>
    <w:p>
      <w:pPr>
        <w:spacing w:after="0" w:line="143" w:lineRule="exact"/>
        <w:rPr>
          <w:sz w:val="20"/>
          <w:szCs w:val="20"/>
          <w:color w:val="auto"/>
        </w:rPr>
      </w:pPr>
    </w:p>
    <w:p>
      <w:pPr>
        <w:ind w:left="420"/>
        <w:spacing w:after="0" w:line="281" w:lineRule="auto"/>
        <w:rPr>
          <w:sz w:val="20"/>
          <w:szCs w:val="20"/>
          <w:color w:val="auto"/>
        </w:rPr>
      </w:pPr>
      <w:r>
        <w:rPr>
          <w:rFonts w:ascii="Arial" w:cs="Arial" w:eastAsia="Arial" w:hAnsi="Arial"/>
          <w:sz w:val="13"/>
          <w:szCs w:val="13"/>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09" w:lineRule="exact"/>
        <w:rPr>
          <w:sz w:val="20"/>
          <w:szCs w:val="20"/>
          <w:color w:val="auto"/>
        </w:rPr>
      </w:pPr>
    </w:p>
    <w:p>
      <w:pPr>
        <w:ind w:left="1100" w:right="340" w:hanging="243"/>
        <w:spacing w:after="0" w:line="281" w:lineRule="auto"/>
        <w:tabs>
          <w:tab w:leader="none" w:pos="110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09" w:lineRule="exact"/>
        <w:rPr>
          <w:rFonts w:ascii="Arial" w:cs="Arial" w:eastAsia="Arial" w:hAnsi="Arial"/>
          <w:sz w:val="13"/>
          <w:szCs w:val="13"/>
          <w:i w:val="1"/>
          <w:iCs w:val="1"/>
          <w:color w:val="auto"/>
        </w:rPr>
      </w:pPr>
    </w:p>
    <w:p>
      <w:pPr>
        <w:ind w:left="860" w:right="20" w:hanging="3"/>
        <w:spacing w:after="0" w:line="281" w:lineRule="auto"/>
        <w:tabs>
          <w:tab w:leader="none" w:pos="1043"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09" w:lineRule="exact"/>
        <w:rPr>
          <w:rFonts w:ascii="Arial" w:cs="Arial" w:eastAsia="Arial" w:hAnsi="Arial"/>
          <w:sz w:val="13"/>
          <w:szCs w:val="13"/>
          <w:i w:val="1"/>
          <w:iCs w:val="1"/>
          <w:color w:val="auto"/>
        </w:rPr>
      </w:pPr>
    </w:p>
    <w:p>
      <w:pPr>
        <w:jc w:val="both"/>
        <w:ind w:left="860" w:hanging="3"/>
        <w:spacing w:after="0" w:line="263" w:lineRule="auto"/>
        <w:tabs>
          <w:tab w:leader="none" w:pos="1074"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sectPr>
      <w:pgSz w:w="11900" w:h="16838" w:orient="portrait"/>
      <w:cols w:equalWidth="0" w:num="1">
        <w:col w:w="11480"/>
      </w:cols>
      <w:pgMar w:left="220" w:top="43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lowerLetter"/>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lowerLetter"/>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lowerLetter"/>
      <w:start w:val="1"/>
    </w:lvl>
  </w:abstractNum>
  <w:abstractNum w:abstractNumId="21">
    <w:nsid w:val="3DC240FB"/>
    <w:multiLevelType w:val="hybridMultilevel"/>
    <w:lvl w:ilvl="0">
      <w:lvlJc w:val="left"/>
      <w:lvlText w:val="(%1)"/>
      <w:numFmt w:val="lowerLetter"/>
      <w:start w:val="1"/>
    </w:lvl>
  </w:abstractNum>
  <w:abstractNum w:abstractNumId="22">
    <w:nsid w:val="1BA026FA"/>
    <w:multiLevelType w:val="hybridMultilevel"/>
    <w:lvl w:ilvl="0">
      <w:lvlJc w:val="left"/>
      <w:lvlText w:val="(%1)"/>
      <w:numFmt w:val="lowerLetter"/>
      <w:start w:val="1"/>
    </w:lvl>
  </w:abstractNum>
  <w:abstractNum w:abstractNumId="23">
    <w:nsid w:val="79A1DEAA"/>
    <w:multiLevelType w:val="hybridMultilevel"/>
    <w:lvl w:ilvl="0">
      <w:lvlJc w:val="left"/>
      <w:lvlText w:val="(%1)"/>
      <w:numFmt w:val="lowerRoman"/>
      <w:start w:val="3"/>
    </w:lvl>
  </w:abstractNum>
  <w:abstractNum w:abstractNumId="24">
    <w:nsid w:val="75C6C33A"/>
    <w:multiLevelType w:val="hybridMultilevel"/>
    <w:lvl w:ilvl="0">
      <w:lvlJc w:val="left"/>
      <w:lvlText w:val="(%1)"/>
      <w:numFmt w:val="lowerLetter"/>
      <w:start w:val="1"/>
    </w:lvl>
  </w:abstractNum>
  <w:abstractNum w:abstractNumId="25">
    <w:nsid w:val="12E685FB"/>
    <w:multiLevelType w:val="hybridMultilevel"/>
    <w:lvl w:ilvl="0">
      <w:lvlJc w:val="left"/>
      <w:lvlText w:val="(%1)"/>
      <w:numFmt w:val="lowerLetter"/>
      <w:start w:val="1"/>
    </w:lvl>
  </w:abstractNum>
  <w:abstractNum w:abstractNumId="26">
    <w:nsid w:val="70C6A529"/>
    <w:multiLevelType w:val="hybridMultilevel"/>
    <w:lvl w:ilvl="0">
      <w:lvlJc w:val="left"/>
      <w:lvlText w:val="(%1)"/>
      <w:numFmt w:val="lowerLetter"/>
      <w:start w:val="1"/>
    </w:lvl>
  </w:abstractNum>
  <w:abstractNum w:abstractNumId="27">
    <w:nsid w:val="520EEDD1"/>
    <w:multiLevelType w:val="hybridMultilevel"/>
    <w:lvl w:ilvl="0">
      <w:lvlJc w:val="left"/>
      <w:lvlText w:val="(%1)"/>
      <w:numFmt w:val="lowerLetter"/>
      <w:start w:val="1"/>
    </w:lvl>
  </w:abstractNum>
  <w:abstractNum w:abstractNumId="28">
    <w:nsid w:val="374A3FE6"/>
    <w:multiLevelType w:val="hybridMultilevel"/>
    <w:lvl w:ilvl="0">
      <w:lvlJc w:val="left"/>
      <w:lvlText w:val="(%1)"/>
      <w:numFmt w:val="lowerLetter"/>
      <w:start w:val="1"/>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lowerLetter"/>
      <w:start w:val="1"/>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2"/>
    </w:lvl>
  </w:abstractNum>
  <w:abstractNum w:abstractNumId="33">
    <w:nsid w:val="39386575"/>
    <w:multiLevelType w:val="hybridMultilevel"/>
    <w:lvl w:ilvl="0">
      <w:lvlJc w:val="left"/>
      <w:lvlText w:val="%1)"/>
      <w:numFmt w:val="lowerLetter"/>
      <w:start w:val="3"/>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lowerRoman"/>
      <w:start w:val="3"/>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lowerLetter"/>
      <w:start w:val="1"/>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Roman"/>
      <w:start w:val="3"/>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lvl>
    <w:lvl w:ilvl="1">
      <w:lvlJc w:val="left"/>
      <w:lvlText w:val="•"/>
      <w:numFmt w:val="bullet"/>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decimal"/>
      <w:start w:val="1"/>
    </w:lvl>
    <w:lvl w:ilvl="1">
      <w:lvlJc w:val="left"/>
      <w:lvlText w:val="%2."/>
      <w:numFmt w:val="lowerLetter"/>
      <w:start w:val="1"/>
    </w:lvl>
  </w:abstractNum>
  <w:abstractNum w:abstractNumId="72">
    <w:nsid w:val="613EFDC5"/>
    <w:multiLevelType w:val="hybridMultilevel"/>
    <w:lvl w:ilvl="0">
      <w:lvlJc w:val="left"/>
      <w:lvlText w:val="%1."/>
      <w:numFmt w:val="decimal"/>
      <w:start w:val="1"/>
    </w:lvl>
    <w:lvl w:ilvl="1">
      <w:lvlJc w:val="left"/>
      <w:lvlText w:val="%2."/>
      <w:numFmt w:val="lowerLetter"/>
      <w:start w:val="1"/>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lowerRoman"/>
      <w:start w:val="1"/>
    </w:lvl>
    <w:lvl w:ilvl="1">
      <w:lvlJc w:val="left"/>
      <w:lvlText w:val="(%2)"/>
      <w:numFmt w:val="upperLetter"/>
      <w:start w:val="1"/>
    </w:lvl>
  </w:abstractNum>
  <w:abstractNum w:abstractNumId="75">
    <w:nsid w:val="42963E5A"/>
    <w:multiLevelType w:val="hybridMultilevel"/>
    <w:lvl w:ilvl="0">
      <w:lvlJc w:val="left"/>
      <w:lvlText w:val="(%1)"/>
      <w:numFmt w:val="lowerRoman"/>
      <w:start w:val="2"/>
    </w:lvl>
    <w:lvl w:ilvl="1">
      <w:lvlJc w:val="left"/>
      <w:lvlText w:val="(%2)"/>
      <w:numFmt w:val="upperLetter"/>
      <w:start w:val="1"/>
    </w:lvl>
  </w:abstractNum>
  <w:abstractNum w:abstractNumId="76">
    <w:nsid w:val="A0382C5"/>
    <w:multiLevelType w:val="hybridMultilevel"/>
    <w:lvl w:ilvl="0">
      <w:lvlJc w:val="left"/>
      <w:lvlText w:val="(%1)"/>
      <w:numFmt w:val="lowerRoman"/>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86" Type="http://schemas.openxmlformats.org/officeDocument/2006/relationships/image" Target="media/image19.png"/><Relationship Id="rId87" Type="http://schemas.openxmlformats.org/officeDocument/2006/relationships/image" Target="media/image20.png"/><Relationship Id="rId88" Type="http://schemas.openxmlformats.org/officeDocument/2006/relationships/image" Target="media/image21.png"/><Relationship Id="rId89" Type="http://schemas.openxmlformats.org/officeDocument/2006/relationships/image" Target="media/image22.png"/><Relationship Id="rId90" Type="http://schemas.openxmlformats.org/officeDocument/2006/relationships/image" Target="media/image23.png"/><Relationship Id="rId91" Type="http://schemas.openxmlformats.org/officeDocument/2006/relationships/image" Target="media/image24.png"/><Relationship Id="rId26" Type="http://schemas.openxmlformats.org/officeDocument/2006/relationships/hyperlink" Target="http://www.sec.gov/Archives/edgar/data/1609253/000110465914084170/a14-25233_1ex2d1.htm" TargetMode="External"/><Relationship Id="rId27" Type="http://schemas.openxmlformats.org/officeDocument/2006/relationships/hyperlink" Target="http://www.sec.gov/Archives/edgar/data/1609253/000160925316000271/exhibit31.htm" TargetMode="External"/><Relationship Id="rId28" Type="http://schemas.openxmlformats.org/officeDocument/2006/relationships/hyperlink" Target="http://www.sec.gov/Archives/edgar/data/1609253/000160925315000168/exhibit32amendedandrestate.htm" TargetMode="External"/><Relationship Id="rId29" Type="http://schemas.openxmlformats.org/officeDocument/2006/relationships/hyperlink" Target="http://www.sec.gov/Archives/edgar/data/1609253/000104746914008184/a2221677zex-4_2.htm" TargetMode="External"/><Relationship Id="rId30" Type="http://schemas.openxmlformats.org/officeDocument/2006/relationships/hyperlink" Target="http://www.sec.gov/Archives/edgar/data/1609253/000160925315000179/crcexchangeindenture.htm" TargetMode="External"/><Relationship Id="rId31" Type="http://schemas.openxmlformats.org/officeDocument/2006/relationships/hyperlink" Target="http://www.sec.gov/Archives/edgar/data/1609253/000160925315000027/exh42guarantorsupplemental.htm" TargetMode="External"/><Relationship Id="rId32" Type="http://schemas.openxmlformats.org/officeDocument/2006/relationships/hyperlink" Target="http://www.sec.gov/Archives/edgar/data/1609253/000160925316000305/a2016q2exhibit41.htm" TargetMode="External"/><Relationship Id="rId33" Type="http://schemas.openxmlformats.org/officeDocument/2006/relationships/hyperlink" Target="http://www.sec.gov/Archives/edgar/data/1609253/000160925316000305/a2016q2exhibit42.htm" TargetMode="External"/><Relationship Id="rId34" Type="http://schemas.openxmlformats.org/officeDocument/2006/relationships/hyperlink" Target="http://www.sec.gov/Archives/edgar/data/1609253/000160925316000305/a2016q2exhibit104.htm" TargetMode="External"/><Relationship Id="rId35" Type="http://schemas.openxmlformats.org/officeDocument/2006/relationships/hyperlink" Target="http://www.sec.gov/Archives/edgar/data/1609253/000160925315000027/exhibit1031assumptionagree.htm" TargetMode="External"/><Relationship Id="rId36" Type="http://schemas.openxmlformats.org/officeDocument/2006/relationships/hyperlink" Target="http://www.sec.gov/Archives/edgar/data/1609253/000104746914008184/a2221677zex-4_3.htm" TargetMode="External"/><Relationship Id="rId37" Type="http://schemas.openxmlformats.org/officeDocument/2006/relationships/hyperlink" Target="http://www.sec.gov/Archives/edgar/data/1609253/000104746914008289/a2221677zex-10_25.htm" TargetMode="External"/><Relationship Id="rId38" Type="http://schemas.openxmlformats.org/officeDocument/2006/relationships/hyperlink" Target="http://www.sec.gov/Archives/edgar/data/1609253/000162828015001108/exhibit1035firstamendmentt.htm" TargetMode="External"/><Relationship Id="rId39" Type="http://schemas.openxmlformats.org/officeDocument/2006/relationships/hyperlink" Target="http://www.sec.gov/Archives/edgar/data/1609253/000162828015008382/crc-exhibit10193015.htm" TargetMode="External"/><Relationship Id="rId40" Type="http://schemas.openxmlformats.org/officeDocument/2006/relationships/hyperlink" Target="http://www.sec.gov/Archives/edgar/data/1609253/000160925316000186/executionversioncrcthirdam.htm" TargetMode="External"/><Relationship Id="rId41" Type="http://schemas.openxmlformats.org/officeDocument/2006/relationships/hyperlink" Target="http://www.sec.gov/Archives/edgar/data/1609253/000160925316000204/crcfourthamendmentcreditag.htm" TargetMode="External"/><Relationship Id="rId42" Type="http://schemas.openxmlformats.org/officeDocument/2006/relationships/hyperlink" Target="http://www.sec.gov/Archives/edgar/data/1609253/000160925316000328/exh102fifthamendcreditagr.htm" TargetMode="External"/><Relationship Id="rId43" Type="http://schemas.openxmlformats.org/officeDocument/2006/relationships/hyperlink" Target="http://www.sec.gov/Archives/edgar/data/1609253/000160925317000044/crcsixthamendtocreditagree.htm" TargetMode="External"/><Relationship Id="rId44" Type="http://schemas.openxmlformats.org/officeDocument/2006/relationships/hyperlink" Target="http://www.sec.gov/Archives/edgar/data/1609253/000162828017011374/sc1-4530285xv1xcrc_xx7thxa.htm" TargetMode="External"/><Relationship Id="rId45" Type="http://schemas.openxmlformats.org/officeDocument/2006/relationships/hyperlink" Target="http://www.sec.gov/Archives/edgar/data/1609253/000160925316000328/exh101creditagr125.htm" TargetMode="External"/><Relationship Id="rId46" Type="http://schemas.openxmlformats.org/officeDocument/2006/relationships/hyperlink" Target="http://www.sec.gov/Archives/edgar/data/1609253/000119312517346967/d498080dex101.htm" TargetMode="External"/><Relationship Id="rId47" Type="http://schemas.openxmlformats.org/officeDocument/2006/relationships/hyperlink" Target="http://www.sec.gov/Archives/edgar/data/1609253/000160925316000354/a2016q3exhibit103.htm" TargetMode="External"/><Relationship Id="rId48" Type="http://schemas.openxmlformats.org/officeDocument/2006/relationships/hyperlink" Target="http://www.sec.gov/Archives/edgar/data/1609253/000110465914084170/a14-25233_1ex10d4.htm" TargetMode="External"/><Relationship Id="rId49" Type="http://schemas.openxmlformats.org/officeDocument/2006/relationships/hyperlink" Target="http://www.sec.gov/Archives/edgar/data/1609253/000110465914084170/a14-25233_1ex10d2.htm" TargetMode="External"/><Relationship Id="rId50" Type="http://schemas.openxmlformats.org/officeDocument/2006/relationships/hyperlink" Target="http://www.sec.gov/Archives/edgar/data/1609253/000110465914084170/a14-25233_1ex10d3.htm" TargetMode="External"/><Relationship Id="rId51" Type="http://schemas.openxmlformats.org/officeDocument/2006/relationships/hyperlink" Target="http://www.sec.gov/Archives/edgar/data/1609253/000110465914084170/a14-25233_1ex10d7.htm" TargetMode="External"/><Relationship Id="rId52" Type="http://schemas.openxmlformats.org/officeDocument/2006/relationships/hyperlink" Target="http://www.sec.gov/Archives/edgar/data/1609253/000110465914084170/a14-25233_1ex10d5.htm" TargetMode="External"/><Relationship Id="rId53" Type="http://schemas.openxmlformats.org/officeDocument/2006/relationships/hyperlink" Target="http://www.sec.gov/Archives/edgar/data/1609253/000104746914007128/a2220803zex-10_10.htm" TargetMode="External"/><Relationship Id="rId54" Type="http://schemas.openxmlformats.org/officeDocument/2006/relationships/hyperlink" Target="http://www.sec.gov/Archives/edgar/data/1609253/000104746914007128/a2220803zex-10_11.htm" TargetMode="External"/><Relationship Id="rId55" Type="http://schemas.openxmlformats.org/officeDocument/2006/relationships/hyperlink" Target="http://www.sec.gov/Archives/edgar/data/1609253/000104746914007128/a2220803zex-10_12.htm" TargetMode="External"/><Relationship Id="rId56" Type="http://schemas.openxmlformats.org/officeDocument/2006/relationships/hyperlink" Target="http://www.sec.gov/Archives/edgar/data/1609253/000110465914084170/a14-25233_1ex10d6.htm" TargetMode="External"/><Relationship Id="rId57" Type="http://schemas.openxmlformats.org/officeDocument/2006/relationships/hyperlink" Target="http://www.sec.gov/Archives/edgar/data/1609253/000160925318000004/ex1012-7x20188k.htm" TargetMode="External"/><Relationship Id="rId58" Type="http://schemas.openxmlformats.org/officeDocument/2006/relationships/hyperlink" Target="http://www.sec.gov/Archives/edgar/data/1609253/000160925318000004/ex1022-7x20188k.htm" TargetMode="External"/><Relationship Id="rId59" Type="http://schemas.openxmlformats.org/officeDocument/2006/relationships/hyperlink" Target="http://www.sec.gov/Archives/edgar/data/1609253/000160925318000004/ex1032-7x20188k.htm" TargetMode="External"/><Relationship Id="rId60" Type="http://schemas.openxmlformats.org/officeDocument/2006/relationships/hyperlink" Target="http://www.sec.gov/Archives/edgar/data/1609253/000160925318000004/ex1042-7x20188k.htm" TargetMode="External"/><Relationship Id="rId61" Type="http://schemas.openxmlformats.org/officeDocument/2006/relationships/hyperlink" Target="http://www.sec.gov/Archives/edgar/data/1609253/000160925318000004/ex1052-7x20188k.htm" TargetMode="External"/><Relationship Id="rId62" Type="http://schemas.openxmlformats.org/officeDocument/2006/relationships/hyperlink" Target="http://www.sec.gov/Archives/edgar/data/1609253/000162828015008382/crcexhibit10393015.htm" TargetMode="External"/><Relationship Id="rId63" Type="http://schemas.openxmlformats.org/officeDocument/2006/relationships/hyperlink" Target="http://www.sec.gov/Archives/edgar/data/1609253/000160925316000305/a2016q2exhibit105.htm" TargetMode="External"/><Relationship Id="rId64" Type="http://schemas.openxmlformats.org/officeDocument/2006/relationships/hyperlink" Target="http://www.sec.gov/Archives/edgar/data/1609253/000162828015008382/crcexhibit10293015.htm" TargetMode="External"/><Relationship Id="rId65" Type="http://schemas.openxmlformats.org/officeDocument/2006/relationships/hyperlink" Target="http://www.sec.gov/Archives/edgar/data/1609253/000162828015008382/crcexhibit10493015.htm" TargetMode="External"/><Relationship Id="rId66" Type="http://schemas.openxmlformats.org/officeDocument/2006/relationships/hyperlink" Target="http://www.sec.gov/Archives/edgar/data/1609253/000110465914084461/a14-25493_1ex10d1.htm" TargetMode="External"/><Relationship Id="rId67" Type="http://schemas.openxmlformats.org/officeDocument/2006/relationships/hyperlink" Target="http://www.sec.gov/Archives/edgar/data/1609253/000160925316000194/ye2015exhibit1018savingspl.htm" TargetMode="External"/><Relationship Id="rId68" Type="http://schemas.openxmlformats.org/officeDocument/2006/relationships/hyperlink" Target="http://www.sec.gov/Archives/edgar/data/1609253/000110465914084461/a14-25493_1ex10d3.htm" TargetMode="External"/><Relationship Id="rId69" Type="http://schemas.openxmlformats.org/officeDocument/2006/relationships/hyperlink" Target="http://www.sec.gov/Archives/edgar/data/1609253/000110465914084461/a14-25493_1ex10d2.htm" TargetMode="External"/><Relationship Id="rId70" Type="http://schemas.openxmlformats.org/officeDocument/2006/relationships/hyperlink" Target="http://www.sec.gov/Archives/edgar/data/1609253/000110465914083641/a14-25149_2ex4d3.htm" TargetMode="External"/><Relationship Id="rId71" Type="http://schemas.openxmlformats.org/officeDocument/2006/relationships/hyperlink" Target="http://www.sec.gov/Archives/edgar/data/1609253/000160925316000194/ye2015exhibit1022albrecht.htm" TargetMode="External"/><Relationship Id="rId72" Type="http://schemas.openxmlformats.org/officeDocument/2006/relationships/hyperlink" Target="http://www.sec.gov/Archives/edgar/data/1609253/000104746914007767/a2221365zex-10_6.htm" TargetMode="External"/><Relationship Id="rId73" Type="http://schemas.openxmlformats.org/officeDocument/2006/relationships/hyperlink" Target="http://www.sec.gov/Archives/edgar/data/1609253/000160925316000305/a2016q2exhibit106.htm" TargetMode="External"/><Relationship Id="rId74" Type="http://schemas.openxmlformats.org/officeDocument/2006/relationships/hyperlink" Target="http://www.sec.gov/Archives/edgar/data/1609253/000160925316000354/a2016q3exhibit105.htm" TargetMode="External"/><Relationship Id="rId75" Type="http://schemas.openxmlformats.org/officeDocument/2006/relationships/hyperlink" Target="http://www.sec.gov/Archives/edgar/data/1609253/000160925316000354/a2016q3exhibit106.htm" TargetMode="External"/><Relationship Id="rId76" Type="http://schemas.openxmlformats.org/officeDocument/2006/relationships/hyperlink" Target="http://www.sec.gov/Archives/edgar/data/1609253/000104746914007767/a2221365zex-10_8.htm" TargetMode="External"/><Relationship Id="rId77" Type="http://schemas.openxmlformats.org/officeDocument/2006/relationships/hyperlink" Target="http://www.sec.gov/Archives/edgar/data/1609253/000160925315000009/crcform8-kfullvestxdoublet.htm" TargetMode="External"/><Relationship Id="rId78" Type="http://schemas.openxmlformats.org/officeDocument/2006/relationships/hyperlink" Target="http://www.sec.gov/Archives/edgar/data/1609253/000104746914007767/a2221365zex-10_9.htm" TargetMode="External"/><Relationship Id="rId79" Type="http://schemas.openxmlformats.org/officeDocument/2006/relationships/hyperlink" Target="http://www.sec.gov/Archives/edgar/data/1609253/000104746914007767/a2221365zex-10_10.htm" TargetMode="External"/><Relationship Id="rId80" Type="http://schemas.openxmlformats.org/officeDocument/2006/relationships/hyperlink" Target="http://www.sec.gov/Archives/edgar/data/1609253/000104746914007767/a2221365zex-10_11.htm" TargetMode="External"/><Relationship Id="rId81" Type="http://schemas.openxmlformats.org/officeDocument/2006/relationships/hyperlink" Target="http://www.sec.gov/Archives/edgar/data/1609253/000104746914007767/a2221365zex-10_12.htm" TargetMode="External"/><Relationship Id="rId82" Type="http://schemas.openxmlformats.org/officeDocument/2006/relationships/hyperlink" Target="http://www.sec.gov/Archives/edgar/data/1609253/000104746914007767/a2221365zex-10_13.htm" TargetMode="External"/><Relationship Id="rId83" Type="http://schemas.openxmlformats.org/officeDocument/2006/relationships/hyperlink" Target="http://www.sec.gov/Archives/edgar/data/1609253/000110465914083640/a14-25149_1ex4d3.htm" TargetMode="External"/><Relationship Id="rId84" Type="http://schemas.openxmlformats.org/officeDocument/2006/relationships/hyperlink" Target="http://www.sec.gov/Archives/edgar/data/1609253/000104746914007767/a2221365zex-10_14.htm" TargetMode="External"/><Relationship Id="rId85" Type="http://schemas.openxmlformats.org/officeDocument/2006/relationships/hyperlink" Target="http://www.sec.gov/Archives/edgar/data/1609253/000155837016004307/crc-20160504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2019-12-29T01:26:50Z</dcterms:created>
  <dcterms:modified xsi:type="dcterms:W3CDTF">2019-12-29T01:26:50Z</dcterms:modified>
</cp:coreProperties>
</file>