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68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GOLDENTREE ASSET</w:t>
              </w:r>
            </w:hyperlink>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1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6"/>
            <w:vMerge w:val="continue"/>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6"/>
            <w:vMerge w:val="continue"/>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Borders>
              <w:top w:val="single" w:sz="8" w:color="0000EE"/>
            </w:tcBorders>
            <w:gridSpan w:val="4"/>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Borders>
              <w:bottom w:val="single" w:sz="8" w:color="0000EE"/>
            </w:tcBorders>
            <w:gridSpan w:val="4"/>
            <w:vMerge w:val="continue"/>
          </w:tcPr>
          <w:p>
            <w:pPr>
              <w:spacing w:after="0"/>
              <w:rPr>
                <w:sz w:val="10"/>
                <w:szCs w:val="10"/>
                <w:color w:val="auto"/>
              </w:rPr>
            </w:pPr>
          </w:p>
        </w:tc>
        <w:tc>
          <w:tcPr>
            <w:tcW w:w="460" w:type="dxa"/>
            <w:vAlign w:val="bottom"/>
            <w:gridSpan w:val="2"/>
            <w:vMerge w:val="restart"/>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Officer (give title</w:t>
            </w:r>
          </w:p>
        </w:tc>
        <w:tc>
          <w:tcPr>
            <w:tcW w:w="120" w:type="dxa"/>
            <w:vAlign w:val="bottom"/>
          </w:tcPr>
          <w:p>
            <w:pPr>
              <w:spacing w:after="0"/>
              <w:rPr>
                <w:sz w:val="10"/>
                <w:szCs w:val="10"/>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gridSpan w:val="4"/>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1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gridSpan w:val="2"/>
          </w:tcPr>
          <w:p>
            <w:pPr>
              <w:spacing w:after="0" w:line="87" w:lineRule="exact"/>
              <w:rPr>
                <w:sz w:val="20"/>
                <w:szCs w:val="20"/>
                <w:color w:val="auto"/>
              </w:rPr>
            </w:pPr>
            <w:r>
              <w:rPr>
                <w:rFonts w:ascii="Arial" w:cs="Arial" w:eastAsia="Arial" w:hAnsi="Arial"/>
                <w:sz w:val="10"/>
                <w:szCs w:val="10"/>
                <w:color w:val="auto"/>
              </w:rPr>
              <w:t>below)</w:t>
            </w:r>
          </w:p>
        </w:tc>
        <w:tc>
          <w:tcPr>
            <w:tcW w:w="120" w:type="dxa"/>
            <w:vAlign w:val="bottom"/>
          </w:tcPr>
          <w:p>
            <w:pPr>
              <w:spacing w:after="0"/>
              <w:rPr>
                <w:sz w:val="8"/>
                <w:szCs w:val="8"/>
                <w:color w:val="auto"/>
              </w:rPr>
            </w:pPr>
          </w:p>
        </w:tc>
        <w:tc>
          <w:tcPr>
            <w:tcW w:w="740" w:type="dxa"/>
            <w:vAlign w:val="bottom"/>
          </w:tcPr>
          <w:p>
            <w:pPr>
              <w:ind w:left="220"/>
              <w:spacing w:after="0" w:line="87" w:lineRule="exact"/>
              <w:rPr>
                <w:sz w:val="20"/>
                <w:szCs w:val="20"/>
                <w:color w:val="auto"/>
              </w:rPr>
            </w:pPr>
            <w:r>
              <w:rPr>
                <w:rFonts w:ascii="Arial" w:cs="Arial" w:eastAsia="Arial" w:hAnsi="Arial"/>
                <w:sz w:val="10"/>
                <w:szCs w:val="10"/>
                <w:color w:val="auto"/>
              </w:rPr>
              <w:t>below)</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12"/>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160" w:type="dxa"/>
            <w:vAlign w:val="bottom"/>
            <w:gridSpan w:val="7"/>
          </w:tcPr>
          <w:p>
            <w:pPr>
              <w:ind w:left="80"/>
              <w:spacing w:after="0"/>
              <w:rPr>
                <w:sz w:val="20"/>
                <w:szCs w:val="20"/>
                <w:color w:val="auto"/>
              </w:rPr>
            </w:pPr>
            <w:r>
              <w:rPr>
                <w:rFonts w:ascii="Arial" w:cs="Arial" w:eastAsia="Arial" w:hAnsi="Arial"/>
                <w:sz w:val="17"/>
                <w:szCs w:val="17"/>
                <w:color w:val="0000FF"/>
              </w:rPr>
              <w:t>12/20/2021</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300 PARK AVENUE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4"/>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Line)</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20" w:type="dxa"/>
            <w:vAlign w:val="bottom"/>
            <w:gridSpan w:val="7"/>
            <w:vMerge w:val="restart"/>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4"/>
            <w:vMerge w:val="restart"/>
          </w:tcPr>
          <w:p>
            <w:pPr>
              <w:ind w:left="40"/>
              <w:spacing w:after="0"/>
              <w:rPr>
                <w:sz w:val="20"/>
                <w:szCs w:val="20"/>
                <w:color w:val="auto"/>
              </w:rPr>
            </w:pPr>
            <w:r>
              <w:rPr>
                <w:rFonts w:ascii="Arial" w:cs="Arial" w:eastAsia="Arial" w:hAnsi="Arial"/>
                <w:sz w:val="17"/>
                <w:szCs w:val="17"/>
                <w:color w:val="0000FF"/>
              </w:rPr>
              <w:t>NY</w:t>
            </w:r>
          </w:p>
        </w:tc>
        <w:tc>
          <w:tcPr>
            <w:tcW w:w="860" w:type="dxa"/>
            <w:vAlign w:val="bottom"/>
            <w:vMerge w:val="restart"/>
          </w:tcPr>
          <w:p>
            <w:pPr>
              <w:ind w:left="140"/>
              <w:spacing w:after="0"/>
              <w:rPr>
                <w:sz w:val="20"/>
                <w:szCs w:val="20"/>
                <w:color w:val="auto"/>
              </w:rPr>
            </w:pPr>
            <w:r>
              <w:rPr>
                <w:rFonts w:ascii="Arial" w:cs="Arial" w:eastAsia="Arial" w:hAnsi="Arial"/>
                <w:sz w:val="17"/>
                <w:szCs w:val="17"/>
                <w:color w:val="0000FF"/>
              </w:rPr>
              <w:t>10022</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8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gridSpan w:val="2"/>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25"/>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4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6. Ownership</w:t>
            </w:r>
          </w:p>
        </w:tc>
        <w:tc>
          <w:tcPr>
            <w:tcW w:w="148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6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40" w:type="dxa"/>
            <w:vAlign w:val="bottom"/>
          </w:tcPr>
          <w:p>
            <w:pPr>
              <w:spacing w:after="0"/>
              <w:rPr>
                <w:sz w:val="11"/>
                <w:szCs w:val="11"/>
                <w:color w:val="auto"/>
              </w:rPr>
            </w:pPr>
          </w:p>
        </w:tc>
        <w:tc>
          <w:tcPr>
            <w:tcW w:w="10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 or</w:t>
            </w:r>
          </w:p>
        </w:tc>
        <w:tc>
          <w:tcPr>
            <w:tcW w:w="120" w:type="dxa"/>
            <w:vAlign w:val="bottom"/>
          </w:tcPr>
          <w:p>
            <w:pPr>
              <w:spacing w:after="0"/>
              <w:rPr>
                <w:sz w:val="11"/>
                <w:szCs w:val="11"/>
                <w:color w:val="auto"/>
              </w:rPr>
            </w:pPr>
          </w:p>
        </w:tc>
        <w:tc>
          <w:tcPr>
            <w:tcW w:w="14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Indirect (I)</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4"/>
                <w:szCs w:val="14"/>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(Instr. 4)</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w w:val="93"/>
              </w:rPr>
              <w:t>(A) or</w:t>
            </w:r>
          </w:p>
        </w:tc>
        <w:tc>
          <w:tcPr>
            <w:tcW w:w="6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vMerge w:val="continue"/>
          </w:tcPr>
          <w:p>
            <w:pPr>
              <w:spacing w:after="0"/>
              <w:rPr>
                <w:sz w:val="10"/>
                <w:szCs w:val="10"/>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94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vMerge w:val="restart"/>
          </w:tcPr>
          <w:p>
            <w:pPr>
              <w:ind w:left="500"/>
              <w:spacing w:after="0"/>
              <w:rPr>
                <w:sz w:val="20"/>
                <w:szCs w:val="20"/>
                <w:color w:val="auto"/>
              </w:rPr>
            </w:pPr>
            <w:r>
              <w:rPr>
                <w:rFonts w:ascii="Arial" w:cs="Arial" w:eastAsia="Arial" w:hAnsi="Arial"/>
                <w:sz w:val="17"/>
                <w:szCs w:val="17"/>
                <w:color w:val="0000FF"/>
                <w:w w:val="96"/>
              </w:rPr>
              <w:t>12/20/2021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6,900</w:t>
            </w:r>
          </w:p>
        </w:tc>
        <w:tc>
          <w:tcPr>
            <w:tcW w:w="3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38.7</w:t>
            </w:r>
          </w:p>
        </w:tc>
        <w:tc>
          <w:tcPr>
            <w:tcW w:w="40" w:type="dxa"/>
            <w:vAlign w:val="bottom"/>
          </w:tcPr>
          <w:p>
            <w:pPr>
              <w:spacing w:after="0"/>
              <w:rPr>
                <w:sz w:val="21"/>
                <w:szCs w:val="21"/>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7"/>
                <w:szCs w:val="17"/>
                <w:color w:val="0000FF"/>
                <w:w w:val="97"/>
              </w:rPr>
              <w:t>9,546,170</w:t>
            </w:r>
          </w:p>
        </w:tc>
        <w:tc>
          <w:tcPr>
            <w:tcW w:w="880" w:type="dxa"/>
            <w:vAlign w:val="bottom"/>
            <w:vMerge w:val="restart"/>
          </w:tcPr>
          <w:p>
            <w:pPr>
              <w:ind w:left="580"/>
              <w:spacing w:after="0"/>
              <w:rPr>
                <w:sz w:val="20"/>
                <w:szCs w:val="20"/>
                <w:color w:val="auto"/>
              </w:rPr>
            </w:pPr>
            <w:r>
              <w:rPr>
                <w:rFonts w:ascii="Arial" w:cs="Arial" w:eastAsia="Arial" w:hAnsi="Arial"/>
                <w:sz w:val="17"/>
                <w:szCs w:val="17"/>
                <w:color w:val="0000FF"/>
              </w:rPr>
              <w:t>I</w:t>
            </w:r>
          </w:p>
        </w:tc>
        <w:tc>
          <w:tcPr>
            <w:tcW w:w="120" w:type="dxa"/>
            <w:vAlign w:val="bottom"/>
          </w:tcPr>
          <w:p>
            <w:pPr>
              <w:spacing w:after="0"/>
              <w:rPr>
                <w:sz w:val="21"/>
                <w:szCs w:val="21"/>
                <w:color w:val="auto"/>
              </w:rPr>
            </w:pPr>
          </w:p>
        </w:tc>
        <w:tc>
          <w:tcPr>
            <w:tcW w:w="1480" w:type="dxa"/>
            <w:vAlign w:val="bottom"/>
            <w:gridSpan w:val="4"/>
          </w:tcPr>
          <w:p>
            <w:pPr>
              <w:ind w:left="120"/>
              <w:spacing w:after="0"/>
              <w:rPr>
                <w:sz w:val="20"/>
                <w:szCs w:val="20"/>
                <w:color w:val="auto"/>
              </w:rPr>
            </w:pPr>
            <w:r>
              <w:rPr>
                <w:rFonts w:ascii="Arial" w:cs="Arial" w:eastAsia="Arial" w:hAnsi="Arial"/>
                <w:sz w:val="17"/>
                <w:szCs w:val="17"/>
                <w:color w:val="0000FF"/>
              </w:rPr>
              <w:t>See 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ind w:left="120"/>
              <w:spacing w:after="0"/>
              <w:rPr>
                <w:sz w:val="20"/>
                <w:szCs w:val="20"/>
                <w:color w:val="auto"/>
              </w:rPr>
            </w:pPr>
            <w:r>
              <w:rPr>
                <w:rFonts w:ascii="Arial" w:cs="Arial" w:eastAsia="Arial" w:hAnsi="Arial"/>
                <w:sz w:val="11"/>
                <w:szCs w:val="11"/>
                <w:color w:val="008000"/>
              </w:rPr>
              <w:t>(2)(3)(4)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3"/>
          </w:tcPr>
          <w:p>
            <w:pPr>
              <w:jc w:val="center"/>
              <w:ind w:right="75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40" w:type="dxa"/>
            <w:vAlign w:val="bottom"/>
            <w:gridSpan w:val="21"/>
          </w:tcPr>
          <w:p>
            <w:pPr>
              <w:jc w:val="center"/>
              <w:ind w:left="3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1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1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300 PARK AVENUE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300 PARK AVENUE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t>300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-118110</wp:posOffset>
            </wp:positionV>
            <wp:extent cx="2809240" cy="1121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1410"/>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50" w:lineRule="exact"/>
        <w:rPr>
          <w:rFonts w:ascii="Arial" w:cs="Arial" w:eastAsia="Arial" w:hAnsi="Arial"/>
          <w:sz w:val="13"/>
          <w:szCs w:val="13"/>
          <w:color w:val="008000"/>
        </w:rPr>
      </w:pPr>
    </w:p>
    <w:p>
      <w:pPr>
        <w:ind w:right="40" w:firstLine="7"/>
        <w:spacing w:after="0" w:line="28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 profit of $642 calculated by matching this purchase with the sale of 6,900 shares of Common Stock on October 29, 2021 at a purchase price of $45.11 per share, will be disgorged to the issuer on or about December 30, 2021. Pursuant to Instruction 4(b)(iv) to Form 4, the Reporting Persons report on Form 4 the entire amount of securities acquired, disposed of, or beneficially owned by certain Funds instead of the Reporting Persons' indirect beneficial ownership thereinThe amount of profit calculated reflects Mr. Tananbaum's proportionate indirect pecuniary interest in the transactions.</w:t>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12/22/2021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12/22/2021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12/22/2021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2021-12-22T16:04:25Z</dcterms:created>
  <dcterms:modified xsi:type="dcterms:W3CDTF">2021-12-22T16:04:25Z</dcterms:modified>
</cp:coreProperties>
</file>