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p24-0138sc13g.htm"/>
      <w:bookmarkStart w:id="1" w:name="ksp240138sc13g"/>
      <w:bookmarkEnd w:id="0"/>
      <w:bookmarkEnd w:id="1"/>
      <w:r>
        <w:rPr>
          <w:caps w:val="false"/>
          <w:smallCaps w:val="false"/>
        </w:rPr>
        <w:t> </w:t>
      </w:r>
    </w:p>
    <w:tbl>
      <w:tblPr>
        <w:tblW w:w="8284" w:type="dxa"/>
        <w:jc w:val="left"/>
        <w:tblInd w:w="0" w:type="dxa"/>
        <w:tblLayout w:type="fixed"/>
        <w:tblCellMar>
          <w:top w:w="0" w:type="dxa"/>
          <w:left w:w="0" w:type="dxa"/>
          <w:bottom w:w="0" w:type="dxa"/>
          <w:right w:w="0" w:type="dxa"/>
        </w:tblCellMar>
      </w:tblPr>
      <w:tblGrid>
        <w:gridCol w:w="1266"/>
        <w:gridCol w:w="7018"/>
      </w:tblGrid>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SECURITIES AND EXCHANGE COMMISSION</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Washington, D.C. 20549</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SCHEDULE 13G</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Under the Securities Exchange Act of 1934</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(Amendment No.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California Resources Corporation</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of Issuer)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Common stock, par value $0.01 per share</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of Class of Securities)</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13057Q305</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(CUSIP Number)</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pBdr>
                <w:bottom w:val="single" w:sz="6" w:space="1" w:color="000000"/>
              </w:pBdr>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December 31, 2023</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of Event Which Requires Filing of This Statement)</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Check the appropriate box to designate the rule pursuant to which this Schedule is filed: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266" w:type="dxa"/>
            <w:tcBorders/>
            <w:vAlign w:val="center"/>
          </w:tcPr>
          <w:p>
            <w:pPr>
              <w:pStyle w:val="TableContents"/>
              <w:bidi w:val="0"/>
              <w:spacing w:before="0" w:after="283"/>
              <w:jc w:val="right"/>
              <w:rPr>
                <w:caps w:val="false"/>
                <w:smallCaps w:val="false"/>
              </w:rPr>
            </w:pPr>
            <w:r>
              <w:rPr>
                <w:caps w:val="false"/>
                <w:smallCaps w:val="false"/>
              </w:rPr>
              <w:t>☐</w:t>
            </w:r>
          </w:p>
        </w:tc>
        <w:tc>
          <w:tcPr>
            <w:tcW w:w="7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13d-1(b)</w:t>
            </w:r>
          </w:p>
        </w:tc>
      </w:tr>
      <w:tr>
        <w:trPr/>
        <w:tc>
          <w:tcPr>
            <w:tcW w:w="1266" w:type="dxa"/>
            <w:tcBorders/>
            <w:vAlign w:val="center"/>
          </w:tcPr>
          <w:p>
            <w:pPr>
              <w:pStyle w:val="TableContents"/>
              <w:bidi w:val="0"/>
              <w:spacing w:before="0" w:after="283"/>
              <w:jc w:val="right"/>
              <w:rPr>
                <w:caps w:val="false"/>
                <w:smallCaps w:val="false"/>
              </w:rPr>
            </w:pPr>
            <w:r>
              <w:rPr>
                <w:caps w:val="false"/>
                <w:smallCaps w:val="false"/>
              </w:rPr>
              <w:t>☐</w:t>
            </w:r>
          </w:p>
        </w:tc>
        <w:tc>
          <w:tcPr>
            <w:tcW w:w="7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13d-1(c)</w:t>
            </w:r>
          </w:p>
        </w:tc>
      </w:tr>
      <w:tr>
        <w:trPr/>
        <w:tc>
          <w:tcPr>
            <w:tcW w:w="1266" w:type="dxa"/>
            <w:tcBorders/>
            <w:vAlign w:val="center"/>
          </w:tcPr>
          <w:p>
            <w:pPr>
              <w:pStyle w:val="TableContents"/>
              <w:bidi w:val="0"/>
              <w:spacing w:before="0" w:after="283"/>
              <w:jc w:val="right"/>
              <w:rPr>
                <w:rFonts w:ascii="Wingdings" w:hAnsi="Wingdings"/>
                <w:b w:val="false"/>
                <w:i w:val="false"/>
                <w:caps w:val="false"/>
                <w:smallCaps w:val="false"/>
                <w:sz w:val="22"/>
              </w:rPr>
            </w:pPr>
            <w:r>
              <w:rPr>
                <w:rFonts w:ascii="Wingdings" w:hAnsi="Wingdings"/>
                <w:b w:val="false"/>
                <w:i w:val="false"/>
                <w:caps w:val="false"/>
                <w:smallCaps w:val="false"/>
                <w:sz w:val="22"/>
              </w:rPr>
              <w:t>ý</w:t>
            </w:r>
          </w:p>
        </w:tc>
        <w:tc>
          <w:tcPr>
            <w:tcW w:w="70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Rule 13d-1(d)</w:t>
            </w:r>
          </w:p>
        </w:tc>
      </w:tr>
      <w:tr>
        <w:trPr/>
        <w:tc>
          <w:tcPr>
            <w:tcW w:w="828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28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(Page 1 of 6 Pages)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______________________________</w:t>
      </w:r>
    </w:p>
    <w:p>
      <w:pPr>
        <w:pStyle w:val="TextBody"/>
        <w:bidi w:val="0"/>
        <w:spacing w:before="0" w:after="20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24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information required in the remainder of this cover page shall not be deemed to be “filed” for the purpose of Section 18 of the Securities Exchange Act of 1934 (“</w:t>
      </w:r>
      <w:r>
        <w:rPr>
          <w:rFonts w:ascii="Times New Roman;Times;Serif" w:hAnsi="Times New Roman;Times;Serif"/>
          <w:b w:val="false"/>
          <w:i w:val="false"/>
          <w:caps w:val="false"/>
          <w:smallCaps w:val="false"/>
          <w:sz w:val="22"/>
          <w:u w:val="single"/>
        </w:rPr>
        <w:t>Act</w:t>
      </w:r>
      <w:r>
        <w:rPr>
          <w:rFonts w:ascii="Times New Roman;Times;Serif" w:hAnsi="Times New Roman;Times;Serif"/>
          <w:b w:val="false"/>
          <w:i w:val="false"/>
          <w:caps w:val="false"/>
          <w:smallCaps w:val="false"/>
          <w:sz w:val="22"/>
        </w:rPr>
        <w:t>”) or otherwise subject to the liabilities of that section of the Act but shall be subject to all other provisions of the Act (however, see the Notes).</w:t>
      </w:r>
    </w:p>
    <w:p>
      <w:pPr>
        <w:pStyle w:val="TextBody"/>
        <w:bidi w:val="0"/>
        <w:spacing w:before="0" w:after="0"/>
        <w:ind w:left="0" w:right="0" w:hanging="0"/>
        <w:jc w:val="left"/>
        <w:rPr/>
      </w:pPr>
      <w:r>
        <w:rPr/>
        <w:t> </w:t>
      </w:r>
    </w:p>
    <w:tbl>
      <w:tblPr>
        <w:tblW w:w="4620" w:type="dxa"/>
        <w:jc w:val="left"/>
        <w:tblInd w:w="0" w:type="dxa"/>
        <w:tblLayout w:type="fixed"/>
        <w:tblCellMar>
          <w:top w:w="0" w:type="dxa"/>
          <w:left w:w="0" w:type="dxa"/>
          <w:bottom w:w="0" w:type="dxa"/>
          <w:right w:w="0" w:type="dxa"/>
        </w:tblCellMar>
      </w:tblPr>
      <w:tblGrid>
        <w:gridCol w:w="2390"/>
        <w:gridCol w:w="440"/>
        <w:gridCol w:w="1790"/>
      </w:tblGrid>
      <w:tr>
        <w:trPr/>
        <w:tc>
          <w:tcPr>
            <w:tcW w:w="2390" w:type="dxa"/>
            <w:tcBorders/>
            <w:vAlign w:val="center"/>
          </w:tcPr>
          <w:p>
            <w:pPr>
              <w:pStyle w:val="TableContents"/>
              <w:bidi w:val="0"/>
              <w:spacing w:before="0" w:after="283"/>
              <w:jc w:val="left"/>
              <w:rPr>
                <w:b/>
              </w:rPr>
            </w:pPr>
            <w:r>
              <w:rPr>
                <w:b/>
              </w:rPr>
              <w:t>CUSIP No. 13057Q305</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2 of 6 Pages</w:t>
            </w:r>
          </w:p>
        </w:tc>
      </w:tr>
    </w:tbl>
    <w:p>
      <w:pPr>
        <w:pStyle w:val="TextBody"/>
        <w:bidi w:val="0"/>
        <w:jc w:val="left"/>
        <w:rPr>
          <w:caps w:val="false"/>
          <w:smallCaps w:val="false"/>
        </w:rPr>
      </w:pPr>
      <w:r>
        <w:rPr>
          <w:caps w:val="false"/>
          <w:smallCaps w:val="false"/>
        </w:rPr>
        <w:t> </w:t>
      </w:r>
    </w:p>
    <w:tbl>
      <w:tblPr>
        <w:tblW w:w="10205" w:type="dxa"/>
        <w:jc w:val="left"/>
        <w:tblInd w:w="-10" w:type="dxa"/>
        <w:tblLayout w:type="fixed"/>
        <w:tblCellMar>
          <w:top w:w="76" w:type="dxa"/>
          <w:left w:w="28" w:type="dxa"/>
          <w:bottom w:w="120" w:type="dxa"/>
          <w:right w:w="28" w:type="dxa"/>
        </w:tblCellMar>
      </w:tblPr>
      <w:tblGrid>
        <w:gridCol w:w="1325"/>
        <w:gridCol w:w="4706"/>
        <w:gridCol w:w="1531"/>
        <w:gridCol w:w="627"/>
        <w:gridCol w:w="2016"/>
      </w:tblGrid>
      <w:tr>
        <w:trPr/>
        <w:tc>
          <w:tcPr>
            <w:tcW w:w="13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w:t>
            </w:r>
          </w:p>
        </w:tc>
        <w:tc>
          <w:tcPr>
            <w:tcW w:w="8880" w:type="dxa"/>
            <w:gridSpan w:val="4"/>
            <w:tcBorders>
              <w:top w:val="single" w:sz="8" w:space="0" w:color="000000"/>
              <w:bottom w:val="single" w:sz="8" w:space="0" w:color="000000"/>
              <w:right w:val="single" w:sz="8" w:space="0" w:color="000000"/>
            </w:tcBorders>
            <w:tcMar>
              <w:top w:w="28"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NAME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Kimmeridge Energy Management Company, LLC</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2</w:t>
            </w:r>
          </w:p>
        </w:tc>
        <w:tc>
          <w:tcPr>
            <w:tcW w:w="6237" w:type="dxa"/>
            <w:gridSpan w:val="2"/>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THE APPROPRIATE BOX IF A MEMBER OF A GROUP</w:t>
            </w:r>
          </w:p>
        </w:tc>
        <w:tc>
          <w:tcPr>
            <w:tcW w:w="2643" w:type="dxa"/>
            <w:gridSpan w:val="2"/>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3</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SEC USE ONLY</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4</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CITIZENSHIP OR PLACE OF ORGANIZATION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Delaware</w:t>
            </w:r>
          </w:p>
        </w:tc>
      </w:tr>
      <w:tr>
        <w:trPr/>
        <w:tc>
          <w:tcPr>
            <w:tcW w:w="1325" w:type="dxa"/>
            <w:vMerge w:val="restart"/>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NUMBER OF</w:t>
              <w:br/>
              <w:t>SHARES</w:t>
              <w:br/>
              <w:t>BENEFICIALLY</w:t>
              <w:br/>
              <w:t>OWNED BY</w:t>
              <w:br/>
              <w:t>EACH</w:t>
              <w:br/>
              <w:t>REPORTING</w:t>
              <w:br/>
              <w:t>PERSON WITH:</w:t>
            </w:r>
          </w:p>
        </w:tc>
        <w:tc>
          <w:tcPr>
            <w:tcW w:w="4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5</w:t>
            </w:r>
          </w:p>
        </w:tc>
        <w:tc>
          <w:tcPr>
            <w:tcW w:w="4174"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3,498,554</w:t>
            </w:r>
          </w:p>
        </w:tc>
      </w:tr>
      <w:tr>
        <w:trPr/>
        <w:tc>
          <w:tcPr>
            <w:tcW w:w="1325" w:type="dxa"/>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4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6</w:t>
            </w:r>
          </w:p>
        </w:tc>
        <w:tc>
          <w:tcPr>
            <w:tcW w:w="4174"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VOTING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4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7</w:t>
            </w:r>
          </w:p>
        </w:tc>
        <w:tc>
          <w:tcPr>
            <w:tcW w:w="4174"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SOLE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3,498,554</w:t>
            </w:r>
          </w:p>
        </w:tc>
      </w:tr>
      <w:tr>
        <w:trPr/>
        <w:tc>
          <w:tcPr>
            <w:tcW w:w="1325" w:type="dxa"/>
            <w:vMerge w:val="continue"/>
            <w:tcBorders>
              <w:left w:val="single" w:sz="8" w:space="0" w:color="000000"/>
              <w:bottom w:val="single" w:sz="8" w:space="0" w:color="000000"/>
              <w:right w:val="single" w:sz="8" w:space="0" w:color="000000"/>
            </w:tcBorders>
            <w:tcMar>
              <w:top w:w="0" w:type="dxa"/>
              <w:left w:w="108" w:type="dxa"/>
              <w:bottom w:w="28" w:type="dxa"/>
              <w:right w:w="108" w:type="dxa"/>
            </w:tcMar>
            <w:vAlign w:val="center"/>
          </w:tcPr>
          <w:p>
            <w:pPr>
              <w:pStyle w:val="Normal"/>
              <w:bidi w:val="0"/>
              <w:jc w:val="left"/>
              <w:rPr/>
            </w:pPr>
            <w:r>
              <w:rPr/>
            </w:r>
          </w:p>
        </w:tc>
        <w:tc>
          <w:tcPr>
            <w:tcW w:w="4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8</w:t>
            </w:r>
          </w:p>
        </w:tc>
        <w:tc>
          <w:tcPr>
            <w:tcW w:w="4174"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SHARED DISPOSITIVE POWER</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0</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9</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AGGREGATE AMOUNT BENEFICIALLY OWNED BY EACH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3,498,554</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10</w:t>
            </w:r>
          </w:p>
        </w:tc>
        <w:tc>
          <w:tcPr>
            <w:tcW w:w="6864" w:type="dxa"/>
            <w:gridSpan w:val="3"/>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CHECK BOX IF THE AGGREGATE AMOUNT IN ROW (9) EXCLUDES CERTAIN SHARES</w:t>
            </w:r>
          </w:p>
        </w:tc>
        <w:tc>
          <w:tcPr>
            <w:tcW w:w="2016" w:type="dxa"/>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0" w:after="283"/>
              <w:jc w:val="left"/>
              <w:rPr>
                <w:caps w:val="false"/>
                <w:smallCaps w:val="false"/>
              </w:rPr>
            </w:pPr>
            <w:r>
              <w:rPr>
                <w:caps w:val="false"/>
                <w:smallCaps w:val="false"/>
              </w:rPr>
              <w:t>☐</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11</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PERCENT OF CLASS REPRESENTED BY AMOUNT IN ROW (9)</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5.1%</w:t>
            </w:r>
          </w:p>
        </w:tc>
      </w:tr>
      <w:tr>
        <w:trPr/>
        <w:tc>
          <w:tcPr>
            <w:tcW w:w="13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12</w:t>
            </w:r>
          </w:p>
        </w:tc>
        <w:tc>
          <w:tcPr>
            <w:tcW w:w="8880" w:type="dxa"/>
            <w:gridSpan w:val="4"/>
            <w:tcBorders>
              <w:bottom w:val="single" w:sz="8" w:space="0" w:color="000000"/>
              <w:right w:val="single" w:sz="8" w:space="0" w:color="000000"/>
            </w:tcBorders>
            <w:tcMar>
              <w:top w:w="0" w:type="dxa"/>
              <w:left w:w="0" w:type="dxa"/>
              <w:bottom w:w="28" w:type="dxa"/>
              <w:right w:w="108" w:type="dxa"/>
            </w:tcMar>
            <w:vAlign w:val="center"/>
          </w:tcPr>
          <w:p>
            <w:pPr>
              <w:pStyle w:val="TableContents"/>
              <w:bidi w:val="0"/>
              <w:spacing w:before="60" w:after="60"/>
              <w:ind w:left="60" w:right="60" w:hanging="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TYPE OF REPORTING PERSON</w:t>
            </w:r>
          </w:p>
          <w:p>
            <w:pPr>
              <w:pStyle w:val="TableContents"/>
              <w:bidi w:val="0"/>
              <w:spacing w:before="0" w:after="120"/>
              <w:ind w:left="3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OO, IA</w:t>
            </w:r>
          </w:p>
        </w:tc>
      </w:tr>
      <w:tr>
        <w:trPr/>
        <w:tc>
          <w:tcPr>
            <w:tcW w:w="132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tcMar>
              <w:top w:w="0" w:type="dxa"/>
              <w:left w:w="0" w:type="dxa"/>
              <w:bottom w:w="0" w:type="dxa"/>
              <w:right w:w="0" w:type="dxa"/>
            </w:tcMar>
            <w:vAlign w:val="center"/>
          </w:tcPr>
          <w:p>
            <w:pPr>
              <w:pStyle w:val="TableContents"/>
              <w:bidi w:val="0"/>
              <w:spacing w:before="0" w:after="283"/>
              <w:jc w:val="left"/>
              <w:rPr/>
            </w:pPr>
            <w:r>
              <w:rPr/>
              <w:t> </w:t>
            </w:r>
          </w:p>
        </w:tc>
        <w:tc>
          <w:tcPr>
            <w:tcW w:w="20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20" w:type="dxa"/>
        <w:jc w:val="left"/>
        <w:tblInd w:w="0" w:type="dxa"/>
        <w:tblLayout w:type="fixed"/>
        <w:tblCellMar>
          <w:top w:w="0" w:type="dxa"/>
          <w:left w:w="0" w:type="dxa"/>
          <w:bottom w:w="0" w:type="dxa"/>
          <w:right w:w="0" w:type="dxa"/>
        </w:tblCellMar>
      </w:tblPr>
      <w:tblGrid>
        <w:gridCol w:w="2390"/>
        <w:gridCol w:w="440"/>
        <w:gridCol w:w="1790"/>
      </w:tblGrid>
      <w:tr>
        <w:trPr/>
        <w:tc>
          <w:tcPr>
            <w:tcW w:w="2390" w:type="dxa"/>
            <w:tcBorders/>
            <w:vAlign w:val="center"/>
          </w:tcPr>
          <w:p>
            <w:pPr>
              <w:pStyle w:val="TableContents"/>
              <w:bidi w:val="0"/>
              <w:spacing w:before="0" w:after="283"/>
              <w:jc w:val="left"/>
              <w:rPr>
                <w:b/>
              </w:rPr>
            </w:pPr>
            <w:r>
              <w:rPr>
                <w:b/>
              </w:rPr>
              <w:t>CUSIP No. 13057Q305</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3 of 6 Pages</w:t>
            </w:r>
          </w:p>
        </w:tc>
      </w:tr>
    </w:tbl>
    <w:p>
      <w:pPr>
        <w:pStyle w:val="TextBody"/>
        <w:bidi w:val="0"/>
        <w:jc w:val="left"/>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995"/>
        <w:gridCol w:w="743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1(a).</w:t>
            </w:r>
          </w:p>
        </w:tc>
        <w:tc>
          <w:tcPr>
            <w:tcW w:w="743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ISSUER:</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name of the issuer is California Resources Corporation (the “</w:t>
            </w:r>
            <w:r>
              <w:rPr>
                <w:rFonts w:ascii="Times New Roman;Times;Serif" w:hAnsi="Times New Roman;Times;Serif"/>
                <w:b w:val="false"/>
                <w:i w:val="false"/>
                <w:caps w:val="false"/>
                <w:smallCaps w:val="false"/>
                <w:sz w:val="22"/>
                <w:u w:val="single"/>
              </w:rPr>
              <w:t>Company</w:t>
            </w:r>
            <w:r>
              <w:rPr>
                <w:rFonts w:ascii="Times New Roman;Times;Serif" w:hAnsi="Times New Roman;Times;Serif"/>
                <w:b w:val="false"/>
                <w:i w:val="false"/>
                <w:caps w:val="false"/>
                <w:smallCaps w:val="false"/>
                <w:sz w:val="22"/>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0"/>
        <w:gridCol w:w="9325"/>
      </w:tblGrid>
      <w:tr>
        <w:trPr/>
        <w:tc>
          <w:tcPr>
            <w:tcW w:w="8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1(b).</w:t>
            </w:r>
          </w:p>
        </w:tc>
        <w:tc>
          <w:tcPr>
            <w:tcW w:w="932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ISSUER’S PRINCIPAL EXECUTIVE OFFICES:</w:t>
            </w:r>
          </w:p>
        </w:tc>
      </w:tr>
      <w:tr>
        <w:trPr/>
        <w:tc>
          <w:tcPr>
            <w:tcW w:w="880" w:type="dxa"/>
            <w:tcBorders/>
            <w:vAlign w:val="center"/>
          </w:tcPr>
          <w:p>
            <w:pPr>
              <w:pStyle w:val="TableContents"/>
              <w:bidi w:val="0"/>
              <w:spacing w:before="0" w:after="283"/>
              <w:jc w:val="left"/>
              <w:rPr>
                <w:caps w:val="false"/>
                <w:smallCaps w:val="false"/>
              </w:rPr>
            </w:pPr>
            <w:r>
              <w:rPr>
                <w:caps w:val="false"/>
                <w:smallCaps w:val="false"/>
              </w:rPr>
              <w:t> </w:t>
            </w:r>
          </w:p>
        </w:tc>
        <w:tc>
          <w:tcPr>
            <w:tcW w:w="9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0" w:type="dxa"/>
            <w:tcBorders/>
            <w:vAlign w:val="center"/>
          </w:tcPr>
          <w:p>
            <w:pPr>
              <w:pStyle w:val="TableContents"/>
              <w:bidi w:val="0"/>
              <w:spacing w:before="0" w:after="283"/>
              <w:jc w:val="left"/>
              <w:rPr>
                <w:caps w:val="false"/>
                <w:smallCaps w:val="false"/>
              </w:rPr>
            </w:pPr>
            <w:r>
              <w:rPr>
                <w:caps w:val="false"/>
                <w:smallCaps w:val="false"/>
              </w:rPr>
              <w:t> </w:t>
            </w:r>
          </w:p>
        </w:tc>
        <w:tc>
          <w:tcPr>
            <w:tcW w:w="93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Company’s principal executive offices are located at 1 World Trade Center, Suite 1500, Long Beach, California 90831.</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1"/>
        <w:gridCol w:w="9644"/>
      </w:tblGrid>
      <w:tr>
        <w:trPr/>
        <w:tc>
          <w:tcPr>
            <w:tcW w:w="561"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2(a).</w:t>
            </w:r>
          </w:p>
        </w:tc>
        <w:tc>
          <w:tcPr>
            <w:tcW w:w="9644"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NAME OF PERSON FILING:</w:t>
            </w:r>
          </w:p>
        </w:tc>
      </w:tr>
      <w:tr>
        <w:trPr/>
        <w:tc>
          <w:tcPr>
            <w:tcW w:w="561" w:type="dxa"/>
            <w:tcBorders/>
            <w:vAlign w:val="center"/>
          </w:tcPr>
          <w:p>
            <w:pPr>
              <w:pStyle w:val="TableContents"/>
              <w:bidi w:val="0"/>
              <w:spacing w:before="0" w:after="283"/>
              <w:jc w:val="left"/>
              <w:rPr>
                <w:caps w:val="false"/>
                <w:smallCaps w:val="false"/>
              </w:rPr>
            </w:pPr>
            <w:r>
              <w:rPr>
                <w:caps w:val="false"/>
                <w:smallCaps w:val="false"/>
              </w:rPr>
              <w:t> </w:t>
            </w:r>
          </w:p>
        </w:tc>
        <w:tc>
          <w:tcPr>
            <w:tcW w:w="964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1" w:type="dxa"/>
            <w:tcBorders/>
            <w:vAlign w:val="center"/>
          </w:tcPr>
          <w:p>
            <w:pPr>
              <w:pStyle w:val="TableContents"/>
              <w:bidi w:val="0"/>
              <w:spacing w:before="0" w:after="283"/>
              <w:jc w:val="left"/>
              <w:rPr>
                <w:caps w:val="false"/>
                <w:smallCaps w:val="false"/>
              </w:rPr>
            </w:pPr>
            <w:r>
              <w:rPr>
                <w:caps w:val="false"/>
                <w:smallCaps w:val="false"/>
              </w:rPr>
              <w:t> </w:t>
            </w:r>
          </w:p>
        </w:tc>
        <w:tc>
          <w:tcPr>
            <w:tcW w:w="96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This Statement is filed on behalf of Kimmeridge Energy Management Company, LLC (the “</w:t>
            </w:r>
            <w:r>
              <w:rPr>
                <w:rFonts w:ascii="Times New Roman;Times;Serif" w:hAnsi="Times New Roman;Times;Serif"/>
                <w:b w:val="false"/>
                <w:i w:val="false"/>
                <w:caps w:val="false"/>
                <w:smallCaps w:val="false"/>
                <w:sz w:val="22"/>
                <w:u w:val="single"/>
              </w:rPr>
              <w:t>Reporting Person</w:t>
            </w:r>
            <w:r>
              <w:rPr>
                <w:rFonts w:ascii="Times New Roman;Times;Serif" w:hAnsi="Times New Roman;Times;Serif"/>
                <w:b w:val="false"/>
                <w:i w:val="false"/>
                <w:caps w:val="false"/>
                <w:smallCaps w:val="false"/>
                <w:sz w:val="22"/>
              </w:rPr>
              <w:t>”), a Delaware limited liability company, which is, directly or indirectly, the investment adviser to Kimmeridge Energy Engagement Partners II, L.P. (the “</w:t>
            </w:r>
            <w:r>
              <w:rPr>
                <w:rFonts w:ascii="Times New Roman;Times;Serif" w:hAnsi="Times New Roman;Times;Serif"/>
                <w:b w:val="false"/>
                <w:i w:val="false"/>
                <w:caps w:val="false"/>
                <w:smallCaps w:val="false"/>
                <w:sz w:val="22"/>
                <w:u w:val="single"/>
              </w:rPr>
              <w:t>Kimmeridge Fund</w:t>
            </w:r>
            <w:r>
              <w:rPr>
                <w:rFonts w:ascii="Times New Roman;Times;Serif" w:hAnsi="Times New Roman;Times;Serif"/>
                <w:b w:val="false"/>
                <w:i w:val="false"/>
                <w:caps w:val="false"/>
                <w:smallCaps w:val="false"/>
                <w:sz w:val="22"/>
              </w:rPr>
              <w:t>”) which holds the securities reported herein. The Reporting Person is managed by a board of managers consisting of Benjamin Dell, Henry Makansi, Neil McMahon, Noam Lockshin, Alexander Inkster, Neda Jafar and Denis Laloy (each such manager, a “</w:t>
            </w:r>
            <w:r>
              <w:rPr>
                <w:rFonts w:ascii="Times New Roman;Times;Serif" w:hAnsi="Times New Roman;Times;Serif"/>
                <w:b w:val="false"/>
                <w:i w:val="false"/>
                <w:caps w:val="false"/>
                <w:smallCaps w:val="false"/>
                <w:sz w:val="22"/>
                <w:u w:val="single"/>
              </w:rPr>
              <w:t>Kimmeridge Principal</w:t>
            </w:r>
            <w:r>
              <w:rPr>
                <w:rFonts w:ascii="Times New Roman;Times;Serif" w:hAnsi="Times New Roman;Times;Serif"/>
                <w:b w:val="false"/>
                <w:i w:val="false"/>
                <w:caps w:val="false"/>
                <w:smallCaps w:val="false"/>
                <w:sz w:val="22"/>
              </w:rPr>
              <w:t>”, and collectively, the “</w:t>
            </w:r>
            <w:r>
              <w:rPr>
                <w:rFonts w:ascii="Times New Roman;Times;Serif" w:hAnsi="Times New Roman;Times;Serif"/>
                <w:b w:val="false"/>
                <w:i w:val="false"/>
                <w:caps w:val="false"/>
                <w:smallCaps w:val="false"/>
                <w:sz w:val="22"/>
                <w:u w:val="single"/>
              </w:rPr>
              <w:t>Kimmeridge Principals</w:t>
            </w:r>
            <w:r>
              <w:rPr>
                <w:rFonts w:ascii="Times New Roman;Times;Serif" w:hAnsi="Times New Roman;Times;Serif"/>
                <w:b w:val="false"/>
                <w:i w:val="false"/>
                <w:caps w:val="false"/>
                <w:smallCaps w:val="false"/>
                <w:sz w:val="22"/>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2(b).</w:t>
            </w:r>
          </w:p>
        </w:tc>
        <w:tc>
          <w:tcPr>
            <w:tcW w:w="9294"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ADDRESS OF PRINCIPAL BUSINESS OFFICE OR, IF NONE, RESIDENCE:</w:t>
            </w:r>
          </w:p>
        </w:tc>
      </w:tr>
      <w:tr>
        <w:trPr/>
        <w:tc>
          <w:tcPr>
            <w:tcW w:w="911" w:type="dxa"/>
            <w:tcBorders/>
            <w:vAlign w:val="center"/>
          </w:tcPr>
          <w:p>
            <w:pPr>
              <w:pStyle w:val="TableContents"/>
              <w:bidi w:val="0"/>
              <w:spacing w:before="0" w:after="283"/>
              <w:jc w:val="left"/>
              <w:rPr>
                <w:caps w:val="false"/>
                <w:smallCaps w:val="false"/>
              </w:rPr>
            </w:pPr>
            <w:r>
              <w:rPr>
                <w:caps w:val="false"/>
                <w:smallCaps w:val="false"/>
              </w:rPr>
              <w:t> </w:t>
            </w:r>
          </w:p>
        </w:tc>
        <w:tc>
          <w:tcPr>
            <w:tcW w:w="929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11" w:type="dxa"/>
            <w:tcBorders/>
            <w:vAlign w:val="center"/>
          </w:tcPr>
          <w:p>
            <w:pPr>
              <w:pStyle w:val="TableContents"/>
              <w:bidi w:val="0"/>
              <w:spacing w:before="0" w:after="283"/>
              <w:jc w:val="both"/>
              <w:rPr>
                <w:caps w:val="false"/>
                <w:smallCaps w:val="false"/>
              </w:rPr>
            </w:pPr>
            <w:r>
              <w:rPr>
                <w:caps w:val="false"/>
                <w:smallCaps w:val="false"/>
              </w:rPr>
              <w:t> </w:t>
            </w:r>
          </w:p>
        </w:tc>
        <w:tc>
          <w:tcPr>
            <w:tcW w:w="92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principal business office of the Reporting Person is 15 Little West 12</w:t>
            </w:r>
            <w:r>
              <w:rPr>
                <w:rFonts w:ascii="Times New Roman;Times;Serif" w:hAnsi="Times New Roman;Times;Serif"/>
                <w:b w:val="false"/>
                <w:i w:val="false"/>
                <w:caps w:val="false"/>
                <w:smallCaps w:val="false"/>
                <w:position w:val="7"/>
                <w:sz w:val="18"/>
                <w:sz w:val="22"/>
              </w:rPr>
              <w:t>th</w:t>
            </w:r>
            <w:r>
              <w:rPr>
                <w:rFonts w:ascii="Times New Roman;Times;Serif" w:hAnsi="Times New Roman;Times;Serif"/>
                <w:b w:val="false"/>
                <w:i w:val="false"/>
                <w:caps w:val="false"/>
                <w:smallCaps w:val="false"/>
                <w:sz w:val="22"/>
              </w:rPr>
              <w:t xml:space="preserve"> Street, 5th Floor, New York, NY 10014.</w:t>
            </w:r>
          </w:p>
        </w:tc>
      </w:tr>
    </w:tbl>
    <w:p>
      <w:pPr>
        <w:pStyle w:val="TextBody"/>
        <w:bidi w:val="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980"/>
        <w:gridCol w:w="8780"/>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2(c).</w:t>
            </w:r>
          </w:p>
        </w:tc>
        <w:tc>
          <w:tcPr>
            <w:tcW w:w="87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CITIZENSHIP:</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Reporting Person is organized as a limited liability company under the laws of Delaware.</w:t>
            </w:r>
          </w:p>
        </w:tc>
      </w:tr>
    </w:tbl>
    <w:p>
      <w:pPr>
        <w:pStyle w:val="TextBody"/>
        <w:bidi w:val="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995"/>
        <w:gridCol w:w="5345"/>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2(d).</w:t>
            </w:r>
          </w:p>
        </w:tc>
        <w:tc>
          <w:tcPr>
            <w:tcW w:w="5345"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TITLE OF CLASS OF SECURITIES:</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vAlign w:val="center"/>
          </w:tcPr>
          <w:p>
            <w:pPr>
              <w:pStyle w:val="TableContents"/>
              <w:bidi w:val="0"/>
              <w:spacing w:before="0" w:after="283"/>
              <w:jc w:val="left"/>
              <w:rPr>
                <w:caps w:val="false"/>
                <w:smallCaps w:val="false"/>
              </w:rPr>
            </w:pPr>
            <w:r>
              <w:rPr>
                <w:caps w:val="false"/>
                <w:smallCaps w:val="false"/>
              </w:rPr>
              <w:t> </w:t>
            </w:r>
          </w:p>
        </w:tc>
        <w:tc>
          <w:tcPr>
            <w:tcW w:w="5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Common stock, par value $0.01 per share (the “</w:t>
            </w:r>
            <w:r>
              <w:rPr>
                <w:rFonts w:ascii="Times New Roman;Times;Serif" w:hAnsi="Times New Roman;Times;Serif"/>
                <w:b w:val="false"/>
                <w:i w:val="false"/>
                <w:caps w:val="false"/>
                <w:smallCaps w:val="false"/>
                <w:sz w:val="22"/>
                <w:u w:val="single"/>
              </w:rPr>
              <w:t>Shares</w:t>
            </w:r>
            <w:r>
              <w:rPr>
                <w:rFonts w:ascii="Times New Roman;Times;Serif" w:hAnsi="Times New Roman;Times;Serif"/>
                <w:b w:val="false"/>
                <w:i w:val="false"/>
                <w:caps w:val="false"/>
                <w:smallCaps w:val="false"/>
                <w:sz w:val="22"/>
              </w:rPr>
              <w:t>”)</w:t>
            </w:r>
          </w:p>
        </w:tc>
      </w:tr>
    </w:tbl>
    <w:p>
      <w:pPr>
        <w:pStyle w:val="TextBody"/>
        <w:bidi w:val="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980"/>
        <w:gridCol w:w="1895"/>
      </w:tblGrid>
      <w:tr>
        <w:trPr/>
        <w:tc>
          <w:tcPr>
            <w:tcW w:w="980" w:type="dxa"/>
            <w:tcBorders/>
            <w:vAlign w:val="center"/>
          </w:tcPr>
          <w:p>
            <w:pPr>
              <w:pStyle w:val="TableContents"/>
              <w:bidi w:val="0"/>
              <w:spacing w:before="0" w:after="283"/>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Item 2(e).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i w:val="false"/>
                <w:caps w:val="false"/>
                <w:smallCaps w:val="false"/>
                <w:sz w:val="22"/>
              </w:rPr>
              <w:t>CUSIP NUMBER</w:t>
            </w:r>
            <w:r>
              <w:rPr>
                <w:rFonts w:ascii="Times New Roman;Times;Serif" w:hAnsi="Times New Roman;Times;Serif"/>
                <w:b w:val="false"/>
                <w:i w:val="false"/>
                <w:caps w:val="false"/>
                <w:smallCaps w:val="false"/>
                <w:sz w:val="22"/>
              </w:rPr>
              <w:t xml:space="preserve">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13057Q305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7"/>
        <w:gridCol w:w="396"/>
        <w:gridCol w:w="317"/>
        <w:gridCol w:w="8845"/>
      </w:tblGrid>
      <w:tr>
        <w:trPr/>
        <w:tc>
          <w:tcPr>
            <w:tcW w:w="647" w:type="dxa"/>
            <w:tcBorders/>
            <w:vAlign w:val="center"/>
          </w:tcPr>
          <w:p>
            <w:pPr>
              <w:pStyle w:val="TableContents"/>
              <w:bidi w:val="0"/>
              <w:spacing w:before="0" w:after="283"/>
              <w:jc w:val="left"/>
              <w:rPr>
                <w:b/>
              </w:rPr>
            </w:pPr>
            <w:r>
              <w:rPr>
                <w:b/>
              </w:rPr>
              <w:t>Item 3.</w:t>
            </w:r>
          </w:p>
        </w:tc>
        <w:tc>
          <w:tcPr>
            <w:tcW w:w="9558" w:type="dxa"/>
            <w:gridSpan w:val="3"/>
            <w:tcBorders/>
            <w:vAlign w:val="center"/>
          </w:tcPr>
          <w:p>
            <w:pPr>
              <w:pStyle w:val="TableContents"/>
              <w:bidi w:val="0"/>
              <w:spacing w:before="0" w:after="283"/>
              <w:jc w:val="both"/>
              <w:rPr>
                <w:b/>
              </w:rPr>
            </w:pPr>
            <w:r>
              <w:rPr>
                <w:b/>
              </w:rPr>
              <w:t>IF THIS STATEMENT IS FILED PURSUANT TO Rules 13d-1(b), OR 13d-2(b) OR (c), CHECK WHETHER THE PERSON FILING IS A:</w:t>
            </w:r>
          </w:p>
        </w:tc>
      </w:tr>
      <w:tr>
        <w:trPr/>
        <w:tc>
          <w:tcPr>
            <w:tcW w:w="647"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(a)</w:t>
            </w:r>
          </w:p>
        </w:tc>
        <w:tc>
          <w:tcPr>
            <w:tcW w:w="317" w:type="dxa"/>
            <w:tcBorders/>
            <w:vAlign w:val="center"/>
          </w:tcPr>
          <w:p>
            <w:pPr>
              <w:pStyle w:val="TableContents"/>
              <w:bidi w:val="0"/>
              <w:spacing w:before="0" w:after="283"/>
              <w:jc w:val="center"/>
              <w:rPr/>
            </w:pPr>
            <w:r>
              <w:rPr/>
              <w:t>☐</w:t>
            </w:r>
          </w:p>
        </w:tc>
        <w:tc>
          <w:tcPr>
            <w:tcW w:w="8845" w:type="dxa"/>
            <w:tcBorders/>
            <w:vAlign w:val="center"/>
          </w:tcPr>
          <w:p>
            <w:pPr>
              <w:pStyle w:val="TableContents"/>
              <w:bidi w:val="0"/>
              <w:spacing w:before="0" w:after="283"/>
              <w:jc w:val="left"/>
              <w:rPr/>
            </w:pPr>
            <w:r>
              <w:rPr/>
              <w:t>Broker or dealer registered under Section 15 of the Act;</w:t>
            </w:r>
          </w:p>
        </w:tc>
      </w:tr>
      <w:tr>
        <w:trPr/>
        <w:tc>
          <w:tcPr>
            <w:tcW w:w="647"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(b)</w:t>
            </w:r>
          </w:p>
        </w:tc>
        <w:tc>
          <w:tcPr>
            <w:tcW w:w="317" w:type="dxa"/>
            <w:tcBorders/>
            <w:vAlign w:val="center"/>
          </w:tcPr>
          <w:p>
            <w:pPr>
              <w:pStyle w:val="TableContents"/>
              <w:bidi w:val="0"/>
              <w:spacing w:before="0" w:after="283"/>
              <w:jc w:val="center"/>
              <w:rPr/>
            </w:pPr>
            <w:r>
              <w:rPr/>
              <w:t>☐</w:t>
            </w:r>
          </w:p>
        </w:tc>
        <w:tc>
          <w:tcPr>
            <w:tcW w:w="8845" w:type="dxa"/>
            <w:tcBorders/>
            <w:vAlign w:val="center"/>
          </w:tcPr>
          <w:p>
            <w:pPr>
              <w:pStyle w:val="TableContents"/>
              <w:bidi w:val="0"/>
              <w:spacing w:before="0" w:after="283"/>
              <w:jc w:val="left"/>
              <w:rPr/>
            </w:pPr>
            <w:r>
              <w:rPr/>
              <w:t>Bank as defined in Section 3(a)(6) of the Act;</w:t>
            </w:r>
          </w:p>
        </w:tc>
      </w:tr>
      <w:tr>
        <w:trPr/>
        <w:tc>
          <w:tcPr>
            <w:tcW w:w="647"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(c)</w:t>
            </w:r>
          </w:p>
        </w:tc>
        <w:tc>
          <w:tcPr>
            <w:tcW w:w="317" w:type="dxa"/>
            <w:tcBorders/>
            <w:vAlign w:val="center"/>
          </w:tcPr>
          <w:p>
            <w:pPr>
              <w:pStyle w:val="TableContents"/>
              <w:bidi w:val="0"/>
              <w:spacing w:before="0" w:after="283"/>
              <w:jc w:val="center"/>
              <w:rPr/>
            </w:pPr>
            <w:r>
              <w:rPr/>
              <w:t>☐</w:t>
            </w:r>
          </w:p>
        </w:tc>
        <w:tc>
          <w:tcPr>
            <w:tcW w:w="8845" w:type="dxa"/>
            <w:tcBorders/>
            <w:vAlign w:val="center"/>
          </w:tcPr>
          <w:p>
            <w:pPr>
              <w:pStyle w:val="TableContents"/>
              <w:bidi w:val="0"/>
              <w:spacing w:before="0" w:after="283"/>
              <w:jc w:val="left"/>
              <w:rPr/>
            </w:pPr>
            <w:r>
              <w:rPr/>
              <w:t>Insurance company as defined in Section 3(a)(19) of the Act;</w:t>
            </w:r>
          </w:p>
        </w:tc>
      </w:tr>
      <w:tr>
        <w:trPr/>
        <w:tc>
          <w:tcPr>
            <w:tcW w:w="647" w:type="dxa"/>
            <w:tcBorders/>
            <w:vAlign w:val="center"/>
          </w:tcPr>
          <w:p>
            <w:pPr>
              <w:pStyle w:val="TableContents"/>
              <w:bidi w:val="0"/>
              <w:spacing w:before="0" w:after="283"/>
              <w:jc w:val="left"/>
              <w:rPr/>
            </w:pPr>
            <w:r>
              <w:rPr/>
              <w:t> </w:t>
            </w:r>
          </w:p>
        </w:tc>
        <w:tc>
          <w:tcPr>
            <w:tcW w:w="396" w:type="dxa"/>
            <w:tcBorders/>
            <w:vAlign w:val="center"/>
          </w:tcPr>
          <w:p>
            <w:pPr>
              <w:pStyle w:val="TableContents"/>
              <w:bidi w:val="0"/>
              <w:spacing w:before="0" w:after="283"/>
              <w:jc w:val="left"/>
              <w:rPr/>
            </w:pPr>
            <w:r>
              <w:rPr/>
              <w:t>(d)</w:t>
            </w:r>
          </w:p>
        </w:tc>
        <w:tc>
          <w:tcPr>
            <w:tcW w:w="317" w:type="dxa"/>
            <w:tcBorders/>
            <w:vAlign w:val="center"/>
          </w:tcPr>
          <w:p>
            <w:pPr>
              <w:pStyle w:val="TableContents"/>
              <w:bidi w:val="0"/>
              <w:spacing w:before="0" w:after="283"/>
              <w:jc w:val="center"/>
              <w:rPr/>
            </w:pPr>
            <w:r>
              <w:rPr/>
              <w:t>☐</w:t>
            </w:r>
          </w:p>
        </w:tc>
        <w:tc>
          <w:tcPr>
            <w:tcW w:w="8845" w:type="dxa"/>
            <w:tcBorders/>
            <w:vAlign w:val="center"/>
          </w:tcPr>
          <w:p>
            <w:pPr>
              <w:pStyle w:val="TableContents"/>
              <w:bidi w:val="0"/>
              <w:spacing w:before="0" w:after="283"/>
              <w:jc w:val="left"/>
              <w:rPr/>
            </w:pPr>
            <w:r>
              <w:rPr/>
              <w:t>Investment company registered under Section 8 of the Investment Company Act of 1940;</w:t>
            </w:r>
          </w:p>
        </w:tc>
      </w:tr>
    </w:tbl>
    <w:p>
      <w:pPr>
        <w:pStyle w:val="TextBody"/>
        <w:bidi w:val="0"/>
        <w:spacing w:before="0" w:after="0"/>
        <w:ind w:left="0" w:right="0" w:hanging="0"/>
        <w:jc w:val="left"/>
        <w:rPr/>
      </w:pPr>
      <w:r>
        <w:rPr/>
        <w:t> </w:t>
      </w:r>
    </w:p>
    <w:tbl>
      <w:tblPr>
        <w:tblW w:w="4620" w:type="dxa"/>
        <w:jc w:val="left"/>
        <w:tblInd w:w="0" w:type="dxa"/>
        <w:tblLayout w:type="fixed"/>
        <w:tblCellMar>
          <w:top w:w="0" w:type="dxa"/>
          <w:left w:w="0" w:type="dxa"/>
          <w:bottom w:w="0" w:type="dxa"/>
          <w:right w:w="0" w:type="dxa"/>
        </w:tblCellMar>
      </w:tblPr>
      <w:tblGrid>
        <w:gridCol w:w="2390"/>
        <w:gridCol w:w="440"/>
        <w:gridCol w:w="1790"/>
      </w:tblGrid>
      <w:tr>
        <w:trPr/>
        <w:tc>
          <w:tcPr>
            <w:tcW w:w="2390" w:type="dxa"/>
            <w:tcBorders/>
            <w:vAlign w:val="center"/>
          </w:tcPr>
          <w:p>
            <w:pPr>
              <w:pStyle w:val="TableContents"/>
              <w:bidi w:val="0"/>
              <w:spacing w:before="0" w:after="283"/>
              <w:jc w:val="left"/>
              <w:rPr>
                <w:b/>
              </w:rPr>
            </w:pPr>
            <w:r>
              <w:rPr>
                <w:b/>
              </w:rPr>
              <w:t>CUSIP No. 13057Q305</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4 of 6 Pages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0"/>
        <w:gridCol w:w="230"/>
        <w:gridCol w:w="963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(e)</w:t>
            </w:r>
          </w:p>
        </w:tc>
        <w:tc>
          <w:tcPr>
            <w:tcW w:w="230" w:type="dxa"/>
            <w:tcBorders/>
            <w:vAlign w:val="center"/>
          </w:tcPr>
          <w:p>
            <w:pPr>
              <w:pStyle w:val="TableContents"/>
              <w:bidi w:val="0"/>
              <w:spacing w:before="0" w:after="283"/>
              <w:jc w:val="center"/>
              <w:rPr/>
            </w:pPr>
            <w:r>
              <w:rPr/>
              <w:t>☐</w:t>
            </w:r>
          </w:p>
        </w:tc>
        <w:tc>
          <w:tcPr>
            <w:tcW w:w="9630" w:type="dxa"/>
            <w:tcBorders/>
            <w:vAlign w:val="center"/>
          </w:tcPr>
          <w:p>
            <w:pPr>
              <w:pStyle w:val="TableContents"/>
              <w:bidi w:val="0"/>
              <w:spacing w:before="0" w:after="283"/>
              <w:jc w:val="left"/>
              <w:rPr/>
            </w:pPr>
            <w:r>
              <w:rPr/>
              <w:t>An investment adviser in accordance with Rule 13d-1(b)(1)(ii)(E);</w:t>
            </w:r>
          </w:p>
        </w:tc>
      </w:tr>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(f)</w:t>
            </w:r>
          </w:p>
        </w:tc>
        <w:tc>
          <w:tcPr>
            <w:tcW w:w="230" w:type="dxa"/>
            <w:tcBorders/>
            <w:vAlign w:val="center"/>
          </w:tcPr>
          <w:p>
            <w:pPr>
              <w:pStyle w:val="TableContents"/>
              <w:bidi w:val="0"/>
              <w:spacing w:before="0" w:after="283"/>
              <w:jc w:val="center"/>
              <w:rPr/>
            </w:pPr>
            <w:r>
              <w:rPr/>
              <w:t>☐</w:t>
            </w:r>
          </w:p>
        </w:tc>
        <w:tc>
          <w:tcPr>
            <w:tcW w:w="9630"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An employee benefit plan or endowment fund in accordance with Rule 13d-1(b)(1)(ii)(F);</w:t>
            </w:r>
          </w:p>
          <w:p>
            <w:pPr>
              <w:pStyle w:val="TableContents"/>
              <w:bidi w:val="0"/>
              <w:spacing w:before="0" w:after="283"/>
              <w:ind w:left="0" w:right="0" w:firstLine="48"/>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(g)</w:t>
            </w:r>
          </w:p>
        </w:tc>
        <w:tc>
          <w:tcPr>
            <w:tcW w:w="230" w:type="dxa"/>
            <w:tcBorders/>
            <w:vAlign w:val="center"/>
          </w:tcPr>
          <w:p>
            <w:pPr>
              <w:pStyle w:val="TableContents"/>
              <w:bidi w:val="0"/>
              <w:spacing w:before="0" w:after="283"/>
              <w:jc w:val="center"/>
              <w:rPr/>
            </w:pPr>
            <w:r>
              <w:rPr/>
              <w:t>☐</w:t>
            </w:r>
          </w:p>
        </w:tc>
        <w:tc>
          <w:tcPr>
            <w:tcW w:w="9630" w:type="dxa"/>
            <w:tcBorders/>
            <w:vAlign w:val="center"/>
          </w:tcPr>
          <w:p>
            <w:pPr>
              <w:pStyle w:val="TableContents"/>
              <w:bidi w:val="0"/>
              <w:ind w:left="0" w:right="0" w:firstLine="48"/>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parent holding company or control person in accordance with Rule 13d-1(b)(1)(ii)(G);</w:t>
            </w:r>
          </w:p>
          <w:p>
            <w:pPr>
              <w:pStyle w:val="TableContents"/>
              <w:bidi w:val="0"/>
              <w:spacing w:before="0" w:after="283"/>
              <w:ind w:left="0" w:right="0" w:firstLine="48"/>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(h)</w:t>
            </w:r>
          </w:p>
        </w:tc>
        <w:tc>
          <w:tcPr>
            <w:tcW w:w="230" w:type="dxa"/>
            <w:tcBorders/>
            <w:vAlign w:val="center"/>
          </w:tcPr>
          <w:p>
            <w:pPr>
              <w:pStyle w:val="TableContents"/>
              <w:bidi w:val="0"/>
              <w:spacing w:before="0" w:after="283"/>
              <w:jc w:val="center"/>
              <w:rPr/>
            </w:pPr>
            <w:r>
              <w:rPr/>
              <w:t>☐</w:t>
            </w:r>
          </w:p>
        </w:tc>
        <w:tc>
          <w:tcPr>
            <w:tcW w:w="963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savings association as defined in Section 3(b) of the Federal Deposit Insurance Act;</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(i)</w:t>
            </w:r>
          </w:p>
        </w:tc>
        <w:tc>
          <w:tcPr>
            <w:tcW w:w="230" w:type="dxa"/>
            <w:tcBorders/>
            <w:vAlign w:val="center"/>
          </w:tcPr>
          <w:p>
            <w:pPr>
              <w:pStyle w:val="TableContents"/>
              <w:bidi w:val="0"/>
              <w:spacing w:before="0" w:after="283"/>
              <w:jc w:val="center"/>
              <w:rPr/>
            </w:pPr>
            <w:r>
              <w:rPr/>
              <w:t>☐</w:t>
            </w:r>
          </w:p>
        </w:tc>
        <w:tc>
          <w:tcPr>
            <w:tcW w:w="9630"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church plan that is excluded from the definition of an investment company under Section 3(c)(14) of the Investment Company Act;</w:t>
            </w:r>
          </w:p>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(j)</w:t>
            </w:r>
          </w:p>
        </w:tc>
        <w:tc>
          <w:tcPr>
            <w:tcW w:w="230" w:type="dxa"/>
            <w:tcBorders/>
            <w:vAlign w:val="center"/>
          </w:tcPr>
          <w:p>
            <w:pPr>
              <w:pStyle w:val="TableContents"/>
              <w:bidi w:val="0"/>
              <w:spacing w:before="0" w:after="283"/>
              <w:jc w:val="center"/>
              <w:rPr/>
            </w:pPr>
            <w:r>
              <w:rPr/>
              <w:t>☐</w:t>
            </w:r>
          </w:p>
        </w:tc>
        <w:tc>
          <w:tcPr>
            <w:tcW w:w="9630" w:type="dxa"/>
            <w:tcBorders/>
            <w:vAlign w:val="center"/>
          </w:tcPr>
          <w:p>
            <w:pPr>
              <w:pStyle w:val="TableContents"/>
              <w:bidi w:val="0"/>
              <w:spacing w:before="0" w:after="283"/>
              <w:jc w:val="left"/>
              <w:rPr/>
            </w:pPr>
            <w:r>
              <w:rPr/>
              <w:t>A non-U.S. institution in accordance with Rule 13d-1(b)(1)(ii)(J);</w:t>
            </w:r>
          </w:p>
        </w:tc>
      </w:tr>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(k)</w:t>
            </w:r>
          </w:p>
        </w:tc>
        <w:tc>
          <w:tcPr>
            <w:tcW w:w="230" w:type="dxa"/>
            <w:tcBorders/>
            <w:vAlign w:val="center"/>
          </w:tcPr>
          <w:p>
            <w:pPr>
              <w:pStyle w:val="TableContents"/>
              <w:bidi w:val="0"/>
              <w:spacing w:before="0" w:after="283"/>
              <w:jc w:val="center"/>
              <w:rPr/>
            </w:pPr>
            <w:r>
              <w:rPr/>
              <w:t>☐</w:t>
            </w:r>
          </w:p>
        </w:tc>
        <w:tc>
          <w:tcPr>
            <w:tcW w:w="9630" w:type="dxa"/>
            <w:tcBorders/>
            <w:vAlign w:val="center"/>
          </w:tcPr>
          <w:p>
            <w:pPr>
              <w:pStyle w:val="TableContents"/>
              <w:bidi w:val="0"/>
              <w:spacing w:before="0" w:after="283"/>
              <w:jc w:val="left"/>
              <w:rPr/>
            </w:pPr>
            <w:r>
              <w:rPr/>
              <w:t>Group, in accordance with Rule 13d-1(b)(1)(ii)(K).</w:t>
            </w:r>
          </w:p>
        </w:tc>
      </w:tr>
    </w:tbl>
    <w:p>
      <w:pPr>
        <w:pStyle w:val="TextBody"/>
        <w:bidi w:val="0"/>
        <w:jc w:val="left"/>
        <w:rPr>
          <w:caps w:val="false"/>
          <w:smallCaps w:val="false"/>
        </w:rPr>
      </w:pPr>
      <w:r>
        <w:rPr>
          <w:caps w:val="false"/>
          <w:smallCaps w:val="false"/>
        </w:rPr>
        <w:t> </w:t>
      </w:r>
    </w:p>
    <w:tbl>
      <w:tblPr>
        <w:tblW w:w="7879" w:type="dxa"/>
        <w:jc w:val="left"/>
        <w:tblInd w:w="0" w:type="dxa"/>
        <w:tblLayout w:type="fixed"/>
        <w:tblCellMar>
          <w:top w:w="0" w:type="dxa"/>
          <w:left w:w="0" w:type="dxa"/>
          <w:bottom w:w="0" w:type="dxa"/>
          <w:right w:w="0" w:type="dxa"/>
        </w:tblCellMar>
      </w:tblPr>
      <w:tblGrid>
        <w:gridCol w:w="75"/>
        <w:gridCol w:w="7602"/>
        <w:gridCol w:w="202"/>
      </w:tblGrid>
      <w:tr>
        <w:trPr/>
        <w:tc>
          <w:tcPr>
            <w:tcW w:w="75" w:type="dxa"/>
            <w:tcBorders/>
            <w:vAlign w:val="center"/>
          </w:tcPr>
          <w:p>
            <w:pPr>
              <w:pStyle w:val="TableContents"/>
              <w:bidi w:val="0"/>
              <w:spacing w:before="0" w:after="283"/>
              <w:jc w:val="left"/>
              <w:rPr/>
            </w:pPr>
            <w:r>
              <w:rPr/>
              <w:t> </w:t>
            </w:r>
          </w:p>
        </w:tc>
        <w:tc>
          <w:tcPr>
            <w:tcW w:w="7804" w:type="dxa"/>
            <w:gridSpan w:val="2"/>
            <w:tcBorders/>
            <w:vAlign w:val="center"/>
          </w:tcPr>
          <w:p>
            <w:pPr>
              <w:pStyle w:val="TableContents"/>
              <w:bidi w:val="0"/>
              <w:spacing w:before="0" w:after="283"/>
              <w:jc w:val="left"/>
              <w:rPr/>
            </w:pPr>
            <w:r>
              <w:rPr/>
              <w:t>If filing as a non-U.S. institution in accordance with Rule 13d-1(b)(1)(ii)(J), please</w:t>
            </w:r>
          </w:p>
        </w:tc>
      </w:tr>
      <w:tr>
        <w:trPr/>
        <w:tc>
          <w:tcPr>
            <w:tcW w:w="75" w:type="dxa"/>
            <w:tcBorders/>
            <w:vAlign w:val="center"/>
          </w:tcPr>
          <w:p>
            <w:pPr>
              <w:pStyle w:val="TableContents"/>
              <w:bidi w:val="0"/>
              <w:spacing w:before="0" w:after="283"/>
              <w:jc w:val="left"/>
              <w:rPr/>
            </w:pPr>
            <w:r>
              <w:rPr/>
              <w:t> </w:t>
            </w:r>
          </w:p>
        </w:tc>
        <w:tc>
          <w:tcPr>
            <w:tcW w:w="7602" w:type="dxa"/>
            <w:tcBorders/>
            <w:vAlign w:val="center"/>
          </w:tcPr>
          <w:p>
            <w:pPr>
              <w:pStyle w:val="TableContents"/>
              <w:bidi w:val="0"/>
              <w:spacing w:before="0" w:after="283"/>
              <w:jc w:val="left"/>
              <w:rPr/>
            </w:pPr>
            <w:r>
              <w:rPr/>
              <w:t>specify the type of institution:</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
        <w:gridCol w:w="9637"/>
      </w:tblGrid>
      <w:tr>
        <w:trPr/>
        <w:tc>
          <w:tcPr>
            <w:tcW w:w="568" w:type="dxa"/>
            <w:tcBorders/>
            <w:vAlign w:val="center"/>
          </w:tcPr>
          <w:p>
            <w:pPr>
              <w:pStyle w:val="TableContents"/>
              <w:bidi w:val="0"/>
              <w:spacing w:before="0" w:after="283"/>
              <w:jc w:val="left"/>
              <w:rPr>
                <w:b/>
              </w:rPr>
            </w:pPr>
            <w:r>
              <w:rPr>
                <w:b/>
              </w:rPr>
              <w:t>Item 4.</w:t>
            </w:r>
          </w:p>
        </w:tc>
        <w:tc>
          <w:tcPr>
            <w:tcW w:w="9637" w:type="dxa"/>
            <w:tcBorders/>
            <w:vAlign w:val="center"/>
          </w:tcPr>
          <w:p>
            <w:pPr>
              <w:pStyle w:val="TableContents"/>
              <w:bidi w:val="0"/>
              <w:spacing w:before="0" w:after="283"/>
              <w:jc w:val="left"/>
              <w:rPr>
                <w:b/>
              </w:rPr>
            </w:pPr>
            <w:r>
              <w:rPr>
                <w:b/>
              </w:rPr>
              <w:t>OWNERSHIP:</w:t>
            </w:r>
          </w:p>
        </w:tc>
      </w:tr>
      <w:tr>
        <w:trPr/>
        <w:tc>
          <w:tcPr>
            <w:tcW w:w="568"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r>
              <w:rPr/>
              <w:t> </w:t>
            </w:r>
          </w:p>
        </w:tc>
      </w:tr>
      <w:tr>
        <w:trPr/>
        <w:tc>
          <w:tcPr>
            <w:tcW w:w="568"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r>
              <w:rPr/>
              <w:t>The percentage used herein is calculated based upon 68,619,851 Shares reported to be outstanding as of September 30, 2023, as reported in the Company’s Quarterly Report on Form 10-Q for the quarterly period ended September 30, 2023, filed with the Securities and Exchange Commission on November 2, 2023.</w:t>
            </w:r>
          </w:p>
        </w:tc>
      </w:tr>
      <w:tr>
        <w:trPr/>
        <w:tc>
          <w:tcPr>
            <w:tcW w:w="568"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r>
              <w:rPr/>
              <w:t> </w:t>
            </w:r>
          </w:p>
        </w:tc>
      </w:tr>
      <w:tr>
        <w:trPr/>
        <w:tc>
          <w:tcPr>
            <w:tcW w:w="568"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r>
              <w:rPr/>
              <w:t>The information required by Items 4(a) - (c) is set forth in Rows 5 - 11 of the cover page for the Reporting Person and is incorporated herein by reference.</w:t>
            </w:r>
          </w:p>
        </w:tc>
      </w:tr>
      <w:tr>
        <w:trPr/>
        <w:tc>
          <w:tcPr>
            <w:tcW w:w="568"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left"/>
              <w:rPr/>
            </w:pPr>
            <w:r>
              <w:rPr/>
              <w:t> </w:t>
            </w:r>
          </w:p>
        </w:tc>
      </w:tr>
      <w:tr>
        <w:trPr/>
        <w:tc>
          <w:tcPr>
            <w:tcW w:w="568" w:type="dxa"/>
            <w:tcBorders/>
            <w:vAlign w:val="center"/>
          </w:tcPr>
          <w:p>
            <w:pPr>
              <w:pStyle w:val="TableContents"/>
              <w:bidi w:val="0"/>
              <w:spacing w:before="0" w:after="283"/>
              <w:jc w:val="left"/>
              <w:rPr/>
            </w:pPr>
            <w:r>
              <w:rPr/>
              <w:t> </w:t>
            </w:r>
          </w:p>
        </w:tc>
        <w:tc>
          <w:tcPr>
            <w:tcW w:w="9637" w:type="dxa"/>
            <w:tcBorders/>
            <w:vAlign w:val="center"/>
          </w:tcPr>
          <w:p>
            <w:pPr>
              <w:pStyle w:val="TableContents"/>
              <w:bidi w:val="0"/>
              <w:spacing w:before="0" w:after="283"/>
              <w:jc w:val="both"/>
              <w:rPr/>
            </w:pPr>
            <w:r>
              <w:rPr/>
              <w:t>The filing of this statement should not be construed as an admission that the Reporting Person is, for the purposes of Sections 13 of the Securities Exchange Act of 1934, the beneficial owner of the Shares reported herein.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8"/>
        <w:gridCol w:w="9597"/>
      </w:tblGrid>
      <w:tr>
        <w:trPr/>
        <w:tc>
          <w:tcPr>
            <w:tcW w:w="608" w:type="dxa"/>
            <w:tcBorders/>
            <w:vAlign w:val="center"/>
          </w:tcPr>
          <w:p>
            <w:pPr>
              <w:pStyle w:val="TableContents"/>
              <w:bidi w:val="0"/>
              <w:spacing w:before="0" w:after="283"/>
              <w:jc w:val="left"/>
              <w:rPr>
                <w:b/>
              </w:rPr>
            </w:pPr>
            <w:r>
              <w:rPr>
                <w:b/>
              </w:rPr>
              <w:t>Item 5.</w:t>
            </w:r>
          </w:p>
        </w:tc>
        <w:tc>
          <w:tcPr>
            <w:tcW w:w="9597" w:type="dxa"/>
            <w:tcBorders/>
            <w:vAlign w:val="center"/>
          </w:tcPr>
          <w:p>
            <w:pPr>
              <w:pStyle w:val="TableContents"/>
              <w:bidi w:val="0"/>
              <w:spacing w:before="0" w:after="283"/>
              <w:jc w:val="left"/>
              <w:rPr>
                <w:b/>
              </w:rPr>
            </w:pPr>
            <w:r>
              <w:rPr>
                <w:b/>
              </w:rPr>
              <w:t>OWNERSHIP OF FIVE PERCENT OR LESS OF A CLASS:</w:t>
            </w:r>
          </w:p>
        </w:tc>
      </w:tr>
      <w:tr>
        <w:trPr/>
        <w:tc>
          <w:tcPr>
            <w:tcW w:w="608" w:type="dxa"/>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283"/>
              <w:jc w:val="left"/>
              <w:rPr/>
            </w:pPr>
            <w:r>
              <w:rPr/>
              <w:t> </w:t>
            </w:r>
          </w:p>
        </w:tc>
      </w:tr>
      <w:tr>
        <w:trPr/>
        <w:tc>
          <w:tcPr>
            <w:tcW w:w="608" w:type="dxa"/>
            <w:tcBorders/>
            <w:vAlign w:val="center"/>
          </w:tcPr>
          <w:p>
            <w:pPr>
              <w:pStyle w:val="TableContents"/>
              <w:bidi w:val="0"/>
              <w:spacing w:before="0" w:after="283"/>
              <w:jc w:val="left"/>
              <w:rPr/>
            </w:pPr>
            <w:r>
              <w:rPr/>
              <w:t> </w:t>
            </w:r>
          </w:p>
        </w:tc>
        <w:tc>
          <w:tcPr>
            <w:tcW w:w="9597" w:type="dxa"/>
            <w:tcBorders/>
            <w:vAlign w:val="center"/>
          </w:tcPr>
          <w:p>
            <w:pPr>
              <w:pStyle w:val="TableContents"/>
              <w:bidi w:val="0"/>
              <w:spacing w:before="0" w:after="283"/>
              <w:jc w:val="both"/>
              <w:rPr/>
            </w:pPr>
            <w:r>
              <w:rPr/>
              <w:t>If this statement is being filed to report the fact that as of the date hereof the reporting person has ceased to be the beneficial owner of more than five percent of the class of securities, check the following: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1"/>
        <w:gridCol w:w="9574"/>
      </w:tblGrid>
      <w:tr>
        <w:trPr/>
        <w:tc>
          <w:tcPr>
            <w:tcW w:w="631" w:type="dxa"/>
            <w:tcBorders/>
            <w:vAlign w:val="center"/>
          </w:tcPr>
          <w:p>
            <w:pPr>
              <w:pStyle w:val="TableContents"/>
              <w:bidi w:val="0"/>
              <w:spacing w:before="0" w:after="283"/>
              <w:jc w:val="left"/>
              <w:rPr>
                <w:b/>
              </w:rPr>
            </w:pPr>
            <w:r>
              <w:rPr>
                <w:b/>
              </w:rPr>
              <w:t>Item 6.</w:t>
            </w:r>
          </w:p>
        </w:tc>
        <w:tc>
          <w:tcPr>
            <w:tcW w:w="9574" w:type="dxa"/>
            <w:tcBorders/>
            <w:vAlign w:val="center"/>
          </w:tcPr>
          <w:p>
            <w:pPr>
              <w:pStyle w:val="TableContents"/>
              <w:bidi w:val="0"/>
              <w:spacing w:before="0" w:after="283"/>
              <w:jc w:val="both"/>
              <w:rPr>
                <w:b/>
              </w:rPr>
            </w:pPr>
            <w:r>
              <w:rPr>
                <w:b/>
              </w:rPr>
              <w:t>OWNERSHIP OF MORE THAN FIVE PERCENT ON BEHALF OF ANOTHER PERSON</w:t>
            </w:r>
          </w:p>
        </w:tc>
      </w:tr>
      <w:tr>
        <w:trPr/>
        <w:tc>
          <w:tcPr>
            <w:tcW w:w="631" w:type="dxa"/>
            <w:tcBorders/>
            <w:vAlign w:val="center"/>
          </w:tcPr>
          <w:p>
            <w:pPr>
              <w:pStyle w:val="TableContents"/>
              <w:bidi w:val="0"/>
              <w:spacing w:before="0" w:after="283"/>
              <w:jc w:val="left"/>
              <w:rPr/>
            </w:pPr>
            <w:r>
              <w:rPr/>
              <w:t> </w:t>
            </w:r>
          </w:p>
        </w:tc>
        <w:tc>
          <w:tcPr>
            <w:tcW w:w="9574" w:type="dxa"/>
            <w:tcBorders/>
            <w:vAlign w:val="center"/>
          </w:tcPr>
          <w:p>
            <w:pPr>
              <w:pStyle w:val="TableContents"/>
              <w:bidi w:val="0"/>
              <w:spacing w:before="0" w:after="283"/>
              <w:jc w:val="left"/>
              <w:rPr/>
            </w:pPr>
            <w:r>
              <w:rPr/>
              <w:t> </w:t>
            </w:r>
          </w:p>
        </w:tc>
      </w:tr>
      <w:tr>
        <w:trPr/>
        <w:tc>
          <w:tcPr>
            <w:tcW w:w="631" w:type="dxa"/>
            <w:tcBorders/>
            <w:vAlign w:val="center"/>
          </w:tcPr>
          <w:p>
            <w:pPr>
              <w:pStyle w:val="TableContents"/>
              <w:bidi w:val="0"/>
              <w:spacing w:before="0" w:after="283"/>
              <w:jc w:val="left"/>
              <w:rPr/>
            </w:pPr>
            <w:r>
              <w:rPr/>
              <w:t> </w:t>
            </w:r>
          </w:p>
        </w:tc>
        <w:tc>
          <w:tcPr>
            <w:tcW w:w="9574" w:type="dxa"/>
            <w:tcBorders/>
            <w:vAlign w:val="center"/>
          </w:tcPr>
          <w:p>
            <w:pPr>
              <w:pStyle w:val="TableContents"/>
              <w:bidi w:val="0"/>
              <w:spacing w:before="0" w:after="283"/>
              <w:jc w:val="both"/>
              <w:rPr/>
            </w:pPr>
            <w:r>
              <w:rPr/>
              <w:t xml:space="preserve">See Item 2.  The Kimmeridge Fund has the right to receive or the power to direct the receipt of dividends from, or the proceeds from the sale of, the Shares reported herein. </w:t>
            </w:r>
          </w:p>
        </w:tc>
      </w:tr>
    </w:tbl>
    <w:p>
      <w:pPr>
        <w:pStyle w:val="TextBody"/>
        <w:bidi w:val="0"/>
        <w:spacing w:before="0" w:after="0"/>
        <w:ind w:left="0" w:right="0" w:hanging="0"/>
        <w:jc w:val="left"/>
        <w:rPr/>
      </w:pPr>
      <w:r>
        <w:rPr/>
        <w:t> </w:t>
      </w:r>
    </w:p>
    <w:tbl>
      <w:tblPr>
        <w:tblW w:w="4620" w:type="dxa"/>
        <w:jc w:val="left"/>
        <w:tblInd w:w="0" w:type="dxa"/>
        <w:tblLayout w:type="fixed"/>
        <w:tblCellMar>
          <w:top w:w="0" w:type="dxa"/>
          <w:left w:w="0" w:type="dxa"/>
          <w:bottom w:w="0" w:type="dxa"/>
          <w:right w:w="0" w:type="dxa"/>
        </w:tblCellMar>
      </w:tblPr>
      <w:tblGrid>
        <w:gridCol w:w="2390"/>
        <w:gridCol w:w="440"/>
        <w:gridCol w:w="1790"/>
      </w:tblGrid>
      <w:tr>
        <w:trPr/>
        <w:tc>
          <w:tcPr>
            <w:tcW w:w="2390" w:type="dxa"/>
            <w:tcBorders/>
            <w:vAlign w:val="center"/>
          </w:tcPr>
          <w:p>
            <w:pPr>
              <w:pStyle w:val="TableContents"/>
              <w:bidi w:val="0"/>
              <w:spacing w:before="0" w:after="283"/>
              <w:jc w:val="left"/>
              <w:rPr>
                <w:b/>
              </w:rPr>
            </w:pPr>
            <w:r>
              <w:rPr>
                <w:b/>
              </w:rPr>
              <w:t>CUSIP No. 13057Q305</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5 of 6 Pages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1"/>
        <w:gridCol w:w="9614"/>
      </w:tblGrid>
      <w:tr>
        <w:trPr/>
        <w:tc>
          <w:tcPr>
            <w:tcW w:w="591" w:type="dxa"/>
            <w:tcBorders/>
            <w:vAlign w:val="center"/>
          </w:tcPr>
          <w:p>
            <w:pPr>
              <w:pStyle w:val="TableContents"/>
              <w:bidi w:val="0"/>
              <w:spacing w:before="0" w:after="283"/>
              <w:jc w:val="left"/>
              <w:rPr>
                <w:b/>
              </w:rPr>
            </w:pPr>
            <w:r>
              <w:rPr>
                <w:b/>
              </w:rPr>
              <w:t>Item 7.</w:t>
            </w:r>
          </w:p>
        </w:tc>
        <w:tc>
          <w:tcPr>
            <w:tcW w:w="9614" w:type="dxa"/>
            <w:tcBorders/>
            <w:vAlign w:val="center"/>
          </w:tcPr>
          <w:p>
            <w:pPr>
              <w:pStyle w:val="TableContents"/>
              <w:bidi w:val="0"/>
              <w:spacing w:before="0" w:after="283"/>
              <w:jc w:val="both"/>
              <w:rPr>
                <w:b/>
              </w:rPr>
            </w:pPr>
            <w:r>
              <w:rPr>
                <w:b/>
              </w:rPr>
              <w:t>IDENTIFICATION AND CLASSIFICATION OF THE SUBSIDIARY WHICH ACQUIRED THE SECURITY BEING REPORTED ON BY THE PARENT HOLDING COMPANY OR CONTROL PERSON:</w:t>
            </w:r>
          </w:p>
        </w:tc>
      </w:tr>
      <w:tr>
        <w:trPr/>
        <w:tc>
          <w:tcPr>
            <w:tcW w:w="591" w:type="dxa"/>
            <w:tcBorders/>
            <w:vAlign w:val="center"/>
          </w:tcPr>
          <w:p>
            <w:pPr>
              <w:pStyle w:val="TableContents"/>
              <w:bidi w:val="0"/>
              <w:spacing w:before="0" w:after="283"/>
              <w:jc w:val="left"/>
              <w:rPr/>
            </w:pPr>
            <w:r>
              <w:rPr/>
              <w:t> </w:t>
            </w:r>
          </w:p>
        </w:tc>
        <w:tc>
          <w:tcPr>
            <w:tcW w:w="9614" w:type="dxa"/>
            <w:tcBorders/>
            <w:vAlign w:val="center"/>
          </w:tcPr>
          <w:p>
            <w:pPr>
              <w:pStyle w:val="TableContents"/>
              <w:bidi w:val="0"/>
              <w:spacing w:before="0" w:after="283"/>
              <w:jc w:val="left"/>
              <w:rPr/>
            </w:pPr>
            <w:r>
              <w:rPr/>
              <w:t> </w:t>
            </w:r>
          </w:p>
        </w:tc>
      </w:tr>
      <w:tr>
        <w:trPr/>
        <w:tc>
          <w:tcPr>
            <w:tcW w:w="591" w:type="dxa"/>
            <w:tcBorders/>
            <w:vAlign w:val="center"/>
          </w:tcPr>
          <w:p>
            <w:pPr>
              <w:pStyle w:val="TableContents"/>
              <w:bidi w:val="0"/>
              <w:spacing w:before="0" w:after="283"/>
              <w:jc w:val="left"/>
              <w:rPr/>
            </w:pPr>
            <w:r>
              <w:rPr/>
              <w:t> </w:t>
            </w:r>
          </w:p>
        </w:tc>
        <w:tc>
          <w:tcPr>
            <w:tcW w:w="9614"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40"/>
        <w:gridCol w:w="8555"/>
      </w:tblGrid>
      <w:tr>
        <w:trPr/>
        <w:tc>
          <w:tcPr>
            <w:tcW w:w="740" w:type="dxa"/>
            <w:tcBorders/>
            <w:vAlign w:val="center"/>
          </w:tcPr>
          <w:p>
            <w:pPr>
              <w:pStyle w:val="TableContents"/>
              <w:bidi w:val="0"/>
              <w:spacing w:before="0" w:after="283"/>
              <w:jc w:val="left"/>
              <w:rPr>
                <w:b/>
              </w:rPr>
            </w:pPr>
            <w:r>
              <w:rPr>
                <w:b/>
              </w:rPr>
              <w:t>Item 8.</w:t>
            </w:r>
          </w:p>
        </w:tc>
        <w:tc>
          <w:tcPr>
            <w:tcW w:w="8555" w:type="dxa"/>
            <w:tcBorders/>
            <w:vAlign w:val="center"/>
          </w:tcPr>
          <w:p>
            <w:pPr>
              <w:pStyle w:val="TableContents"/>
              <w:bidi w:val="0"/>
              <w:spacing w:before="0" w:after="283"/>
              <w:jc w:val="left"/>
              <w:rPr>
                <w:b/>
              </w:rPr>
            </w:pPr>
            <w:r>
              <w:rPr>
                <w:b/>
              </w:rPr>
              <w:t>IDENTIFICATION AND CLASSIFICATION OF MEMBERS OF THE GROUP:</w:t>
            </w:r>
          </w:p>
        </w:tc>
      </w:tr>
      <w:tr>
        <w:trPr/>
        <w:tc>
          <w:tcPr>
            <w:tcW w:w="74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40"/>
        <w:gridCol w:w="4520"/>
      </w:tblGrid>
      <w:tr>
        <w:trPr/>
        <w:tc>
          <w:tcPr>
            <w:tcW w:w="740" w:type="dxa"/>
            <w:tcBorders/>
            <w:vAlign w:val="center"/>
          </w:tcPr>
          <w:p>
            <w:pPr>
              <w:pStyle w:val="TableContents"/>
              <w:bidi w:val="0"/>
              <w:spacing w:before="0" w:after="283"/>
              <w:jc w:val="left"/>
              <w:rPr>
                <w:b/>
              </w:rPr>
            </w:pPr>
            <w:r>
              <w:rPr>
                <w:b/>
              </w:rPr>
              <w:t>Item 9.</w:t>
            </w:r>
          </w:p>
        </w:tc>
        <w:tc>
          <w:tcPr>
            <w:tcW w:w="4520" w:type="dxa"/>
            <w:tcBorders/>
            <w:vAlign w:val="center"/>
          </w:tcPr>
          <w:p>
            <w:pPr>
              <w:pStyle w:val="TableContents"/>
              <w:bidi w:val="0"/>
              <w:spacing w:before="0" w:after="283"/>
              <w:jc w:val="left"/>
              <w:rPr>
                <w:b/>
              </w:rPr>
            </w:pPr>
            <w:r>
              <w:rPr>
                <w:b/>
              </w:rPr>
              <w:t>NOTICE OF DISSOLUTION OF GROUP:</w:t>
            </w:r>
          </w:p>
        </w:tc>
      </w:tr>
      <w:tr>
        <w:trPr/>
        <w:tc>
          <w:tcPr>
            <w:tcW w:w="74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 </w:t>
            </w:r>
          </w:p>
        </w:tc>
      </w:tr>
      <w:tr>
        <w:trPr/>
        <w:tc>
          <w:tcPr>
            <w:tcW w:w="74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pPr>
            <w:r>
              <w:rPr/>
              <w:t>Not applicable.</w:t>
            </w:r>
          </w:p>
        </w:tc>
      </w:tr>
    </w:tbl>
    <w:p>
      <w:pPr>
        <w:pStyle w:val="TextBody"/>
        <w:bidi w:val="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860"/>
        <w:gridCol w:w="2105"/>
      </w:tblGrid>
      <w:tr>
        <w:trPr/>
        <w:tc>
          <w:tcPr>
            <w:tcW w:w="860" w:type="dxa"/>
            <w:tcBorders/>
            <w:vAlign w:val="center"/>
          </w:tcPr>
          <w:p>
            <w:pPr>
              <w:pStyle w:val="TableContents"/>
              <w:bidi w:val="0"/>
              <w:spacing w:before="0" w:after="283"/>
              <w:jc w:val="left"/>
              <w:rPr>
                <w:b/>
              </w:rPr>
            </w:pPr>
            <w:r>
              <w:rPr>
                <w:b/>
              </w:rPr>
              <w:t>Item 10.</w:t>
            </w:r>
          </w:p>
        </w:tc>
        <w:tc>
          <w:tcPr>
            <w:tcW w:w="2105" w:type="dxa"/>
            <w:tcBorders/>
            <w:vAlign w:val="center"/>
          </w:tcPr>
          <w:p>
            <w:pPr>
              <w:pStyle w:val="TableContents"/>
              <w:bidi w:val="0"/>
              <w:spacing w:before="0" w:after="283"/>
              <w:jc w:val="left"/>
              <w:rPr>
                <w:b/>
              </w:rPr>
            </w:pPr>
            <w:r>
              <w:rPr>
                <w:b/>
              </w:rPr>
              <w:t>CERTIFICATION:</w:t>
            </w:r>
          </w:p>
        </w:tc>
      </w:tr>
      <w:tr>
        <w:trPr/>
        <w:tc>
          <w:tcPr>
            <w:tcW w:w="8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r>
      <w:tr>
        <w:trPr/>
        <w:tc>
          <w:tcPr>
            <w:tcW w:w="86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both"/>
              <w:rPr/>
            </w:pPr>
            <w:r>
              <w:rPr/>
              <w:t>Not applicable.</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4620" w:type="dxa"/>
        <w:jc w:val="left"/>
        <w:tblInd w:w="0" w:type="dxa"/>
        <w:tblLayout w:type="fixed"/>
        <w:tblCellMar>
          <w:top w:w="0" w:type="dxa"/>
          <w:left w:w="0" w:type="dxa"/>
          <w:bottom w:w="0" w:type="dxa"/>
          <w:right w:w="0" w:type="dxa"/>
        </w:tblCellMar>
      </w:tblPr>
      <w:tblGrid>
        <w:gridCol w:w="2390"/>
        <w:gridCol w:w="440"/>
        <w:gridCol w:w="1790"/>
      </w:tblGrid>
      <w:tr>
        <w:trPr/>
        <w:tc>
          <w:tcPr>
            <w:tcW w:w="2390" w:type="dxa"/>
            <w:tcBorders/>
            <w:vAlign w:val="center"/>
          </w:tcPr>
          <w:p>
            <w:pPr>
              <w:pStyle w:val="TableContents"/>
              <w:bidi w:val="0"/>
              <w:spacing w:before="0" w:after="283"/>
              <w:jc w:val="left"/>
              <w:rPr>
                <w:b/>
              </w:rPr>
            </w:pPr>
            <w:r>
              <w:rPr>
                <w:b/>
              </w:rPr>
              <w:t>CUSIP No. 13057Q305</w:t>
            </w:r>
          </w:p>
        </w:tc>
        <w:tc>
          <w:tcPr>
            <w:tcW w:w="440" w:type="dxa"/>
            <w:tcBorders/>
            <w:vAlign w:val="center"/>
          </w:tcPr>
          <w:p>
            <w:pPr>
              <w:pStyle w:val="TableContents"/>
              <w:bidi w:val="0"/>
              <w:spacing w:before="0" w:after="283"/>
              <w:jc w:val="center"/>
              <w:rPr>
                <w:b/>
              </w:rPr>
            </w:pPr>
            <w:r>
              <w:rPr>
                <w:b/>
              </w:rPr>
              <w:t>13G</w:t>
            </w:r>
          </w:p>
        </w:tc>
        <w:tc>
          <w:tcPr>
            <w:tcW w:w="1790" w:type="dxa"/>
            <w:tcBorders/>
            <w:vAlign w:val="center"/>
          </w:tcPr>
          <w:p>
            <w:pPr>
              <w:pStyle w:val="TableContents"/>
              <w:bidi w:val="0"/>
              <w:spacing w:before="0" w:after="283"/>
              <w:jc w:val="right"/>
              <w:rPr>
                <w:b/>
              </w:rPr>
            </w:pPr>
            <w:r>
              <w:rPr>
                <w:b/>
              </w:rPr>
              <w:t>Page 6 of 6 Pages</w:t>
            </w:r>
          </w:p>
        </w:tc>
      </w:tr>
    </w:tbl>
    <w:p>
      <w:pPr>
        <w:pStyle w:val="TextBody"/>
        <w:bidi w:val="0"/>
        <w:jc w:val="left"/>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SIGNATURES</w:t>
      </w:r>
    </w:p>
    <w:p>
      <w:pPr>
        <w:pStyle w:val="TextBody"/>
        <w:bidi w:val="0"/>
        <w:spacing w:before="0" w:after="240"/>
        <w:ind w:left="0" w:right="0" w:firstLine="72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After reasonable inquiry and to the best of my knowledge and belief, I certify that the information set forth in this statement is true, complete and correct.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 January 31, 2024</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6769" w:type="dxa"/>
        <w:jc w:val="left"/>
        <w:tblInd w:w="0" w:type="dxa"/>
        <w:tblLayout w:type="fixed"/>
        <w:tblCellMar>
          <w:top w:w="0" w:type="dxa"/>
          <w:left w:w="0" w:type="dxa"/>
          <w:bottom w:w="0" w:type="dxa"/>
          <w:right w:w="0" w:type="dxa"/>
        </w:tblCellMar>
      </w:tblPr>
      <w:tblGrid>
        <w:gridCol w:w="1749"/>
        <w:gridCol w:w="4945"/>
        <w:gridCol w:w="75"/>
      </w:tblGrid>
      <w:tr>
        <w:trPr/>
        <w:tc>
          <w:tcPr>
            <w:tcW w:w="6694" w:type="dxa"/>
            <w:gridSpan w:val="2"/>
            <w:tcBorders/>
            <w:vAlign w:val="center"/>
          </w:tcPr>
          <w:p>
            <w:pPr>
              <w:pStyle w:val="TableContents"/>
              <w:bidi w:val="0"/>
              <w:spacing w:before="0" w:after="283"/>
              <w:jc w:val="left"/>
              <w:rPr>
                <w:b/>
                <w:caps/>
              </w:rPr>
            </w:pPr>
            <w:r>
              <w:rPr>
                <w:b/>
                <w:caps/>
              </w:rPr>
              <w:t>KIMMERIDGE ENErGY MANAGEMENT COMPANY, LLC</w:t>
            </w:r>
          </w:p>
        </w:tc>
        <w:tc>
          <w:tcPr>
            <w:tcW w:w="75" w:type="dxa"/>
            <w:tcBorders/>
            <w:vAlign w:val="center"/>
          </w:tcPr>
          <w:p>
            <w:pPr>
              <w:pStyle w:val="TableContents"/>
              <w:bidi w:val="0"/>
              <w:spacing w:before="0" w:after="283"/>
              <w:jc w:val="left"/>
              <w:rPr/>
            </w:pPr>
            <w:r>
              <w:rPr/>
              <w:t> </w:t>
            </w:r>
          </w:p>
        </w:tc>
      </w:tr>
      <w:tr>
        <w:trPr/>
        <w:tc>
          <w:tcPr>
            <w:tcW w:w="66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49" w:type="dxa"/>
            <w:tcBorders/>
            <w:vAlign w:val="center"/>
          </w:tcPr>
          <w:p>
            <w:pPr>
              <w:pStyle w:val="TableContents"/>
              <w:bidi w:val="0"/>
              <w:spacing w:before="0" w:after="283"/>
              <w:jc w:val="left"/>
              <w:rPr/>
            </w:pPr>
            <w:r>
              <w:rPr/>
              <w:t>By:</w:t>
            </w:r>
          </w:p>
        </w:tc>
        <w:tc>
          <w:tcPr>
            <w:tcW w:w="4945" w:type="dxa"/>
            <w:tcBorders>
              <w:bottom w:val="single" w:sz="8" w:space="0" w:color="000000"/>
            </w:tcBorders>
            <w:tcMar>
              <w:bottom w:w="28" w:type="dxa"/>
            </w:tcMar>
            <w:vAlign w:val="center"/>
          </w:tcPr>
          <w:p>
            <w:pPr>
              <w:pStyle w:val="TableContents"/>
              <w:bidi w:val="0"/>
              <w:spacing w:before="0" w:after="283"/>
              <w:jc w:val="left"/>
              <w:rPr/>
            </w:pPr>
            <w:r>
              <w:rPr/>
              <w:t>/s/ Tamar Goldstein</w:t>
            </w:r>
          </w:p>
        </w:tc>
        <w:tc>
          <w:tcPr>
            <w:tcW w:w="75" w:type="dxa"/>
            <w:tcBorders/>
            <w:vAlign w:val="center"/>
          </w:tcPr>
          <w:p>
            <w:pPr>
              <w:pStyle w:val="TableContents"/>
              <w:bidi w:val="0"/>
              <w:spacing w:before="0" w:after="283"/>
              <w:jc w:val="left"/>
              <w:rPr/>
            </w:pPr>
            <w:r>
              <w:rPr/>
              <w:t> </w:t>
            </w:r>
          </w:p>
        </w:tc>
      </w:tr>
      <w:tr>
        <w:trPr/>
        <w:tc>
          <w:tcPr>
            <w:tcW w:w="1749" w:type="dxa"/>
            <w:tcBorders/>
            <w:vAlign w:val="center"/>
          </w:tcPr>
          <w:p>
            <w:pPr>
              <w:pStyle w:val="TableContents"/>
              <w:bidi w:val="0"/>
              <w:spacing w:before="0" w:after="283"/>
              <w:jc w:val="left"/>
              <w:rPr/>
            </w:pPr>
            <w:r>
              <w:rPr/>
              <w:t>Name:</w:t>
            </w:r>
          </w:p>
        </w:tc>
        <w:tc>
          <w:tcPr>
            <w:tcW w:w="4945" w:type="dxa"/>
            <w:tcBorders/>
            <w:vAlign w:val="center"/>
          </w:tcPr>
          <w:p>
            <w:pPr>
              <w:pStyle w:val="TableContents"/>
              <w:bidi w:val="0"/>
              <w:spacing w:before="0" w:after="283"/>
              <w:jc w:val="left"/>
              <w:rPr/>
            </w:pPr>
            <w:r>
              <w:rPr/>
              <w:t>Tamar Goldstein</w:t>
            </w:r>
          </w:p>
        </w:tc>
        <w:tc>
          <w:tcPr>
            <w:tcW w:w="75" w:type="dxa"/>
            <w:tcBorders/>
            <w:vAlign w:val="center"/>
          </w:tcPr>
          <w:p>
            <w:pPr>
              <w:pStyle w:val="TableContents"/>
              <w:bidi w:val="0"/>
              <w:spacing w:before="0" w:after="283"/>
              <w:jc w:val="left"/>
              <w:rPr/>
            </w:pPr>
            <w:r>
              <w:rPr/>
              <w:t> </w:t>
            </w:r>
          </w:p>
        </w:tc>
      </w:tr>
      <w:tr>
        <w:trPr/>
        <w:tc>
          <w:tcPr>
            <w:tcW w:w="1749" w:type="dxa"/>
            <w:tcBorders/>
            <w:vAlign w:val="center"/>
          </w:tcPr>
          <w:p>
            <w:pPr>
              <w:pStyle w:val="TableContents"/>
              <w:bidi w:val="0"/>
              <w:spacing w:before="0" w:after="283"/>
              <w:jc w:val="left"/>
              <w:rPr/>
            </w:pPr>
            <w:r>
              <w:rPr/>
              <w:t>Title:</w:t>
            </w:r>
          </w:p>
        </w:tc>
        <w:tc>
          <w:tcPr>
            <w:tcW w:w="4945" w:type="dxa"/>
            <w:tcBorders/>
            <w:vAlign w:val="center"/>
          </w:tcPr>
          <w:p>
            <w:pPr>
              <w:pStyle w:val="TableContents"/>
              <w:bidi w:val="0"/>
              <w:spacing w:before="0" w:after="283"/>
              <w:jc w:val="left"/>
              <w:rPr/>
            </w:pPr>
            <w:r>
              <w:rPr/>
              <w:t>General Counsel</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1036</Words>
  <Characters>5277</Characters>
  <CharactersWithSpaces>6273</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