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SCHEDULE 13D</w:t>
      </w:r>
    </w:p>
    <w:p>
      <w:pPr>
        <w:spacing w:after="0" w:line="22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(Amendment No. 1)*</w:t>
      </w:r>
    </w:p>
    <w:p>
      <w:pPr>
        <w:spacing w:after="0" w:line="184" w:lineRule="exact"/>
        <w:rPr>
          <w:sz w:val="24"/>
          <w:szCs w:val="24"/>
          <w:color w:val="auto"/>
        </w:rPr>
      </w:pPr>
    </w:p>
    <w:p>
      <w:pPr>
        <w:jc w:val="center"/>
        <w:ind w:right="-639"/>
        <w:spacing w:after="0"/>
        <w:rPr>
          <w:sz w:val="20"/>
          <w:szCs w:val="20"/>
          <w:color w:val="auto"/>
        </w:rPr>
      </w:pPr>
      <w:r>
        <w:rPr>
          <w:rFonts w:ascii="Arial" w:cs="Arial" w:eastAsia="Arial" w:hAnsi="Arial"/>
          <w:sz w:val="32"/>
          <w:szCs w:val="32"/>
          <w:b w:val="1"/>
          <w:bCs w:val="1"/>
          <w:color w:val="auto"/>
        </w:rPr>
        <w:t>CALIFORNIA RESOURCES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Common Stock, $0.01 par value</w:t>
      </w:r>
    </w:p>
    <w:p>
      <w:pPr>
        <w:spacing w:after="0" w:line="40"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13057Q305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Naseem Sagati Aghili</w:t>
      </w:r>
    </w:p>
    <w:p>
      <w:pPr>
        <w:spacing w:after="0" w:line="2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Ares Management Corporation</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2000 Avenue of the Stars, 12th Floor,</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(310) 201-4165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65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ind w:right="-659"/>
        <w:spacing w:after="0"/>
        <w:rPr>
          <w:sz w:val="20"/>
          <w:szCs w:val="20"/>
          <w:color w:val="auto"/>
        </w:rPr>
      </w:pPr>
      <w:r>
        <w:rPr>
          <w:rFonts w:ascii="Arial" w:cs="Arial" w:eastAsia="Arial" w:hAnsi="Arial"/>
          <w:sz w:val="18"/>
          <w:szCs w:val="18"/>
          <w:b w:val="1"/>
          <w:bCs w:val="1"/>
          <w:color w:val="auto"/>
        </w:rPr>
        <w:t>May 24, 2021</w:t>
      </w:r>
    </w:p>
    <w:p>
      <w:pPr>
        <w:spacing w:after="0" w:line="40" w:lineRule="exact"/>
        <w:rPr>
          <w:sz w:val="24"/>
          <w:szCs w:val="24"/>
          <w:color w:val="auto"/>
        </w:rPr>
      </w:pPr>
    </w:p>
    <w:p>
      <w:pPr>
        <w:jc w:val="center"/>
        <w:ind w:right="-6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§§240.13d-1(e), 240.13d-1(f) or 240.13d-1(g), check the following box. o</w:t>
      </w:r>
    </w:p>
    <w:p>
      <w:pPr>
        <w:spacing w:after="0" w:line="166"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Schedules filed in paper format shall include a signed original and five copies of the schedule, including all exhibits. See §240.13d-7 for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parties to whom copies are to be sent.</w:t>
      </w:r>
    </w:p>
    <w:p>
      <w:pPr>
        <w:spacing w:after="0" w:line="166" w:lineRule="exact"/>
        <w:rPr>
          <w:sz w:val="24"/>
          <w:szCs w:val="24"/>
          <w:color w:val="auto"/>
        </w:rPr>
      </w:pPr>
    </w:p>
    <w:p>
      <w:pPr>
        <w:ind w:right="20" w:firstLine="8"/>
        <w:spacing w:after="0" w:line="308" w:lineRule="auto"/>
        <w:tabs>
          <w:tab w:leader="none" w:pos="161"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0" w:lineRule="exact"/>
        <w:rPr>
          <w:sz w:val="24"/>
          <w:szCs w:val="24"/>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320" w:top="783" w:right="9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ind w:left="900" w:right="8100" w:hanging="568"/>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Names of Reporting Persons AF V Energy IV AIV 1A, L.P.</w:t>
      </w:r>
    </w:p>
    <w:p>
      <w:pPr>
        <w:spacing w:after="0" w:line="254" w:lineRule="exact"/>
        <w:rPr>
          <w:rFonts w:ascii="Arial" w:cs="Arial" w:eastAsia="Arial" w:hAnsi="Arial"/>
          <w:sz w:val="17"/>
          <w:szCs w:val="17"/>
          <w:color w:val="auto"/>
        </w:rPr>
      </w:pPr>
    </w:p>
    <w:p>
      <w:pPr>
        <w:ind w:left="900" w:hanging="568"/>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63" w:lineRule="exact"/>
        <w:rPr>
          <w:rFonts w:ascii="Arial" w:cs="Arial" w:eastAsia="Arial" w:hAnsi="Arial"/>
          <w:sz w:val="18"/>
          <w:szCs w:val="18"/>
          <w:color w:val="auto"/>
        </w:rPr>
      </w:pPr>
    </w:p>
    <w:p>
      <w:pPr>
        <w:ind w:left="1720" w:hanging="821"/>
        <w:spacing w:after="0"/>
        <w:tabs>
          <w:tab w:leader="none" w:pos="1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43" w:lineRule="exact"/>
        <w:rPr>
          <w:rFonts w:ascii="Arial" w:cs="Arial" w:eastAsia="Arial" w:hAnsi="Arial"/>
          <w:sz w:val="18"/>
          <w:szCs w:val="18"/>
          <w:color w:val="auto"/>
        </w:rPr>
      </w:pPr>
    </w:p>
    <w:p>
      <w:pPr>
        <w:ind w:left="1720" w:hanging="821"/>
        <w:spacing w:after="0" w:line="207" w:lineRule="exact"/>
        <w:tabs>
          <w:tab w:leader="none" w:pos="1720" w:val="left"/>
        </w:tabs>
        <w:numPr>
          <w:ilvl w:val="1"/>
          <w:numId w:val="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00" w:hanging="568"/>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900" w:hanging="568"/>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18" w:lineRule="exact"/>
        <w:rPr>
          <w:rFonts w:ascii="Arial" w:cs="Arial" w:eastAsia="Arial" w:hAnsi="Arial"/>
          <w:sz w:val="18"/>
          <w:szCs w:val="18"/>
          <w:color w:val="auto"/>
        </w:rPr>
      </w:pPr>
    </w:p>
    <w:p>
      <w:pPr>
        <w:ind w:left="900" w:hanging="568"/>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333" w:lineRule="exact"/>
        <w:rPr>
          <w:rFonts w:ascii="Arial" w:cs="Arial" w:eastAsia="Arial" w:hAnsi="Arial"/>
          <w:sz w:val="18"/>
          <w:szCs w:val="18"/>
          <w:color w:val="auto"/>
        </w:rPr>
      </w:pPr>
    </w:p>
    <w:p>
      <w:pPr>
        <w:ind w:left="900" w:right="7680" w:hanging="568"/>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-1905</wp:posOffset>
            </wp:positionV>
            <wp:extent cx="65576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-481965</wp:posOffset>
            </wp:positionV>
            <wp:extent cx="65576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-824865</wp:posOffset>
            </wp:positionV>
            <wp:extent cx="65576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-1304925</wp:posOffset>
            </wp:positionV>
            <wp:extent cx="65576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-1647825</wp:posOffset>
            </wp:positionV>
            <wp:extent cx="60604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-1828165</wp:posOffset>
            </wp:positionV>
            <wp:extent cx="60604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-2342515</wp:posOffset>
            </wp:positionV>
            <wp:extent cx="65576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9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1060" w:type="dxa"/>
            <w:vAlign w:val="bottom"/>
            <w:vMerge w:val="continue"/>
          </w:tcPr>
          <w:p>
            <w:pPr>
              <w:spacing w:after="0"/>
              <w:rPr>
                <w:sz w:val="24"/>
                <w:szCs w:val="24"/>
                <w:color w:val="auto"/>
              </w:rPr>
            </w:pPr>
          </w:p>
        </w:tc>
        <w:tc>
          <w:tcPr>
            <w:tcW w:w="720" w:type="dxa"/>
            <w:vAlign w:val="bottom"/>
            <w:vMerge w:val="restart"/>
          </w:tcPr>
          <w:p>
            <w:pPr>
              <w:jc w:val="right"/>
              <w:ind w:right="310"/>
              <w:spacing w:after="0"/>
              <w:rPr>
                <w:sz w:val="20"/>
                <w:szCs w:val="20"/>
                <w:color w:val="auto"/>
              </w:rPr>
            </w:pPr>
            <w:r>
              <w:rPr>
                <w:rFonts w:ascii="Arial" w:cs="Arial" w:eastAsia="Arial" w:hAnsi="Arial"/>
                <w:sz w:val="18"/>
                <w:szCs w:val="18"/>
                <w:color w:val="auto"/>
              </w:rPr>
              <w:t>8.</w:t>
            </w:r>
          </w:p>
        </w:tc>
        <w:tc>
          <w:tcPr>
            <w:tcW w:w="9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72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21"/>
                <w:szCs w:val="21"/>
                <w:color w:val="auto"/>
              </w:rPr>
            </w:pPr>
          </w:p>
        </w:tc>
        <w:tc>
          <w:tcPr>
            <w:tcW w:w="9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790,194 (See Items 3, 4, 5 and 6)</w:t>
            </w: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942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spacing w:after="0"/>
              <w:rPr>
                <w:sz w:val="18"/>
                <w:szCs w:val="18"/>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7"/>
                <w:szCs w:val="7"/>
                <w:color w:val="auto"/>
              </w:rPr>
            </w:pPr>
          </w:p>
        </w:tc>
        <w:tc>
          <w:tcPr>
            <w:tcW w:w="9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0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00" w:hanging="563"/>
        <w:spacing w:after="0"/>
        <w:tabs>
          <w:tab w:leader="none" w:pos="18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8"/>
          <w:szCs w:val="18"/>
          <w:color w:val="auto"/>
        </w:rPr>
        <w:t>790,194 (See Items 3, 4, 5 and 6)</w:t>
      </w:r>
    </w:p>
    <w:p>
      <w:pPr>
        <w:spacing w:after="0" w:line="318" w:lineRule="exact"/>
        <w:rPr>
          <w:rFonts w:ascii="Arial" w:cs="Arial" w:eastAsia="Arial" w:hAnsi="Arial"/>
          <w:sz w:val="18"/>
          <w:szCs w:val="18"/>
          <w:color w:val="auto"/>
        </w:rPr>
      </w:pPr>
    </w:p>
    <w:p>
      <w:pPr>
        <w:ind w:left="900" w:right="5500" w:hanging="568"/>
        <w:spacing w:after="0" w:line="277" w:lineRule="auto"/>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790,194 (See Items 3, 4, 5 and 6)</w:t>
      </w:r>
    </w:p>
    <w:p>
      <w:pPr>
        <w:spacing w:after="0" w:line="278" w:lineRule="exact"/>
        <w:rPr>
          <w:rFonts w:ascii="Arial" w:cs="Arial" w:eastAsia="Arial" w:hAnsi="Arial"/>
          <w:sz w:val="18"/>
          <w:szCs w:val="18"/>
          <w:color w:val="auto"/>
        </w:rPr>
      </w:pPr>
    </w:p>
    <w:p>
      <w:pPr>
        <w:ind w:left="900" w:hanging="568"/>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333" w:lineRule="exact"/>
        <w:rPr>
          <w:rFonts w:ascii="Arial" w:cs="Arial" w:eastAsia="Arial" w:hAnsi="Arial"/>
          <w:sz w:val="18"/>
          <w:szCs w:val="18"/>
          <w:color w:val="auto"/>
        </w:rPr>
      </w:pPr>
    </w:p>
    <w:p>
      <w:pPr>
        <w:ind w:left="900" w:hanging="568"/>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0.9%* (See Items 3, 4, 5 and 6)</w:t>
      </w:r>
    </w:p>
    <w:p>
      <w:pPr>
        <w:spacing w:after="0" w:line="318" w:lineRule="exact"/>
        <w:rPr>
          <w:rFonts w:ascii="Arial" w:cs="Arial" w:eastAsia="Arial" w:hAnsi="Arial"/>
          <w:sz w:val="18"/>
          <w:szCs w:val="18"/>
          <w:color w:val="auto"/>
        </w:rPr>
      </w:pPr>
    </w:p>
    <w:p>
      <w:pPr>
        <w:ind w:left="900" w:hanging="568"/>
        <w:spacing w:after="0"/>
        <w:tabs>
          <w:tab w:leader="none" w:pos="900" w:val="left"/>
        </w:tabs>
        <w:numPr>
          <w:ilvl w:val="1"/>
          <w:numId w:val="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40" w:hanging="77"/>
        <w:spacing w:after="0" w:line="308" w:lineRule="auto"/>
        <w:rPr>
          <w:rFonts w:ascii="Arial" w:cs="Arial" w:eastAsia="Arial" w:hAnsi="Arial"/>
          <w:sz w:val="18"/>
          <w:szCs w:val="18"/>
          <w:color w:val="auto"/>
        </w:rPr>
      </w:pPr>
      <w:r>
        <w:rPr>
          <w:rFonts w:ascii="Arial" w:cs="Arial" w:eastAsia="Arial" w:hAnsi="Arial"/>
          <w:sz w:val="17"/>
          <w:szCs w:val="17"/>
          <w:color w:val="auto"/>
        </w:rPr>
        <w:t>* The calculation of the percentage of outstanding shares is based on 83,319,660 shares of Common Stock outstanding as of April 30, 2021 as disclosed by the Issuer in its Current Report on Form 10-K, filed with the Securities and Exchange Commission on May 13, 2021 (“</w:t>
      </w:r>
      <w:r>
        <w:rPr>
          <w:rFonts w:ascii="Arial" w:cs="Arial" w:eastAsia="Arial" w:hAnsi="Arial"/>
          <w:sz w:val="17"/>
          <w:szCs w:val="17"/>
          <w:u w:val="single" w:color="auto"/>
          <w:color w:val="auto"/>
        </w:rPr>
        <w:t>10-K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-2392045</wp:posOffset>
            </wp:positionV>
            <wp:extent cx="598360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-608965</wp:posOffset>
            </wp:positionV>
            <wp:extent cx="65576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-1089025</wp:posOffset>
            </wp:positionV>
            <wp:extent cx="655764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-1569085</wp:posOffset>
            </wp:positionV>
            <wp:extent cx="65576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-1911985</wp:posOffset>
            </wp:positionV>
            <wp:extent cx="65576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-462915</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239395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6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00" w:right="8100" w:hanging="568"/>
        <w:spacing w:after="0" w:line="308"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Names of Reporting Persons AF V Energy IV AIV 1B, L.P.</w:t>
      </w:r>
    </w:p>
    <w:p>
      <w:pPr>
        <w:spacing w:after="0" w:line="254" w:lineRule="exact"/>
        <w:rPr>
          <w:rFonts w:ascii="Arial" w:cs="Arial" w:eastAsia="Arial" w:hAnsi="Arial"/>
          <w:sz w:val="17"/>
          <w:szCs w:val="17"/>
          <w:color w:val="auto"/>
        </w:rPr>
      </w:pPr>
    </w:p>
    <w:p>
      <w:pPr>
        <w:ind w:left="900" w:hanging="5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63" w:lineRule="exact"/>
        <w:rPr>
          <w:rFonts w:ascii="Arial" w:cs="Arial" w:eastAsia="Arial" w:hAnsi="Arial"/>
          <w:sz w:val="18"/>
          <w:szCs w:val="18"/>
          <w:color w:val="auto"/>
        </w:rPr>
      </w:pPr>
    </w:p>
    <w:p>
      <w:pPr>
        <w:ind w:left="1720" w:hanging="821"/>
        <w:spacing w:after="0"/>
        <w:tabs>
          <w:tab w:leader="none" w:pos="172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43" w:lineRule="exact"/>
        <w:rPr>
          <w:rFonts w:ascii="Arial" w:cs="Arial" w:eastAsia="Arial" w:hAnsi="Arial"/>
          <w:sz w:val="18"/>
          <w:szCs w:val="18"/>
          <w:color w:val="auto"/>
        </w:rPr>
      </w:pPr>
    </w:p>
    <w:p>
      <w:pPr>
        <w:ind w:left="1720" w:hanging="821"/>
        <w:spacing w:after="0" w:line="207" w:lineRule="exact"/>
        <w:tabs>
          <w:tab w:leader="none" w:pos="172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00" w:hanging="5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900" w:hanging="5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18" w:lineRule="exact"/>
        <w:rPr>
          <w:rFonts w:ascii="Arial" w:cs="Arial" w:eastAsia="Arial" w:hAnsi="Arial"/>
          <w:sz w:val="18"/>
          <w:szCs w:val="18"/>
          <w:color w:val="auto"/>
        </w:rPr>
      </w:pPr>
    </w:p>
    <w:p>
      <w:pPr>
        <w:ind w:left="900" w:hanging="568"/>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333" w:lineRule="exact"/>
        <w:rPr>
          <w:rFonts w:ascii="Arial" w:cs="Arial" w:eastAsia="Arial" w:hAnsi="Arial"/>
          <w:sz w:val="18"/>
          <w:szCs w:val="18"/>
          <w:color w:val="auto"/>
        </w:rPr>
      </w:pPr>
    </w:p>
    <w:p>
      <w:pPr>
        <w:ind w:left="900" w:right="7680" w:hanging="568"/>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-1905</wp:posOffset>
            </wp:positionV>
            <wp:extent cx="65576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-481965</wp:posOffset>
            </wp:positionV>
            <wp:extent cx="65576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-824865</wp:posOffset>
            </wp:positionV>
            <wp:extent cx="65576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-1304925</wp:posOffset>
            </wp:positionV>
            <wp:extent cx="655764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-1647825</wp:posOffset>
            </wp:positionV>
            <wp:extent cx="60604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1050925</wp:posOffset>
            </wp:positionH>
            <wp:positionV relativeFrom="paragraph">
              <wp:posOffset>-1828165</wp:posOffset>
            </wp:positionV>
            <wp:extent cx="60604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-2342515</wp:posOffset>
            </wp:positionV>
            <wp:extent cx="65576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9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1060" w:type="dxa"/>
            <w:vAlign w:val="bottom"/>
            <w:vMerge w:val="continue"/>
          </w:tcPr>
          <w:p>
            <w:pPr>
              <w:spacing w:after="0"/>
              <w:rPr>
                <w:sz w:val="24"/>
                <w:szCs w:val="24"/>
                <w:color w:val="auto"/>
              </w:rPr>
            </w:pPr>
          </w:p>
        </w:tc>
        <w:tc>
          <w:tcPr>
            <w:tcW w:w="720" w:type="dxa"/>
            <w:vAlign w:val="bottom"/>
            <w:vMerge w:val="restart"/>
          </w:tcPr>
          <w:p>
            <w:pPr>
              <w:jc w:val="right"/>
              <w:ind w:right="310"/>
              <w:spacing w:after="0"/>
              <w:rPr>
                <w:sz w:val="20"/>
                <w:szCs w:val="20"/>
                <w:color w:val="auto"/>
              </w:rPr>
            </w:pPr>
            <w:r>
              <w:rPr>
                <w:rFonts w:ascii="Arial" w:cs="Arial" w:eastAsia="Arial" w:hAnsi="Arial"/>
                <w:sz w:val="18"/>
                <w:szCs w:val="18"/>
                <w:color w:val="auto"/>
              </w:rPr>
              <w:t>8.</w:t>
            </w:r>
          </w:p>
        </w:tc>
        <w:tc>
          <w:tcPr>
            <w:tcW w:w="9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72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21"/>
                <w:szCs w:val="21"/>
                <w:color w:val="auto"/>
              </w:rPr>
            </w:pPr>
          </w:p>
        </w:tc>
        <w:tc>
          <w:tcPr>
            <w:tcW w:w="9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2,901,771 (See Items 3, 4, 5 and 6)</w:t>
            </w: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942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spacing w:after="0"/>
              <w:rPr>
                <w:sz w:val="18"/>
                <w:szCs w:val="18"/>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7"/>
                <w:szCs w:val="7"/>
                <w:color w:val="auto"/>
              </w:rPr>
            </w:pPr>
          </w:p>
        </w:tc>
        <w:tc>
          <w:tcPr>
            <w:tcW w:w="9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0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00" w:hanging="563"/>
        <w:spacing w:after="0"/>
        <w:tabs>
          <w:tab w:leader="none" w:pos="180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00"/>
        <w:spacing w:after="0"/>
        <w:rPr>
          <w:rFonts w:ascii="Arial" w:cs="Arial" w:eastAsia="Arial" w:hAnsi="Arial"/>
          <w:sz w:val="18"/>
          <w:szCs w:val="18"/>
          <w:color w:val="auto"/>
        </w:rPr>
      </w:pPr>
      <w:r>
        <w:rPr>
          <w:rFonts w:ascii="Arial" w:cs="Arial" w:eastAsia="Arial" w:hAnsi="Arial"/>
          <w:sz w:val="18"/>
          <w:szCs w:val="18"/>
          <w:color w:val="auto"/>
        </w:rPr>
        <w:t>2,901,771 (See Items 3, 4, 5 and 6)</w:t>
      </w:r>
    </w:p>
    <w:p>
      <w:pPr>
        <w:spacing w:after="0" w:line="318" w:lineRule="exact"/>
        <w:rPr>
          <w:rFonts w:ascii="Arial" w:cs="Arial" w:eastAsia="Arial" w:hAnsi="Arial"/>
          <w:sz w:val="18"/>
          <w:szCs w:val="18"/>
          <w:color w:val="auto"/>
        </w:rPr>
      </w:pPr>
    </w:p>
    <w:p>
      <w:pPr>
        <w:ind w:left="900" w:right="5500" w:hanging="568"/>
        <w:spacing w:after="0" w:line="277" w:lineRule="auto"/>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2,901,771 (See Items 3, 4, 5 and 6)</w:t>
      </w:r>
    </w:p>
    <w:p>
      <w:pPr>
        <w:spacing w:after="0" w:line="278" w:lineRule="exact"/>
        <w:rPr>
          <w:rFonts w:ascii="Arial" w:cs="Arial" w:eastAsia="Arial" w:hAnsi="Arial"/>
          <w:sz w:val="18"/>
          <w:szCs w:val="18"/>
          <w:color w:val="auto"/>
        </w:rPr>
      </w:pPr>
    </w:p>
    <w:p>
      <w:pPr>
        <w:ind w:left="900" w:hanging="568"/>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333" w:lineRule="exact"/>
        <w:rPr>
          <w:rFonts w:ascii="Arial" w:cs="Arial" w:eastAsia="Arial" w:hAnsi="Arial"/>
          <w:sz w:val="18"/>
          <w:szCs w:val="18"/>
          <w:color w:val="auto"/>
        </w:rPr>
      </w:pPr>
    </w:p>
    <w:p>
      <w:pPr>
        <w:ind w:left="900" w:hanging="568"/>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3.5%* (See Items 3, 4, 5 and 6)</w:t>
      </w:r>
    </w:p>
    <w:p>
      <w:pPr>
        <w:spacing w:after="0" w:line="318" w:lineRule="exact"/>
        <w:rPr>
          <w:rFonts w:ascii="Arial" w:cs="Arial" w:eastAsia="Arial" w:hAnsi="Arial"/>
          <w:sz w:val="18"/>
          <w:szCs w:val="18"/>
          <w:color w:val="auto"/>
        </w:rPr>
      </w:pPr>
    </w:p>
    <w:p>
      <w:pPr>
        <w:ind w:left="900" w:hanging="568"/>
        <w:spacing w:after="0"/>
        <w:tabs>
          <w:tab w:leader="none" w:pos="900" w:val="left"/>
        </w:tabs>
        <w:numPr>
          <w:ilvl w:val="1"/>
          <w:numId w:val="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94" w:lineRule="exact"/>
        <w:rPr>
          <w:rFonts w:ascii="Arial" w:cs="Arial" w:eastAsia="Arial" w:hAnsi="Arial"/>
          <w:sz w:val="18"/>
          <w:szCs w:val="18"/>
          <w:color w:val="auto"/>
        </w:rPr>
      </w:pPr>
    </w:p>
    <w:p>
      <w:pPr>
        <w:ind w:left="40" w:hanging="81"/>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-2376805</wp:posOffset>
            </wp:positionV>
            <wp:extent cx="59836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-593725</wp:posOffset>
            </wp:positionV>
            <wp:extent cx="655764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-1073785</wp:posOffset>
            </wp:positionV>
            <wp:extent cx="655764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-1553845</wp:posOffset>
            </wp:positionV>
            <wp:extent cx="655764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-1896745</wp:posOffset>
            </wp:positionV>
            <wp:extent cx="655764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-447675</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-19685</wp:posOffset>
            </wp:positionH>
            <wp:positionV relativeFrom="paragraph">
              <wp:posOffset>254635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60" w:top="908" w:right="339" w:bottom="1440" w:gutter="0" w:footer="0" w:header="0"/>
        </w:sectPr>
      </w:pPr>
    </w:p>
    <w:bookmarkStart w:id="3" w:name="page4"/>
    <w:bookmarkEnd w:id="3"/>
    <w:p>
      <w:pPr>
        <w:ind w:left="4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7" w:lineRule="exact"/>
        <w:rPr>
          <w:sz w:val="20"/>
          <w:szCs w:val="20"/>
          <w:color w:val="auto"/>
        </w:rPr>
      </w:pPr>
    </w:p>
    <w:p>
      <w:pPr>
        <w:jc w:val="both"/>
        <w:ind w:left="940" w:right="8220" w:hanging="568"/>
        <w:spacing w:after="0" w:line="342" w:lineRule="auto"/>
        <w:tabs>
          <w:tab w:leader="none" w:pos="9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Names of Reporting Persons AF V Energy IV AIV 2, L.P.</w:t>
      </w:r>
    </w:p>
    <w:p>
      <w:pPr>
        <w:spacing w:after="0" w:line="231" w:lineRule="exact"/>
        <w:rPr>
          <w:rFonts w:ascii="Arial" w:cs="Arial" w:eastAsia="Arial" w:hAnsi="Arial"/>
          <w:sz w:val="16"/>
          <w:szCs w:val="16"/>
          <w:color w:val="auto"/>
        </w:rPr>
      </w:pPr>
    </w:p>
    <w:p>
      <w:pPr>
        <w:ind w:left="940" w:hanging="56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63" w:lineRule="exact"/>
        <w:rPr>
          <w:rFonts w:ascii="Arial" w:cs="Arial" w:eastAsia="Arial" w:hAnsi="Arial"/>
          <w:sz w:val="18"/>
          <w:szCs w:val="18"/>
          <w:color w:val="auto"/>
        </w:rPr>
      </w:pPr>
    </w:p>
    <w:p>
      <w:pPr>
        <w:ind w:left="1760" w:hanging="821"/>
        <w:spacing w:after="0"/>
        <w:tabs>
          <w:tab w:leader="none" w:pos="176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43" w:lineRule="exact"/>
        <w:rPr>
          <w:rFonts w:ascii="Arial" w:cs="Arial" w:eastAsia="Arial" w:hAnsi="Arial"/>
          <w:sz w:val="18"/>
          <w:szCs w:val="18"/>
          <w:color w:val="auto"/>
        </w:rPr>
      </w:pPr>
    </w:p>
    <w:p>
      <w:pPr>
        <w:ind w:left="1760" w:hanging="821"/>
        <w:spacing w:after="0" w:line="207" w:lineRule="exact"/>
        <w:tabs>
          <w:tab w:leader="none" w:pos="176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40" w:hanging="56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940" w:hanging="56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18" w:lineRule="exact"/>
        <w:rPr>
          <w:rFonts w:ascii="Arial" w:cs="Arial" w:eastAsia="Arial" w:hAnsi="Arial"/>
          <w:sz w:val="18"/>
          <w:szCs w:val="18"/>
          <w:color w:val="auto"/>
        </w:rPr>
      </w:pPr>
    </w:p>
    <w:p>
      <w:pPr>
        <w:ind w:left="940" w:hanging="56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333" w:lineRule="exact"/>
        <w:rPr>
          <w:rFonts w:ascii="Arial" w:cs="Arial" w:eastAsia="Arial" w:hAnsi="Arial"/>
          <w:sz w:val="18"/>
          <w:szCs w:val="18"/>
          <w:color w:val="auto"/>
        </w:rPr>
      </w:pPr>
    </w:p>
    <w:p>
      <w:pPr>
        <w:ind w:left="940" w:hanging="568"/>
        <w:spacing w:after="0"/>
        <w:tabs>
          <w:tab w:leader="none" w:pos="9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-310515</wp:posOffset>
            </wp:positionV>
            <wp:extent cx="655764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-653415</wp:posOffset>
            </wp:positionV>
            <wp:extent cx="65576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-1133475</wp:posOffset>
            </wp:positionV>
            <wp:extent cx="65576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-1476375</wp:posOffset>
            </wp:positionV>
            <wp:extent cx="60604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-1656080</wp:posOffset>
            </wp:positionV>
            <wp:extent cx="60604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-2170430</wp:posOffset>
            </wp:positionV>
            <wp:extent cx="65576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22860</wp:posOffset>
            </wp:positionV>
            <wp:extent cx="655764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9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1060" w:type="dxa"/>
            <w:vAlign w:val="bottom"/>
            <w:vMerge w:val="continue"/>
          </w:tcPr>
          <w:p>
            <w:pPr>
              <w:spacing w:after="0"/>
              <w:rPr>
                <w:sz w:val="24"/>
                <w:szCs w:val="24"/>
                <w:color w:val="auto"/>
              </w:rPr>
            </w:pPr>
          </w:p>
        </w:tc>
        <w:tc>
          <w:tcPr>
            <w:tcW w:w="720" w:type="dxa"/>
            <w:vAlign w:val="bottom"/>
            <w:vMerge w:val="restart"/>
          </w:tcPr>
          <w:p>
            <w:pPr>
              <w:jc w:val="right"/>
              <w:ind w:right="310"/>
              <w:spacing w:after="0"/>
              <w:rPr>
                <w:sz w:val="20"/>
                <w:szCs w:val="20"/>
                <w:color w:val="auto"/>
              </w:rPr>
            </w:pPr>
            <w:r>
              <w:rPr>
                <w:rFonts w:ascii="Arial" w:cs="Arial" w:eastAsia="Arial" w:hAnsi="Arial"/>
                <w:sz w:val="18"/>
                <w:szCs w:val="18"/>
                <w:color w:val="auto"/>
              </w:rPr>
              <w:t>8.</w:t>
            </w:r>
          </w:p>
        </w:tc>
        <w:tc>
          <w:tcPr>
            <w:tcW w:w="9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72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21"/>
                <w:szCs w:val="21"/>
                <w:color w:val="auto"/>
              </w:rPr>
            </w:pPr>
          </w:p>
        </w:tc>
        <w:tc>
          <w:tcPr>
            <w:tcW w:w="9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2,958,809 (See Items 3, 4, 5 and 6)</w:t>
            </w: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942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spacing w:after="0"/>
              <w:rPr>
                <w:sz w:val="18"/>
                <w:szCs w:val="18"/>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7"/>
                <w:szCs w:val="7"/>
                <w:color w:val="auto"/>
              </w:rPr>
            </w:pPr>
          </w:p>
        </w:tc>
        <w:tc>
          <w:tcPr>
            <w:tcW w:w="9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0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563"/>
        <w:spacing w:after="0"/>
        <w:tabs>
          <w:tab w:leader="none" w:pos="1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2,958,809 (See Items 3, 4, 5 and 6)</w:t>
      </w:r>
    </w:p>
    <w:p>
      <w:pPr>
        <w:spacing w:after="0" w:line="318" w:lineRule="exact"/>
        <w:rPr>
          <w:rFonts w:ascii="Arial" w:cs="Arial" w:eastAsia="Arial" w:hAnsi="Arial"/>
          <w:sz w:val="18"/>
          <w:szCs w:val="18"/>
          <w:color w:val="auto"/>
        </w:rPr>
      </w:pPr>
    </w:p>
    <w:p>
      <w:pPr>
        <w:ind w:left="940" w:right="5500" w:hanging="568"/>
        <w:spacing w:after="0" w:line="277"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2,958,809 (See Items 3, 4, 5 and 6)</w:t>
      </w:r>
    </w:p>
    <w:p>
      <w:pPr>
        <w:spacing w:after="0" w:line="278" w:lineRule="exact"/>
        <w:rPr>
          <w:rFonts w:ascii="Arial" w:cs="Arial" w:eastAsia="Arial" w:hAnsi="Arial"/>
          <w:sz w:val="18"/>
          <w:szCs w:val="18"/>
          <w:color w:val="auto"/>
        </w:rPr>
      </w:pPr>
    </w:p>
    <w:p>
      <w:pPr>
        <w:ind w:left="940" w:hanging="568"/>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333" w:lineRule="exact"/>
        <w:rPr>
          <w:rFonts w:ascii="Arial" w:cs="Arial" w:eastAsia="Arial" w:hAnsi="Arial"/>
          <w:sz w:val="18"/>
          <w:szCs w:val="18"/>
          <w:color w:val="auto"/>
        </w:rPr>
      </w:pPr>
    </w:p>
    <w:p>
      <w:pPr>
        <w:ind w:left="940" w:right="6420" w:hanging="568"/>
        <w:spacing w:after="0" w:line="277" w:lineRule="auto"/>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3.6%* (See Items 3, 4, 5 and 6)</w:t>
      </w:r>
    </w:p>
    <w:p>
      <w:pPr>
        <w:spacing w:after="0" w:line="278" w:lineRule="exact"/>
        <w:rPr>
          <w:rFonts w:ascii="Arial" w:cs="Arial" w:eastAsia="Arial" w:hAnsi="Arial"/>
          <w:sz w:val="18"/>
          <w:szCs w:val="18"/>
          <w:color w:val="auto"/>
        </w:rPr>
      </w:pPr>
    </w:p>
    <w:p>
      <w:pPr>
        <w:ind w:left="940" w:hanging="568"/>
        <w:spacing w:after="0"/>
        <w:tabs>
          <w:tab w:leader="none" w:pos="9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-1759585</wp:posOffset>
            </wp:positionV>
            <wp:extent cx="598360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22860</wp:posOffset>
            </wp:positionV>
            <wp:extent cx="655764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ind w:left="4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40" w:right="8240" w:hanging="568"/>
        <w:spacing w:after="0" w:line="342" w:lineRule="auto"/>
        <w:tabs>
          <w:tab w:leader="none" w:pos="9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Names of Reporting Persons AEOF ECR AIV A-B, L.P.</w:t>
      </w:r>
    </w:p>
    <w:p>
      <w:pPr>
        <w:spacing w:after="0" w:line="231" w:lineRule="exact"/>
        <w:rPr>
          <w:rFonts w:ascii="Arial" w:cs="Arial" w:eastAsia="Arial" w:hAnsi="Arial"/>
          <w:sz w:val="16"/>
          <w:szCs w:val="16"/>
          <w:color w:val="auto"/>
        </w:rPr>
      </w:pPr>
    </w:p>
    <w:p>
      <w:pPr>
        <w:ind w:left="940" w:hanging="568"/>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63" w:lineRule="exact"/>
        <w:rPr>
          <w:rFonts w:ascii="Arial" w:cs="Arial" w:eastAsia="Arial" w:hAnsi="Arial"/>
          <w:sz w:val="18"/>
          <w:szCs w:val="18"/>
          <w:color w:val="auto"/>
        </w:rPr>
      </w:pPr>
    </w:p>
    <w:p>
      <w:pPr>
        <w:ind w:left="1760" w:hanging="821"/>
        <w:spacing w:after="0"/>
        <w:tabs>
          <w:tab w:leader="none" w:pos="17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o</w:t>
      </w:r>
    </w:p>
    <w:p>
      <w:pPr>
        <w:spacing w:after="0" w:line="43" w:lineRule="exact"/>
        <w:rPr>
          <w:rFonts w:ascii="Arial" w:cs="Arial" w:eastAsia="Arial" w:hAnsi="Arial"/>
          <w:sz w:val="18"/>
          <w:szCs w:val="18"/>
          <w:color w:val="auto"/>
        </w:rPr>
      </w:pPr>
    </w:p>
    <w:p>
      <w:pPr>
        <w:ind w:left="1760" w:hanging="821"/>
        <w:spacing w:after="0" w:line="207" w:lineRule="exact"/>
        <w:tabs>
          <w:tab w:leader="none" w:pos="1760" w:val="left"/>
        </w:tabs>
        <w:numPr>
          <w:ilvl w:val="1"/>
          <w:numId w:val="1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40" w:hanging="568"/>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940" w:hanging="568"/>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18" w:lineRule="exact"/>
        <w:rPr>
          <w:rFonts w:ascii="Arial" w:cs="Arial" w:eastAsia="Arial" w:hAnsi="Arial"/>
          <w:sz w:val="18"/>
          <w:szCs w:val="18"/>
          <w:color w:val="auto"/>
        </w:rPr>
      </w:pPr>
    </w:p>
    <w:p>
      <w:pPr>
        <w:ind w:left="940" w:hanging="568"/>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333" w:lineRule="exact"/>
        <w:rPr>
          <w:rFonts w:ascii="Arial" w:cs="Arial" w:eastAsia="Arial" w:hAnsi="Arial"/>
          <w:sz w:val="18"/>
          <w:szCs w:val="18"/>
          <w:color w:val="auto"/>
        </w:rPr>
      </w:pPr>
    </w:p>
    <w:p>
      <w:pPr>
        <w:ind w:left="940" w:hanging="568"/>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-310515</wp:posOffset>
            </wp:positionV>
            <wp:extent cx="655764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-653415</wp:posOffset>
            </wp:positionV>
            <wp:extent cx="655764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-1133475</wp:posOffset>
            </wp:positionV>
            <wp:extent cx="65576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-1476375</wp:posOffset>
            </wp:positionV>
            <wp:extent cx="60604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-1656080</wp:posOffset>
            </wp:positionV>
            <wp:extent cx="60604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-2170430</wp:posOffset>
            </wp:positionV>
            <wp:extent cx="65576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22860</wp:posOffset>
            </wp:positionV>
            <wp:extent cx="655764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942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20" w:type="dxa"/>
            <w:vAlign w:val="bottom"/>
          </w:tcPr>
          <w:p>
            <w:pPr>
              <w:spacing w:after="0"/>
              <w:rPr>
                <w:sz w:val="2"/>
                <w:szCs w:val="2"/>
                <w:color w:val="auto"/>
              </w:rPr>
            </w:pPr>
          </w:p>
        </w:tc>
        <w:tc>
          <w:tcPr>
            <w:tcW w:w="9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1060" w:type="dxa"/>
            <w:vAlign w:val="bottom"/>
            <w:vMerge w:val="continue"/>
          </w:tcPr>
          <w:p>
            <w:pPr>
              <w:spacing w:after="0"/>
              <w:rPr>
                <w:sz w:val="24"/>
                <w:szCs w:val="24"/>
                <w:color w:val="auto"/>
              </w:rPr>
            </w:pPr>
          </w:p>
        </w:tc>
        <w:tc>
          <w:tcPr>
            <w:tcW w:w="720" w:type="dxa"/>
            <w:vAlign w:val="bottom"/>
            <w:vMerge w:val="restart"/>
          </w:tcPr>
          <w:p>
            <w:pPr>
              <w:jc w:val="right"/>
              <w:ind w:right="310"/>
              <w:spacing w:after="0"/>
              <w:rPr>
                <w:sz w:val="20"/>
                <w:szCs w:val="20"/>
                <w:color w:val="auto"/>
              </w:rPr>
            </w:pPr>
            <w:r>
              <w:rPr>
                <w:rFonts w:ascii="Arial" w:cs="Arial" w:eastAsia="Arial" w:hAnsi="Arial"/>
                <w:sz w:val="18"/>
                <w:szCs w:val="18"/>
                <w:color w:val="auto"/>
              </w:rPr>
              <w:t>8.</w:t>
            </w:r>
          </w:p>
        </w:tc>
        <w:tc>
          <w:tcPr>
            <w:tcW w:w="942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72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20" w:type="dxa"/>
            <w:vAlign w:val="bottom"/>
          </w:tcPr>
          <w:p>
            <w:pPr>
              <w:spacing w:after="0"/>
              <w:rPr>
                <w:sz w:val="21"/>
                <w:szCs w:val="21"/>
                <w:color w:val="auto"/>
              </w:rPr>
            </w:pPr>
          </w:p>
        </w:tc>
        <w:tc>
          <w:tcPr>
            <w:tcW w:w="9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1,894,861 (See Items 3, 4, 5 and 6)</w:t>
            </w:r>
          </w:p>
        </w:tc>
        <w:tc>
          <w:tcPr>
            <w:tcW w:w="0" w:type="dxa"/>
            <w:vAlign w:val="bottom"/>
          </w:tcPr>
          <w:p>
            <w:pPr>
              <w:spacing w:after="0"/>
              <w:rPr>
                <w:sz w:val="1"/>
                <w:szCs w:val="1"/>
                <w:color w:val="auto"/>
              </w:rPr>
            </w:pPr>
          </w:p>
        </w:tc>
      </w:tr>
      <w:tr>
        <w:trPr>
          <w:trHeight w:val="209"/>
        </w:trPr>
        <w:tc>
          <w:tcPr>
            <w:tcW w:w="1060" w:type="dxa"/>
            <w:vAlign w:val="bottom"/>
          </w:tcPr>
          <w:p>
            <w:pPr>
              <w:spacing w:after="0"/>
              <w:rPr>
                <w:sz w:val="20"/>
                <w:szCs w:val="20"/>
                <w:color w:val="auto"/>
              </w:rPr>
            </w:pPr>
            <w:r>
              <w:rPr>
                <w:rFonts w:ascii="Arial" w:cs="Arial" w:eastAsia="Arial" w:hAnsi="Arial"/>
                <w:sz w:val="18"/>
                <w:szCs w:val="18"/>
                <w:color w:val="auto"/>
              </w:rPr>
              <w:t>Owned by</w:t>
            </w:r>
          </w:p>
        </w:tc>
        <w:tc>
          <w:tcPr>
            <w:tcW w:w="72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2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942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20" w:type="dxa"/>
            <w:vAlign w:val="bottom"/>
          </w:tcPr>
          <w:p>
            <w:pPr>
              <w:spacing w:after="0"/>
              <w:rPr>
                <w:sz w:val="18"/>
                <w:szCs w:val="18"/>
                <w:color w:val="auto"/>
              </w:rPr>
            </w:pPr>
          </w:p>
        </w:tc>
        <w:tc>
          <w:tcPr>
            <w:tcW w:w="9420" w:type="dxa"/>
            <w:vAlign w:val="bottom"/>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1"/>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20" w:type="dxa"/>
            <w:vAlign w:val="bottom"/>
          </w:tcPr>
          <w:p>
            <w:pPr>
              <w:spacing w:after="0"/>
              <w:rPr>
                <w:sz w:val="7"/>
                <w:szCs w:val="7"/>
                <w:color w:val="auto"/>
              </w:rPr>
            </w:pPr>
          </w:p>
        </w:tc>
        <w:tc>
          <w:tcPr>
            <w:tcW w:w="9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1060" w:type="dxa"/>
            <w:vAlign w:val="bottom"/>
            <w:vMerge w:val="continue"/>
          </w:tcPr>
          <w:p>
            <w:pPr>
              <w:spacing w:after="0"/>
              <w:rPr>
                <w:sz w:val="11"/>
                <w:szCs w:val="11"/>
                <w:color w:val="auto"/>
              </w:rPr>
            </w:pPr>
          </w:p>
        </w:tc>
        <w:tc>
          <w:tcPr>
            <w:tcW w:w="720" w:type="dxa"/>
            <w:vAlign w:val="bottom"/>
          </w:tcPr>
          <w:p>
            <w:pPr>
              <w:spacing w:after="0"/>
              <w:rPr>
                <w:sz w:val="11"/>
                <w:szCs w:val="11"/>
                <w:color w:val="auto"/>
              </w:rPr>
            </w:pPr>
          </w:p>
        </w:tc>
        <w:tc>
          <w:tcPr>
            <w:tcW w:w="9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40" w:hanging="563"/>
        <w:spacing w:after="0"/>
        <w:tabs>
          <w:tab w:leader="none" w:pos="18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40"/>
        <w:spacing w:after="0"/>
        <w:rPr>
          <w:rFonts w:ascii="Arial" w:cs="Arial" w:eastAsia="Arial" w:hAnsi="Arial"/>
          <w:sz w:val="18"/>
          <w:szCs w:val="18"/>
          <w:color w:val="auto"/>
        </w:rPr>
      </w:pPr>
      <w:r>
        <w:rPr>
          <w:rFonts w:ascii="Arial" w:cs="Arial" w:eastAsia="Arial" w:hAnsi="Arial"/>
          <w:sz w:val="18"/>
          <w:szCs w:val="18"/>
          <w:color w:val="auto"/>
        </w:rPr>
        <w:t>1,894,861 (See Items 3, 4, 5 and 6)</w:t>
      </w:r>
    </w:p>
    <w:p>
      <w:pPr>
        <w:spacing w:after="0" w:line="318" w:lineRule="exact"/>
        <w:rPr>
          <w:rFonts w:ascii="Arial" w:cs="Arial" w:eastAsia="Arial" w:hAnsi="Arial"/>
          <w:sz w:val="18"/>
          <w:szCs w:val="18"/>
          <w:color w:val="auto"/>
        </w:rPr>
      </w:pPr>
    </w:p>
    <w:p>
      <w:pPr>
        <w:ind w:left="940" w:right="5500" w:hanging="568"/>
        <w:spacing w:after="0" w:line="277"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1,894,861 (See Items 3, 4, 5 and 6)</w:t>
      </w:r>
    </w:p>
    <w:p>
      <w:pPr>
        <w:spacing w:after="0" w:line="278" w:lineRule="exact"/>
        <w:rPr>
          <w:rFonts w:ascii="Arial" w:cs="Arial" w:eastAsia="Arial" w:hAnsi="Arial"/>
          <w:sz w:val="18"/>
          <w:szCs w:val="18"/>
          <w:color w:val="auto"/>
        </w:rPr>
      </w:pPr>
    </w:p>
    <w:p>
      <w:pPr>
        <w:ind w:left="940" w:hanging="568"/>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333" w:lineRule="exact"/>
        <w:rPr>
          <w:rFonts w:ascii="Arial" w:cs="Arial" w:eastAsia="Arial" w:hAnsi="Arial"/>
          <w:sz w:val="18"/>
          <w:szCs w:val="18"/>
          <w:color w:val="auto"/>
        </w:rPr>
      </w:pPr>
    </w:p>
    <w:p>
      <w:pPr>
        <w:ind w:left="940" w:right="6420" w:hanging="568"/>
        <w:spacing w:after="0" w:line="277" w:lineRule="auto"/>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2.3%* (See Items 3, 4, 5 and 6)</w:t>
      </w:r>
    </w:p>
    <w:p>
      <w:pPr>
        <w:spacing w:after="0" w:line="278" w:lineRule="exact"/>
        <w:rPr>
          <w:rFonts w:ascii="Arial" w:cs="Arial" w:eastAsia="Arial" w:hAnsi="Arial"/>
          <w:sz w:val="18"/>
          <w:szCs w:val="18"/>
          <w:color w:val="auto"/>
        </w:rPr>
      </w:pPr>
    </w:p>
    <w:p>
      <w:pPr>
        <w:ind w:left="940" w:hanging="568"/>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-1759585</wp:posOffset>
            </wp:positionV>
            <wp:extent cx="598360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22860</wp:posOffset>
            </wp:positionV>
            <wp:extent cx="655764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-456565</wp:posOffset>
            </wp:positionV>
            <wp:extent cx="65576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-1279525</wp:posOffset>
            </wp:positionV>
            <wp:extent cx="655764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17830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ind w:left="4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840" w:hanging="50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AEOF ECR AIV C, L.P.</w:t>
      </w:r>
    </w:p>
    <w:p>
      <w:pPr>
        <w:spacing w:after="0" w:line="210" w:lineRule="exact"/>
        <w:rPr>
          <w:rFonts w:ascii="Arial" w:cs="Arial" w:eastAsia="Arial" w:hAnsi="Arial"/>
          <w:sz w:val="18"/>
          <w:szCs w:val="18"/>
          <w:color w:val="auto"/>
        </w:rPr>
      </w:pPr>
    </w:p>
    <w:p>
      <w:pPr>
        <w:ind w:left="840" w:hanging="50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20" w:hanging="880"/>
        <w:spacing w:after="0" w:line="207" w:lineRule="exact"/>
        <w:tabs>
          <w:tab w:leader="none" w:pos="17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20" w:hanging="880"/>
        <w:spacing w:after="0" w:line="207" w:lineRule="exact"/>
        <w:tabs>
          <w:tab w:leader="none" w:pos="1720" w:val="left"/>
        </w:tabs>
        <w:numPr>
          <w:ilvl w:val="1"/>
          <w:numId w:val="1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840" w:hanging="50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840" w:hanging="50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840" w:hanging="501"/>
        <w:spacing w:after="0" w:line="207" w:lineRule="exact"/>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840" w:hanging="501"/>
        <w:spacing w:after="0"/>
        <w:tabs>
          <w:tab w:leader="none" w:pos="8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-259080</wp:posOffset>
            </wp:positionV>
            <wp:extent cx="6626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-533400</wp:posOffset>
            </wp:positionV>
            <wp:extent cx="6626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-944880</wp:posOffset>
            </wp:positionV>
            <wp:extent cx="662622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-1219200</wp:posOffset>
            </wp:positionV>
            <wp:extent cx="61290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-1364615</wp:posOffset>
            </wp:positionV>
            <wp:extent cx="61290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-1776095</wp:posOffset>
            </wp:positionV>
            <wp:extent cx="66262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626225" cy="8890"/>
                    </a:xfrm>
                    <a:prstGeom prst="rect">
                      <a:avLst/>
                    </a:prstGeom>
                    <a:noFill/>
                  </pic:spPr>
                </pic:pic>
              </a:graphicData>
            </a:graphic>
          </wp:anchor>
        </w:drawing>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2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20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804,524 (See Items 3, 4, 5 and 6)</w:t>
            </w: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20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82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60" w:hanging="545"/>
        <w:spacing w:after="0"/>
        <w:tabs>
          <w:tab w:leader="none" w:pos="2060" w:val="left"/>
        </w:tabs>
        <w:numPr>
          <w:ilvl w:val="2"/>
          <w:numId w:val="1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2060"/>
        <w:spacing w:after="0"/>
        <w:rPr>
          <w:rFonts w:ascii="Arial" w:cs="Arial" w:eastAsia="Arial" w:hAnsi="Arial"/>
          <w:sz w:val="18"/>
          <w:szCs w:val="18"/>
          <w:color w:val="auto"/>
        </w:rPr>
      </w:pPr>
      <w:r>
        <w:rPr>
          <w:rFonts w:ascii="Arial" w:cs="Arial" w:eastAsia="Arial" w:hAnsi="Arial"/>
          <w:sz w:val="18"/>
          <w:szCs w:val="18"/>
          <w:color w:val="auto"/>
        </w:rPr>
        <w:t>804,524 (See Items 3, 4, 5 and 6)</w:t>
      </w:r>
    </w:p>
    <w:p>
      <w:pPr>
        <w:spacing w:after="0" w:line="237" w:lineRule="exact"/>
        <w:rPr>
          <w:rFonts w:ascii="Arial" w:cs="Arial" w:eastAsia="Arial" w:hAnsi="Arial"/>
          <w:sz w:val="18"/>
          <w:szCs w:val="18"/>
          <w:color w:val="auto"/>
        </w:rPr>
      </w:pPr>
    </w:p>
    <w:p>
      <w:pPr>
        <w:ind w:left="840" w:right="5600" w:hanging="543"/>
        <w:spacing w:after="0" w:line="277" w:lineRule="auto"/>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804,524 (See Items 3, 4, 5 and 6)</w:t>
      </w:r>
    </w:p>
    <w:p>
      <w:pPr>
        <w:spacing w:after="0" w:line="137" w:lineRule="exact"/>
        <w:rPr>
          <w:rFonts w:ascii="Arial" w:cs="Arial" w:eastAsia="Arial" w:hAnsi="Arial"/>
          <w:sz w:val="18"/>
          <w:szCs w:val="18"/>
          <w:color w:val="auto"/>
        </w:rPr>
      </w:pPr>
    </w:p>
    <w:p>
      <w:pPr>
        <w:ind w:left="840" w:hanging="546"/>
        <w:spacing w:after="0" w:line="207" w:lineRule="exact"/>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840" w:hanging="546"/>
        <w:spacing w:after="0"/>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1.0%* (See Items 3, 4, 5 and 6)</w:t>
      </w:r>
    </w:p>
    <w:p>
      <w:pPr>
        <w:spacing w:after="0" w:line="210" w:lineRule="exact"/>
        <w:rPr>
          <w:rFonts w:ascii="Arial" w:cs="Arial" w:eastAsia="Arial" w:hAnsi="Arial"/>
          <w:sz w:val="18"/>
          <w:szCs w:val="18"/>
          <w:color w:val="auto"/>
        </w:rPr>
      </w:pPr>
    </w:p>
    <w:p>
      <w:pPr>
        <w:ind w:left="840" w:hanging="546"/>
        <w:spacing w:after="0"/>
        <w:tabs>
          <w:tab w:leader="none" w:pos="8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59"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-2051050</wp:posOffset>
            </wp:positionV>
            <wp:extent cx="58464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-525145</wp:posOffset>
            </wp:positionV>
            <wp:extent cx="66262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-936625</wp:posOffset>
            </wp:positionV>
            <wp:extent cx="66262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-1348105</wp:posOffset>
            </wp:positionV>
            <wp:extent cx="66262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-1622425</wp:posOffset>
            </wp:positionV>
            <wp:extent cx="66262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6" w:name="page7"/>
    <w:bookmarkEnd w:id="6"/>
    <w:p>
      <w:pPr>
        <w:ind w:left="4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840" w:right="8340" w:hanging="501"/>
        <w:spacing w:after="0" w:line="342" w:lineRule="auto"/>
        <w:tabs>
          <w:tab w:leader="none" w:pos="8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Names of Reporting Persons AF Energy Feeder, L.P.</w:t>
      </w:r>
    </w:p>
    <w:p>
      <w:pPr>
        <w:spacing w:after="0" w:line="123" w:lineRule="exact"/>
        <w:rPr>
          <w:rFonts w:ascii="Arial" w:cs="Arial" w:eastAsia="Arial" w:hAnsi="Arial"/>
          <w:sz w:val="16"/>
          <w:szCs w:val="16"/>
          <w:color w:val="auto"/>
        </w:rPr>
      </w:pPr>
    </w:p>
    <w:p>
      <w:pPr>
        <w:ind w:left="840" w:hanging="501"/>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20" w:hanging="880"/>
        <w:spacing w:after="0" w:line="207" w:lineRule="exact"/>
        <w:tabs>
          <w:tab w:leader="none" w:pos="17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20" w:hanging="880"/>
        <w:spacing w:after="0" w:line="207" w:lineRule="exact"/>
        <w:tabs>
          <w:tab w:leader="none" w:pos="1720" w:val="left"/>
        </w:tabs>
        <w:numPr>
          <w:ilvl w:val="1"/>
          <w:numId w:val="1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840" w:hanging="501"/>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840" w:hanging="501"/>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840" w:hanging="501"/>
        <w:spacing w:after="0" w:line="207" w:lineRule="exact"/>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840" w:hanging="501"/>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-259080</wp:posOffset>
            </wp:positionV>
            <wp:extent cx="66262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-533400</wp:posOffset>
            </wp:positionV>
            <wp:extent cx="662622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-944880</wp:posOffset>
            </wp:positionV>
            <wp:extent cx="662622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-1219200</wp:posOffset>
            </wp:positionV>
            <wp:extent cx="61290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-1364615</wp:posOffset>
            </wp:positionV>
            <wp:extent cx="61290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12902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-1776095</wp:posOffset>
            </wp:positionV>
            <wp:extent cx="66262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2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20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5,815,182 (See Items 3, 4, 5 and 6)</w:t>
            </w: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20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82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60" w:hanging="545"/>
        <w:spacing w:after="0"/>
        <w:tabs>
          <w:tab w:leader="none" w:pos="2060" w:val="left"/>
        </w:tabs>
        <w:numPr>
          <w:ilvl w:val="2"/>
          <w:numId w:val="1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2060"/>
        <w:spacing w:after="0"/>
        <w:rPr>
          <w:rFonts w:ascii="Arial" w:cs="Arial" w:eastAsia="Arial" w:hAnsi="Arial"/>
          <w:sz w:val="18"/>
          <w:szCs w:val="18"/>
          <w:color w:val="auto"/>
        </w:rPr>
      </w:pPr>
      <w:r>
        <w:rPr>
          <w:rFonts w:ascii="Arial" w:cs="Arial" w:eastAsia="Arial" w:hAnsi="Arial"/>
          <w:sz w:val="18"/>
          <w:szCs w:val="18"/>
          <w:color w:val="auto"/>
        </w:rPr>
        <w:t>5,815,182 (See Items 3, 4, 5 and 6)</w:t>
      </w:r>
    </w:p>
    <w:p>
      <w:pPr>
        <w:spacing w:after="0" w:line="210" w:lineRule="exact"/>
        <w:rPr>
          <w:rFonts w:ascii="Arial" w:cs="Arial" w:eastAsia="Arial" w:hAnsi="Arial"/>
          <w:sz w:val="18"/>
          <w:szCs w:val="18"/>
          <w:color w:val="auto"/>
        </w:rPr>
      </w:pPr>
    </w:p>
    <w:p>
      <w:pPr>
        <w:ind w:left="520" w:right="5920" w:hanging="385"/>
        <w:spacing w:after="0" w:line="277" w:lineRule="auto"/>
        <w:tabs>
          <w:tab w:leader="none" w:pos="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5,815,182 (See Items 3, 4, 5 and 6)</w:t>
      </w:r>
    </w:p>
    <w:p>
      <w:pPr>
        <w:spacing w:after="0" w:line="137" w:lineRule="exact"/>
        <w:rPr>
          <w:rFonts w:ascii="Arial" w:cs="Arial" w:eastAsia="Arial" w:hAnsi="Arial"/>
          <w:sz w:val="18"/>
          <w:szCs w:val="18"/>
          <w:color w:val="auto"/>
        </w:rPr>
      </w:pPr>
    </w:p>
    <w:p>
      <w:pPr>
        <w:ind w:left="520" w:hanging="388"/>
        <w:spacing w:after="0" w:line="207" w:lineRule="exact"/>
        <w:tabs>
          <w:tab w:leader="none" w:pos="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520" w:hanging="388"/>
        <w:spacing w:after="0"/>
        <w:tabs>
          <w:tab w:leader="none" w:pos="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7.0%*(See Items 3, 4, 5 and 6)</w:t>
      </w:r>
    </w:p>
    <w:p>
      <w:pPr>
        <w:spacing w:after="0" w:line="210" w:lineRule="exact"/>
        <w:rPr>
          <w:rFonts w:ascii="Arial" w:cs="Arial" w:eastAsia="Arial" w:hAnsi="Arial"/>
          <w:sz w:val="18"/>
          <w:szCs w:val="18"/>
          <w:color w:val="auto"/>
        </w:rPr>
      </w:pPr>
    </w:p>
    <w:p>
      <w:pPr>
        <w:ind w:left="520" w:hanging="388"/>
        <w:spacing w:after="0"/>
        <w:tabs>
          <w:tab w:leader="none" w:pos="5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86" w:lineRule="exact"/>
        <w:rPr>
          <w:rFonts w:ascii="Arial" w:cs="Arial" w:eastAsia="Arial" w:hAnsi="Arial"/>
          <w:sz w:val="18"/>
          <w:szCs w:val="18"/>
          <w:color w:val="auto"/>
        </w:rPr>
      </w:pPr>
    </w:p>
    <w:p>
      <w:pPr>
        <w:ind w:right="60"/>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-2051050</wp:posOffset>
            </wp:positionV>
            <wp:extent cx="584644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-542290</wp:posOffset>
            </wp:positionV>
            <wp:extent cx="683196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-953770</wp:posOffset>
            </wp:positionV>
            <wp:extent cx="68319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-1365250</wp:posOffset>
            </wp:positionV>
            <wp:extent cx="683196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-1639570</wp:posOffset>
            </wp:positionV>
            <wp:extent cx="68319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ind w:left="4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840" w:hanging="501"/>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ACOF Investment Management LLC</w:t>
      </w:r>
    </w:p>
    <w:p>
      <w:pPr>
        <w:spacing w:after="0" w:line="210" w:lineRule="exact"/>
        <w:rPr>
          <w:rFonts w:ascii="Arial" w:cs="Arial" w:eastAsia="Arial" w:hAnsi="Arial"/>
          <w:sz w:val="18"/>
          <w:szCs w:val="18"/>
          <w:color w:val="auto"/>
        </w:rPr>
      </w:pPr>
    </w:p>
    <w:p>
      <w:pPr>
        <w:ind w:left="840" w:hanging="501"/>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20" w:hanging="880"/>
        <w:spacing w:after="0" w:line="207" w:lineRule="exact"/>
        <w:tabs>
          <w:tab w:leader="none" w:pos="172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20" w:hanging="880"/>
        <w:spacing w:after="0" w:line="207" w:lineRule="exact"/>
        <w:tabs>
          <w:tab w:leader="none" w:pos="1720" w:val="left"/>
        </w:tabs>
        <w:numPr>
          <w:ilvl w:val="1"/>
          <w:numId w:val="2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840" w:hanging="501"/>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840" w:hanging="501"/>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840" w:hanging="501"/>
        <w:spacing w:after="0" w:line="207" w:lineRule="exact"/>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840" w:hanging="501"/>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-259080</wp:posOffset>
            </wp:positionV>
            <wp:extent cx="66262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-533400</wp:posOffset>
            </wp:positionV>
            <wp:extent cx="662622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-944880</wp:posOffset>
            </wp:positionV>
            <wp:extent cx="66262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-1219200</wp:posOffset>
            </wp:positionV>
            <wp:extent cx="61290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-1364615</wp:posOffset>
            </wp:positionV>
            <wp:extent cx="61290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-1776095</wp:posOffset>
            </wp:positionV>
            <wp:extent cx="66262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2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20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15,165,341 (See Items 3, 4, 5 and 6)</w:t>
            </w: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20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82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60" w:hanging="545"/>
        <w:spacing w:after="0"/>
        <w:tabs>
          <w:tab w:leader="none" w:pos="2060" w:val="left"/>
        </w:tabs>
        <w:numPr>
          <w:ilvl w:val="2"/>
          <w:numId w:val="2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2060"/>
        <w:spacing w:after="0"/>
        <w:rPr>
          <w:rFonts w:ascii="Arial" w:cs="Arial" w:eastAsia="Arial" w:hAnsi="Arial"/>
          <w:sz w:val="18"/>
          <w:szCs w:val="18"/>
          <w:color w:val="auto"/>
        </w:rPr>
      </w:pPr>
      <w:r>
        <w:rPr>
          <w:rFonts w:ascii="Arial" w:cs="Arial" w:eastAsia="Arial" w:hAnsi="Arial"/>
          <w:sz w:val="18"/>
          <w:szCs w:val="18"/>
          <w:color w:val="auto"/>
        </w:rPr>
        <w:t>15,165,341 (See Items 3, 4, 5 and 6)</w:t>
      </w:r>
    </w:p>
    <w:p>
      <w:pPr>
        <w:spacing w:after="0" w:line="210" w:lineRule="exact"/>
        <w:rPr>
          <w:rFonts w:ascii="Arial" w:cs="Arial" w:eastAsia="Arial" w:hAnsi="Arial"/>
          <w:sz w:val="18"/>
          <w:szCs w:val="18"/>
          <w:color w:val="auto"/>
        </w:rPr>
      </w:pPr>
    </w:p>
    <w:p>
      <w:pPr>
        <w:ind w:left="520" w:right="5920" w:hanging="385"/>
        <w:spacing w:after="0" w:line="277" w:lineRule="auto"/>
        <w:tabs>
          <w:tab w:leader="none" w:pos="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15,165,341 (See Items 3, 4, 5 and 6)</w:t>
      </w:r>
    </w:p>
    <w:p>
      <w:pPr>
        <w:spacing w:after="0" w:line="137" w:lineRule="exact"/>
        <w:rPr>
          <w:rFonts w:ascii="Arial" w:cs="Arial" w:eastAsia="Arial" w:hAnsi="Arial"/>
          <w:sz w:val="18"/>
          <w:szCs w:val="18"/>
          <w:color w:val="auto"/>
        </w:rPr>
      </w:pPr>
    </w:p>
    <w:p>
      <w:pPr>
        <w:ind w:left="520" w:hanging="388"/>
        <w:spacing w:after="0" w:line="207" w:lineRule="exact"/>
        <w:tabs>
          <w:tab w:leader="none" w:pos="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520" w:hanging="388"/>
        <w:spacing w:after="0"/>
        <w:tabs>
          <w:tab w:leader="none" w:pos="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18.2%* (See Items 3, 4, 5 and 6)</w:t>
      </w:r>
    </w:p>
    <w:p>
      <w:pPr>
        <w:spacing w:after="0" w:line="210" w:lineRule="exact"/>
        <w:rPr>
          <w:rFonts w:ascii="Arial" w:cs="Arial" w:eastAsia="Arial" w:hAnsi="Arial"/>
          <w:sz w:val="18"/>
          <w:szCs w:val="18"/>
          <w:color w:val="auto"/>
        </w:rPr>
      </w:pPr>
    </w:p>
    <w:p>
      <w:pPr>
        <w:ind w:left="520" w:hanging="388"/>
        <w:spacing w:after="0"/>
        <w:tabs>
          <w:tab w:leader="none" w:pos="5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-2033905</wp:posOffset>
            </wp:positionV>
            <wp:extent cx="584644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-525145</wp:posOffset>
            </wp:positionV>
            <wp:extent cx="68319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-936625</wp:posOffset>
            </wp:positionV>
            <wp:extent cx="68319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-1348105</wp:posOffset>
            </wp:positionV>
            <wp:extent cx="68319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-1622425</wp:posOffset>
            </wp:positionV>
            <wp:extent cx="68319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ind w:left="4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840" w:right="8200" w:hanging="501"/>
        <w:spacing w:after="0" w:line="308" w:lineRule="auto"/>
        <w:tabs>
          <w:tab w:leader="none" w:pos="8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Names of Reporting Persons SSF IV Energy I AIV 1A, L.P.</w:t>
      </w:r>
    </w:p>
    <w:p>
      <w:pPr>
        <w:spacing w:after="0" w:line="146" w:lineRule="exact"/>
        <w:rPr>
          <w:rFonts w:ascii="Arial" w:cs="Arial" w:eastAsia="Arial" w:hAnsi="Arial"/>
          <w:sz w:val="17"/>
          <w:szCs w:val="17"/>
          <w:color w:val="auto"/>
        </w:rPr>
      </w:pPr>
    </w:p>
    <w:p>
      <w:pPr>
        <w:ind w:left="840" w:hanging="501"/>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20" w:hanging="880"/>
        <w:spacing w:after="0" w:line="207" w:lineRule="exact"/>
        <w:tabs>
          <w:tab w:leader="none" w:pos="17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20" w:hanging="880"/>
        <w:spacing w:after="0" w:line="207" w:lineRule="exact"/>
        <w:tabs>
          <w:tab w:leader="none" w:pos="1720" w:val="left"/>
        </w:tabs>
        <w:numPr>
          <w:ilvl w:val="1"/>
          <w:numId w:val="2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840" w:hanging="501"/>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840" w:hanging="501"/>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840" w:hanging="501"/>
        <w:spacing w:after="0" w:line="207" w:lineRule="exact"/>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840" w:hanging="501"/>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-259080</wp:posOffset>
            </wp:positionV>
            <wp:extent cx="66262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-533400</wp:posOffset>
            </wp:positionV>
            <wp:extent cx="66262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-944880</wp:posOffset>
            </wp:positionV>
            <wp:extent cx="66262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-1219200</wp:posOffset>
            </wp:positionV>
            <wp:extent cx="61290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-1364615</wp:posOffset>
            </wp:positionV>
            <wp:extent cx="61290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-1776095</wp:posOffset>
            </wp:positionV>
            <wp:extent cx="66262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2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20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645,985 (See Items 3, 4, 5 and 6)</w:t>
            </w: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20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82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60" w:hanging="545"/>
        <w:spacing w:after="0"/>
        <w:tabs>
          <w:tab w:leader="none" w:pos="2060" w:val="left"/>
        </w:tabs>
        <w:numPr>
          <w:ilvl w:val="2"/>
          <w:numId w:val="2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2060"/>
        <w:spacing w:after="0"/>
        <w:rPr>
          <w:rFonts w:ascii="Arial" w:cs="Arial" w:eastAsia="Arial" w:hAnsi="Arial"/>
          <w:sz w:val="18"/>
          <w:szCs w:val="18"/>
          <w:color w:val="auto"/>
        </w:rPr>
      </w:pPr>
      <w:r>
        <w:rPr>
          <w:rFonts w:ascii="Arial" w:cs="Arial" w:eastAsia="Arial" w:hAnsi="Arial"/>
          <w:sz w:val="18"/>
          <w:szCs w:val="18"/>
          <w:color w:val="auto"/>
        </w:rPr>
        <w:t>645,985 (See Items 3, 4, 5 and 6)</w:t>
      </w:r>
    </w:p>
    <w:p>
      <w:pPr>
        <w:spacing w:after="0" w:line="224" w:lineRule="exact"/>
        <w:rPr>
          <w:rFonts w:ascii="Arial" w:cs="Arial" w:eastAsia="Arial" w:hAnsi="Arial"/>
          <w:sz w:val="18"/>
          <w:szCs w:val="18"/>
          <w:color w:val="auto"/>
        </w:rPr>
      </w:pPr>
    </w:p>
    <w:p>
      <w:pPr>
        <w:ind w:left="520" w:right="5920" w:hanging="385"/>
        <w:spacing w:after="0" w:line="277" w:lineRule="auto"/>
        <w:tabs>
          <w:tab w:leader="none" w:pos="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645,985 (See Items 3, 4, 5 and 6)</w:t>
      </w:r>
    </w:p>
    <w:p>
      <w:pPr>
        <w:spacing w:after="0" w:line="137" w:lineRule="exact"/>
        <w:rPr>
          <w:rFonts w:ascii="Arial" w:cs="Arial" w:eastAsia="Arial" w:hAnsi="Arial"/>
          <w:sz w:val="18"/>
          <w:szCs w:val="18"/>
          <w:color w:val="auto"/>
        </w:rPr>
      </w:pPr>
    </w:p>
    <w:p>
      <w:pPr>
        <w:ind w:left="520" w:hanging="388"/>
        <w:spacing w:after="0" w:line="207" w:lineRule="exact"/>
        <w:tabs>
          <w:tab w:leader="none" w:pos="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520" w:hanging="388"/>
        <w:spacing w:after="0"/>
        <w:tabs>
          <w:tab w:leader="none" w:pos="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0.8%* (See Items 3, 4, 5 and 6)</w:t>
      </w:r>
    </w:p>
    <w:p>
      <w:pPr>
        <w:spacing w:after="0" w:line="210" w:lineRule="exact"/>
        <w:rPr>
          <w:rFonts w:ascii="Arial" w:cs="Arial" w:eastAsia="Arial" w:hAnsi="Arial"/>
          <w:sz w:val="18"/>
          <w:szCs w:val="18"/>
          <w:color w:val="auto"/>
        </w:rPr>
      </w:pPr>
    </w:p>
    <w:p>
      <w:pPr>
        <w:ind w:left="520" w:hanging="388"/>
        <w:spacing w:after="0"/>
        <w:tabs>
          <w:tab w:leader="none" w:pos="5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86"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-2059305</wp:posOffset>
            </wp:positionV>
            <wp:extent cx="58464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-542290</wp:posOffset>
            </wp:positionV>
            <wp:extent cx="68319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-953770</wp:posOffset>
            </wp:positionV>
            <wp:extent cx="68319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-1365250</wp:posOffset>
            </wp:positionV>
            <wp:extent cx="68319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-1639570</wp:posOffset>
            </wp:positionV>
            <wp:extent cx="683196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319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ind w:left="4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840" w:right="8200" w:hanging="501"/>
        <w:spacing w:after="0" w:line="308" w:lineRule="auto"/>
        <w:tabs>
          <w:tab w:leader="none" w:pos="8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Names of Reporting Persons SSF IV Energy I AIV 1B, L.P.</w:t>
      </w:r>
    </w:p>
    <w:p>
      <w:pPr>
        <w:spacing w:after="0" w:line="146" w:lineRule="exact"/>
        <w:rPr>
          <w:rFonts w:ascii="Arial" w:cs="Arial" w:eastAsia="Arial" w:hAnsi="Arial"/>
          <w:sz w:val="17"/>
          <w:szCs w:val="17"/>
          <w:color w:val="auto"/>
        </w:rPr>
      </w:pPr>
    </w:p>
    <w:p>
      <w:pPr>
        <w:ind w:left="840" w:hanging="501"/>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720" w:hanging="880"/>
        <w:spacing w:after="0" w:line="207" w:lineRule="exact"/>
        <w:tabs>
          <w:tab w:leader="none" w:pos="172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720" w:hanging="880"/>
        <w:spacing w:after="0" w:line="207" w:lineRule="exact"/>
        <w:tabs>
          <w:tab w:leader="none" w:pos="1720" w:val="left"/>
        </w:tabs>
        <w:numPr>
          <w:ilvl w:val="1"/>
          <w:numId w:val="2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840" w:hanging="501"/>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840" w:hanging="501"/>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84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840" w:hanging="501"/>
        <w:spacing w:after="0" w:line="207" w:lineRule="exact"/>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840" w:hanging="501"/>
        <w:spacing w:after="0"/>
        <w:tabs>
          <w:tab w:leader="none" w:pos="8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-259080</wp:posOffset>
            </wp:positionV>
            <wp:extent cx="66262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-533400</wp:posOffset>
            </wp:positionV>
            <wp:extent cx="662622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-944880</wp:posOffset>
            </wp:positionV>
            <wp:extent cx="66262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626225"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-1219200</wp:posOffset>
            </wp:positionV>
            <wp:extent cx="61290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-1364615</wp:posOffset>
            </wp:positionV>
            <wp:extent cx="61290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12902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-1776095</wp:posOffset>
            </wp:positionV>
            <wp:extent cx="66262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5715</wp:posOffset>
            </wp:positionV>
            <wp:extent cx="66262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626225" cy="8255"/>
                    </a:xfrm>
                    <a:prstGeom prst="rect">
                      <a:avLst/>
                    </a:prstGeom>
                    <a:noFill/>
                  </pic:spPr>
                </pic:pic>
              </a:graphicData>
            </a:graphic>
          </wp:anchor>
        </w:drawing>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2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18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180" w:type="dxa"/>
            <w:vAlign w:val="bottom"/>
            <w:vMerge w:val="continue"/>
          </w:tcPr>
          <w:p>
            <w:pPr>
              <w:spacing w:after="0"/>
              <w:rPr>
                <w:sz w:val="15"/>
                <w:szCs w:val="15"/>
                <w:color w:val="auto"/>
              </w:rPr>
            </w:pPr>
          </w:p>
        </w:tc>
        <w:tc>
          <w:tcPr>
            <w:tcW w:w="8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Shares</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20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Beneficially</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575,926 (See Items 3, 4, 5 and 6)</w:t>
            </w:r>
          </w:p>
        </w:tc>
        <w:tc>
          <w:tcPr>
            <w:tcW w:w="0" w:type="dxa"/>
            <w:vAlign w:val="bottom"/>
          </w:tcPr>
          <w:p>
            <w:pPr>
              <w:spacing w:after="0"/>
              <w:rPr>
                <w:sz w:val="1"/>
                <w:szCs w:val="1"/>
                <w:color w:val="auto"/>
              </w:rPr>
            </w:pPr>
          </w:p>
        </w:tc>
      </w:tr>
      <w:tr>
        <w:trPr>
          <w:trHeight w:val="182"/>
        </w:trPr>
        <w:tc>
          <w:tcPr>
            <w:tcW w:w="118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820" w:type="dxa"/>
            <w:vAlign w:val="bottom"/>
          </w:tcPr>
          <w:p>
            <w:pPr>
              <w:spacing w:after="0"/>
              <w:rPr>
                <w:sz w:val="15"/>
                <w:szCs w:val="15"/>
                <w:color w:val="auto"/>
              </w:rPr>
            </w:pPr>
          </w:p>
        </w:tc>
        <w:tc>
          <w:tcPr>
            <w:tcW w:w="9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Each</w:t>
            </w:r>
          </w:p>
        </w:tc>
        <w:tc>
          <w:tcPr>
            <w:tcW w:w="82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200" w:type="dxa"/>
            <w:vAlign w:val="bottom"/>
          </w:tcPr>
          <w:p>
            <w:pPr>
              <w:ind w:left="2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Reporting</w:t>
            </w:r>
          </w:p>
        </w:tc>
        <w:tc>
          <w:tcPr>
            <w:tcW w:w="820" w:type="dxa"/>
            <w:vAlign w:val="bottom"/>
          </w:tcPr>
          <w:p>
            <w:pPr>
              <w:spacing w:after="0"/>
              <w:rPr>
                <w:sz w:val="20"/>
                <w:szCs w:val="20"/>
                <w:color w:val="auto"/>
              </w:rPr>
            </w:pPr>
          </w:p>
        </w:tc>
        <w:tc>
          <w:tcPr>
            <w:tcW w:w="9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820" w:type="dxa"/>
            <w:vAlign w:val="bottom"/>
          </w:tcPr>
          <w:p>
            <w:pPr>
              <w:spacing w:after="0"/>
              <w:rPr>
                <w:sz w:val="17"/>
                <w:szCs w:val="17"/>
                <w:color w:val="auto"/>
              </w:rPr>
            </w:pPr>
          </w:p>
        </w:tc>
        <w:tc>
          <w:tcPr>
            <w:tcW w:w="92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2060" w:hanging="545"/>
        <w:spacing w:after="0"/>
        <w:tabs>
          <w:tab w:leader="none" w:pos="20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2060"/>
        <w:spacing w:after="0"/>
        <w:rPr>
          <w:rFonts w:ascii="Arial" w:cs="Arial" w:eastAsia="Arial" w:hAnsi="Arial"/>
          <w:sz w:val="18"/>
          <w:szCs w:val="18"/>
          <w:color w:val="auto"/>
        </w:rPr>
      </w:pPr>
      <w:r>
        <w:rPr>
          <w:rFonts w:ascii="Arial" w:cs="Arial" w:eastAsia="Arial" w:hAnsi="Arial"/>
          <w:sz w:val="18"/>
          <w:szCs w:val="18"/>
          <w:color w:val="auto"/>
        </w:rPr>
        <w:t>575,926 (See Items 3, 4, 5 and 6)</w:t>
      </w:r>
    </w:p>
    <w:p>
      <w:pPr>
        <w:spacing w:after="0" w:line="210" w:lineRule="exact"/>
        <w:rPr>
          <w:rFonts w:ascii="Arial" w:cs="Arial" w:eastAsia="Arial" w:hAnsi="Arial"/>
          <w:sz w:val="18"/>
          <w:szCs w:val="18"/>
          <w:color w:val="auto"/>
        </w:rPr>
      </w:pPr>
    </w:p>
    <w:p>
      <w:pPr>
        <w:ind w:left="520" w:right="5920" w:hanging="385"/>
        <w:spacing w:after="0" w:line="277" w:lineRule="auto"/>
        <w:tabs>
          <w:tab w:leader="none" w:pos="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575,926 (See Items 3, 4, 5 and 6)</w:t>
      </w:r>
    </w:p>
    <w:p>
      <w:pPr>
        <w:spacing w:after="0" w:line="137" w:lineRule="exact"/>
        <w:rPr>
          <w:rFonts w:ascii="Arial" w:cs="Arial" w:eastAsia="Arial" w:hAnsi="Arial"/>
          <w:sz w:val="18"/>
          <w:szCs w:val="18"/>
          <w:color w:val="auto"/>
        </w:rPr>
      </w:pPr>
    </w:p>
    <w:p>
      <w:pPr>
        <w:ind w:left="520" w:hanging="388"/>
        <w:spacing w:after="0" w:line="207" w:lineRule="exact"/>
        <w:tabs>
          <w:tab w:leader="none" w:pos="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520" w:hanging="388"/>
        <w:spacing w:after="0"/>
        <w:tabs>
          <w:tab w:leader="none" w:pos="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0.7%* (See Items 3, 4, 5 and 6)</w:t>
      </w:r>
    </w:p>
    <w:p>
      <w:pPr>
        <w:spacing w:after="0" w:line="210" w:lineRule="exact"/>
        <w:rPr>
          <w:rFonts w:ascii="Arial" w:cs="Arial" w:eastAsia="Arial" w:hAnsi="Arial"/>
          <w:sz w:val="18"/>
          <w:szCs w:val="18"/>
          <w:color w:val="auto"/>
        </w:rPr>
      </w:pPr>
    </w:p>
    <w:p>
      <w:pPr>
        <w:ind w:left="520" w:hanging="388"/>
        <w:spacing w:after="0"/>
        <w:tabs>
          <w:tab w:leader="none" w:pos="5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52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386"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1290955</wp:posOffset>
            </wp:positionH>
            <wp:positionV relativeFrom="paragraph">
              <wp:posOffset>-2051050</wp:posOffset>
            </wp:positionV>
            <wp:extent cx="584644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84644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-542290</wp:posOffset>
            </wp:positionV>
            <wp:extent cx="68319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-953770</wp:posOffset>
            </wp:positionV>
            <wp:extent cx="68319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-1365250</wp:posOffset>
            </wp:positionV>
            <wp:extent cx="68319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304800</wp:posOffset>
            </wp:positionH>
            <wp:positionV relativeFrom="paragraph">
              <wp:posOffset>-1639570</wp:posOffset>
            </wp:positionV>
            <wp:extent cx="68319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jc w:val="both"/>
        <w:ind w:left="960" w:right="8200" w:hanging="561"/>
        <w:spacing w:after="0" w:line="342" w:lineRule="auto"/>
        <w:tabs>
          <w:tab w:leader="none" w:pos="9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Names of Reporting Persons SSF IV Energy I AIV 2, L.P.</w:t>
      </w:r>
    </w:p>
    <w:p>
      <w:pPr>
        <w:spacing w:after="0" w:line="231" w:lineRule="exact"/>
        <w:rPr>
          <w:rFonts w:ascii="Arial" w:cs="Arial" w:eastAsia="Arial" w:hAnsi="Arial"/>
          <w:sz w:val="16"/>
          <w:szCs w:val="16"/>
          <w:color w:val="auto"/>
        </w:rPr>
      </w:pPr>
    </w:p>
    <w:p>
      <w:pPr>
        <w:ind w:left="960" w:hanging="561"/>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0"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29"/>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960" w:hanging="561"/>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86"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-293370</wp:posOffset>
            </wp:positionV>
            <wp:extent cx="655764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-636270</wp:posOffset>
            </wp:positionV>
            <wp:extent cx="655764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-1459230</wp:posOffset>
            </wp:positionV>
            <wp:extent cx="60604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-1638935</wp:posOffset>
            </wp:positionV>
            <wp:extent cx="60604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-2153285</wp:posOffset>
            </wp:positionV>
            <wp:extent cx="6557645"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40005</wp:posOffset>
            </wp:positionV>
            <wp:extent cx="65576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4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700" w:type="dxa"/>
            <w:vAlign w:val="bottom"/>
            <w:vMerge w:val="restart"/>
          </w:tcPr>
          <w:p>
            <w:pPr>
              <w:jc w:val="right"/>
              <w:ind w:right="290"/>
              <w:spacing w:after="0"/>
              <w:rPr>
                <w:sz w:val="20"/>
                <w:szCs w:val="20"/>
                <w:color w:val="auto"/>
              </w:rPr>
            </w:pPr>
            <w:r>
              <w:rPr>
                <w:rFonts w:ascii="Arial" w:cs="Arial" w:eastAsia="Arial" w:hAnsi="Arial"/>
                <w:sz w:val="18"/>
                <w:szCs w:val="18"/>
                <w:color w:val="auto"/>
              </w:rPr>
              <w:t>8.</w:t>
            </w: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70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23"/>
                <w:szCs w:val="23"/>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937,596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0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9"/>
                <w:szCs w:val="9"/>
                <w:color w:val="auto"/>
              </w:rPr>
            </w:pPr>
          </w:p>
        </w:tc>
        <w:tc>
          <w:tcPr>
            <w:tcW w:w="9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80" w:hanging="576"/>
        <w:spacing w:after="0"/>
        <w:tabs>
          <w:tab w:leader="none" w:pos="1880" w:val="left"/>
        </w:tabs>
        <w:numPr>
          <w:ilvl w:val="2"/>
          <w:numId w:val="30"/>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937,596 (See Items 3, 4, 5 and 6)</w:t>
      </w:r>
    </w:p>
    <w:p>
      <w:pPr>
        <w:spacing w:after="0" w:line="318"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937,596 (See Items 3, 4, 5 and 6)</w:t>
      </w:r>
    </w:p>
    <w:p>
      <w:pPr>
        <w:spacing w:after="0" w:line="245"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1.1%* (See Items 3, 4, 5 and 6)</w:t>
      </w:r>
    </w:p>
    <w:p>
      <w:pPr>
        <w:spacing w:after="0" w:line="318" w:lineRule="exact"/>
        <w:rPr>
          <w:rFonts w:ascii="Arial" w:cs="Arial" w:eastAsia="Arial" w:hAnsi="Arial"/>
          <w:sz w:val="18"/>
          <w:szCs w:val="18"/>
          <w:color w:val="auto"/>
        </w:rPr>
      </w:pPr>
    </w:p>
    <w:p>
      <w:pPr>
        <w:ind w:left="960" w:hanging="561"/>
        <w:spacing w:after="0"/>
        <w:tabs>
          <w:tab w:leader="none" w:pos="9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-2308225</wp:posOffset>
            </wp:positionV>
            <wp:extent cx="598360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-1005205</wp:posOffset>
            </wp:positionV>
            <wp:extent cx="65576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-1485265</wp:posOffset>
            </wp:positionV>
            <wp:extent cx="65576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-1828165</wp:posOffset>
            </wp:positionV>
            <wp:extent cx="655764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60" w:right="7820" w:hanging="561"/>
        <w:spacing w:after="0" w:line="342" w:lineRule="auto"/>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Names of Reporting Persons ASSF Operating Manager IV, L.P.</w:t>
      </w:r>
    </w:p>
    <w:p>
      <w:pPr>
        <w:spacing w:after="0" w:line="231" w:lineRule="exact"/>
        <w:rPr>
          <w:rFonts w:ascii="Arial" w:cs="Arial" w:eastAsia="Arial" w:hAnsi="Arial"/>
          <w:sz w:val="16"/>
          <w:szCs w:val="16"/>
          <w:color w:val="auto"/>
        </w:rPr>
      </w:pPr>
    </w:p>
    <w:p>
      <w:pPr>
        <w:ind w:left="960" w:hanging="561"/>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0"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32"/>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960" w:hanging="561"/>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86"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-293370</wp:posOffset>
            </wp:positionV>
            <wp:extent cx="655764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-636270</wp:posOffset>
            </wp:positionV>
            <wp:extent cx="655764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-1459230</wp:posOffset>
            </wp:positionV>
            <wp:extent cx="606044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-1638935</wp:posOffset>
            </wp:positionV>
            <wp:extent cx="606044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-2153285</wp:posOffset>
            </wp:positionV>
            <wp:extent cx="65576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40005</wp:posOffset>
            </wp:positionV>
            <wp:extent cx="65576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4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700" w:type="dxa"/>
            <w:vAlign w:val="bottom"/>
            <w:vMerge w:val="restart"/>
          </w:tcPr>
          <w:p>
            <w:pPr>
              <w:jc w:val="right"/>
              <w:ind w:right="290"/>
              <w:spacing w:after="0"/>
              <w:rPr>
                <w:sz w:val="20"/>
                <w:szCs w:val="20"/>
                <w:color w:val="auto"/>
              </w:rPr>
            </w:pPr>
            <w:r>
              <w:rPr>
                <w:rFonts w:ascii="Arial" w:cs="Arial" w:eastAsia="Arial" w:hAnsi="Arial"/>
                <w:sz w:val="18"/>
                <w:szCs w:val="18"/>
                <w:color w:val="auto"/>
              </w:rPr>
              <w:t>8.</w:t>
            </w: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70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23"/>
                <w:szCs w:val="23"/>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2,159,507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0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9"/>
                <w:szCs w:val="9"/>
                <w:color w:val="auto"/>
              </w:rPr>
            </w:pPr>
          </w:p>
        </w:tc>
        <w:tc>
          <w:tcPr>
            <w:tcW w:w="9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80" w:hanging="576"/>
        <w:spacing w:after="0"/>
        <w:tabs>
          <w:tab w:leader="none" w:pos="1880" w:val="left"/>
        </w:tabs>
        <w:numPr>
          <w:ilvl w:val="2"/>
          <w:numId w:val="33"/>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2,159,507 (See Items 3, 4, 5 and 6)</w:t>
      </w:r>
    </w:p>
    <w:p>
      <w:pPr>
        <w:spacing w:after="0" w:line="318"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2,159,507 (See Items 3, 4, 5 and 6)</w:t>
      </w:r>
    </w:p>
    <w:p>
      <w:pPr>
        <w:spacing w:after="0" w:line="245"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2.6%* (See Items 3, 4, 5 and 6)</w:t>
      </w:r>
    </w:p>
    <w:p>
      <w:pPr>
        <w:spacing w:after="0" w:line="318" w:lineRule="exact"/>
        <w:rPr>
          <w:rFonts w:ascii="Arial" w:cs="Arial" w:eastAsia="Arial" w:hAnsi="Arial"/>
          <w:sz w:val="18"/>
          <w:szCs w:val="18"/>
          <w:color w:val="auto"/>
        </w:rPr>
      </w:pPr>
    </w:p>
    <w:p>
      <w:pPr>
        <w:ind w:left="960" w:hanging="561"/>
        <w:spacing w:after="0"/>
        <w:tabs>
          <w:tab w:leader="none" w:pos="9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-2308225</wp:posOffset>
            </wp:positionV>
            <wp:extent cx="59836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-1005205</wp:posOffset>
            </wp:positionV>
            <wp:extent cx="655764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-1485265</wp:posOffset>
            </wp:positionV>
            <wp:extent cx="655764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-1828165</wp:posOffset>
            </wp:positionV>
            <wp:extent cx="655764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60" w:right="8200" w:hanging="561"/>
        <w:spacing w:after="0" w:line="342" w:lineRule="auto"/>
        <w:tabs>
          <w:tab w:leader="none" w:pos="9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Names of Reporting Persons Ares Management LLC</w:t>
      </w:r>
    </w:p>
    <w:p>
      <w:pPr>
        <w:spacing w:after="0" w:line="231" w:lineRule="exact"/>
        <w:rPr>
          <w:rFonts w:ascii="Arial" w:cs="Arial" w:eastAsia="Arial" w:hAnsi="Arial"/>
          <w:sz w:val="16"/>
          <w:szCs w:val="16"/>
          <w:color w:val="auto"/>
        </w:rPr>
      </w:pPr>
    </w:p>
    <w:p>
      <w:pPr>
        <w:ind w:left="960" w:hanging="561"/>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0"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3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960" w:hanging="561"/>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86"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-293370</wp:posOffset>
            </wp:positionV>
            <wp:extent cx="65576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-636270</wp:posOffset>
            </wp:positionV>
            <wp:extent cx="65576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-1459230</wp:posOffset>
            </wp:positionV>
            <wp:extent cx="60604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-1638935</wp:posOffset>
            </wp:positionV>
            <wp:extent cx="60604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-2153285</wp:posOffset>
            </wp:positionV>
            <wp:extent cx="65576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40005</wp:posOffset>
            </wp:positionV>
            <wp:extent cx="65576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4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700" w:type="dxa"/>
            <w:vAlign w:val="bottom"/>
            <w:vMerge w:val="restart"/>
          </w:tcPr>
          <w:p>
            <w:pPr>
              <w:jc w:val="right"/>
              <w:ind w:right="290"/>
              <w:spacing w:after="0"/>
              <w:rPr>
                <w:sz w:val="20"/>
                <w:szCs w:val="20"/>
                <w:color w:val="auto"/>
              </w:rPr>
            </w:pPr>
            <w:r>
              <w:rPr>
                <w:rFonts w:ascii="Arial" w:cs="Arial" w:eastAsia="Arial" w:hAnsi="Arial"/>
                <w:sz w:val="18"/>
                <w:szCs w:val="18"/>
                <w:color w:val="auto"/>
              </w:rPr>
              <w:t>8.</w:t>
            </w: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70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23"/>
                <w:szCs w:val="23"/>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0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9"/>
                <w:szCs w:val="9"/>
                <w:color w:val="auto"/>
              </w:rPr>
            </w:pPr>
          </w:p>
        </w:tc>
        <w:tc>
          <w:tcPr>
            <w:tcW w:w="9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80" w:hanging="576"/>
        <w:spacing w:after="0"/>
        <w:tabs>
          <w:tab w:leader="none" w:pos="1880" w:val="left"/>
        </w:tabs>
        <w:numPr>
          <w:ilvl w:val="2"/>
          <w:numId w:val="36"/>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318"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245"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318" w:lineRule="exact"/>
        <w:rPr>
          <w:rFonts w:ascii="Arial" w:cs="Arial" w:eastAsia="Arial" w:hAnsi="Arial"/>
          <w:sz w:val="18"/>
          <w:szCs w:val="18"/>
          <w:color w:val="auto"/>
        </w:rPr>
      </w:pPr>
    </w:p>
    <w:p>
      <w:pPr>
        <w:ind w:left="960" w:hanging="561"/>
        <w:spacing w:after="0"/>
        <w:tabs>
          <w:tab w:leader="none" w:pos="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-2308225</wp:posOffset>
            </wp:positionV>
            <wp:extent cx="598360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-1005205</wp:posOffset>
            </wp:positionV>
            <wp:extent cx="655764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-1485265</wp:posOffset>
            </wp:positionV>
            <wp:extent cx="655764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-1828165</wp:posOffset>
            </wp:positionV>
            <wp:extent cx="655764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960" w:right="7920" w:hanging="561"/>
        <w:spacing w:after="0" w:line="342" w:lineRule="auto"/>
        <w:tabs>
          <w:tab w:leader="none" w:pos="9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Names of Reporting Persons Ares Management Holdings L.P.</w:t>
      </w:r>
    </w:p>
    <w:p>
      <w:pPr>
        <w:spacing w:after="0" w:line="231" w:lineRule="exact"/>
        <w:rPr>
          <w:rFonts w:ascii="Arial" w:cs="Arial" w:eastAsia="Arial" w:hAnsi="Arial"/>
          <w:sz w:val="16"/>
          <w:szCs w:val="16"/>
          <w:color w:val="auto"/>
        </w:rPr>
      </w:pPr>
    </w:p>
    <w:p>
      <w:pPr>
        <w:ind w:left="960" w:hanging="561"/>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30"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76"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3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333" w:lineRule="exact"/>
        <w:rPr>
          <w:rFonts w:ascii="Arial" w:cs="Arial" w:eastAsia="Arial" w:hAnsi="Arial"/>
          <w:sz w:val="18"/>
          <w:szCs w:val="18"/>
          <w:color w:val="auto"/>
        </w:rPr>
      </w:pPr>
    </w:p>
    <w:p>
      <w:pPr>
        <w:ind w:left="960" w:hanging="561"/>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86"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-293370</wp:posOffset>
            </wp:positionV>
            <wp:extent cx="655764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-636270</wp:posOffset>
            </wp:positionV>
            <wp:extent cx="655764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-1116330</wp:posOffset>
            </wp:positionV>
            <wp:extent cx="6557645"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-1459230</wp:posOffset>
            </wp:positionV>
            <wp:extent cx="606044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60440"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-1638935</wp:posOffset>
            </wp:positionV>
            <wp:extent cx="606044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-2153285</wp:posOffset>
            </wp:positionV>
            <wp:extent cx="655764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40005</wp:posOffset>
            </wp:positionV>
            <wp:extent cx="655764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4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54"/>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4"/>
                <w:szCs w:val="4"/>
                <w:color w:val="auto"/>
              </w:rPr>
            </w:pPr>
          </w:p>
        </w:tc>
        <w:tc>
          <w:tcPr>
            <w:tcW w:w="94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1060" w:type="dxa"/>
            <w:vAlign w:val="bottom"/>
            <w:vMerge w:val="continue"/>
          </w:tcPr>
          <w:p>
            <w:pPr>
              <w:spacing w:after="0"/>
              <w:rPr>
                <w:sz w:val="24"/>
                <w:szCs w:val="24"/>
                <w:color w:val="auto"/>
              </w:rPr>
            </w:pPr>
          </w:p>
        </w:tc>
        <w:tc>
          <w:tcPr>
            <w:tcW w:w="700" w:type="dxa"/>
            <w:vAlign w:val="bottom"/>
            <w:vMerge w:val="restart"/>
          </w:tcPr>
          <w:p>
            <w:pPr>
              <w:jc w:val="right"/>
              <w:ind w:right="290"/>
              <w:spacing w:after="0"/>
              <w:rPr>
                <w:sz w:val="20"/>
                <w:szCs w:val="20"/>
                <w:color w:val="auto"/>
              </w:rPr>
            </w:pPr>
            <w:r>
              <w:rPr>
                <w:rFonts w:ascii="Arial" w:cs="Arial" w:eastAsia="Arial" w:hAnsi="Arial"/>
                <w:sz w:val="18"/>
                <w:szCs w:val="18"/>
                <w:color w:val="auto"/>
              </w:rPr>
              <w:t>8.</w:t>
            </w:r>
          </w:p>
        </w:tc>
        <w:tc>
          <w:tcPr>
            <w:tcW w:w="9420" w:type="dxa"/>
            <w:vAlign w:val="bottom"/>
            <w:vMerge w:val="restart"/>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1060" w:type="dxa"/>
            <w:vAlign w:val="bottom"/>
          </w:tcPr>
          <w:p>
            <w:pPr>
              <w:spacing w:after="0" w:line="176" w:lineRule="exact"/>
              <w:rPr>
                <w:sz w:val="20"/>
                <w:szCs w:val="20"/>
                <w:color w:val="auto"/>
              </w:rPr>
            </w:pPr>
            <w:r>
              <w:rPr>
                <w:rFonts w:ascii="Arial" w:cs="Arial" w:eastAsia="Arial" w:hAnsi="Arial"/>
                <w:sz w:val="18"/>
                <w:szCs w:val="18"/>
                <w:color w:val="auto"/>
              </w:rPr>
              <w:t>Shares</w:t>
            </w:r>
          </w:p>
        </w:tc>
        <w:tc>
          <w:tcPr>
            <w:tcW w:w="70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23"/>
                <w:szCs w:val="23"/>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00" w:type="dxa"/>
            <w:vAlign w:val="bottom"/>
          </w:tcPr>
          <w:p>
            <w:pPr>
              <w:spacing w:after="0"/>
              <w:rPr>
                <w:sz w:val="18"/>
                <w:szCs w:val="18"/>
                <w:color w:val="auto"/>
              </w:rPr>
            </w:pPr>
          </w:p>
        </w:tc>
        <w:tc>
          <w:tcPr>
            <w:tcW w:w="942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1060" w:type="dxa"/>
            <w:vAlign w:val="bottom"/>
            <w:vMerge w:val="restart"/>
          </w:tcPr>
          <w:p>
            <w:pPr>
              <w:spacing w:after="0"/>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9"/>
                <w:szCs w:val="9"/>
                <w:color w:val="auto"/>
              </w:rPr>
            </w:pPr>
          </w:p>
        </w:tc>
        <w:tc>
          <w:tcPr>
            <w:tcW w:w="9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06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94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880" w:hanging="576"/>
        <w:spacing w:after="0"/>
        <w:tabs>
          <w:tab w:leader="none" w:pos="18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23"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318"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245"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365" w:lineRule="exact"/>
        <w:rPr>
          <w:rFonts w:ascii="Arial" w:cs="Arial" w:eastAsia="Arial" w:hAnsi="Arial"/>
          <w:sz w:val="18"/>
          <w:szCs w:val="18"/>
          <w:color w:val="auto"/>
        </w:rPr>
      </w:pPr>
    </w:p>
    <w:p>
      <w:pPr>
        <w:ind w:left="960" w:hanging="561"/>
        <w:spacing w:after="0"/>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318" w:lineRule="exact"/>
        <w:rPr>
          <w:rFonts w:ascii="Arial" w:cs="Arial" w:eastAsia="Arial" w:hAnsi="Arial"/>
          <w:sz w:val="18"/>
          <w:szCs w:val="18"/>
          <w:color w:val="auto"/>
        </w:rPr>
      </w:pPr>
    </w:p>
    <w:p>
      <w:pPr>
        <w:ind w:left="960" w:hanging="561"/>
        <w:spacing w:after="0"/>
        <w:tabs>
          <w:tab w:leader="none" w:pos="9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00" w:lineRule="exact"/>
        <w:rPr>
          <w:rFonts w:ascii="Arial" w:cs="Arial" w:eastAsia="Arial" w:hAnsi="Arial"/>
          <w:sz w:val="18"/>
          <w:szCs w:val="18"/>
          <w:color w:val="auto"/>
        </w:rPr>
      </w:pPr>
    </w:p>
    <w:p>
      <w:pPr>
        <w:spacing w:after="0" w:line="213"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-2308225</wp:posOffset>
            </wp:positionV>
            <wp:extent cx="598360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-1005205</wp:posOffset>
            </wp:positionV>
            <wp:extent cx="65576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-1485265</wp:posOffset>
            </wp:positionV>
            <wp:extent cx="655764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-1828165</wp:posOffset>
            </wp:positionV>
            <wp:extent cx="65576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Names of Reporting Persons Ares Holdco LLC</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41"/>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-1219200</wp:posOffset>
            </wp:positionV>
            <wp:extent cx="606044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-1364615</wp:posOffset>
            </wp:positionV>
            <wp:extent cx="606044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4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4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80" w:hanging="576"/>
        <w:spacing w:after="0"/>
        <w:tabs>
          <w:tab w:leader="none" w:pos="1880" w:val="left"/>
        </w:tabs>
        <w:numPr>
          <w:ilvl w:val="2"/>
          <w:numId w:val="42"/>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-2033905</wp:posOffset>
            </wp:positionV>
            <wp:extent cx="598360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8360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040" w:hanging="561"/>
        <w:spacing w:after="0" w:line="342" w:lineRule="auto"/>
        <w:tabs>
          <w:tab w:leader="none" w:pos="9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Names of Reporting Persons Ares Management Corporation</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4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-1219200</wp:posOffset>
            </wp:positionV>
            <wp:extent cx="60604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-1364615</wp:posOffset>
            </wp:positionV>
            <wp:extent cx="606044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4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4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80" w:hanging="576"/>
        <w:spacing w:after="0"/>
        <w:tabs>
          <w:tab w:leader="none" w:pos="1880" w:val="left"/>
        </w:tabs>
        <w:numPr>
          <w:ilvl w:val="2"/>
          <w:numId w:val="45"/>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-2033905</wp:posOffset>
            </wp:positionV>
            <wp:extent cx="59836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277" w:lineRule="auto"/>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Names of Reporting Persons Ares Voting LLC</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47"/>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-1219200</wp:posOffset>
            </wp:positionV>
            <wp:extent cx="606044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-1364615</wp:posOffset>
            </wp:positionV>
            <wp:extent cx="606044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4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4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80" w:hanging="576"/>
        <w:spacing w:after="0"/>
        <w:tabs>
          <w:tab w:leader="none" w:pos="1880" w:val="left"/>
        </w:tabs>
        <w:numPr>
          <w:ilvl w:val="2"/>
          <w:numId w:val="48"/>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-2033905</wp:posOffset>
            </wp:positionV>
            <wp:extent cx="59836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Names of Reporting Persons Ares Management GP LLC</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5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178" w:lineRule="exact"/>
        <w:rPr>
          <w:rFonts w:ascii="Arial" w:cs="Arial" w:eastAsia="Arial" w:hAnsi="Arial"/>
          <w:sz w:val="18"/>
          <w:szCs w:val="18"/>
          <w:color w:val="auto"/>
        </w:rPr>
      </w:pPr>
    </w:p>
    <w:p>
      <w:pPr>
        <w:ind w:left="960" w:hanging="561"/>
        <w:spacing w:after="0" w:line="207" w:lineRule="exact"/>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Check if Disclosure of Legal Proceedings Is Required Pursuant to Items 2(d) or 2(e)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-1219200</wp:posOffset>
            </wp:positionV>
            <wp:extent cx="606044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-1364615</wp:posOffset>
            </wp:positionV>
            <wp:extent cx="606044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4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4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80" w:hanging="576"/>
        <w:spacing w:after="0"/>
        <w:tabs>
          <w:tab w:leader="none" w:pos="1880" w:val="left"/>
        </w:tabs>
        <w:numPr>
          <w:ilvl w:val="2"/>
          <w:numId w:val="51"/>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37" w:lineRule="exact"/>
        <w:rPr>
          <w:rFonts w:ascii="Arial" w:cs="Arial" w:eastAsia="Arial" w:hAnsi="Arial"/>
          <w:sz w:val="18"/>
          <w:szCs w:val="18"/>
          <w:color w:val="auto"/>
        </w:rPr>
      </w:pPr>
    </w:p>
    <w:p>
      <w:pPr>
        <w:ind w:left="960" w:hanging="561"/>
        <w:spacing w:after="0" w:line="207" w:lineRule="exact"/>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57" w:lineRule="exact"/>
        <w:rPr>
          <w:rFonts w:ascii="Arial" w:cs="Arial" w:eastAsia="Arial" w:hAnsi="Arial"/>
          <w:sz w:val="18"/>
          <w:szCs w:val="18"/>
          <w:color w:val="auto"/>
        </w:rPr>
      </w:pPr>
    </w:p>
    <w:p>
      <w:pPr>
        <w:ind w:left="960" w:hanging="561"/>
        <w:spacing w:after="0"/>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59"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-2033905</wp:posOffset>
            </wp:positionV>
            <wp:extent cx="59836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-525145</wp:posOffset>
            </wp:positionV>
            <wp:extent cx="655764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-936625</wp:posOffset>
            </wp:positionV>
            <wp:extent cx="655764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-1348105</wp:posOffset>
            </wp:positionV>
            <wp:extent cx="655764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-1622425</wp:posOffset>
            </wp:positionV>
            <wp:extent cx="655764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-344805</wp:posOffset>
            </wp:positionV>
            <wp:extent cx="17830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830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color w:val="auto"/>
        </w:rPr>
        <w:t>CUSIP No. 13057Q305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0"/>
          <w:szCs w:val="20"/>
          <w:color w:val="auto"/>
        </w:rPr>
      </w:pPr>
    </w:p>
    <w:p>
      <w:pPr>
        <w:ind w:left="960" w:right="8200" w:hanging="561"/>
        <w:spacing w:after="0" w:line="342" w:lineRule="auto"/>
        <w:tabs>
          <w:tab w:leader="none" w:pos="9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Names of Reporting Persons Ares Partners Holdco LLC</w:t>
      </w:r>
    </w:p>
    <w:p>
      <w:pPr>
        <w:spacing w:after="0" w:line="123" w:lineRule="exact"/>
        <w:rPr>
          <w:rFonts w:ascii="Arial" w:cs="Arial" w:eastAsia="Arial" w:hAnsi="Arial"/>
          <w:sz w:val="16"/>
          <w:szCs w:val="16"/>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5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 w:lineRule="exact"/>
        <w:rPr>
          <w:rFonts w:ascii="Arial" w:cs="Arial" w:eastAsia="Arial" w:hAnsi="Arial"/>
          <w:sz w:val="18"/>
          <w:szCs w:val="18"/>
          <w:color w:val="auto"/>
        </w:rPr>
      </w:pPr>
    </w:p>
    <w:p>
      <w:pPr>
        <w:ind w:left="1800" w:hanging="834"/>
        <w:spacing w:after="0" w:line="207" w:lineRule="exact"/>
        <w:tabs>
          <w:tab w:leader="none" w:pos="1800" w:val="left"/>
        </w:tabs>
        <w:numPr>
          <w:ilvl w:val="1"/>
          <w:numId w:val="53"/>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2" w:lineRule="exact"/>
        <w:rPr>
          <w:rFonts w:ascii="Arial" w:cs="Arial" w:eastAsia="Arial" w:hAnsi="Arial"/>
          <w:sz w:val="18"/>
          <w:szCs w:val="18"/>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 o</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-259080</wp:posOffset>
            </wp:positionV>
            <wp:extent cx="655764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-533400</wp:posOffset>
            </wp:positionV>
            <wp:extent cx="655764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-944880</wp:posOffset>
            </wp:positionV>
            <wp:extent cx="6557645"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557645"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-1219200</wp:posOffset>
            </wp:positionV>
            <wp:extent cx="606044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-1364615</wp:posOffset>
            </wp:positionV>
            <wp:extent cx="606044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06044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-1776095</wp:posOffset>
            </wp:positionV>
            <wp:extent cx="655764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5715</wp:posOffset>
            </wp:positionV>
            <wp:extent cx="655764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9420" w:type="dxa"/>
            <w:vAlign w:val="bottom"/>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30"/>
        </w:trPr>
        <w:tc>
          <w:tcPr>
            <w:tcW w:w="1060" w:type="dxa"/>
            <w:vAlign w:val="bottom"/>
            <w:vMerge w:val="restart"/>
          </w:tcPr>
          <w:p>
            <w:pPr>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106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Shares</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8.</w:t>
            </w:r>
          </w:p>
        </w:tc>
        <w:tc>
          <w:tcPr>
            <w:tcW w:w="9420" w:type="dxa"/>
            <w:vAlign w:val="bottom"/>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Beneficially</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17,324,848 (See Items 3, 4, 5 and 6)</w:t>
            </w:r>
          </w:p>
        </w:tc>
        <w:tc>
          <w:tcPr>
            <w:tcW w:w="0" w:type="dxa"/>
            <w:vAlign w:val="bottom"/>
          </w:tcPr>
          <w:p>
            <w:pPr>
              <w:spacing w:after="0"/>
              <w:rPr>
                <w:sz w:val="1"/>
                <w:szCs w:val="1"/>
                <w:color w:val="auto"/>
              </w:rPr>
            </w:pPr>
          </w:p>
        </w:tc>
      </w:tr>
      <w:tr>
        <w:trPr>
          <w:trHeight w:val="182"/>
        </w:trPr>
        <w:tc>
          <w:tcPr>
            <w:tcW w:w="1060" w:type="dxa"/>
            <w:vAlign w:val="bottom"/>
          </w:tcPr>
          <w:p>
            <w:pPr>
              <w:spacing w:after="0" w:line="182" w:lineRule="exact"/>
              <w:rPr>
                <w:sz w:val="20"/>
                <w:szCs w:val="20"/>
                <w:color w:val="auto"/>
              </w:rPr>
            </w:pPr>
            <w:r>
              <w:rPr>
                <w:rFonts w:ascii="Arial" w:cs="Arial" w:eastAsia="Arial" w:hAnsi="Arial"/>
                <w:sz w:val="18"/>
                <w:szCs w:val="18"/>
                <w:color w:val="auto"/>
              </w:rPr>
              <w:t>Owned by</w:t>
            </w:r>
          </w:p>
        </w:tc>
        <w:tc>
          <w:tcPr>
            <w:tcW w:w="700" w:type="dxa"/>
            <w:vAlign w:val="bottom"/>
          </w:tcPr>
          <w:p>
            <w:pPr>
              <w:spacing w:after="0"/>
              <w:rPr>
                <w:sz w:val="15"/>
                <w:szCs w:val="15"/>
                <w:color w:val="auto"/>
              </w:rPr>
            </w:pPr>
          </w:p>
        </w:tc>
        <w:tc>
          <w:tcPr>
            <w:tcW w:w="9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Each</w:t>
            </w:r>
          </w:p>
        </w:tc>
        <w:tc>
          <w:tcPr>
            <w:tcW w:w="700" w:type="dxa"/>
            <w:vAlign w:val="bottom"/>
          </w:tcPr>
          <w:p>
            <w:pPr>
              <w:jc w:val="right"/>
              <w:ind w:right="290"/>
              <w:spacing w:after="0"/>
              <w:rPr>
                <w:sz w:val="20"/>
                <w:szCs w:val="20"/>
                <w:color w:val="auto"/>
              </w:rPr>
            </w:pPr>
            <w:r>
              <w:rPr>
                <w:rFonts w:ascii="Arial" w:cs="Arial" w:eastAsia="Arial" w:hAnsi="Arial"/>
                <w:sz w:val="18"/>
                <w:szCs w:val="18"/>
                <w:color w:val="auto"/>
              </w:rPr>
              <w:t>9.</w:t>
            </w:r>
          </w:p>
        </w:tc>
        <w:tc>
          <w:tcPr>
            <w:tcW w:w="9420" w:type="dxa"/>
            <w:vAlign w:val="bottom"/>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rPr>
              <w:t>Reporting</w:t>
            </w:r>
          </w:p>
        </w:tc>
        <w:tc>
          <w:tcPr>
            <w:tcW w:w="700" w:type="dxa"/>
            <w:vAlign w:val="bottom"/>
          </w:tcPr>
          <w:p>
            <w:pPr>
              <w:spacing w:after="0"/>
              <w:rPr>
                <w:sz w:val="20"/>
                <w:szCs w:val="20"/>
                <w:color w:val="auto"/>
              </w:rPr>
            </w:pPr>
          </w:p>
        </w:tc>
        <w:tc>
          <w:tcPr>
            <w:tcW w:w="94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1060" w:type="dxa"/>
            <w:vAlign w:val="bottom"/>
          </w:tcPr>
          <w:p>
            <w:pPr>
              <w:spacing w:after="0" w:line="198" w:lineRule="exact"/>
              <w:rPr>
                <w:sz w:val="20"/>
                <w:szCs w:val="20"/>
                <w:color w:val="auto"/>
              </w:rPr>
            </w:pPr>
            <w:r>
              <w:rPr>
                <w:rFonts w:ascii="Arial" w:cs="Arial" w:eastAsia="Arial" w:hAnsi="Arial"/>
                <w:sz w:val="18"/>
                <w:szCs w:val="18"/>
                <w:color w:val="auto"/>
              </w:rPr>
              <w:t>Person With</w:t>
            </w:r>
          </w:p>
        </w:tc>
        <w:tc>
          <w:tcPr>
            <w:tcW w:w="70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880" w:hanging="576"/>
        <w:spacing w:after="0"/>
        <w:tabs>
          <w:tab w:leader="none" w:pos="1880" w:val="left"/>
        </w:tabs>
        <w:numPr>
          <w:ilvl w:val="2"/>
          <w:numId w:val="54"/>
        </w:numPr>
        <w:rPr>
          <w:rFonts w:ascii="Arial" w:cs="Arial" w:eastAsia="Arial" w:hAnsi="Arial"/>
          <w:sz w:val="18"/>
          <w:szCs w:val="18"/>
          <w:color w:val="auto"/>
        </w:rPr>
      </w:pPr>
      <w:r>
        <w:rPr>
          <w:rFonts w:ascii="Arial" w:cs="Arial" w:eastAsia="Arial" w:hAnsi="Arial"/>
          <w:sz w:val="18"/>
          <w:szCs w:val="18"/>
          <w:color w:val="auto"/>
        </w:rPr>
        <w:t>Shared Dispositive Power</w:t>
      </w:r>
    </w:p>
    <w:p>
      <w:pPr>
        <w:spacing w:after="0" w:line="7" w:lineRule="exact"/>
        <w:rPr>
          <w:rFonts w:ascii="Arial" w:cs="Arial" w:eastAsia="Arial" w:hAnsi="Arial"/>
          <w:sz w:val="18"/>
          <w:szCs w:val="18"/>
          <w:color w:val="auto"/>
        </w:rPr>
      </w:pPr>
    </w:p>
    <w:p>
      <w:pPr>
        <w:ind w:left="1880"/>
        <w:spacing w:after="0"/>
        <w:rPr>
          <w:rFonts w:ascii="Arial" w:cs="Arial" w:eastAsia="Arial" w:hAnsi="Arial"/>
          <w:sz w:val="18"/>
          <w:szCs w:val="18"/>
          <w:color w:val="auto"/>
        </w:rPr>
      </w:pPr>
      <w:r>
        <w:rPr>
          <w:rFonts w:ascii="Arial" w:cs="Arial" w:eastAsia="Arial" w:hAnsi="Arial"/>
          <w:sz w:val="18"/>
          <w:szCs w:val="18"/>
          <w:color w:val="auto"/>
        </w:rPr>
        <w:t>17,324,848 (See Items 3, 4, 5 and 6)</w:t>
      </w:r>
    </w:p>
    <w:p>
      <w:pPr>
        <w:spacing w:after="0" w:line="210" w:lineRule="exact"/>
        <w:rPr>
          <w:rFonts w:ascii="Arial" w:cs="Arial" w:eastAsia="Arial" w:hAnsi="Arial"/>
          <w:sz w:val="18"/>
          <w:szCs w:val="18"/>
          <w:color w:val="auto"/>
        </w:rPr>
      </w:pPr>
    </w:p>
    <w:p>
      <w:pPr>
        <w:ind w:left="960" w:right="5480" w:hanging="561"/>
        <w:spacing w:after="0" w:line="277" w:lineRule="auto"/>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17,324,848 (See Items 3, 4, 5 and 6)</w:t>
      </w:r>
    </w:p>
    <w:p>
      <w:pPr>
        <w:spacing w:after="0" w:line="170" w:lineRule="exact"/>
        <w:rPr>
          <w:rFonts w:ascii="Arial" w:cs="Arial" w:eastAsia="Arial" w:hAnsi="Arial"/>
          <w:sz w:val="18"/>
          <w:szCs w:val="18"/>
          <w:color w:val="auto"/>
        </w:rPr>
      </w:pPr>
    </w:p>
    <w:p>
      <w:pPr>
        <w:ind w:left="960" w:hanging="561"/>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(See Instructions) o</w:t>
      </w:r>
    </w:p>
    <w:p>
      <w:pPr>
        <w:spacing w:after="0" w:line="225" w:lineRule="exact"/>
        <w:rPr>
          <w:rFonts w:ascii="Arial" w:cs="Arial" w:eastAsia="Arial" w:hAnsi="Arial"/>
          <w:sz w:val="18"/>
          <w:szCs w:val="18"/>
          <w:color w:val="auto"/>
        </w:rPr>
      </w:pPr>
    </w:p>
    <w:p>
      <w:pPr>
        <w:ind w:left="960" w:hanging="561"/>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20.8%* (See Items 3, 4, 5 and 6)</w:t>
      </w:r>
    </w:p>
    <w:p>
      <w:pPr>
        <w:spacing w:after="0" w:line="210" w:lineRule="exact"/>
        <w:rPr>
          <w:rFonts w:ascii="Arial" w:cs="Arial" w:eastAsia="Arial" w:hAnsi="Arial"/>
          <w:sz w:val="18"/>
          <w:szCs w:val="18"/>
          <w:color w:val="auto"/>
        </w:rPr>
      </w:pPr>
    </w:p>
    <w:p>
      <w:pPr>
        <w:ind w:left="960" w:hanging="561"/>
        <w:spacing w:after="0"/>
        <w:tabs>
          <w:tab w:leader="none" w:pos="9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3" w:lineRule="exact"/>
        <w:rPr>
          <w:rFonts w:ascii="Arial" w:cs="Arial" w:eastAsia="Arial" w:hAnsi="Arial"/>
          <w:sz w:val="18"/>
          <w:szCs w:val="18"/>
          <w:color w:val="auto"/>
        </w:rPr>
      </w:pPr>
    </w:p>
    <w:p>
      <w:pPr>
        <w:ind w:left="960"/>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00" w:lineRule="exact"/>
        <w:rPr>
          <w:rFonts w:ascii="Arial" w:cs="Arial" w:eastAsia="Arial" w:hAnsi="Arial"/>
          <w:sz w:val="18"/>
          <w:szCs w:val="18"/>
          <w:color w:val="auto"/>
        </w:rPr>
      </w:pPr>
    </w:p>
    <w:p>
      <w:pPr>
        <w:spacing w:after="0" w:line="267" w:lineRule="exact"/>
        <w:rPr>
          <w:rFonts w:ascii="Arial" w:cs="Arial" w:eastAsia="Arial" w:hAnsi="Arial"/>
          <w:sz w:val="18"/>
          <w:szCs w:val="18"/>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The calculation of the percentage of outstanding shares is based on 83,319,660 shares of Common Stock outstanding as of April 30, 2021 as disclosed by the Issuer in its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-2102485</wp:posOffset>
            </wp:positionV>
            <wp:extent cx="59836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98360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-593725</wp:posOffset>
            </wp:positionV>
            <wp:extent cx="655764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-1005205</wp:posOffset>
            </wp:positionV>
            <wp:extent cx="655764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-1416685</wp:posOffset>
            </wp:positionV>
            <wp:extent cx="655764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579120</wp:posOffset>
            </wp:positionH>
            <wp:positionV relativeFrom="paragraph">
              <wp:posOffset>-1691005</wp:posOffset>
            </wp:positionV>
            <wp:extent cx="655764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-447675</wp:posOffset>
            </wp:positionV>
            <wp:extent cx="17830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spacing w:after="0" w:line="259" w:lineRule="auto"/>
        <w:rPr>
          <w:sz w:val="20"/>
          <w:szCs w:val="20"/>
          <w:color w:val="auto"/>
        </w:rPr>
      </w:pPr>
      <w:r>
        <w:rPr>
          <w:rFonts w:ascii="Arial" w:cs="Arial" w:eastAsia="Arial" w:hAnsi="Arial"/>
          <w:sz w:val="18"/>
          <w:szCs w:val="18"/>
          <w:color w:val="auto"/>
        </w:rPr>
        <w:t>This Amendment No. 1 (this “</w:t>
      </w:r>
      <w:r>
        <w:rPr>
          <w:rFonts w:ascii="Arial" w:cs="Arial" w:eastAsia="Arial" w:hAnsi="Arial"/>
          <w:sz w:val="18"/>
          <w:szCs w:val="18"/>
          <w:u w:val="single" w:color="auto"/>
          <w:color w:val="auto"/>
        </w:rPr>
        <w:t>Amendment No. 1</w:t>
      </w:r>
      <w:r>
        <w:rPr>
          <w:rFonts w:ascii="Arial" w:cs="Arial" w:eastAsia="Arial" w:hAnsi="Arial"/>
          <w:sz w:val="18"/>
          <w:szCs w:val="18"/>
          <w:color w:val="auto"/>
        </w:rPr>
        <w:t>”) to the statement on Schedule 13D amends and supplements the statement on Schedule 13D filed by the Reporting Persons on October 27, 2020 (as so amended, the “</w:t>
      </w:r>
      <w:r>
        <w:rPr>
          <w:rFonts w:ascii="Arial" w:cs="Arial" w:eastAsia="Arial" w:hAnsi="Arial"/>
          <w:sz w:val="18"/>
          <w:szCs w:val="18"/>
          <w:u w:val="single" w:color="auto"/>
          <w:color w:val="auto"/>
        </w:rPr>
        <w:t>13D Filing</w:t>
      </w:r>
      <w:r>
        <w:rPr>
          <w:rFonts w:ascii="Arial" w:cs="Arial" w:eastAsia="Arial" w:hAnsi="Arial"/>
          <w:sz w:val="18"/>
          <w:szCs w:val="18"/>
          <w:color w:val="auto"/>
        </w:rPr>
        <w:t>,” and, together with this Amendment No. 1, this “</w:t>
      </w:r>
      <w:r>
        <w:rPr>
          <w:rFonts w:ascii="Arial" w:cs="Arial" w:eastAsia="Arial" w:hAnsi="Arial"/>
          <w:sz w:val="18"/>
          <w:szCs w:val="18"/>
          <w:u w:val="single" w:color="auto"/>
          <w:color w:val="auto"/>
        </w:rPr>
        <w:t>Schedule 13D</w:t>
      </w:r>
      <w:r>
        <w:rPr>
          <w:rFonts w:ascii="Arial" w:cs="Arial" w:eastAsia="Arial" w:hAnsi="Arial"/>
          <w:sz w:val="18"/>
          <w:szCs w:val="18"/>
          <w:color w:val="auto"/>
        </w:rPr>
        <w:t>”). Except as amended in this Amendment No. 1, the13D Filing remains in full force and effect. Terms defined in the 13D Filing are used in this Amendment No. 1 as so defined, unless otherwise defined in this Amendment No. 1.</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2(a) and 2(c) of the 13D Filing are hereby amended and restated in their entirety as follows:</w:t>
      </w:r>
    </w:p>
    <w:p>
      <w:pPr>
        <w:spacing w:after="0" w:line="225"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This statement is being filed jointly by (i) AF V Energy IV AIV 1A, L.P. (“</w:t>
      </w:r>
      <w:r>
        <w:rPr>
          <w:rFonts w:ascii="Arial" w:cs="Arial" w:eastAsia="Arial" w:hAnsi="Arial"/>
          <w:sz w:val="17"/>
          <w:szCs w:val="17"/>
          <w:u w:val="single" w:color="auto"/>
          <w:color w:val="auto"/>
        </w:rPr>
        <w:t>ACOF AIV 1A</w:t>
      </w:r>
      <w:r>
        <w:rPr>
          <w:rFonts w:ascii="Arial" w:cs="Arial" w:eastAsia="Arial" w:hAnsi="Arial"/>
          <w:sz w:val="17"/>
          <w:szCs w:val="17"/>
          <w:color w:val="auto"/>
        </w:rPr>
        <w:t>”), (ii) AF V Energy IV AIV 1B, L.P. (“</w:t>
      </w:r>
      <w:r>
        <w:rPr>
          <w:rFonts w:ascii="Arial" w:cs="Arial" w:eastAsia="Arial" w:hAnsi="Arial"/>
          <w:sz w:val="17"/>
          <w:szCs w:val="17"/>
          <w:u w:val="single" w:color="auto"/>
          <w:color w:val="auto"/>
        </w:rPr>
        <w:t>ACOF AIV 1B</w:t>
      </w:r>
      <w:r>
        <w:rPr>
          <w:rFonts w:ascii="Arial" w:cs="Arial" w:eastAsia="Arial" w:hAnsi="Arial"/>
          <w:sz w:val="17"/>
          <w:szCs w:val="17"/>
          <w:color w:val="auto"/>
        </w:rPr>
        <w:t>”),</w:t>
      </w:r>
    </w:p>
    <w:p>
      <w:pPr>
        <w:spacing w:after="0" w:line="34" w:lineRule="exact"/>
        <w:rPr>
          <w:rFonts w:ascii="Arial" w:cs="Arial" w:eastAsia="Arial" w:hAnsi="Arial"/>
          <w:sz w:val="17"/>
          <w:szCs w:val="17"/>
          <w:color w:val="auto"/>
        </w:rPr>
      </w:pPr>
    </w:p>
    <w:p>
      <w:pPr>
        <w:jc w:val="both"/>
        <w:ind w:firstLine="8"/>
        <w:spacing w:after="0" w:line="251" w:lineRule="auto"/>
        <w:tabs>
          <w:tab w:leader="none" w:pos="31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AF V Energy IV AIV 2, L.P. (“</w:t>
      </w:r>
      <w:r>
        <w:rPr>
          <w:rFonts w:ascii="Arial" w:cs="Arial" w:eastAsia="Arial" w:hAnsi="Arial"/>
          <w:sz w:val="18"/>
          <w:szCs w:val="18"/>
          <w:u w:val="single" w:color="auto"/>
          <w:color w:val="auto"/>
        </w:rPr>
        <w:t>ACOF AIV 2</w:t>
      </w:r>
      <w:r>
        <w:rPr>
          <w:rFonts w:ascii="Arial" w:cs="Arial" w:eastAsia="Arial" w:hAnsi="Arial"/>
          <w:sz w:val="18"/>
          <w:szCs w:val="18"/>
          <w:color w:val="auto"/>
        </w:rPr>
        <w:t>” and, together with ACOF AIV 1A and ACOF AIV 1B, the “</w:t>
      </w:r>
      <w:r>
        <w:rPr>
          <w:rFonts w:ascii="Arial" w:cs="Arial" w:eastAsia="Arial" w:hAnsi="Arial"/>
          <w:sz w:val="18"/>
          <w:szCs w:val="18"/>
          <w:u w:val="single" w:color="auto"/>
          <w:color w:val="auto"/>
        </w:rPr>
        <w:t>ACOF AIVs</w:t>
      </w:r>
      <w:r>
        <w:rPr>
          <w:rFonts w:ascii="Arial" w:cs="Arial" w:eastAsia="Arial" w:hAnsi="Arial"/>
          <w:sz w:val="18"/>
          <w:szCs w:val="18"/>
          <w:color w:val="auto"/>
        </w:rPr>
        <w:t>”), (iv) AEOF ECR AIV A-B, L.P. (“</w:t>
      </w:r>
      <w:r>
        <w:rPr>
          <w:rFonts w:ascii="Arial" w:cs="Arial" w:eastAsia="Arial" w:hAnsi="Arial"/>
          <w:sz w:val="18"/>
          <w:szCs w:val="18"/>
          <w:u w:val="single" w:color="auto"/>
          <w:color w:val="auto"/>
        </w:rPr>
        <w:t>AEOF AIV A-B</w:t>
      </w:r>
      <w:r>
        <w:rPr>
          <w:rFonts w:ascii="Arial" w:cs="Arial" w:eastAsia="Arial" w:hAnsi="Arial"/>
          <w:sz w:val="18"/>
          <w:szCs w:val="18"/>
          <w:color w:val="auto"/>
        </w:rPr>
        <w:t>”), (v) AEOF ECR AIV C, L.P. (“</w:t>
      </w:r>
      <w:r>
        <w:rPr>
          <w:rFonts w:ascii="Arial" w:cs="Arial" w:eastAsia="Arial" w:hAnsi="Arial"/>
          <w:sz w:val="18"/>
          <w:szCs w:val="18"/>
          <w:u w:val="single" w:color="auto"/>
          <w:color w:val="auto"/>
        </w:rPr>
        <w:t>AEOF AIV C</w:t>
      </w:r>
      <w:r>
        <w:rPr>
          <w:rFonts w:ascii="Arial" w:cs="Arial" w:eastAsia="Arial" w:hAnsi="Arial"/>
          <w:sz w:val="18"/>
          <w:szCs w:val="18"/>
          <w:color w:val="auto"/>
        </w:rPr>
        <w:t>” and, together with AEOF AIV A-B, the “</w:t>
      </w:r>
      <w:r>
        <w:rPr>
          <w:rFonts w:ascii="Arial" w:cs="Arial" w:eastAsia="Arial" w:hAnsi="Arial"/>
          <w:sz w:val="18"/>
          <w:szCs w:val="18"/>
          <w:u w:val="single" w:color="auto"/>
          <w:color w:val="auto"/>
        </w:rPr>
        <w:t>AEOF AIVs</w:t>
      </w:r>
      <w:r>
        <w:rPr>
          <w:rFonts w:ascii="Arial" w:cs="Arial" w:eastAsia="Arial" w:hAnsi="Arial"/>
          <w:sz w:val="18"/>
          <w:szCs w:val="18"/>
          <w:color w:val="auto"/>
        </w:rPr>
        <w:t>”), (vi) AF Energy Feeder, L.P., (vii) ACOF Investment Management LLC (“</w:t>
      </w:r>
      <w:r>
        <w:rPr>
          <w:rFonts w:ascii="Arial" w:cs="Arial" w:eastAsia="Arial" w:hAnsi="Arial"/>
          <w:sz w:val="18"/>
          <w:szCs w:val="18"/>
          <w:u w:val="single" w:color="auto"/>
          <w:color w:val="auto"/>
        </w:rPr>
        <w:t>ACOF Investment Management</w:t>
      </w:r>
      <w:r>
        <w:rPr>
          <w:rFonts w:ascii="Arial" w:cs="Arial" w:eastAsia="Arial" w:hAnsi="Arial"/>
          <w:sz w:val="18"/>
          <w:szCs w:val="18"/>
          <w:color w:val="auto"/>
        </w:rPr>
        <w:t>”), (viii) SSF IV Energy I AIV 1A, L.P. (“</w:t>
      </w:r>
      <w:r>
        <w:rPr>
          <w:rFonts w:ascii="Arial" w:cs="Arial" w:eastAsia="Arial" w:hAnsi="Arial"/>
          <w:sz w:val="18"/>
          <w:szCs w:val="18"/>
          <w:u w:val="single" w:color="auto"/>
          <w:color w:val="auto"/>
        </w:rPr>
        <w:t>SSF AIV 1A</w:t>
      </w:r>
      <w:r>
        <w:rPr>
          <w:rFonts w:ascii="Arial" w:cs="Arial" w:eastAsia="Arial" w:hAnsi="Arial"/>
          <w:sz w:val="18"/>
          <w:szCs w:val="18"/>
          <w:color w:val="auto"/>
        </w:rPr>
        <w:t>”), (ix) SSF IV Energy I AIV 1B, L.P. (“</w:t>
      </w:r>
      <w:r>
        <w:rPr>
          <w:rFonts w:ascii="Arial" w:cs="Arial" w:eastAsia="Arial" w:hAnsi="Arial"/>
          <w:sz w:val="18"/>
          <w:szCs w:val="18"/>
          <w:u w:val="single" w:color="auto"/>
          <w:color w:val="auto"/>
        </w:rPr>
        <w:t>SSF AIV 1B</w:t>
      </w:r>
      <w:r>
        <w:rPr>
          <w:rFonts w:ascii="Arial" w:cs="Arial" w:eastAsia="Arial" w:hAnsi="Arial"/>
          <w:sz w:val="18"/>
          <w:szCs w:val="18"/>
          <w:color w:val="auto"/>
        </w:rPr>
        <w:t>”), (x) SSF IV Energy I AIV 2, L.P. (“</w:t>
      </w:r>
      <w:r>
        <w:rPr>
          <w:rFonts w:ascii="Arial" w:cs="Arial" w:eastAsia="Arial" w:hAnsi="Arial"/>
          <w:sz w:val="18"/>
          <w:szCs w:val="18"/>
          <w:u w:val="single" w:color="auto"/>
          <w:color w:val="auto"/>
        </w:rPr>
        <w:t>SSF AIV 2</w:t>
      </w:r>
      <w:r>
        <w:rPr>
          <w:rFonts w:ascii="Arial" w:cs="Arial" w:eastAsia="Arial" w:hAnsi="Arial"/>
          <w:sz w:val="18"/>
          <w:szCs w:val="18"/>
          <w:color w:val="auto"/>
        </w:rPr>
        <w:t>” and, together with SSF AIV 1A and SSF AIV 1B, the “</w:t>
      </w:r>
      <w:r>
        <w:rPr>
          <w:rFonts w:ascii="Arial" w:cs="Arial" w:eastAsia="Arial" w:hAnsi="Arial"/>
          <w:sz w:val="18"/>
          <w:szCs w:val="18"/>
          <w:u w:val="single" w:color="auto"/>
          <w:color w:val="auto"/>
        </w:rPr>
        <w:t>SSF</w:t>
      </w:r>
      <w:r>
        <w:rPr>
          <w:rFonts w:ascii="Arial" w:cs="Arial" w:eastAsia="Arial" w:hAnsi="Arial"/>
          <w:sz w:val="18"/>
          <w:szCs w:val="18"/>
          <w:color w:val="auto"/>
        </w:rPr>
        <w:t xml:space="preserve"> </w:t>
      </w:r>
      <w:r>
        <w:rPr>
          <w:rFonts w:ascii="Arial" w:cs="Arial" w:eastAsia="Arial" w:hAnsi="Arial"/>
          <w:sz w:val="18"/>
          <w:szCs w:val="18"/>
          <w:u w:val="single" w:color="auto"/>
          <w:color w:val="auto"/>
        </w:rPr>
        <w:t>AIVs</w:t>
      </w:r>
      <w:r>
        <w:rPr>
          <w:rFonts w:ascii="Arial" w:cs="Arial" w:eastAsia="Arial" w:hAnsi="Arial"/>
          <w:sz w:val="18"/>
          <w:szCs w:val="18"/>
          <w:color w:val="auto"/>
        </w:rPr>
        <w:t>”), (xi) ASSF Operating Manager IV, L.P. (“</w:t>
      </w:r>
      <w:r>
        <w:rPr>
          <w:rFonts w:ascii="Arial" w:cs="Arial" w:eastAsia="Arial" w:hAnsi="Arial"/>
          <w:sz w:val="18"/>
          <w:szCs w:val="18"/>
          <w:u w:val="single" w:color="auto"/>
          <w:color w:val="auto"/>
        </w:rPr>
        <w:t>ASSF Operating Manager IV</w:t>
      </w:r>
      <w:r>
        <w:rPr>
          <w:rFonts w:ascii="Arial" w:cs="Arial" w:eastAsia="Arial" w:hAnsi="Arial"/>
          <w:sz w:val="18"/>
          <w:szCs w:val="18"/>
          <w:color w:val="auto"/>
        </w:rPr>
        <w:t>”), (xii) Ares Management LLC, (xiii) Ares Management Holdings L.P. (“</w:t>
      </w:r>
      <w:r>
        <w:rPr>
          <w:rFonts w:ascii="Arial" w:cs="Arial" w:eastAsia="Arial" w:hAnsi="Arial"/>
          <w:sz w:val="18"/>
          <w:szCs w:val="18"/>
          <w:u w:val="single" w:color="auto"/>
          <w:color w:val="auto"/>
        </w:rPr>
        <w:t>Ares Management Holdings</w:t>
      </w:r>
      <w:r>
        <w:rPr>
          <w:rFonts w:ascii="Arial" w:cs="Arial" w:eastAsia="Arial" w:hAnsi="Arial"/>
          <w:sz w:val="18"/>
          <w:szCs w:val="18"/>
          <w:color w:val="auto"/>
        </w:rPr>
        <w:t>”), (xiv) Ares Holdco LLC (“</w:t>
      </w:r>
      <w:r>
        <w:rPr>
          <w:rFonts w:ascii="Arial" w:cs="Arial" w:eastAsia="Arial" w:hAnsi="Arial"/>
          <w:sz w:val="18"/>
          <w:szCs w:val="18"/>
          <w:u w:val="single" w:color="auto"/>
          <w:color w:val="auto"/>
        </w:rPr>
        <w:t>Ares Holdco</w:t>
      </w:r>
      <w:r>
        <w:rPr>
          <w:rFonts w:ascii="Arial" w:cs="Arial" w:eastAsia="Arial" w:hAnsi="Arial"/>
          <w:sz w:val="18"/>
          <w:szCs w:val="18"/>
          <w:color w:val="auto"/>
        </w:rPr>
        <w:t>”), (xv) Ares Management Corporation (“</w:t>
      </w:r>
      <w:r>
        <w:rPr>
          <w:rFonts w:ascii="Arial" w:cs="Arial" w:eastAsia="Arial" w:hAnsi="Arial"/>
          <w:sz w:val="18"/>
          <w:szCs w:val="18"/>
          <w:u w:val="single" w:color="auto"/>
          <w:color w:val="auto"/>
        </w:rPr>
        <w:t>Ares Management</w:t>
      </w:r>
      <w:r>
        <w:rPr>
          <w:rFonts w:ascii="Arial" w:cs="Arial" w:eastAsia="Arial" w:hAnsi="Arial"/>
          <w:sz w:val="18"/>
          <w:szCs w:val="18"/>
          <w:color w:val="auto"/>
        </w:rPr>
        <w:t>”), (xvi) Ares Voting LLC (“</w:t>
      </w:r>
      <w:r>
        <w:rPr>
          <w:rFonts w:ascii="Arial" w:cs="Arial" w:eastAsia="Arial" w:hAnsi="Arial"/>
          <w:sz w:val="18"/>
          <w:szCs w:val="18"/>
          <w:u w:val="single" w:color="auto"/>
          <w:color w:val="auto"/>
        </w:rPr>
        <w:t>Ares Voting</w:t>
      </w:r>
      <w:r>
        <w:rPr>
          <w:rFonts w:ascii="Arial" w:cs="Arial" w:eastAsia="Arial" w:hAnsi="Arial"/>
          <w:sz w:val="18"/>
          <w:szCs w:val="18"/>
          <w:color w:val="auto"/>
        </w:rPr>
        <w:t>”), (xvii) Ares Management GP LLC (“</w:t>
      </w:r>
      <w:r>
        <w:rPr>
          <w:rFonts w:ascii="Arial" w:cs="Arial" w:eastAsia="Arial" w:hAnsi="Arial"/>
          <w:sz w:val="18"/>
          <w:szCs w:val="18"/>
          <w:u w:val="single" w:color="auto"/>
          <w:color w:val="auto"/>
        </w:rPr>
        <w:t>Ares Management GP</w:t>
      </w:r>
      <w:r>
        <w:rPr>
          <w:rFonts w:ascii="Arial" w:cs="Arial" w:eastAsia="Arial" w:hAnsi="Arial"/>
          <w:sz w:val="18"/>
          <w:szCs w:val="18"/>
          <w:color w:val="auto"/>
        </w:rPr>
        <w:t>”) and (xviii) Ares Partners Holdco LLC (“</w:t>
      </w:r>
      <w:r>
        <w:rPr>
          <w:rFonts w:ascii="Arial" w:cs="Arial" w:eastAsia="Arial" w:hAnsi="Arial"/>
          <w:sz w:val="18"/>
          <w:szCs w:val="18"/>
          <w:u w:val="single" w:color="auto"/>
          <w:color w:val="auto"/>
        </w:rPr>
        <w:t>Ares Partners</w:t>
      </w:r>
      <w:r>
        <w:rPr>
          <w:rFonts w:ascii="Arial" w:cs="Arial" w:eastAsia="Arial" w:hAnsi="Arial"/>
          <w:sz w:val="18"/>
          <w:szCs w:val="18"/>
          <w:color w:val="auto"/>
        </w:rPr>
        <w:t>”)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 xml:space="preserve">”). The Reporting Persons have entered into a joint filing agreement, dated as of May 25, 2021, a copy of which is attached to this Schedule 13D as </w:t>
      </w:r>
      <w:r>
        <w:rPr>
          <w:rFonts w:ascii="Arial" w:cs="Arial" w:eastAsia="Arial" w:hAnsi="Arial"/>
          <w:sz w:val="18"/>
          <w:szCs w:val="18"/>
          <w:u w:val="single" w:color="auto"/>
          <w:color w:val="auto"/>
        </w:rPr>
        <w:t>Exhibit 99.1</w:t>
      </w:r>
      <w:r>
        <w:rPr>
          <w:rFonts w:ascii="Arial" w:cs="Arial" w:eastAsia="Arial" w:hAnsi="Arial"/>
          <w:sz w:val="18"/>
          <w:szCs w:val="18"/>
          <w:color w:val="auto"/>
        </w:rPr>
        <w:t>.</w:t>
      </w:r>
    </w:p>
    <w:p>
      <w:pPr>
        <w:spacing w:after="0" w:line="197" w:lineRule="exact"/>
        <w:rPr>
          <w:sz w:val="20"/>
          <w:szCs w:val="20"/>
          <w:color w:val="auto"/>
        </w:rPr>
      </w:pPr>
    </w:p>
    <w:p>
      <w:pPr>
        <w:jc w:val="both"/>
        <w:ind w:firstLine="8"/>
        <w:spacing w:after="0" w:line="268" w:lineRule="auto"/>
        <w:tabs>
          <w:tab w:leader="none" w:pos="272"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Reporting Persons are either holding companies without operations, or are principally engaged in the business of investment management or making, purchasing, selling and holding investments. ACOF Investment Management is the manager of each of the ACOF AIVs, the AEOF AIVs and AF Energy Feeder, L.P., and the sole member of ACOF Investment Management is Ares Management LLC. ASSF Operating Manager IV is the manager of the SSF AIVs, and the general partner of ASSF Operating Manager IV is Ares Management LLC. The sole member of Ares Management LLC is Ares Management Holdings, and the general partner of Ares Management Holdings is Ares Holdco. The sole member of Ares Holdco is Ares Management. Ares Management GP is the sole holder of the Class B common stock, $0.01 par value per share, of Ares Management (the “</w:t>
      </w:r>
      <w:r>
        <w:rPr>
          <w:rFonts w:ascii="Arial" w:cs="Arial" w:eastAsia="Arial" w:hAnsi="Arial"/>
          <w:sz w:val="17"/>
          <w:szCs w:val="17"/>
          <w:u w:val="single" w:color="auto"/>
          <w:color w:val="auto"/>
        </w:rPr>
        <w:t>Class B Common Stock</w:t>
      </w:r>
      <w:r>
        <w:rPr>
          <w:rFonts w:ascii="Arial" w:cs="Arial" w:eastAsia="Arial" w:hAnsi="Arial"/>
          <w:sz w:val="17"/>
          <w:szCs w:val="17"/>
          <w:color w:val="auto"/>
        </w:rPr>
        <w:t>”) and Ares Voting is the sole holder of the Class C common stock, $0.01 par value per share, of Ares Management (the “</w:t>
      </w:r>
      <w:r>
        <w:rPr>
          <w:rFonts w:ascii="Arial" w:cs="Arial" w:eastAsia="Arial" w:hAnsi="Arial"/>
          <w:sz w:val="17"/>
          <w:szCs w:val="17"/>
          <w:u w:val="single" w:color="auto"/>
          <w:color w:val="auto"/>
        </w:rPr>
        <w:t>Class C Common Stock</w:t>
      </w:r>
      <w:r>
        <w:rPr>
          <w:rFonts w:ascii="Arial" w:cs="Arial" w:eastAsia="Arial" w:hAnsi="Arial"/>
          <w:sz w:val="17"/>
          <w:szCs w:val="17"/>
          <w:color w:val="auto"/>
        </w:rPr>
        <w:t xml:space="preserve">”). Pursuant to Ares Management’s Certificate of Incorporation in effect as of the date of this Schedule 13D, the holders of the Class B Common Stock and the Class C Common Stock, collectively, will generally have the majority of the votes on any matter submitted to the stockholders of Ares Management if certain conditions are met. The officers and directors of Ares Management and their principal occupations are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Schedule 13D. The sole member of both Ares Management GP and Ares Voting is Ares Partners. Ares Partners is managed by a board of managers, which is composed of Michael J Arougheti, Ryan Berry, R. Kipp deVeer, David B. Kaplan, Michael R. McFerran, Antony P. Ressler and Bennett Rosenthal (collectively, the “</w:t>
      </w:r>
      <w:r>
        <w:rPr>
          <w:rFonts w:ascii="Arial" w:cs="Arial" w:eastAsia="Arial" w:hAnsi="Arial"/>
          <w:sz w:val="17"/>
          <w:szCs w:val="17"/>
          <w:u w:val="single" w:color="auto"/>
          <w:color w:val="auto"/>
        </w:rPr>
        <w:t>Board Members</w:t>
      </w:r>
      <w:r>
        <w:rPr>
          <w:rFonts w:ascii="Arial" w:cs="Arial" w:eastAsia="Arial" w:hAnsi="Arial"/>
          <w:sz w:val="17"/>
          <w:szCs w:val="17"/>
          <w:color w:val="auto"/>
        </w:rPr>
        <w:t xml:space="preserve">”). Mr. Ressler generally has veto authority over decisions by the Board Members. The present principal occupation of each of the Board Members is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to this Schedule 13D.</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of the Reporting Persons (other than the ACOF AIVs, the AEOF AIVs, the SSF AIVs and AF Energy Feeder, L.P., in each case, solely with respect to the shares of Common Stock held directly by each such Reporting Person), the Managers, and the other directors, officers, partners, stockholders, members and managers of the Reporting Persons, expressly disclaims beneficial ownership of the Common Stock for purposes of Section 13(d) of the Act and the rules under Section 13(d) of the Act.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13D Filing is hereby amended and restated in its entirety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Subject Shares were acquired by the Reporting Persons for investment purposes and for the purposes described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20" w:name="page21"/>
    <w:bookmarkEnd w:id="20"/>
    <w:p>
      <w:pPr>
        <w:jc w:val="both"/>
        <w:spacing w:after="0" w:line="263" w:lineRule="auto"/>
        <w:rPr>
          <w:sz w:val="20"/>
          <w:szCs w:val="20"/>
          <w:color w:val="auto"/>
        </w:rPr>
      </w:pPr>
      <w:r>
        <w:rPr>
          <w:rFonts w:ascii="Arial" w:cs="Arial" w:eastAsia="Arial" w:hAnsi="Arial"/>
          <w:sz w:val="18"/>
          <w:szCs w:val="18"/>
          <w:color w:val="auto"/>
        </w:rPr>
        <w:t>The Reporting Persons received the Subject Shares pursuant to the transactions described in Item 3 above, which information is hereby incorporated into this Item 4 by reference. The description of the Registration Rights Agreement contained in Item 6 below is also hereby incorporated into this Item 4 by reference.</w:t>
      </w:r>
    </w:p>
    <w:p>
      <w:pPr>
        <w:spacing w:after="0" w:line="18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Reporting Persons and their respective representatives have engaged and/or may engage, from time to time, in discussions with the Issuer’s management and/or the Board, including any special committees of the Board, and/or their respective advisors, regarding, among other things, the Issuer’s business, strategies, management, governance, operations, personnel, performance, financial matters, capital structure, corporate expenses, status of projects, hedging, environmental, health and safety matters and strategic and other transactions (including transactions involving one or more of the Reporting Persons and/or their respective affiliates and/or portfolio companies and/or other stockholders or creditors of the Issuer), and have engaged and/or intend to, from time to time, engage in discussions with other current or prospective holders of Common Stock and/or other equity, debt, notes, instruments or securities, or rights convertible into or exchangeable or exercisable for Common Stock or such other equity, debt, notes, instruments or securities, of the Issuer (collectively, “</w:t>
      </w:r>
      <w:r>
        <w:rPr>
          <w:rFonts w:ascii="Arial" w:cs="Arial" w:eastAsia="Arial" w:hAnsi="Arial"/>
          <w:sz w:val="16"/>
          <w:szCs w:val="16"/>
          <w:u w:val="single" w:color="auto"/>
          <w:color w:val="auto"/>
        </w:rPr>
        <w:t>Securities</w:t>
      </w:r>
      <w:r>
        <w:rPr>
          <w:rFonts w:ascii="Arial" w:cs="Arial" w:eastAsia="Arial" w:hAnsi="Arial"/>
          <w:sz w:val="16"/>
          <w:szCs w:val="16"/>
          <w:color w:val="auto"/>
        </w:rPr>
        <w:t>”), industry analysts, research analysts, rating agencies, existing or potential strategic partners of the Issuer, acquirers or competitors, financial sponsors, investment firms, investment professionals, capital and potential capital sources (including co-investors), operators, financial, and other consultants and advisors and other third parties regarding such matters (in each case, including with respect to providing or potentially providing capital to the Issuer or to existing or potential strategic partners or acquirers of the Issuer) as well as other matters set forth in clauses</w:t>
      </w:r>
    </w:p>
    <w:p>
      <w:pPr>
        <w:spacing w:after="0" w:line="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(a)-(j) of Item 4 of Schedule 13D. These discussions have encompassed, and/or the Reporting Persons expect will encompass, a broad range of matters relating to the Issuer, including, among other things, the Issuer’s business, operations, finances, management, organizational documents, ownership, capital and corporate structure, dividend policy, corporate governance, the Board and committees thereof, management and director incentive programs, strategic alternatives and transactions, including the sale of the Issuer, its Securities or one or more of its subsidiaries or their respective businesses or assets or a business combination or other strategic transaction involving the Issuer or one or more of its subsidiaries, and any regulatory or legal filings, clearances, approvals or waivers relating to the foregoing. The Reporting Persons may exchange information with the Issuer or other persons or entities pursuant to confidentiality or similar agreements and may enter into expense reimbursement agreements with the Issuer and others.</w:t>
      </w:r>
    </w:p>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Reporting Persons intend to review their investment in the Issuer on an ongoing basis. Depending on various factors, including the outcome of any discussions referenced above, the Issuer’s business, financial position, results, strategic direction or prospects or any strategic alternatives or transactions, actions taken by the Issuer’s management or the Board, price levels of one or more Securities, other investment opportunities available to the Reporting Persons, the available capital of the Reporting Persons, the respective portfolio management considerations (including investment horizons) of the Reporting Persons, conditions in the securities, loan or bond markets, factors relating to COVID-19 and other potential pandemics, general economic or industry conditions or any changes in law or regulations, the Reporting Persons expect that they will seek to dispose, or cause to be disposed (including, without limitation, distributing some or all of the shares of Common Stock to certain of the Reporting Persons’ respective members, partners, stockholders and/or beneficiaries, as applicable), some or all of the Subject Shares beneficially owned by them, in the public market, in privately negotiated transactions or otherwise, pledging their interest in the Subject Shares as a means of obtaining liquidity or as credit support for loans or other extensions of credit, or entering into derivatives transactions and other agreements or instruments that decrease the Reporting Persons’ economic exposure with respect to their investment in the Issuer.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5(c) of the 13D Filing is hereby amended and restated in its entirety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 </w:t>
      </w:r>
      <w:r>
        <w:rPr>
          <w:rFonts w:ascii="Arial" w:cs="Arial" w:eastAsia="Arial" w:hAnsi="Arial"/>
          <w:sz w:val="17"/>
          <w:szCs w:val="17"/>
          <w:b w:val="1"/>
          <w:bCs w:val="1"/>
          <w:color w:val="auto"/>
        </w:rPr>
        <w:t>Transactions within the past 60 days</w:t>
      </w:r>
      <w:r>
        <w:rPr>
          <w:rFonts w:ascii="Arial" w:cs="Arial" w:eastAsia="Arial" w:hAnsi="Arial"/>
          <w:sz w:val="17"/>
          <w:szCs w:val="17"/>
          <w:color w:val="auto"/>
        </w:rPr>
        <w:t>. None of the Reporting Persons has effected any transaction in Common Stock during the past 60 days.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left="40"/>
        <w:spacing w:after="0"/>
        <w:tabs>
          <w:tab w:leader="none" w:pos="152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6"/>
          <w:szCs w:val="16"/>
          <w:color w:val="auto"/>
        </w:rPr>
        <w:t>Joint Filing Agreement, dated as of May 25, 2021, by and among the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ind w:left="510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25,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904" w:right="919" w:bottom="1440" w:gutter="0" w:footer="0" w:header="0"/>
        </w:sectPr>
      </w:pPr>
    </w:p>
    <w:bookmarkStart w:id="22" w:name="page23"/>
    <w:bookmarkEnd w:id="22"/>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SSF IV ENERGY I AIV 1A,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ASSF OPERATING MANAGER IV,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SSF IV ENERGY I AIV 1B,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ASSF OPERATING MANAGER IV,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SSF IV ENERGY I AIV 2,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ASSF OPERATING MANAGER IV,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3" w:name="page24"/>
    <w:bookmarkEnd w:id="23"/>
    <w:p>
      <w:pPr>
        <w:ind w:left="4520"/>
        <w:spacing w:after="0"/>
        <w:rPr>
          <w:sz w:val="20"/>
          <w:szCs w:val="20"/>
          <w:color w:val="auto"/>
        </w:rPr>
      </w:pPr>
      <w:r>
        <w:rPr>
          <w:rFonts w:ascii="Arial" w:cs="Arial" w:eastAsia="Arial" w:hAnsi="Arial"/>
          <w:sz w:val="18"/>
          <w:szCs w:val="18"/>
          <w:b w:val="1"/>
          <w:bCs w:val="1"/>
          <w:color w:val="auto"/>
        </w:rPr>
        <w:t>ASSF OPERATING MANAGER IV, L.P.</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HOLDCO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PARTNERS HOLDCO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-130810</wp:posOffset>
            </wp:positionV>
            <wp:extent cx="334327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4" w:name="page25"/>
    <w:bookmarkEnd w:id="24"/>
    <w:p>
      <w:pPr>
        <w:ind w:left="49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1240" w:val="left"/>
        </w:tabs>
        <w:rPr>
          <w:rFonts w:ascii="Arial" w:cs="Arial" w:eastAsia="Arial" w:hAnsi="Arial"/>
          <w:sz w:val="16"/>
          <w:szCs w:val="16"/>
          <w:u w:val="single" w:color="auto"/>
          <w:color w:val="0000EE"/>
        </w:rPr>
      </w:pPr>
      <w:hyperlink w:anchor="page26">
        <w:r>
          <w:rPr>
            <w:rFonts w:ascii="Arial" w:cs="Arial" w:eastAsia="Arial" w:hAnsi="Arial"/>
            <w:sz w:val="18"/>
            <w:szCs w:val="18"/>
            <w:u w:val="single" w:color="auto"/>
            <w:color w:val="0000EE"/>
          </w:rPr>
          <w:t>Exhibit 99.1</w:t>
        </w:r>
      </w:hyperlink>
      <w:r>
        <w:rPr>
          <w:rFonts w:ascii="Arial" w:cs="Arial" w:eastAsia="Arial" w:hAnsi="Arial"/>
          <w:sz w:val="18"/>
          <w:szCs w:val="18"/>
          <w:u w:val="single" w:color="auto"/>
          <w:color w:val="0000EE"/>
        </w:rPr>
        <w:tab/>
      </w:r>
      <w:hyperlink w:anchor="page26">
        <w:r>
          <w:rPr>
            <w:rFonts w:ascii="Arial" w:cs="Arial" w:eastAsia="Arial" w:hAnsi="Arial"/>
            <w:sz w:val="16"/>
            <w:szCs w:val="16"/>
            <w:u w:val="single" w:color="auto"/>
            <w:color w:val="0000EE"/>
          </w:rPr>
          <w:t>Joint Filing Agreement, dated as of May 25, 2021, by and among the Reporting Persons.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accordance with Rule 13d-1(k)(1) promulgated under the Securities Exchange Act of 1934, as amended, the undersigned hereby agree to the joint filing with each of the Reporting Persons (as such term is defined in the Schedule 13D referred to below) on behalf of each of them of a statement on Schedule 13D (including amendments thereto) with respect to the common stock, par value $0.01 per share, of California Resources Corporation, a Delaware corporation, and that this agreement may be included as an exhibit to such joint filing.</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WITNESS WHEREOF, the undersigned hereby execute this agreement as of May 25,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1A,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1B,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AF V ENERGY IV AIV 2,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AEOF ECR AIV A-B, L.P.</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ACOF INVESTMENT MANAGEMENT LLC</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4520"/>
        <w:spacing w:after="0"/>
        <w:rPr>
          <w:sz w:val="20"/>
          <w:szCs w:val="20"/>
          <w:color w:val="auto"/>
        </w:rPr>
      </w:pPr>
      <w:r>
        <w:rPr>
          <w:rFonts w:ascii="Arial" w:cs="Arial" w:eastAsia="Arial" w:hAnsi="Arial"/>
          <w:sz w:val="18"/>
          <w:szCs w:val="18"/>
          <w:b w:val="1"/>
          <w:bCs w:val="1"/>
          <w:color w:val="auto"/>
        </w:rPr>
        <w:t>AEOF ECR AIV C,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AF ENERGY FEEDER,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By: ACOF INVESTMENT MANAGEMENT LLC</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ACOF INVESTMENT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SSF IV ENERGY I AIV 1A,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ASSF OPERATING MANAGER IV,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SSF IV ENERGY I AIV 1B,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ASSF OPERATING MANAGER IV,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SSF IV ENERGY I AIV 2,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ASSF OPERATING MANAGER IV, L.P.</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Manager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27" w:name="page28"/>
    <w:bookmarkEnd w:id="27"/>
    <w:p>
      <w:pPr>
        <w:ind w:left="4520"/>
        <w:spacing w:after="0"/>
        <w:rPr>
          <w:sz w:val="20"/>
          <w:szCs w:val="20"/>
          <w:color w:val="auto"/>
        </w:rPr>
      </w:pPr>
      <w:r>
        <w:rPr>
          <w:rFonts w:ascii="Arial" w:cs="Arial" w:eastAsia="Arial" w:hAnsi="Arial"/>
          <w:sz w:val="18"/>
          <w:szCs w:val="18"/>
          <w:b w:val="1"/>
          <w:bCs w:val="1"/>
          <w:color w:val="auto"/>
        </w:rPr>
        <w:t>ASSF OPERATING MANAGER IV, L.P.</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HOLDINGS L.P.</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HOLDCO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CORPORATION</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MANAGEMENT GP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VOTING LLC</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ARES PARTNERS HOLDCO LLC</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Its: Sole Member</w:t>
      </w:r>
    </w:p>
    <w:p>
      <w:pPr>
        <w:spacing w:after="0" w:line="21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ARES PARTNERS HOLDCO LLC</w:t>
      </w:r>
    </w:p>
    <w:p>
      <w:pPr>
        <w:spacing w:after="0" w:line="22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/s/Naseem Sagati Aghili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14605</wp:posOffset>
            </wp:positionV>
            <wp:extent cx="3343275"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By: Naseem Sagati Aghili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280035</wp:posOffset>
            </wp:positionV>
            <wp:extent cx="71323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9019"/>
      </w:cols>
      <w:pgMar w:left="144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1."/>
      <w:numFmt w:val="decimal"/>
      <w:start w:val="1"/>
    </w:lvl>
    <w:lvl w:ilvl="1">
      <w:lvlJc w:val="left"/>
      <w:lvlText w:val="(%2)"/>
      <w:numFmt w:val="lowerLetter"/>
      <w:start w:val="1"/>
    </w:lvl>
  </w:abstractNum>
  <w:abstractNum w:abstractNumId="2">
    <w:nsid w:val="1E7FF521"/>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
    <w:nsid w:val="7C3DBD3D"/>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
    <w:nsid w:val="737B8DDC"/>
    <w:multiLevelType w:val="hybridMultilevel"/>
    <w:lvl w:ilvl="0">
      <w:lvlJc w:val="left"/>
      <w:lvlText w:val="%1."/>
      <w:numFmt w:val="decimal"/>
      <w:start w:val="1"/>
    </w:lvl>
    <w:lvl w:ilvl="1">
      <w:lvlJc w:val="left"/>
      <w:lvlText w:val="(%2)"/>
      <w:numFmt w:val="lowerLetter"/>
      <w:start w:val="1"/>
    </w:lvl>
  </w:abstractNum>
  <w:abstractNum w:abstractNumId="5">
    <w:nsid w:val="6CEAF08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6">
    <w:nsid w:val="22221A70"/>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7">
    <w:nsid w:val="4516DDE9"/>
    <w:multiLevelType w:val="hybridMultilevel"/>
    <w:lvl w:ilvl="0">
      <w:lvlJc w:val="left"/>
      <w:lvlText w:val="%1."/>
      <w:numFmt w:val="decimal"/>
      <w:start w:val="1"/>
    </w:lvl>
    <w:lvl w:ilvl="1">
      <w:lvlJc w:val="left"/>
      <w:lvlText w:val="(%2)"/>
      <w:numFmt w:val="lowerLetter"/>
      <w:start w:val="1"/>
    </w:lvl>
  </w:abstractNum>
  <w:abstractNum w:abstractNumId="8">
    <w:nsid w:val="3006C83E"/>
    <w:multiLevelType w:val="hybridMultilevel"/>
    <w:lvl w:ilvl="0">
      <w:lvlJc w:val="left"/>
      <w:lvlText w:val="%1"/>
      <w:numFmt w:val="decimal"/>
      <w:start w:val="1"/>
    </w:lvl>
    <w:lvl w:ilvl="1">
      <w:lvlJc w:val="left"/>
      <w:lvlText w:val="%2."/>
      <w:numFmt w:val="decimal"/>
      <w:start w:val="10"/>
    </w:lvl>
  </w:abstractNum>
  <w:abstractNum w:abstractNumId="9">
    <w:nsid w:val="614FD4A1"/>
    <w:multiLevelType w:val="hybridMultilevel"/>
    <w:lvl w:ilvl="0">
      <w:lvlJc w:val="left"/>
      <w:lvlText w:val="%1."/>
      <w:numFmt w:val="decimal"/>
      <w:start w:val="11"/>
    </w:lvl>
    <w:lvl w:ilvl="1">
      <w:lvlJc w:val="left"/>
      <w:lvlText w:val="%2"/>
      <w:numFmt w:val="decimal"/>
      <w:start w:val="1"/>
    </w:lvl>
  </w:abstractNum>
  <w:abstractNum w:abstractNumId="10">
    <w:nsid w:val="419AC241"/>
    <w:multiLevelType w:val="hybridMultilevel"/>
    <w:lvl w:ilvl="0">
      <w:lvlJc w:val="left"/>
      <w:lvlText w:val="%1."/>
      <w:numFmt w:val="decimal"/>
      <w:start w:val="1"/>
    </w:lvl>
    <w:lvl w:ilvl="1">
      <w:lvlJc w:val="left"/>
      <w:lvlText w:val="(%2)"/>
      <w:numFmt w:val="lowerLetter"/>
      <w:start w:val="1"/>
    </w:lvl>
  </w:abstractNum>
  <w:abstractNum w:abstractNumId="11">
    <w:nsid w:val="5577F8E1"/>
    <w:multiLevelType w:val="hybridMultilevel"/>
    <w:lvl w:ilvl="0">
      <w:lvlJc w:val="left"/>
      <w:lvlText w:val="%1"/>
      <w:numFmt w:val="decimal"/>
      <w:start w:val="1"/>
    </w:lvl>
    <w:lvl w:ilvl="1">
      <w:lvlJc w:val="left"/>
      <w:lvlText w:val="%2."/>
      <w:numFmt w:val="decimal"/>
      <w:start w:val="10"/>
    </w:lvl>
  </w:abstractNum>
  <w:abstractNum w:abstractNumId="12">
    <w:nsid w:val="440BADFC"/>
    <w:multiLevelType w:val="hybridMultilevel"/>
    <w:lvl w:ilvl="0">
      <w:lvlJc w:val="left"/>
      <w:lvlText w:val="%1."/>
      <w:numFmt w:val="decimal"/>
      <w:start w:val="11"/>
    </w:lvl>
    <w:lvl w:ilvl="1">
      <w:lvlJc w:val="left"/>
      <w:lvlText w:val="%2"/>
      <w:numFmt w:val="decimal"/>
      <w:start w:val="1"/>
    </w:lvl>
  </w:abstractNum>
  <w:abstractNum w:abstractNumId="13">
    <w:nsid w:val="5072367"/>
    <w:multiLevelType w:val="hybridMultilevel"/>
    <w:lvl w:ilvl="0">
      <w:lvlJc w:val="left"/>
      <w:lvlText w:val="%1."/>
      <w:numFmt w:val="decimal"/>
      <w:start w:val="1"/>
    </w:lvl>
    <w:lvl w:ilvl="1">
      <w:lvlJc w:val="left"/>
      <w:lvlText w:val="(%2)"/>
      <w:numFmt w:val="lowerLetter"/>
      <w:start w:val="1"/>
    </w:lvl>
  </w:abstractNum>
  <w:abstractNum w:abstractNumId="14">
    <w:nsid w:val="3804823E"/>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5">
    <w:nsid w:val="77465F0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6">
    <w:nsid w:val="7724C67E"/>
    <w:multiLevelType w:val="hybridMultilevel"/>
    <w:lvl w:ilvl="0">
      <w:lvlJc w:val="left"/>
      <w:lvlText w:val="%1."/>
      <w:numFmt w:val="decimal"/>
      <w:start w:val="1"/>
    </w:lvl>
    <w:lvl w:ilvl="1">
      <w:lvlJc w:val="left"/>
      <w:lvlText w:val="(%2)"/>
      <w:numFmt w:val="lowerLetter"/>
      <w:start w:val="1"/>
    </w:lvl>
  </w:abstractNum>
  <w:abstractNum w:abstractNumId="17">
    <w:nsid w:val="5C482A97"/>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18">
    <w:nsid w:val="2463B9EA"/>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19">
    <w:nsid w:val="5E884ADC"/>
    <w:multiLevelType w:val="hybridMultilevel"/>
    <w:lvl w:ilvl="0">
      <w:lvlJc w:val="left"/>
      <w:lvlText w:val="%1."/>
      <w:numFmt w:val="decimal"/>
      <w:start w:val="1"/>
    </w:lvl>
    <w:lvl w:ilvl="1">
      <w:lvlJc w:val="left"/>
      <w:lvlText w:val="(%2)"/>
      <w:numFmt w:val="lowerLetter"/>
      <w:start w:val="1"/>
    </w:lvl>
  </w:abstractNum>
  <w:abstractNum w:abstractNumId="20">
    <w:nsid w:val="51EAD36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1">
    <w:nsid w:val="2D517796"/>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2">
    <w:nsid w:val="580BD78F"/>
    <w:multiLevelType w:val="hybridMultilevel"/>
    <w:lvl w:ilvl="0">
      <w:lvlJc w:val="left"/>
      <w:lvlText w:val="%1."/>
      <w:numFmt w:val="decimal"/>
      <w:start w:val="1"/>
    </w:lvl>
    <w:lvl w:ilvl="1">
      <w:lvlJc w:val="left"/>
      <w:lvlText w:val="(%2)"/>
      <w:numFmt w:val="lowerLetter"/>
      <w:start w:val="1"/>
    </w:lvl>
  </w:abstractNum>
  <w:abstractNum w:abstractNumId="23">
    <w:nsid w:val="153EA438"/>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4">
    <w:nsid w:val="3855585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5">
    <w:nsid w:val="70A64E2A"/>
    <w:multiLevelType w:val="hybridMultilevel"/>
    <w:lvl w:ilvl="0">
      <w:lvlJc w:val="left"/>
      <w:lvlText w:val="%1."/>
      <w:numFmt w:val="decimal"/>
      <w:start w:val="1"/>
    </w:lvl>
    <w:lvl w:ilvl="1">
      <w:lvlJc w:val="left"/>
      <w:lvlText w:val="(%2)"/>
      <w:numFmt w:val="lowerLetter"/>
      <w:start w:val="1"/>
    </w:lvl>
  </w:abstractNum>
  <w:abstractNum w:abstractNumId="26">
    <w:nsid w:val="6A2342E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27">
    <w:nsid w:val="2A487CB0"/>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28">
    <w:nsid w:val="1D4ED43B"/>
    <w:multiLevelType w:val="hybridMultilevel"/>
    <w:lvl w:ilvl="0">
      <w:lvlJc w:val="left"/>
      <w:lvlText w:val="%1."/>
      <w:numFmt w:val="decimal"/>
      <w:start w:val="1"/>
    </w:lvl>
    <w:lvl w:ilvl="1">
      <w:lvlJc w:val="left"/>
      <w:lvlText w:val="(%2)"/>
      <w:numFmt w:val="lowerLetter"/>
      <w:start w:val="1"/>
    </w:lvl>
  </w:abstractNum>
  <w:abstractNum w:abstractNumId="29">
    <w:nsid w:val="725A06FB"/>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0">
    <w:nsid w:val="2CD89A32"/>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1">
    <w:nsid w:val="57E4CCAF"/>
    <w:multiLevelType w:val="hybridMultilevel"/>
    <w:lvl w:ilvl="0">
      <w:lvlJc w:val="left"/>
      <w:lvlText w:val="%1."/>
      <w:numFmt w:val="decimal"/>
      <w:start w:val="1"/>
    </w:lvl>
    <w:lvl w:ilvl="1">
      <w:lvlJc w:val="left"/>
      <w:lvlText w:val="(%2)"/>
      <w:numFmt w:val="lowerLetter"/>
      <w:start w:val="1"/>
    </w:lvl>
  </w:abstractNum>
  <w:abstractNum w:abstractNumId="32">
    <w:nsid w:val="7A6D8D3C"/>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3">
    <w:nsid w:val="4B588F54"/>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4">
    <w:nsid w:val="542289EC"/>
    <w:multiLevelType w:val="hybridMultilevel"/>
    <w:lvl w:ilvl="0">
      <w:lvlJc w:val="left"/>
      <w:lvlText w:val="%1."/>
      <w:numFmt w:val="decimal"/>
      <w:start w:val="1"/>
    </w:lvl>
    <w:lvl w:ilvl="1">
      <w:lvlJc w:val="left"/>
      <w:lvlText w:val="(%2)"/>
      <w:numFmt w:val="lowerLetter"/>
      <w:start w:val="1"/>
    </w:lvl>
  </w:abstractNum>
  <w:abstractNum w:abstractNumId="35">
    <w:nsid w:val="6DE91B18"/>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6">
    <w:nsid w:val="38437FD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37">
    <w:nsid w:val="7644A45C"/>
    <w:multiLevelType w:val="hybridMultilevel"/>
    <w:lvl w:ilvl="0">
      <w:lvlJc w:val="left"/>
      <w:lvlText w:val="%1."/>
      <w:numFmt w:val="decimal"/>
      <w:start w:val="1"/>
    </w:lvl>
    <w:lvl w:ilvl="1">
      <w:lvlJc w:val="left"/>
      <w:lvlText w:val="(%2)"/>
      <w:numFmt w:val="lowerLetter"/>
      <w:start w:val="1"/>
    </w:lvl>
  </w:abstractNum>
  <w:abstractNum w:abstractNumId="38">
    <w:nsid w:val="32FFF902"/>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39">
    <w:nsid w:val="684A481A"/>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0">
    <w:nsid w:val="579478FE"/>
    <w:multiLevelType w:val="hybridMultilevel"/>
    <w:lvl w:ilvl="0">
      <w:lvlJc w:val="left"/>
      <w:lvlText w:val="%1."/>
      <w:numFmt w:val="decimal"/>
      <w:start w:val="1"/>
    </w:lvl>
    <w:lvl w:ilvl="1">
      <w:lvlJc w:val="left"/>
      <w:lvlText w:val="(%2)"/>
      <w:numFmt w:val="lowerLetter"/>
      <w:start w:val="1"/>
    </w:lvl>
  </w:abstractNum>
  <w:abstractNum w:abstractNumId="41">
    <w:nsid w:val="749ABB43"/>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2">
    <w:nsid w:val="3DC240FB"/>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3">
    <w:nsid w:val="1BA026FA"/>
    <w:multiLevelType w:val="hybridMultilevel"/>
    <w:lvl w:ilvl="0">
      <w:lvlJc w:val="left"/>
      <w:lvlText w:val="%1."/>
      <w:numFmt w:val="decimal"/>
      <w:start w:val="1"/>
    </w:lvl>
    <w:lvl w:ilvl="1">
      <w:lvlJc w:val="left"/>
      <w:lvlText w:val="(%2)"/>
      <w:numFmt w:val="lowerLetter"/>
      <w:start w:val="1"/>
    </w:lvl>
  </w:abstractNum>
  <w:abstractNum w:abstractNumId="44">
    <w:nsid w:val="79A1DEAA"/>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5">
    <w:nsid w:val="75C6C33A"/>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6">
    <w:nsid w:val="12E685FB"/>
    <w:multiLevelType w:val="hybridMultilevel"/>
    <w:lvl w:ilvl="0">
      <w:lvlJc w:val="left"/>
      <w:lvlText w:val="%1."/>
      <w:numFmt w:val="decimal"/>
      <w:start w:val="1"/>
    </w:lvl>
    <w:lvl w:ilvl="1">
      <w:lvlJc w:val="left"/>
      <w:lvlText w:val="(%2)"/>
      <w:numFmt w:val="lowerLetter"/>
      <w:start w:val="1"/>
    </w:lvl>
  </w:abstractNum>
  <w:abstractNum w:abstractNumId="47">
    <w:nsid w:val="70C6A529"/>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48">
    <w:nsid w:val="520EEDD1"/>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49">
    <w:nsid w:val="374A3FE6"/>
    <w:multiLevelType w:val="hybridMultilevel"/>
    <w:lvl w:ilvl="0">
      <w:lvlJc w:val="left"/>
      <w:lvlText w:val="%1."/>
      <w:numFmt w:val="decimal"/>
      <w:start w:val="1"/>
    </w:lvl>
    <w:lvl w:ilvl="1">
      <w:lvlJc w:val="left"/>
      <w:lvlText w:val="(%2)"/>
      <w:numFmt w:val="lowerLetter"/>
      <w:start w:val="1"/>
    </w:lvl>
  </w:abstractNum>
  <w:abstractNum w:abstractNumId="50">
    <w:nsid w:val="4F4EF005"/>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1">
    <w:nsid w:val="23F9C13C"/>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2">
    <w:nsid w:val="649BB77C"/>
    <w:multiLevelType w:val="hybridMultilevel"/>
    <w:lvl w:ilvl="0">
      <w:lvlJc w:val="left"/>
      <w:lvlText w:val="%1."/>
      <w:numFmt w:val="decimal"/>
      <w:start w:val="1"/>
    </w:lvl>
    <w:lvl w:ilvl="1">
      <w:lvlJc w:val="left"/>
      <w:lvlText w:val="(%2)"/>
      <w:numFmt w:val="lowerLetter"/>
      <w:start w:val="1"/>
    </w:lvl>
  </w:abstractNum>
  <w:abstractNum w:abstractNumId="53">
    <w:nsid w:val="275AC794"/>
    <w:multiLevelType w:val="hybridMultilevel"/>
    <w:lvl w:ilvl="0">
      <w:lvlJc w:val="left"/>
      <w:lvlText w:val="*"/>
      <w:numFmt w:val="bullet"/>
      <w:start w:val="1"/>
    </w:lvl>
    <w:lvl w:ilvl="1">
      <w:lvlJc w:val="left"/>
      <w:lvlText w:val="%2"/>
      <w:numFmt w:val="decimal"/>
      <w:start w:val="1"/>
    </w:lvl>
    <w:lvl w:ilvl="2">
      <w:lvlJc w:val="left"/>
      <w:lvlText w:val="%3."/>
      <w:numFmt w:val="decimal"/>
      <w:start w:val="10"/>
    </w:lvl>
  </w:abstractNum>
  <w:abstractNum w:abstractNumId="54">
    <w:nsid w:val="39386575"/>
    <w:multiLevelType w:val="hybridMultilevel"/>
    <w:lvl w:ilvl="0">
      <w:lvlJc w:val="left"/>
      <w:lvlText w:val="*"/>
      <w:numFmt w:val="bullet"/>
      <w:start w:val="1"/>
    </w:lvl>
    <w:lvl w:ilvl="1">
      <w:lvlJc w:val="left"/>
      <w:lvlText w:val="%2."/>
      <w:numFmt w:val="decimal"/>
      <w:start w:val="11"/>
    </w:lvl>
    <w:lvl w:ilvl="2">
      <w:lvlJc w:val="left"/>
      <w:lvlText w:val="%3"/>
      <w:numFmt w:val="decimal"/>
      <w:start w:val="1"/>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lowerLetter"/>
      <w:start w:val="61"/>
    </w:lvl>
  </w:abstractNum>
  <w:abstractNum w:abstractNumId="57">
    <w:nsid w:val="235BA86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2021-05-25T15:07:43Z</dcterms:created>
  <dcterms:modified xsi:type="dcterms:W3CDTF">2021-05-25T15:07:43Z</dcterms:modified>
</cp:coreProperties>
</file>