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Stevens Todd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9200 OAKDALE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03/03/2016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38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86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7"/>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8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3860" w:type="dxa"/>
            <w:vAlign w:val="bottom"/>
            <w:gridSpan w:val="7"/>
            <w:vMerge w:val="continue"/>
          </w:tcPr>
          <w:p>
            <w:pPr>
              <w:spacing w:after="0" w:line="20" w:lineRule="exact"/>
              <w:rPr>
                <w:sz w:val="1"/>
                <w:szCs w:val="1"/>
                <w:color w:val="auto"/>
              </w:rPr>
            </w:pPr>
          </w:p>
        </w:tc>
        <w:tc>
          <w:tcPr>
            <w:tcW w:w="3640" w:type="dxa"/>
            <w:vAlign w:val="bottom"/>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gridSpan w:val="3"/>
          </w:tcPr>
          <w:p>
            <w:pPr>
              <w:ind w:left="160"/>
              <w:spacing w:after="0"/>
              <w:rPr>
                <w:sz w:val="20"/>
                <w:szCs w:val="20"/>
                <w:color w:val="auto"/>
              </w:rPr>
            </w:pPr>
            <w:r>
              <w:rPr>
                <w:rFonts w:ascii="Arial" w:cs="Arial" w:eastAsia="Arial" w:hAnsi="Arial"/>
                <w:sz w:val="18"/>
                <w:szCs w:val="18"/>
                <w:color w:val="0000FF"/>
              </w:rPr>
              <w:t>03/03/2016</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LOS ANGELES CA</w:t>
            </w:r>
          </w:p>
        </w:tc>
        <w:tc>
          <w:tcPr>
            <w:tcW w:w="1020" w:type="dxa"/>
            <w:vAlign w:val="bottom"/>
          </w:tcPr>
          <w:p>
            <w:pPr>
              <w:spacing w:after="0"/>
              <w:rPr>
                <w:sz w:val="19"/>
                <w:szCs w:val="19"/>
                <w:color w:val="auto"/>
              </w:rPr>
            </w:pPr>
          </w:p>
        </w:tc>
        <w:tc>
          <w:tcPr>
            <w:tcW w:w="1260" w:type="dxa"/>
            <w:vAlign w:val="bottom"/>
            <w:vMerge w:val="restart"/>
          </w:tcPr>
          <w:p>
            <w:pPr>
              <w:spacing w:after="0"/>
              <w:rPr>
                <w:sz w:val="20"/>
                <w:szCs w:val="20"/>
                <w:color w:val="auto"/>
              </w:rPr>
            </w:pPr>
            <w:r>
              <w:rPr>
                <w:rFonts w:ascii="Arial" w:cs="Arial" w:eastAsia="Arial" w:hAnsi="Arial"/>
                <w:sz w:val="18"/>
                <w:szCs w:val="18"/>
                <w:color w:val="0000FF"/>
              </w:rPr>
              <w:t>91311</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ind w:left="160"/>
              <w:spacing w:after="0" w:line="121"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60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03/03/2016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2"/>
              </w:rPr>
              <w:t>11,500</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0.8489</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524,750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0"/>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$0.8469 to $0.89 inclusive. The reporting person undertakes to provide CRC, any security holder of CRC or the staff of the Securities and Exchange Commission, upon request, with full information regarding the number of shares purchased at each separate price within the range set forth.</w:t>
      </w:r>
    </w:p>
    <w:p>
      <w:pPr>
        <w:spacing w:after="0" w:line="30" w:lineRule="exact"/>
        <w:rPr>
          <w:rFonts w:ascii="Arial" w:cs="Arial" w:eastAsia="Arial" w:hAnsi="Arial"/>
          <w:sz w:val="14"/>
          <w:szCs w:val="14"/>
          <w:color w:val="008000"/>
        </w:rPr>
      </w:pPr>
    </w:p>
    <w:p>
      <w:pPr>
        <w:ind w:left="40" w:right="2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1,668 shares in total acquired under CRC's 2014 Employee Stock Purchase Plan on September 30, 2015. The original Form 4, filed March 3, 2016, inadvertently reported the purchase of shares in December 2015 under the Employee Stock Purchase Plan when none were purchased. The remainder of the original Form 4 remains unchanged.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 Attorney-in-Fact for Todd</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03/10/2016</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 Stevens</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2066"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2019-12-09T00:54:57Z</dcterms:created>
  <dcterms:modified xsi:type="dcterms:W3CDTF">2019-12-09T00:54:57Z</dcterms:modified>
</cp:coreProperties>
</file>